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538E6" w14:textId="20AA1E1D" w:rsidR="00CF6000" w:rsidRPr="00EC27AF" w:rsidRDefault="00E63B81" w:rsidP="00EC27AF">
      <w:pPr>
        <w:spacing w:after="0" w:line="240" w:lineRule="auto"/>
        <w:jc w:val="center"/>
        <w:rPr>
          <w:b/>
          <w:bCs/>
          <w:sz w:val="24"/>
          <w:szCs w:val="24"/>
        </w:rPr>
      </w:pPr>
      <w:r>
        <w:rPr>
          <w:b/>
          <w:bCs/>
          <w:sz w:val="24"/>
          <w:szCs w:val="24"/>
        </w:rPr>
        <w:t>The</w:t>
      </w:r>
      <w:r w:rsidRPr="00EC27AF">
        <w:rPr>
          <w:b/>
          <w:bCs/>
          <w:sz w:val="24"/>
          <w:szCs w:val="24"/>
        </w:rPr>
        <w:t xml:space="preserve"> Zero Lower Bound</w:t>
      </w:r>
      <w:r>
        <w:rPr>
          <w:b/>
          <w:bCs/>
          <w:sz w:val="24"/>
          <w:szCs w:val="24"/>
        </w:rPr>
        <w:t xml:space="preserve">: </w:t>
      </w:r>
      <w:r w:rsidR="00CF6000" w:rsidRPr="00EC27AF">
        <w:rPr>
          <w:b/>
          <w:bCs/>
          <w:sz w:val="24"/>
          <w:szCs w:val="24"/>
        </w:rPr>
        <w:t>Addendum (in 2022) to page 341 (of 10</w:t>
      </w:r>
      <w:r w:rsidR="00CF6000" w:rsidRPr="00EC27AF">
        <w:rPr>
          <w:b/>
          <w:bCs/>
          <w:sz w:val="24"/>
          <w:szCs w:val="24"/>
          <w:vertAlign w:val="superscript"/>
        </w:rPr>
        <w:t>th</w:t>
      </w:r>
      <w:r w:rsidR="00CF6000" w:rsidRPr="00EC27AF">
        <w:rPr>
          <w:b/>
          <w:bCs/>
          <w:sz w:val="24"/>
          <w:szCs w:val="24"/>
        </w:rPr>
        <w:t xml:space="preserve"> edition</w:t>
      </w:r>
      <w:r w:rsidR="00EC27AF">
        <w:rPr>
          <w:b/>
          <w:bCs/>
          <w:sz w:val="24"/>
          <w:szCs w:val="24"/>
        </w:rPr>
        <w:t xml:space="preserve"> of World Trade &amp; Payments</w:t>
      </w:r>
      <w:r w:rsidR="00615E48">
        <w:rPr>
          <w:b/>
          <w:bCs/>
          <w:sz w:val="24"/>
          <w:szCs w:val="24"/>
        </w:rPr>
        <w:t>)</w:t>
      </w:r>
    </w:p>
    <w:p w14:paraId="662917F4" w14:textId="77777777" w:rsidR="00EC27AF" w:rsidRPr="00113678" w:rsidRDefault="00EC27AF" w:rsidP="00113678">
      <w:pPr>
        <w:spacing w:after="0" w:line="240" w:lineRule="auto"/>
        <w:jc w:val="both"/>
        <w:rPr>
          <w:sz w:val="24"/>
          <w:szCs w:val="24"/>
        </w:rPr>
      </w:pPr>
    </w:p>
    <w:p w14:paraId="1DA8ED99" w14:textId="00D23E61" w:rsidR="00CF6000" w:rsidRPr="00113678" w:rsidRDefault="00B725CD" w:rsidP="00113678">
      <w:pPr>
        <w:spacing w:after="0" w:line="240" w:lineRule="auto"/>
        <w:ind w:firstLine="720"/>
        <w:jc w:val="both"/>
        <w:rPr>
          <w:sz w:val="24"/>
          <w:szCs w:val="24"/>
        </w:rPr>
      </w:pPr>
      <w:r w:rsidRPr="00113678">
        <w:rPr>
          <w:sz w:val="24"/>
          <w:szCs w:val="24"/>
        </w:rPr>
        <w:t xml:space="preserve">In response to the Global Financial Crisis of </w:t>
      </w:r>
      <w:r w:rsidR="0078627A" w:rsidRPr="00113678">
        <w:rPr>
          <w:sz w:val="24"/>
          <w:szCs w:val="24"/>
        </w:rPr>
        <w:t>2008-09, the US Federal Reserve cut short-term interest rates virtually to zero.  Other advanced-country central banks eventually followed suit.</w:t>
      </w:r>
      <w:r w:rsidR="00990B37" w:rsidRPr="00113678">
        <w:rPr>
          <w:sz w:val="24"/>
          <w:szCs w:val="24"/>
        </w:rPr>
        <w:t xml:space="preserve"> </w:t>
      </w:r>
      <w:r w:rsidR="00B62976" w:rsidRPr="00113678">
        <w:rPr>
          <w:sz w:val="24"/>
          <w:szCs w:val="24"/>
        </w:rPr>
        <w:t xml:space="preserve"> it was assumed that central banks could not drive their </w:t>
      </w:r>
      <w:r w:rsidR="00CF6000" w:rsidRPr="00CF6000">
        <w:rPr>
          <w:sz w:val="24"/>
          <w:szCs w:val="24"/>
        </w:rPr>
        <w:t>interest rate</w:t>
      </w:r>
      <w:r w:rsidR="00B62976" w:rsidRPr="00113678">
        <w:rPr>
          <w:sz w:val="24"/>
          <w:szCs w:val="24"/>
        </w:rPr>
        <w:t>s</w:t>
      </w:r>
      <w:r w:rsidR="00CF6000" w:rsidRPr="00CF6000">
        <w:rPr>
          <w:sz w:val="24"/>
          <w:szCs w:val="24"/>
        </w:rPr>
        <w:t xml:space="preserve"> below zero</w:t>
      </w:r>
      <w:r w:rsidR="00B62976" w:rsidRPr="00113678">
        <w:rPr>
          <w:sz w:val="24"/>
          <w:szCs w:val="24"/>
        </w:rPr>
        <w:t xml:space="preserve">, because people always had the option of holding cash. </w:t>
      </w:r>
      <w:r w:rsidR="00990B37" w:rsidRPr="00113678">
        <w:rPr>
          <w:sz w:val="24"/>
          <w:szCs w:val="24"/>
        </w:rPr>
        <w:t xml:space="preserve">With the interest rate up against the Zero Lower Bound, the case of the liquidity trap suddenly became much more relevant. </w:t>
      </w:r>
      <w:r w:rsidR="005E3239">
        <w:rPr>
          <w:sz w:val="24"/>
          <w:szCs w:val="24"/>
        </w:rPr>
        <w:t>M</w:t>
      </w:r>
      <w:r w:rsidR="00990B37" w:rsidRPr="00113678">
        <w:rPr>
          <w:sz w:val="24"/>
          <w:szCs w:val="24"/>
        </w:rPr>
        <w:t>onetary policy lost effectiveness</w:t>
      </w:r>
      <w:r w:rsidR="001A02FD">
        <w:rPr>
          <w:sz w:val="24"/>
          <w:szCs w:val="24"/>
        </w:rPr>
        <w:t>. At least, the</w:t>
      </w:r>
      <w:r w:rsidR="00990B37" w:rsidRPr="00113678">
        <w:rPr>
          <w:sz w:val="24"/>
          <w:szCs w:val="24"/>
        </w:rPr>
        <w:t xml:space="preserve"> channel of stimulus that operated through the short-term interest rate</w:t>
      </w:r>
      <w:r w:rsidR="005E3239">
        <w:rPr>
          <w:sz w:val="24"/>
          <w:szCs w:val="24"/>
        </w:rPr>
        <w:t xml:space="preserve"> has reached its limit</w:t>
      </w:r>
      <w:r w:rsidR="00990B37" w:rsidRPr="00113678">
        <w:rPr>
          <w:sz w:val="24"/>
          <w:szCs w:val="24"/>
        </w:rPr>
        <w:t>.</w:t>
      </w:r>
    </w:p>
    <w:p w14:paraId="44085EED" w14:textId="1F8256A0" w:rsidR="00CF6000" w:rsidRPr="00113678" w:rsidRDefault="00B62976" w:rsidP="00113678">
      <w:pPr>
        <w:spacing w:after="0" w:line="240" w:lineRule="auto"/>
        <w:ind w:firstLine="720"/>
        <w:jc w:val="both"/>
        <w:rPr>
          <w:sz w:val="24"/>
          <w:szCs w:val="24"/>
        </w:rPr>
      </w:pPr>
      <w:r w:rsidRPr="00113678">
        <w:rPr>
          <w:sz w:val="24"/>
          <w:szCs w:val="24"/>
        </w:rPr>
        <w:t xml:space="preserve">A note: </w:t>
      </w:r>
      <w:r w:rsidR="00CF6000" w:rsidRPr="00113678">
        <w:rPr>
          <w:sz w:val="24"/>
          <w:szCs w:val="24"/>
        </w:rPr>
        <w:t xml:space="preserve">Beginning in </w:t>
      </w:r>
      <w:r w:rsidR="00CF6000" w:rsidRPr="00CF6000">
        <w:rPr>
          <w:sz w:val="24"/>
          <w:szCs w:val="24"/>
        </w:rPr>
        <w:t>20</w:t>
      </w:r>
      <w:r w:rsidR="00B725CD" w:rsidRPr="00113678">
        <w:rPr>
          <w:sz w:val="24"/>
          <w:szCs w:val="24"/>
        </w:rPr>
        <w:t>14-</w:t>
      </w:r>
      <w:r w:rsidR="00CF6000" w:rsidRPr="00CF6000">
        <w:rPr>
          <w:sz w:val="24"/>
          <w:szCs w:val="24"/>
        </w:rPr>
        <w:t>15, some</w:t>
      </w:r>
      <w:r w:rsidR="00CF6000" w:rsidRPr="00113678">
        <w:rPr>
          <w:sz w:val="24"/>
          <w:szCs w:val="24"/>
        </w:rPr>
        <w:t xml:space="preserve"> European</w:t>
      </w:r>
      <w:r w:rsidR="00CF6000" w:rsidRPr="00CF6000">
        <w:rPr>
          <w:sz w:val="24"/>
          <w:szCs w:val="24"/>
        </w:rPr>
        <w:t xml:space="preserve"> central banks </w:t>
      </w:r>
      <w:r w:rsidR="005E3239">
        <w:rPr>
          <w:sz w:val="24"/>
          <w:szCs w:val="24"/>
        </w:rPr>
        <w:t xml:space="preserve">did </w:t>
      </w:r>
      <w:r w:rsidR="00CF6000" w:rsidRPr="00CF6000">
        <w:rPr>
          <w:sz w:val="24"/>
          <w:szCs w:val="24"/>
        </w:rPr>
        <w:t>d</w:t>
      </w:r>
      <w:r w:rsidR="00CF6000" w:rsidRPr="00113678">
        <w:rPr>
          <w:sz w:val="24"/>
          <w:szCs w:val="24"/>
        </w:rPr>
        <w:t>r</w:t>
      </w:r>
      <w:r w:rsidR="005E3239">
        <w:rPr>
          <w:sz w:val="24"/>
          <w:szCs w:val="24"/>
        </w:rPr>
        <w:t>i</w:t>
      </w:r>
      <w:r w:rsidR="00CF6000" w:rsidRPr="00113678">
        <w:rPr>
          <w:sz w:val="24"/>
          <w:szCs w:val="24"/>
        </w:rPr>
        <w:t>ve</w:t>
      </w:r>
      <w:r w:rsidR="00CF6000" w:rsidRPr="00CF6000">
        <w:rPr>
          <w:sz w:val="24"/>
          <w:szCs w:val="24"/>
        </w:rPr>
        <w:t xml:space="preserve"> their interest rates </w:t>
      </w:r>
      <w:r w:rsidRPr="00113678">
        <w:rPr>
          <w:sz w:val="24"/>
          <w:szCs w:val="24"/>
        </w:rPr>
        <w:t xml:space="preserve">below zero, </w:t>
      </w:r>
      <w:r w:rsidR="00CF6000" w:rsidRPr="00CF6000">
        <w:rPr>
          <w:sz w:val="24"/>
          <w:szCs w:val="24"/>
        </w:rPr>
        <w:t xml:space="preserve">to -0.25%, </w:t>
      </w:r>
      <w:r w:rsidR="00B725CD" w:rsidRPr="00113678">
        <w:rPr>
          <w:sz w:val="24"/>
          <w:szCs w:val="24"/>
        </w:rPr>
        <w:t>-</w:t>
      </w:r>
      <w:r w:rsidR="00CF6000" w:rsidRPr="00CF6000">
        <w:rPr>
          <w:sz w:val="24"/>
          <w:szCs w:val="24"/>
        </w:rPr>
        <w:t>0.50%, or even -0.75%.</w:t>
      </w:r>
      <w:r w:rsidR="00CF6000" w:rsidRPr="00113678">
        <w:rPr>
          <w:sz w:val="24"/>
          <w:szCs w:val="24"/>
        </w:rPr>
        <w:t xml:space="preserve"> </w:t>
      </w:r>
      <w:r w:rsidRPr="00113678">
        <w:rPr>
          <w:sz w:val="24"/>
          <w:szCs w:val="24"/>
        </w:rPr>
        <w:t xml:space="preserve"> It is not easy to hold one’s financial wealth as currency, so depositors were willing to suffer a slightly negative interest rate.  </w:t>
      </w:r>
      <w:r w:rsidR="005E3239">
        <w:rPr>
          <w:sz w:val="24"/>
          <w:szCs w:val="24"/>
        </w:rPr>
        <w:t xml:space="preserve">Thus, </w:t>
      </w:r>
      <w:r w:rsidRPr="00113678">
        <w:rPr>
          <w:sz w:val="24"/>
          <w:szCs w:val="24"/>
        </w:rPr>
        <w:t xml:space="preserve">the interest rate at which the LM curve becomes flat is </w:t>
      </w:r>
      <w:r w:rsidR="005E3239">
        <w:rPr>
          <w:sz w:val="24"/>
          <w:szCs w:val="24"/>
        </w:rPr>
        <w:t xml:space="preserve">perhaps </w:t>
      </w:r>
      <w:r w:rsidRPr="00113678">
        <w:rPr>
          <w:sz w:val="24"/>
          <w:szCs w:val="24"/>
        </w:rPr>
        <w:t>slightly negative</w:t>
      </w:r>
      <w:r w:rsidR="005E3239">
        <w:rPr>
          <w:sz w:val="24"/>
          <w:szCs w:val="24"/>
        </w:rPr>
        <w:t xml:space="preserve">, </w:t>
      </w:r>
      <w:r w:rsidRPr="00113678">
        <w:rPr>
          <w:sz w:val="24"/>
          <w:szCs w:val="24"/>
        </w:rPr>
        <w:t xml:space="preserve">because </w:t>
      </w:r>
      <w:r w:rsidRPr="00113678">
        <w:rPr>
          <w:i/>
          <w:iCs/>
          <w:sz w:val="24"/>
          <w:szCs w:val="24"/>
        </w:rPr>
        <w:t xml:space="preserve">that </w:t>
      </w:r>
      <w:r w:rsidRPr="00113678">
        <w:rPr>
          <w:sz w:val="24"/>
          <w:szCs w:val="24"/>
        </w:rPr>
        <w:t>is the level below which depositors would rather hold cash.</w:t>
      </w:r>
      <w:r w:rsidR="005E3239">
        <w:rPr>
          <w:sz w:val="24"/>
          <w:szCs w:val="24"/>
        </w:rPr>
        <w:t xml:space="preserve">  This is </w:t>
      </w:r>
      <w:r w:rsidR="005E3239" w:rsidRPr="00113678">
        <w:rPr>
          <w:sz w:val="24"/>
          <w:szCs w:val="24"/>
        </w:rPr>
        <w:t xml:space="preserve">called </w:t>
      </w:r>
      <w:r w:rsidR="005E3239">
        <w:rPr>
          <w:sz w:val="24"/>
          <w:szCs w:val="24"/>
        </w:rPr>
        <w:t xml:space="preserve">the </w:t>
      </w:r>
      <w:r w:rsidR="005E3239" w:rsidRPr="00113678">
        <w:rPr>
          <w:sz w:val="24"/>
          <w:szCs w:val="24"/>
        </w:rPr>
        <w:t>Effective Lower Bound,</w:t>
      </w:r>
    </w:p>
    <w:p w14:paraId="08C94ACD" w14:textId="6A89C49F" w:rsidR="00B62976" w:rsidRPr="00113678" w:rsidRDefault="00B62976" w:rsidP="00113678">
      <w:pPr>
        <w:spacing w:after="0" w:line="240" w:lineRule="auto"/>
        <w:ind w:firstLine="360"/>
        <w:jc w:val="both"/>
        <w:rPr>
          <w:sz w:val="24"/>
          <w:szCs w:val="24"/>
        </w:rPr>
      </w:pPr>
      <w:r w:rsidRPr="00113678">
        <w:rPr>
          <w:sz w:val="24"/>
          <w:szCs w:val="24"/>
        </w:rPr>
        <w:t>In any case, with the short-term interest rate constrained, increased attention fell on other mechanisms of transmission of monetary stimulus.</w:t>
      </w:r>
      <w:r w:rsidR="00EB5FD2" w:rsidRPr="00113678">
        <w:rPr>
          <w:sz w:val="24"/>
          <w:szCs w:val="24"/>
        </w:rPr>
        <w:t xml:space="preserve">  Four other channels of transmission are particularly relevant. </w:t>
      </w:r>
      <w:r w:rsidR="009053C6" w:rsidRPr="00113678">
        <w:rPr>
          <w:sz w:val="24"/>
          <w:szCs w:val="24"/>
        </w:rPr>
        <w:t xml:space="preserve"> </w:t>
      </w:r>
      <w:r w:rsidR="00C93C2E" w:rsidRPr="00113678">
        <w:rPr>
          <w:sz w:val="24"/>
          <w:szCs w:val="24"/>
        </w:rPr>
        <w:t xml:space="preserve">(They are also relevant in normal times, </w:t>
      </w:r>
      <w:r w:rsidR="001A02FD">
        <w:rPr>
          <w:sz w:val="24"/>
          <w:szCs w:val="24"/>
        </w:rPr>
        <w:t xml:space="preserve">even </w:t>
      </w:r>
      <w:r w:rsidR="00C93C2E" w:rsidRPr="00113678">
        <w:rPr>
          <w:sz w:val="24"/>
          <w:szCs w:val="24"/>
        </w:rPr>
        <w:t>when the short-term interest rate is above zero.)</w:t>
      </w:r>
    </w:p>
    <w:p w14:paraId="4B755ECF" w14:textId="032C3CC7" w:rsidR="00EB5FD2" w:rsidRPr="00EB5FD2" w:rsidRDefault="00EB5FD2" w:rsidP="00113678">
      <w:pPr>
        <w:numPr>
          <w:ilvl w:val="0"/>
          <w:numId w:val="3"/>
        </w:numPr>
        <w:spacing w:after="0" w:line="240" w:lineRule="auto"/>
        <w:jc w:val="both"/>
        <w:rPr>
          <w:sz w:val="24"/>
          <w:szCs w:val="24"/>
        </w:rPr>
      </w:pPr>
      <w:r w:rsidRPr="00113678">
        <w:rPr>
          <w:rFonts w:eastAsiaTheme="minorEastAsia"/>
          <w:iCs/>
          <w:sz w:val="24"/>
          <w:szCs w:val="24"/>
        </w:rPr>
        <w:t>First, expected inflation.  If the monetary authorities can convince people to believe that the inflation rate will be higher</w:t>
      </w:r>
      <w:r w:rsidR="009053C6" w:rsidRPr="00113678">
        <w:rPr>
          <w:rFonts w:eastAsiaTheme="minorEastAsia"/>
          <w:iCs/>
          <w:sz w:val="24"/>
          <w:szCs w:val="24"/>
        </w:rPr>
        <w:t>, e.g. via Inflation Targeting</w:t>
      </w:r>
      <w:r w:rsidRPr="00113678">
        <w:rPr>
          <w:rFonts w:eastAsiaTheme="minorEastAsia"/>
          <w:iCs/>
          <w:sz w:val="24"/>
          <w:szCs w:val="24"/>
        </w:rPr>
        <w:t>, then the real interest rate falls.  The real interest rate is defined as the nominal interest rate minus expected inflation.  It is the real interest rate, not the nominal interest rate that determines Aggregate Demand.</w:t>
      </w:r>
    </w:p>
    <w:p w14:paraId="70C317EB" w14:textId="5DCAF92F" w:rsidR="00EB5FD2" w:rsidRPr="00EB5FD2" w:rsidRDefault="009053C6" w:rsidP="00113678">
      <w:pPr>
        <w:numPr>
          <w:ilvl w:val="0"/>
          <w:numId w:val="3"/>
        </w:numPr>
        <w:spacing w:after="0" w:line="240" w:lineRule="auto"/>
        <w:jc w:val="both"/>
        <w:rPr>
          <w:sz w:val="24"/>
          <w:szCs w:val="24"/>
        </w:rPr>
      </w:pPr>
      <w:r w:rsidRPr="00113678">
        <w:rPr>
          <w:sz w:val="24"/>
          <w:szCs w:val="24"/>
        </w:rPr>
        <w:t>Second, the exchange rate.</w:t>
      </w:r>
      <w:r w:rsidR="00F7526C" w:rsidRPr="00113678">
        <w:rPr>
          <w:sz w:val="24"/>
          <w:szCs w:val="24"/>
        </w:rPr>
        <w:t xml:space="preserve">  As we</w:t>
      </w:r>
      <w:r w:rsidR="00FC5937" w:rsidRPr="00113678">
        <w:rPr>
          <w:sz w:val="24"/>
          <w:szCs w:val="24"/>
        </w:rPr>
        <w:t xml:space="preserve"> wi</w:t>
      </w:r>
      <w:r w:rsidR="00F7526C" w:rsidRPr="00113678">
        <w:rPr>
          <w:sz w:val="24"/>
          <w:szCs w:val="24"/>
        </w:rPr>
        <w:t>ll see in the Mundell-Fleming model (Chapter 23), a monetary expansion depreciates the currency.  With sticky prices, the nominal depreciation is also a real depreciation.  It improves the price competitiveness of domestic producers on world markets – raising exports and lowering imports.  Th</w:t>
      </w:r>
      <w:r w:rsidR="001A02FD">
        <w:rPr>
          <w:sz w:val="24"/>
          <w:szCs w:val="24"/>
        </w:rPr>
        <w:t>is</w:t>
      </w:r>
      <w:r w:rsidR="00F7526C" w:rsidRPr="00113678">
        <w:rPr>
          <w:sz w:val="24"/>
          <w:szCs w:val="24"/>
        </w:rPr>
        <w:t xml:space="preserve"> improvement in the trade balance is expansionary for domestic output and employment.</w:t>
      </w:r>
    </w:p>
    <w:p w14:paraId="444ED7A2" w14:textId="6D630502" w:rsidR="00EB5FD2" w:rsidRPr="00113678" w:rsidRDefault="00F7526C" w:rsidP="00113678">
      <w:pPr>
        <w:numPr>
          <w:ilvl w:val="0"/>
          <w:numId w:val="3"/>
        </w:numPr>
        <w:spacing w:after="0" w:line="240" w:lineRule="auto"/>
        <w:jc w:val="both"/>
        <w:rPr>
          <w:sz w:val="24"/>
          <w:szCs w:val="24"/>
        </w:rPr>
      </w:pPr>
      <w:r w:rsidRPr="00113678">
        <w:rPr>
          <w:sz w:val="24"/>
          <w:szCs w:val="24"/>
        </w:rPr>
        <w:t>Third, a</w:t>
      </w:r>
      <w:r w:rsidR="00EB5FD2" w:rsidRPr="00EB5FD2">
        <w:rPr>
          <w:sz w:val="24"/>
          <w:szCs w:val="24"/>
        </w:rPr>
        <w:t>sset prices</w:t>
      </w:r>
      <w:r w:rsidRPr="00113678">
        <w:rPr>
          <w:sz w:val="24"/>
          <w:szCs w:val="24"/>
        </w:rPr>
        <w:t>.  Monetary stimulus raises</w:t>
      </w:r>
      <w:r w:rsidR="00FC5937" w:rsidRPr="00113678">
        <w:rPr>
          <w:sz w:val="24"/>
          <w:szCs w:val="24"/>
        </w:rPr>
        <w:t xml:space="preserve"> prices in the stock market and real estate market.  The </w:t>
      </w:r>
      <w:r w:rsidR="001A02FD">
        <w:rPr>
          <w:sz w:val="24"/>
          <w:szCs w:val="24"/>
        </w:rPr>
        <w:t xml:space="preserve">result is that the </w:t>
      </w:r>
      <w:r w:rsidR="00FC5937" w:rsidRPr="00113678">
        <w:rPr>
          <w:sz w:val="24"/>
          <w:szCs w:val="24"/>
        </w:rPr>
        <w:t>lower corporate cost of capital raises real investment, while the boost to household wealth raises consumption.</w:t>
      </w:r>
    </w:p>
    <w:p w14:paraId="07848E76" w14:textId="522CFD75" w:rsidR="00EB5FD2" w:rsidRDefault="004F652A" w:rsidP="00113678">
      <w:pPr>
        <w:numPr>
          <w:ilvl w:val="0"/>
          <w:numId w:val="3"/>
        </w:numPr>
        <w:spacing w:after="0" w:line="240" w:lineRule="auto"/>
        <w:jc w:val="both"/>
        <w:rPr>
          <w:sz w:val="24"/>
          <w:szCs w:val="24"/>
        </w:rPr>
      </w:pPr>
      <w:r w:rsidRPr="00113678">
        <w:rPr>
          <w:sz w:val="24"/>
          <w:szCs w:val="24"/>
        </w:rPr>
        <w:t>Fourth, long-term interest rates.  Decisions whether to expand a factory or build a house depend on the long-term (real) interest rate, not the short-term interest rate</w:t>
      </w:r>
      <w:r w:rsidR="0011150E" w:rsidRPr="00113678">
        <w:rPr>
          <w:sz w:val="24"/>
          <w:szCs w:val="24"/>
        </w:rPr>
        <w:t>.  Typically</w:t>
      </w:r>
      <w:r w:rsidR="007A1B41" w:rsidRPr="00113678">
        <w:rPr>
          <w:sz w:val="24"/>
          <w:szCs w:val="24"/>
        </w:rPr>
        <w:t>,</w:t>
      </w:r>
      <w:r w:rsidR="0011150E" w:rsidRPr="00113678">
        <w:rPr>
          <w:sz w:val="24"/>
          <w:szCs w:val="24"/>
        </w:rPr>
        <w:t xml:space="preserve"> the long-term rate is higher than the short-term rate, so there is still room to push down the former even when the latter is constrained</w:t>
      </w:r>
      <w:r w:rsidR="001A02FD">
        <w:rPr>
          <w:sz w:val="24"/>
          <w:szCs w:val="24"/>
        </w:rPr>
        <w:t xml:space="preserve"> at zero</w:t>
      </w:r>
      <w:r w:rsidR="0011150E" w:rsidRPr="00113678">
        <w:rPr>
          <w:sz w:val="24"/>
          <w:szCs w:val="24"/>
        </w:rPr>
        <w:t>.</w:t>
      </w:r>
    </w:p>
    <w:p w14:paraId="0144D216" w14:textId="77777777" w:rsidR="00EB5FD2" w:rsidRPr="00EB5FD2" w:rsidRDefault="00EB5FD2" w:rsidP="00113678">
      <w:pPr>
        <w:spacing w:after="0" w:line="240" w:lineRule="auto"/>
        <w:ind w:left="360"/>
        <w:jc w:val="both"/>
        <w:rPr>
          <w:sz w:val="24"/>
          <w:szCs w:val="24"/>
        </w:rPr>
      </w:pPr>
    </w:p>
    <w:p w14:paraId="66F78387" w14:textId="0E22B4A4" w:rsidR="00EB5FD2" w:rsidRPr="00113678" w:rsidRDefault="007A1B41" w:rsidP="00113678">
      <w:pPr>
        <w:spacing w:after="0" w:line="240" w:lineRule="auto"/>
        <w:ind w:firstLine="720"/>
        <w:jc w:val="both"/>
        <w:rPr>
          <w:sz w:val="24"/>
          <w:szCs w:val="24"/>
        </w:rPr>
      </w:pPr>
      <w:r w:rsidRPr="00113678">
        <w:rPr>
          <w:sz w:val="24"/>
          <w:szCs w:val="24"/>
        </w:rPr>
        <w:t xml:space="preserve">Central banks adopted a variety of </w:t>
      </w:r>
      <w:r w:rsidR="00EB5FD2" w:rsidRPr="00113678">
        <w:rPr>
          <w:sz w:val="24"/>
          <w:szCs w:val="24"/>
        </w:rPr>
        <w:t xml:space="preserve">Unconventional Monetary Policies </w:t>
      </w:r>
      <w:r w:rsidRPr="00113678">
        <w:rPr>
          <w:sz w:val="24"/>
          <w:szCs w:val="24"/>
        </w:rPr>
        <w:t xml:space="preserve">(UMP) to reduce long-term interest rates and thus stimulate recovery from the recessions of 2008-09 and 2020.  One category of UMP is forward guidance: the monetary authorities go beyond reducing today’s short-term interest rates to </w:t>
      </w:r>
      <w:proofErr w:type="gramStart"/>
      <w:r w:rsidRPr="00113678">
        <w:rPr>
          <w:sz w:val="24"/>
          <w:szCs w:val="24"/>
        </w:rPr>
        <w:t xml:space="preserve">zero, </w:t>
      </w:r>
      <w:r w:rsidR="001A02FD">
        <w:rPr>
          <w:sz w:val="24"/>
          <w:szCs w:val="24"/>
        </w:rPr>
        <w:t>and</w:t>
      </w:r>
      <w:proofErr w:type="gramEnd"/>
      <w:r w:rsidRPr="00113678">
        <w:rPr>
          <w:sz w:val="24"/>
          <w:szCs w:val="24"/>
        </w:rPr>
        <w:t xml:space="preserve"> promise to keep rates “low for long.”  When the market expects that short-term rates </w:t>
      </w:r>
      <w:r w:rsidR="00771176">
        <w:rPr>
          <w:sz w:val="24"/>
          <w:szCs w:val="24"/>
        </w:rPr>
        <w:t xml:space="preserve">will be low </w:t>
      </w:r>
      <w:r w:rsidRPr="00113678">
        <w:rPr>
          <w:sz w:val="24"/>
          <w:szCs w:val="24"/>
        </w:rPr>
        <w:t>over much of the next 10 years</w:t>
      </w:r>
      <w:r w:rsidR="00771176">
        <w:rPr>
          <w:sz w:val="24"/>
          <w:szCs w:val="24"/>
        </w:rPr>
        <w:t>,</w:t>
      </w:r>
      <w:r w:rsidRPr="00113678">
        <w:rPr>
          <w:sz w:val="24"/>
          <w:szCs w:val="24"/>
        </w:rPr>
        <w:t xml:space="preserve"> that works to </w:t>
      </w:r>
      <w:r w:rsidR="00771176">
        <w:rPr>
          <w:sz w:val="24"/>
          <w:szCs w:val="24"/>
        </w:rPr>
        <w:t>drive down</w:t>
      </w:r>
      <w:r w:rsidRPr="00113678">
        <w:rPr>
          <w:sz w:val="24"/>
          <w:szCs w:val="24"/>
        </w:rPr>
        <w:t xml:space="preserve"> the long-term interest rate, which in turn stimulates construction and other components of aggregate demand.</w:t>
      </w:r>
      <w:bookmarkStart w:id="0" w:name="_GoBack"/>
      <w:bookmarkEnd w:id="0"/>
      <w:r w:rsidRPr="00113678">
        <w:rPr>
          <w:sz w:val="24"/>
          <w:szCs w:val="24"/>
        </w:rPr>
        <w:t xml:space="preserve">  The other category </w:t>
      </w:r>
      <w:r w:rsidR="00BF51A2" w:rsidRPr="00113678">
        <w:rPr>
          <w:sz w:val="24"/>
          <w:szCs w:val="24"/>
        </w:rPr>
        <w:t xml:space="preserve">of UMP </w:t>
      </w:r>
      <w:r w:rsidRPr="00113678">
        <w:rPr>
          <w:sz w:val="24"/>
          <w:szCs w:val="24"/>
        </w:rPr>
        <w:t>is Quantitative Easing (QE)</w:t>
      </w:r>
      <w:r w:rsidR="00BF51A2" w:rsidRPr="00113678">
        <w:rPr>
          <w:sz w:val="24"/>
          <w:szCs w:val="24"/>
        </w:rPr>
        <w:t>.  The central bank expands the monetary base</w:t>
      </w:r>
      <w:r w:rsidR="00113678" w:rsidRPr="00113678">
        <w:rPr>
          <w:sz w:val="24"/>
          <w:szCs w:val="24"/>
        </w:rPr>
        <w:t>, not just by buying short-term Treasury bills, which is the Fed’s traditional method, but by buying long-term assets, such as mortgage-backed securities.  Under QE, the prices of long-term securities rise, which means the long-term interest rate falls, again stimulating demand.</w:t>
      </w:r>
    </w:p>
    <w:p w14:paraId="030CB4CC" w14:textId="77777777" w:rsidR="008759FA" w:rsidRPr="00113678" w:rsidRDefault="008759FA">
      <w:pPr>
        <w:spacing w:after="0" w:line="240" w:lineRule="auto"/>
        <w:ind w:firstLine="720"/>
        <w:jc w:val="both"/>
        <w:rPr>
          <w:sz w:val="24"/>
          <w:szCs w:val="24"/>
        </w:rPr>
      </w:pPr>
    </w:p>
    <w:sectPr w:rsidR="008759FA" w:rsidRPr="00113678" w:rsidSect="00EC27A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43315" w14:textId="77777777" w:rsidR="00B62976" w:rsidRDefault="00B62976" w:rsidP="00B62976">
      <w:pPr>
        <w:spacing w:after="0" w:line="240" w:lineRule="auto"/>
      </w:pPr>
      <w:r>
        <w:separator/>
      </w:r>
    </w:p>
  </w:endnote>
  <w:endnote w:type="continuationSeparator" w:id="0">
    <w:p w14:paraId="5528736D" w14:textId="77777777" w:rsidR="00B62976" w:rsidRDefault="00B62976" w:rsidP="00B6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4CA1A" w14:textId="77777777" w:rsidR="00B62976" w:rsidRDefault="00B62976" w:rsidP="00B62976">
      <w:pPr>
        <w:spacing w:after="0" w:line="240" w:lineRule="auto"/>
      </w:pPr>
      <w:r>
        <w:separator/>
      </w:r>
    </w:p>
  </w:footnote>
  <w:footnote w:type="continuationSeparator" w:id="0">
    <w:p w14:paraId="299C25EF" w14:textId="77777777" w:rsidR="00B62976" w:rsidRDefault="00B62976" w:rsidP="00B62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595B"/>
    <w:multiLevelType w:val="hybridMultilevel"/>
    <w:tmpl w:val="A23E8B94"/>
    <w:lvl w:ilvl="0" w:tplc="29E479FA">
      <w:start w:val="1"/>
      <w:numFmt w:val="bullet"/>
      <w:lvlText w:val="–"/>
      <w:lvlJc w:val="left"/>
      <w:pPr>
        <w:tabs>
          <w:tab w:val="num" w:pos="720"/>
        </w:tabs>
        <w:ind w:left="720" w:hanging="360"/>
      </w:pPr>
      <w:rPr>
        <w:rFonts w:ascii="Times New Roman" w:hAnsi="Times New Roman" w:hint="default"/>
      </w:rPr>
    </w:lvl>
    <w:lvl w:ilvl="1" w:tplc="DECCC764">
      <w:start w:val="1"/>
      <w:numFmt w:val="bullet"/>
      <w:lvlText w:val="–"/>
      <w:lvlJc w:val="left"/>
      <w:pPr>
        <w:tabs>
          <w:tab w:val="num" w:pos="1440"/>
        </w:tabs>
        <w:ind w:left="1440" w:hanging="360"/>
      </w:pPr>
      <w:rPr>
        <w:rFonts w:ascii="Times New Roman" w:hAnsi="Times New Roman" w:hint="default"/>
      </w:rPr>
    </w:lvl>
    <w:lvl w:ilvl="2" w:tplc="05B0921A" w:tentative="1">
      <w:start w:val="1"/>
      <w:numFmt w:val="bullet"/>
      <w:lvlText w:val="–"/>
      <w:lvlJc w:val="left"/>
      <w:pPr>
        <w:tabs>
          <w:tab w:val="num" w:pos="2160"/>
        </w:tabs>
        <w:ind w:left="2160" w:hanging="360"/>
      </w:pPr>
      <w:rPr>
        <w:rFonts w:ascii="Times New Roman" w:hAnsi="Times New Roman" w:hint="default"/>
      </w:rPr>
    </w:lvl>
    <w:lvl w:ilvl="3" w:tplc="8A068E2A" w:tentative="1">
      <w:start w:val="1"/>
      <w:numFmt w:val="bullet"/>
      <w:lvlText w:val="–"/>
      <w:lvlJc w:val="left"/>
      <w:pPr>
        <w:tabs>
          <w:tab w:val="num" w:pos="2880"/>
        </w:tabs>
        <w:ind w:left="2880" w:hanging="360"/>
      </w:pPr>
      <w:rPr>
        <w:rFonts w:ascii="Times New Roman" w:hAnsi="Times New Roman" w:hint="default"/>
      </w:rPr>
    </w:lvl>
    <w:lvl w:ilvl="4" w:tplc="8138AB8E" w:tentative="1">
      <w:start w:val="1"/>
      <w:numFmt w:val="bullet"/>
      <w:lvlText w:val="–"/>
      <w:lvlJc w:val="left"/>
      <w:pPr>
        <w:tabs>
          <w:tab w:val="num" w:pos="3600"/>
        </w:tabs>
        <w:ind w:left="3600" w:hanging="360"/>
      </w:pPr>
      <w:rPr>
        <w:rFonts w:ascii="Times New Roman" w:hAnsi="Times New Roman" w:hint="default"/>
      </w:rPr>
    </w:lvl>
    <w:lvl w:ilvl="5" w:tplc="15D29C08" w:tentative="1">
      <w:start w:val="1"/>
      <w:numFmt w:val="bullet"/>
      <w:lvlText w:val="–"/>
      <w:lvlJc w:val="left"/>
      <w:pPr>
        <w:tabs>
          <w:tab w:val="num" w:pos="4320"/>
        </w:tabs>
        <w:ind w:left="4320" w:hanging="360"/>
      </w:pPr>
      <w:rPr>
        <w:rFonts w:ascii="Times New Roman" w:hAnsi="Times New Roman" w:hint="default"/>
      </w:rPr>
    </w:lvl>
    <w:lvl w:ilvl="6" w:tplc="84BA7022" w:tentative="1">
      <w:start w:val="1"/>
      <w:numFmt w:val="bullet"/>
      <w:lvlText w:val="–"/>
      <w:lvlJc w:val="left"/>
      <w:pPr>
        <w:tabs>
          <w:tab w:val="num" w:pos="5040"/>
        </w:tabs>
        <w:ind w:left="5040" w:hanging="360"/>
      </w:pPr>
      <w:rPr>
        <w:rFonts w:ascii="Times New Roman" w:hAnsi="Times New Roman" w:hint="default"/>
      </w:rPr>
    </w:lvl>
    <w:lvl w:ilvl="7" w:tplc="20F81F7A" w:tentative="1">
      <w:start w:val="1"/>
      <w:numFmt w:val="bullet"/>
      <w:lvlText w:val="–"/>
      <w:lvlJc w:val="left"/>
      <w:pPr>
        <w:tabs>
          <w:tab w:val="num" w:pos="5760"/>
        </w:tabs>
        <w:ind w:left="5760" w:hanging="360"/>
      </w:pPr>
      <w:rPr>
        <w:rFonts w:ascii="Times New Roman" w:hAnsi="Times New Roman" w:hint="default"/>
      </w:rPr>
    </w:lvl>
    <w:lvl w:ilvl="8" w:tplc="14CC3A6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AC21B8D"/>
    <w:multiLevelType w:val="hybridMultilevel"/>
    <w:tmpl w:val="56489B54"/>
    <w:lvl w:ilvl="0" w:tplc="55A87F96">
      <w:start w:val="1"/>
      <w:numFmt w:val="bullet"/>
      <w:lvlText w:val="•"/>
      <w:lvlJc w:val="left"/>
      <w:pPr>
        <w:tabs>
          <w:tab w:val="num" w:pos="360"/>
        </w:tabs>
        <w:ind w:left="360" w:hanging="360"/>
      </w:pPr>
      <w:rPr>
        <w:rFonts w:ascii="Times New Roman" w:hAnsi="Times New Roman" w:hint="default"/>
      </w:rPr>
    </w:lvl>
    <w:lvl w:ilvl="1" w:tplc="0BB0BD6E">
      <w:numFmt w:val="none"/>
      <w:lvlText w:val=""/>
      <w:lvlJc w:val="left"/>
      <w:pPr>
        <w:tabs>
          <w:tab w:val="num" w:pos="360"/>
        </w:tabs>
      </w:pPr>
    </w:lvl>
    <w:lvl w:ilvl="2" w:tplc="DC28722E" w:tentative="1">
      <w:start w:val="1"/>
      <w:numFmt w:val="bullet"/>
      <w:lvlText w:val="•"/>
      <w:lvlJc w:val="left"/>
      <w:pPr>
        <w:tabs>
          <w:tab w:val="num" w:pos="1800"/>
        </w:tabs>
        <w:ind w:left="1800" w:hanging="360"/>
      </w:pPr>
      <w:rPr>
        <w:rFonts w:ascii="Times New Roman" w:hAnsi="Times New Roman" w:hint="default"/>
      </w:rPr>
    </w:lvl>
    <w:lvl w:ilvl="3" w:tplc="C2B4E576" w:tentative="1">
      <w:start w:val="1"/>
      <w:numFmt w:val="bullet"/>
      <w:lvlText w:val="•"/>
      <w:lvlJc w:val="left"/>
      <w:pPr>
        <w:tabs>
          <w:tab w:val="num" w:pos="2520"/>
        </w:tabs>
        <w:ind w:left="2520" w:hanging="360"/>
      </w:pPr>
      <w:rPr>
        <w:rFonts w:ascii="Times New Roman" w:hAnsi="Times New Roman" w:hint="default"/>
      </w:rPr>
    </w:lvl>
    <w:lvl w:ilvl="4" w:tplc="5D3AF4D0" w:tentative="1">
      <w:start w:val="1"/>
      <w:numFmt w:val="bullet"/>
      <w:lvlText w:val="•"/>
      <w:lvlJc w:val="left"/>
      <w:pPr>
        <w:tabs>
          <w:tab w:val="num" w:pos="3240"/>
        </w:tabs>
        <w:ind w:left="3240" w:hanging="360"/>
      </w:pPr>
      <w:rPr>
        <w:rFonts w:ascii="Times New Roman" w:hAnsi="Times New Roman" w:hint="default"/>
      </w:rPr>
    </w:lvl>
    <w:lvl w:ilvl="5" w:tplc="5396FF1A" w:tentative="1">
      <w:start w:val="1"/>
      <w:numFmt w:val="bullet"/>
      <w:lvlText w:val="•"/>
      <w:lvlJc w:val="left"/>
      <w:pPr>
        <w:tabs>
          <w:tab w:val="num" w:pos="3960"/>
        </w:tabs>
        <w:ind w:left="3960" w:hanging="360"/>
      </w:pPr>
      <w:rPr>
        <w:rFonts w:ascii="Times New Roman" w:hAnsi="Times New Roman" w:hint="default"/>
      </w:rPr>
    </w:lvl>
    <w:lvl w:ilvl="6" w:tplc="334A0430" w:tentative="1">
      <w:start w:val="1"/>
      <w:numFmt w:val="bullet"/>
      <w:lvlText w:val="•"/>
      <w:lvlJc w:val="left"/>
      <w:pPr>
        <w:tabs>
          <w:tab w:val="num" w:pos="4680"/>
        </w:tabs>
        <w:ind w:left="4680" w:hanging="360"/>
      </w:pPr>
      <w:rPr>
        <w:rFonts w:ascii="Times New Roman" w:hAnsi="Times New Roman" w:hint="default"/>
      </w:rPr>
    </w:lvl>
    <w:lvl w:ilvl="7" w:tplc="0A083EDA" w:tentative="1">
      <w:start w:val="1"/>
      <w:numFmt w:val="bullet"/>
      <w:lvlText w:val="•"/>
      <w:lvlJc w:val="left"/>
      <w:pPr>
        <w:tabs>
          <w:tab w:val="num" w:pos="5400"/>
        </w:tabs>
        <w:ind w:left="5400" w:hanging="360"/>
      </w:pPr>
      <w:rPr>
        <w:rFonts w:ascii="Times New Roman" w:hAnsi="Times New Roman" w:hint="default"/>
      </w:rPr>
    </w:lvl>
    <w:lvl w:ilvl="8" w:tplc="C150ADF8"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577153C4"/>
    <w:multiLevelType w:val="hybridMultilevel"/>
    <w:tmpl w:val="70D41662"/>
    <w:lvl w:ilvl="0" w:tplc="F7D07C26">
      <w:start w:val="1"/>
      <w:numFmt w:val="bullet"/>
      <w:lvlText w:val="•"/>
      <w:lvlJc w:val="left"/>
      <w:pPr>
        <w:tabs>
          <w:tab w:val="num" w:pos="720"/>
        </w:tabs>
        <w:ind w:left="720" w:hanging="360"/>
      </w:pPr>
      <w:rPr>
        <w:rFonts w:ascii="Times New Roman" w:hAnsi="Times New Roman" w:hint="default"/>
      </w:rPr>
    </w:lvl>
    <w:lvl w:ilvl="1" w:tplc="5D9CA28E">
      <w:numFmt w:val="none"/>
      <w:lvlText w:val=""/>
      <w:lvlJc w:val="left"/>
      <w:pPr>
        <w:tabs>
          <w:tab w:val="num" w:pos="360"/>
        </w:tabs>
      </w:pPr>
    </w:lvl>
    <w:lvl w:ilvl="2" w:tplc="891672B6" w:tentative="1">
      <w:start w:val="1"/>
      <w:numFmt w:val="bullet"/>
      <w:lvlText w:val="•"/>
      <w:lvlJc w:val="left"/>
      <w:pPr>
        <w:tabs>
          <w:tab w:val="num" w:pos="2160"/>
        </w:tabs>
        <w:ind w:left="2160" w:hanging="360"/>
      </w:pPr>
      <w:rPr>
        <w:rFonts w:ascii="Times New Roman" w:hAnsi="Times New Roman" w:hint="default"/>
      </w:rPr>
    </w:lvl>
    <w:lvl w:ilvl="3" w:tplc="3F74C7D8" w:tentative="1">
      <w:start w:val="1"/>
      <w:numFmt w:val="bullet"/>
      <w:lvlText w:val="•"/>
      <w:lvlJc w:val="left"/>
      <w:pPr>
        <w:tabs>
          <w:tab w:val="num" w:pos="2880"/>
        </w:tabs>
        <w:ind w:left="2880" w:hanging="360"/>
      </w:pPr>
      <w:rPr>
        <w:rFonts w:ascii="Times New Roman" w:hAnsi="Times New Roman" w:hint="default"/>
      </w:rPr>
    </w:lvl>
    <w:lvl w:ilvl="4" w:tplc="44EC60AC" w:tentative="1">
      <w:start w:val="1"/>
      <w:numFmt w:val="bullet"/>
      <w:lvlText w:val="•"/>
      <w:lvlJc w:val="left"/>
      <w:pPr>
        <w:tabs>
          <w:tab w:val="num" w:pos="3600"/>
        </w:tabs>
        <w:ind w:left="3600" w:hanging="360"/>
      </w:pPr>
      <w:rPr>
        <w:rFonts w:ascii="Times New Roman" w:hAnsi="Times New Roman" w:hint="default"/>
      </w:rPr>
    </w:lvl>
    <w:lvl w:ilvl="5" w:tplc="39F017E4" w:tentative="1">
      <w:start w:val="1"/>
      <w:numFmt w:val="bullet"/>
      <w:lvlText w:val="•"/>
      <w:lvlJc w:val="left"/>
      <w:pPr>
        <w:tabs>
          <w:tab w:val="num" w:pos="4320"/>
        </w:tabs>
        <w:ind w:left="4320" w:hanging="360"/>
      </w:pPr>
      <w:rPr>
        <w:rFonts w:ascii="Times New Roman" w:hAnsi="Times New Roman" w:hint="default"/>
      </w:rPr>
    </w:lvl>
    <w:lvl w:ilvl="6" w:tplc="F49EE062" w:tentative="1">
      <w:start w:val="1"/>
      <w:numFmt w:val="bullet"/>
      <w:lvlText w:val="•"/>
      <w:lvlJc w:val="left"/>
      <w:pPr>
        <w:tabs>
          <w:tab w:val="num" w:pos="5040"/>
        </w:tabs>
        <w:ind w:left="5040" w:hanging="360"/>
      </w:pPr>
      <w:rPr>
        <w:rFonts w:ascii="Times New Roman" w:hAnsi="Times New Roman" w:hint="default"/>
      </w:rPr>
    </w:lvl>
    <w:lvl w:ilvl="7" w:tplc="CF1E5AF4" w:tentative="1">
      <w:start w:val="1"/>
      <w:numFmt w:val="bullet"/>
      <w:lvlText w:val="•"/>
      <w:lvlJc w:val="left"/>
      <w:pPr>
        <w:tabs>
          <w:tab w:val="num" w:pos="5760"/>
        </w:tabs>
        <w:ind w:left="5760" w:hanging="360"/>
      </w:pPr>
      <w:rPr>
        <w:rFonts w:ascii="Times New Roman" w:hAnsi="Times New Roman" w:hint="default"/>
      </w:rPr>
    </w:lvl>
    <w:lvl w:ilvl="8" w:tplc="C51C740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00"/>
    <w:rsid w:val="0011150E"/>
    <w:rsid w:val="00113678"/>
    <w:rsid w:val="001A02FD"/>
    <w:rsid w:val="004F652A"/>
    <w:rsid w:val="005B1059"/>
    <w:rsid w:val="005E3239"/>
    <w:rsid w:val="00615E48"/>
    <w:rsid w:val="00771176"/>
    <w:rsid w:val="0078627A"/>
    <w:rsid w:val="007A1B41"/>
    <w:rsid w:val="008759FA"/>
    <w:rsid w:val="009053C6"/>
    <w:rsid w:val="00990B37"/>
    <w:rsid w:val="00B62976"/>
    <w:rsid w:val="00B725CD"/>
    <w:rsid w:val="00BF51A2"/>
    <w:rsid w:val="00C93C2E"/>
    <w:rsid w:val="00CF6000"/>
    <w:rsid w:val="00E63B81"/>
    <w:rsid w:val="00EB5FD2"/>
    <w:rsid w:val="00EC27AF"/>
    <w:rsid w:val="00F7526C"/>
    <w:rsid w:val="00FC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AD52"/>
  <w15:chartTrackingRefBased/>
  <w15:docId w15:val="{960DA5A7-148C-47E1-B925-58B0A557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000"/>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2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976"/>
  </w:style>
  <w:style w:type="paragraph" w:styleId="Footer">
    <w:name w:val="footer"/>
    <w:basedOn w:val="Normal"/>
    <w:link w:val="FooterChar"/>
    <w:uiPriority w:val="99"/>
    <w:unhideWhenUsed/>
    <w:rsid w:val="00B62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19561">
      <w:bodyDiv w:val="1"/>
      <w:marLeft w:val="0"/>
      <w:marRight w:val="0"/>
      <w:marTop w:val="0"/>
      <w:marBottom w:val="0"/>
      <w:divBdr>
        <w:top w:val="none" w:sz="0" w:space="0" w:color="auto"/>
        <w:left w:val="none" w:sz="0" w:space="0" w:color="auto"/>
        <w:bottom w:val="none" w:sz="0" w:space="0" w:color="auto"/>
        <w:right w:val="none" w:sz="0" w:space="0" w:color="auto"/>
      </w:divBdr>
      <w:divsChild>
        <w:div w:id="1309096553">
          <w:marLeft w:val="547"/>
          <w:marRight w:val="0"/>
          <w:marTop w:val="130"/>
          <w:marBottom w:val="0"/>
          <w:divBdr>
            <w:top w:val="none" w:sz="0" w:space="0" w:color="auto"/>
            <w:left w:val="none" w:sz="0" w:space="0" w:color="auto"/>
            <w:bottom w:val="none" w:sz="0" w:space="0" w:color="auto"/>
            <w:right w:val="none" w:sz="0" w:space="0" w:color="auto"/>
          </w:divBdr>
        </w:div>
        <w:div w:id="1917084843">
          <w:marLeft w:val="1166"/>
          <w:marRight w:val="0"/>
          <w:marTop w:val="115"/>
          <w:marBottom w:val="0"/>
          <w:divBdr>
            <w:top w:val="none" w:sz="0" w:space="0" w:color="auto"/>
            <w:left w:val="none" w:sz="0" w:space="0" w:color="auto"/>
            <w:bottom w:val="none" w:sz="0" w:space="0" w:color="auto"/>
            <w:right w:val="none" w:sz="0" w:space="0" w:color="auto"/>
          </w:divBdr>
        </w:div>
        <w:div w:id="480275099">
          <w:marLeft w:val="547"/>
          <w:marRight w:val="0"/>
          <w:marTop w:val="130"/>
          <w:marBottom w:val="0"/>
          <w:divBdr>
            <w:top w:val="none" w:sz="0" w:space="0" w:color="auto"/>
            <w:left w:val="none" w:sz="0" w:space="0" w:color="auto"/>
            <w:bottom w:val="none" w:sz="0" w:space="0" w:color="auto"/>
            <w:right w:val="none" w:sz="0" w:space="0" w:color="auto"/>
          </w:divBdr>
        </w:div>
        <w:div w:id="731345302">
          <w:marLeft w:val="547"/>
          <w:marRight w:val="0"/>
          <w:marTop w:val="130"/>
          <w:marBottom w:val="0"/>
          <w:divBdr>
            <w:top w:val="none" w:sz="0" w:space="0" w:color="auto"/>
            <w:left w:val="none" w:sz="0" w:space="0" w:color="auto"/>
            <w:bottom w:val="none" w:sz="0" w:space="0" w:color="auto"/>
            <w:right w:val="none" w:sz="0" w:space="0" w:color="auto"/>
          </w:divBdr>
        </w:div>
        <w:div w:id="1049307236">
          <w:marLeft w:val="1166"/>
          <w:marRight w:val="0"/>
          <w:marTop w:val="115"/>
          <w:marBottom w:val="0"/>
          <w:divBdr>
            <w:top w:val="none" w:sz="0" w:space="0" w:color="auto"/>
            <w:left w:val="none" w:sz="0" w:space="0" w:color="auto"/>
            <w:bottom w:val="none" w:sz="0" w:space="0" w:color="auto"/>
            <w:right w:val="none" w:sz="0" w:space="0" w:color="auto"/>
          </w:divBdr>
        </w:div>
        <w:div w:id="1680741554">
          <w:marLeft w:val="1166"/>
          <w:marRight w:val="0"/>
          <w:marTop w:val="115"/>
          <w:marBottom w:val="0"/>
          <w:divBdr>
            <w:top w:val="none" w:sz="0" w:space="0" w:color="auto"/>
            <w:left w:val="none" w:sz="0" w:space="0" w:color="auto"/>
            <w:bottom w:val="none" w:sz="0" w:space="0" w:color="auto"/>
            <w:right w:val="none" w:sz="0" w:space="0" w:color="auto"/>
          </w:divBdr>
        </w:div>
      </w:divsChild>
    </w:div>
    <w:div w:id="641931446">
      <w:bodyDiv w:val="1"/>
      <w:marLeft w:val="0"/>
      <w:marRight w:val="0"/>
      <w:marTop w:val="0"/>
      <w:marBottom w:val="0"/>
      <w:divBdr>
        <w:top w:val="none" w:sz="0" w:space="0" w:color="auto"/>
        <w:left w:val="none" w:sz="0" w:space="0" w:color="auto"/>
        <w:bottom w:val="none" w:sz="0" w:space="0" w:color="auto"/>
        <w:right w:val="none" w:sz="0" w:space="0" w:color="auto"/>
      </w:divBdr>
      <w:divsChild>
        <w:div w:id="1784228553">
          <w:marLeft w:val="547"/>
          <w:marRight w:val="0"/>
          <w:marTop w:val="154"/>
          <w:marBottom w:val="0"/>
          <w:divBdr>
            <w:top w:val="none" w:sz="0" w:space="0" w:color="auto"/>
            <w:left w:val="none" w:sz="0" w:space="0" w:color="auto"/>
            <w:bottom w:val="none" w:sz="0" w:space="0" w:color="auto"/>
            <w:right w:val="none" w:sz="0" w:space="0" w:color="auto"/>
          </w:divBdr>
        </w:div>
        <w:div w:id="1452672899">
          <w:marLeft w:val="1166"/>
          <w:marRight w:val="0"/>
          <w:marTop w:val="134"/>
          <w:marBottom w:val="0"/>
          <w:divBdr>
            <w:top w:val="none" w:sz="0" w:space="0" w:color="auto"/>
            <w:left w:val="none" w:sz="0" w:space="0" w:color="auto"/>
            <w:bottom w:val="none" w:sz="0" w:space="0" w:color="auto"/>
            <w:right w:val="none" w:sz="0" w:space="0" w:color="auto"/>
          </w:divBdr>
        </w:div>
      </w:divsChild>
    </w:div>
    <w:div w:id="1479614708">
      <w:bodyDiv w:val="1"/>
      <w:marLeft w:val="0"/>
      <w:marRight w:val="0"/>
      <w:marTop w:val="0"/>
      <w:marBottom w:val="0"/>
      <w:divBdr>
        <w:top w:val="none" w:sz="0" w:space="0" w:color="auto"/>
        <w:left w:val="none" w:sz="0" w:space="0" w:color="auto"/>
        <w:bottom w:val="none" w:sz="0" w:space="0" w:color="auto"/>
        <w:right w:val="none" w:sz="0" w:space="0" w:color="auto"/>
      </w:divBdr>
      <w:divsChild>
        <w:div w:id="1491368200">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2</cp:revision>
  <cp:lastPrinted>2022-01-07T19:08:00Z</cp:lastPrinted>
  <dcterms:created xsi:type="dcterms:W3CDTF">2022-01-07T22:17:00Z</dcterms:created>
  <dcterms:modified xsi:type="dcterms:W3CDTF">2022-01-07T22:17:00Z</dcterms:modified>
</cp:coreProperties>
</file>