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37" w:rsidRPr="00B73D37" w:rsidRDefault="00B73D37" w:rsidP="00B73D37">
      <w:pPr>
        <w:pStyle w:val="Heading1"/>
        <w:shd w:val="clear" w:color="auto" w:fill="FEFEFE"/>
        <w:spacing w:before="0" w:beforeAutospacing="0" w:after="150" w:afterAutospacing="0"/>
        <w:rPr>
          <w:rFonts w:ascii="Arial" w:hAnsi="Arial" w:cs="Arial"/>
          <w:color w:val="000000"/>
          <w:sz w:val="72"/>
          <w:szCs w:val="72"/>
        </w:rPr>
      </w:pPr>
      <w:r w:rsidRPr="00B73D37">
        <w:rPr>
          <w:rFonts w:ascii="Arial" w:hAnsi="Arial" w:cs="Arial"/>
          <w:color w:val="000000"/>
          <w:sz w:val="72"/>
          <w:szCs w:val="72"/>
        </w:rPr>
        <w:fldChar w:fldCharType="begin"/>
      </w:r>
      <w:r w:rsidRPr="00B73D37">
        <w:rPr>
          <w:rFonts w:ascii="Arial" w:hAnsi="Arial" w:cs="Arial"/>
          <w:color w:val="000000"/>
          <w:sz w:val="72"/>
          <w:szCs w:val="72"/>
        </w:rPr>
        <w:instrText xml:space="preserve"> HYPERLINK "http://www.centralbanknews.info/" </w:instrText>
      </w:r>
      <w:r w:rsidRPr="00B73D37">
        <w:rPr>
          <w:rFonts w:ascii="Arial" w:hAnsi="Arial" w:cs="Arial"/>
          <w:color w:val="000000"/>
          <w:sz w:val="72"/>
          <w:szCs w:val="72"/>
        </w:rPr>
        <w:fldChar w:fldCharType="separate"/>
      </w:r>
      <w:r w:rsidRPr="00B73D37">
        <w:rPr>
          <w:rStyle w:val="Hyperlink"/>
          <w:rFonts w:ascii="Arial" w:hAnsi="Arial" w:cs="Arial"/>
          <w:color w:val="000000"/>
          <w:sz w:val="72"/>
          <w:szCs w:val="72"/>
          <w:u w:val="none"/>
        </w:rPr>
        <w:t>Central Bank News</w:t>
      </w:r>
      <w:r w:rsidRPr="00B73D37">
        <w:rPr>
          <w:rFonts w:ascii="Arial" w:hAnsi="Arial" w:cs="Arial"/>
          <w:color w:val="000000"/>
          <w:sz w:val="72"/>
          <w:szCs w:val="72"/>
        </w:rPr>
        <w:fldChar w:fldCharType="end"/>
      </w:r>
    </w:p>
    <w:p w:rsidR="00B73D37" w:rsidRPr="00B73D37" w:rsidRDefault="00B73D37" w:rsidP="00B73D37">
      <w:pPr>
        <w:pStyle w:val="description"/>
        <w:shd w:val="clear" w:color="auto" w:fill="FEFEFE"/>
        <w:spacing w:before="120" w:beforeAutospacing="0" w:after="150" w:afterAutospacing="0"/>
        <w:rPr>
          <w:rFonts w:ascii="Cuprum" w:hAnsi="Cuprum" w:cs="Arial"/>
          <w:color w:val="000000"/>
        </w:rPr>
      </w:pPr>
      <w:r>
        <w:rPr>
          <w:rFonts w:ascii="Cuprum" w:hAnsi="Cuprum" w:cs="Arial"/>
          <w:color w:val="000000"/>
        </w:rPr>
        <w:t>CentralBankNews.info - A trusted and authoritative source on global monetary policy</w:t>
      </w:r>
    </w:p>
    <w:p w:rsidR="00B73D37" w:rsidRPr="00B73D37" w:rsidRDefault="00B73D37" w:rsidP="00B73D37">
      <w:pPr>
        <w:pStyle w:val="Heading2"/>
        <w:pBdr>
          <w:top w:val="single" w:sz="2" w:space="0" w:color="EEEEEE"/>
        </w:pBdr>
        <w:spacing w:before="0" w:after="15"/>
        <w:ind w:left="-225" w:right="-225"/>
        <w:rPr>
          <w:rFonts w:ascii="Arial" w:hAnsi="Arial" w:cs="Arial"/>
          <w:b w:val="0"/>
          <w:bCs w:val="0"/>
          <w:color w:val="444444"/>
          <w:sz w:val="28"/>
          <w:szCs w:val="28"/>
        </w:rPr>
      </w:pPr>
      <w:r>
        <w:rPr>
          <w:rFonts w:ascii="Arial" w:hAnsi="Arial" w:cs="Arial"/>
          <w:b w:val="0"/>
          <w:bCs w:val="0"/>
          <w:color w:val="444444"/>
          <w:sz w:val="24"/>
          <w:szCs w:val="24"/>
        </w:rPr>
        <w:br/>
      </w:r>
      <w:r w:rsidRPr="00B73D37">
        <w:rPr>
          <w:rFonts w:ascii="Arial" w:hAnsi="Arial" w:cs="Arial"/>
          <w:b w:val="0"/>
          <w:bCs w:val="0"/>
          <w:color w:val="444444"/>
          <w:sz w:val="28"/>
          <w:szCs w:val="28"/>
        </w:rPr>
        <w:t>Monday, September 30, 2013</w:t>
      </w:r>
    </w:p>
    <w:p w:rsidR="00B73D37" w:rsidRPr="00B73D37" w:rsidRDefault="00B73D37" w:rsidP="00B73D37">
      <w:pPr>
        <w:pStyle w:val="Heading3"/>
        <w:shd w:val="clear" w:color="auto" w:fill="FFFFFF"/>
        <w:spacing w:before="75"/>
        <w:rPr>
          <w:rFonts w:ascii="Arial" w:hAnsi="Arial" w:cs="Arial"/>
          <w:color w:val="000000"/>
          <w:sz w:val="40"/>
          <w:szCs w:val="40"/>
        </w:rPr>
      </w:pPr>
      <w:bookmarkStart w:id="0" w:name="809159933016049684"/>
      <w:bookmarkEnd w:id="0"/>
      <w:r w:rsidRPr="00B73D37">
        <w:rPr>
          <w:rFonts w:ascii="Arial" w:hAnsi="Arial" w:cs="Arial"/>
          <w:color w:val="000000"/>
          <w:sz w:val="40"/>
          <w:szCs w:val="40"/>
        </w:rPr>
        <w:t>Mauritius holds repo rate on contained inflation</w:t>
      </w:r>
    </w:p>
    <w:p w:rsidR="00112A45" w:rsidRPr="00B73D37" w:rsidRDefault="00B73D37" w:rsidP="00B73D37">
      <w:pPr>
        <w:shd w:val="clear" w:color="auto" w:fill="FFFFFF"/>
        <w:spacing w:after="240"/>
      </w:pPr>
      <w:r w:rsidRPr="00B73D37">
        <w:rPr>
          <w:rFonts w:ascii="Arial" w:hAnsi="Arial" w:cs="Arial"/>
          <w:color w:val="000000"/>
          <w:sz w:val="24"/>
          <w:szCs w:val="24"/>
        </w:rPr>
        <w:t>    The central bank of Mauritius held its key repo rate steady at 4.65 percent as a majority of the members of the monetary policy committee agreed that rates could remain at its current level "to continue to provide support to the economy against the backdrop of contained inflation, which they expected to remain below the staff forecast."</w:t>
      </w:r>
      <w:r w:rsidRPr="00B73D37">
        <w:rPr>
          <w:rFonts w:ascii="Arial" w:hAnsi="Arial" w:cs="Arial"/>
          <w:color w:val="000000"/>
          <w:sz w:val="24"/>
          <w:szCs w:val="24"/>
        </w:rPr>
        <w:br/>
        <w:t xml:space="preserve">    The Bank of Mauritius, which cut its rate by 25 basis points in June, said other members on the committee argued that upside inflation risks were still present and considered it important to normalize the repo rate to address vulnerabilities in the banking sector from prolonged negative real interest rates and offer rates that would help change savings and consumption </w:t>
      </w:r>
      <w:proofErr w:type="spellStart"/>
      <w:r w:rsidRPr="00B73D37">
        <w:rPr>
          <w:rFonts w:ascii="Arial" w:hAnsi="Arial" w:cs="Arial"/>
          <w:color w:val="000000"/>
          <w:sz w:val="24"/>
          <w:szCs w:val="24"/>
        </w:rPr>
        <w:t>behaviour</w:t>
      </w:r>
      <w:proofErr w:type="spellEnd"/>
      <w:r w:rsidRPr="00B73D37">
        <w:rPr>
          <w:rFonts w:ascii="Arial" w:hAnsi="Arial" w:cs="Arial"/>
          <w:color w:val="000000"/>
          <w:sz w:val="24"/>
          <w:szCs w:val="24"/>
        </w:rPr>
        <w:t>.</w:t>
      </w:r>
      <w:r w:rsidRPr="00B73D37">
        <w:rPr>
          <w:rFonts w:ascii="Arial" w:hAnsi="Arial" w:cs="Arial"/>
          <w:color w:val="000000"/>
          <w:sz w:val="24"/>
          <w:szCs w:val="24"/>
        </w:rPr>
        <w:br/>
        <w:t>    "The MPC maintains strong vigilance in monitoring economic and financial developments and stands ready to meet in between its regular meetings, if the need arises," the bank said.</w:t>
      </w:r>
      <w:r w:rsidRPr="00B73D37">
        <w:rPr>
          <w:rFonts w:ascii="Arial" w:hAnsi="Arial" w:cs="Arial"/>
          <w:color w:val="000000"/>
          <w:sz w:val="24"/>
          <w:szCs w:val="24"/>
        </w:rPr>
        <w:br/>
        <w:t>    When the central bank cut its rate in June, the governor told Bloomberg that he had voted for an increase in the rate to help contain inflation.</w:t>
      </w:r>
      <w:r w:rsidRPr="00B73D37">
        <w:rPr>
          <w:rFonts w:ascii="Arial" w:hAnsi="Arial" w:cs="Arial"/>
          <w:color w:val="000000"/>
          <w:sz w:val="24"/>
          <w:szCs w:val="24"/>
        </w:rPr>
        <w:br/>
        <w:t>    Mauritius' inflation rate fell to 3.1 percent in August from 3.6 percent in July. Since January it has fluctuated between 3.6 and 3.7 percent and the central bank's staff projects inflation remaining in a range of 4.5-4.9 percent by December before rising to 4.9-5.5 percent by June 2014.</w:t>
      </w:r>
      <w:r w:rsidRPr="00B73D37">
        <w:rPr>
          <w:rFonts w:ascii="Arial" w:hAnsi="Arial" w:cs="Arial"/>
          <w:color w:val="000000"/>
          <w:sz w:val="24"/>
          <w:szCs w:val="24"/>
        </w:rPr>
        <w:br/>
      </w:r>
      <w:bookmarkStart w:id="1" w:name="more"/>
      <w:bookmarkEnd w:id="1"/>
      <w:r w:rsidRPr="00B73D37">
        <w:rPr>
          <w:rFonts w:ascii="Arial" w:hAnsi="Arial" w:cs="Arial"/>
          <w:color w:val="000000"/>
          <w:sz w:val="24"/>
          <w:szCs w:val="24"/>
        </w:rPr>
        <w:br/>
        <w:t>    Economic activity in Mauritius continues to face headwinds from soft economic conditions in its main trading partners with the output gap projected to remain slightly negative, the bank said, taking note of the statistics' office revising down its 2013 growth forecast to 3.2 percent from 3.3 percent.</w:t>
      </w:r>
      <w:r w:rsidRPr="00B73D37">
        <w:rPr>
          <w:rFonts w:ascii="Arial" w:hAnsi="Arial" w:cs="Arial"/>
          <w:color w:val="000000"/>
          <w:sz w:val="24"/>
          <w:szCs w:val="24"/>
        </w:rPr>
        <w:br/>
        <w:t>    The central bank's own staff trimmed its forecasts 2013 growth to a range of 3.1-3.5 percent from a forecast of 3.2-3.7 percent in June.</w:t>
      </w:r>
      <w:r w:rsidRPr="00B73D37">
        <w:rPr>
          <w:rFonts w:ascii="Arial" w:hAnsi="Arial" w:cs="Arial"/>
          <w:color w:val="000000"/>
          <w:sz w:val="24"/>
          <w:szCs w:val="24"/>
        </w:rPr>
        <w:br/>
        <w:t>    The global economy had improved slightly since June, the bank said, though the outlook for the U.S. remains clouded by the fiscal deadlock and growth in China and India has slowed and looks unlikely to return to previous highs. Global inflation is broadly benign, below target in advanced economies while some emerging countries have seen higher inflation due to depreciating currencies.</w:t>
      </w:r>
      <w:r>
        <w:rPr>
          <w:rFonts w:ascii="Arial" w:hAnsi="Arial" w:cs="Arial"/>
          <w:color w:val="000000"/>
          <w:sz w:val="18"/>
          <w:szCs w:val="18"/>
        </w:rPr>
        <w:br/>
      </w:r>
      <w:r>
        <w:rPr>
          <w:rFonts w:ascii="Arial" w:hAnsi="Arial" w:cs="Arial"/>
          <w:color w:val="000000"/>
          <w:sz w:val="18"/>
          <w:szCs w:val="18"/>
        </w:rPr>
        <w:br/>
        <w:t>   </w:t>
      </w:r>
      <w:r>
        <w:rPr>
          <w:rStyle w:val="apple-converted-space"/>
          <w:rFonts w:ascii="Arial" w:hAnsi="Arial" w:cs="Arial"/>
          <w:color w:val="000000"/>
          <w:sz w:val="18"/>
          <w:szCs w:val="18"/>
        </w:rPr>
        <w:t> </w:t>
      </w:r>
      <w:hyperlink r:id="rId6" w:history="1">
        <w:r>
          <w:rPr>
            <w:rStyle w:val="Hyperlink"/>
            <w:rFonts w:ascii="Arial" w:hAnsi="Arial" w:cs="Arial"/>
            <w:color w:val="165788"/>
            <w:sz w:val="18"/>
            <w:szCs w:val="18"/>
          </w:rPr>
          <w:t>www.CentralBankNews.info</w:t>
        </w:r>
      </w:hyperlink>
      <w:r>
        <w:rPr>
          <w:rFonts w:ascii="Arial" w:hAnsi="Arial" w:cs="Arial"/>
          <w:color w:val="000000"/>
          <w:sz w:val="18"/>
          <w:szCs w:val="18"/>
        </w:rPr>
        <w:t xml:space="preserve">     </w:t>
      </w:r>
      <w:r>
        <w:rPr>
          <w:rStyle w:val="post-labels"/>
          <w:rFonts w:ascii="Arial" w:hAnsi="Arial" w:cs="Arial"/>
          <w:color w:val="000000"/>
          <w:sz w:val="18"/>
          <w:szCs w:val="18"/>
        </w:rPr>
        <w:t>Labels:</w:t>
      </w:r>
      <w:r>
        <w:rPr>
          <w:rStyle w:val="apple-converted-space"/>
          <w:rFonts w:ascii="Arial" w:hAnsi="Arial" w:cs="Arial"/>
          <w:color w:val="000000"/>
          <w:sz w:val="18"/>
          <w:szCs w:val="18"/>
        </w:rPr>
        <w:t> </w:t>
      </w:r>
      <w:hyperlink r:id="rId7" w:history="1">
        <w:r>
          <w:rPr>
            <w:rStyle w:val="Hyperlink"/>
            <w:rFonts w:ascii="Arial" w:hAnsi="Arial" w:cs="Arial"/>
            <w:color w:val="165788"/>
            <w:sz w:val="18"/>
            <w:szCs w:val="18"/>
          </w:rPr>
          <w:t>Africa</w:t>
        </w:r>
      </w:hyperlink>
      <w:r>
        <w:rPr>
          <w:rStyle w:val="post-labels"/>
          <w:rFonts w:ascii="Arial" w:hAnsi="Arial" w:cs="Arial"/>
          <w:color w:val="000000"/>
          <w:sz w:val="18"/>
          <w:szCs w:val="18"/>
        </w:rPr>
        <w:t>,</w:t>
      </w:r>
      <w:r>
        <w:rPr>
          <w:rStyle w:val="apple-converted-space"/>
          <w:rFonts w:ascii="Arial" w:hAnsi="Arial" w:cs="Arial"/>
          <w:color w:val="000000"/>
          <w:sz w:val="18"/>
          <w:szCs w:val="18"/>
        </w:rPr>
        <w:t> </w:t>
      </w:r>
      <w:hyperlink r:id="rId8" w:history="1">
        <w:r>
          <w:rPr>
            <w:rStyle w:val="Hyperlink"/>
            <w:rFonts w:ascii="Arial" w:hAnsi="Arial" w:cs="Arial"/>
            <w:color w:val="165788"/>
            <w:sz w:val="18"/>
            <w:szCs w:val="18"/>
          </w:rPr>
          <w:t>Bank of Mauritius</w:t>
        </w:r>
      </w:hyperlink>
      <w:r>
        <w:rPr>
          <w:rStyle w:val="post-labels"/>
          <w:rFonts w:ascii="Arial" w:hAnsi="Arial" w:cs="Arial"/>
          <w:color w:val="000000"/>
          <w:sz w:val="18"/>
          <w:szCs w:val="18"/>
        </w:rPr>
        <w:t>,</w:t>
      </w:r>
      <w:r>
        <w:rPr>
          <w:rStyle w:val="apple-converted-space"/>
          <w:rFonts w:ascii="Arial" w:hAnsi="Arial" w:cs="Arial"/>
          <w:color w:val="000000"/>
          <w:sz w:val="18"/>
          <w:szCs w:val="18"/>
        </w:rPr>
        <w:t> </w:t>
      </w:r>
      <w:hyperlink r:id="rId9" w:history="1">
        <w:r>
          <w:rPr>
            <w:rStyle w:val="Hyperlink"/>
            <w:rFonts w:ascii="Arial" w:hAnsi="Arial" w:cs="Arial"/>
            <w:color w:val="165788"/>
            <w:sz w:val="18"/>
            <w:szCs w:val="18"/>
          </w:rPr>
          <w:t>interest rates</w:t>
        </w:r>
      </w:hyperlink>
      <w:r>
        <w:rPr>
          <w:rStyle w:val="post-labels"/>
          <w:rFonts w:ascii="Arial" w:hAnsi="Arial" w:cs="Arial"/>
          <w:color w:val="000000"/>
          <w:sz w:val="18"/>
          <w:szCs w:val="18"/>
        </w:rPr>
        <w:t>,</w:t>
      </w:r>
      <w:r>
        <w:rPr>
          <w:rStyle w:val="apple-converted-space"/>
          <w:rFonts w:ascii="Arial" w:hAnsi="Arial" w:cs="Arial"/>
          <w:color w:val="000000"/>
          <w:sz w:val="18"/>
          <w:szCs w:val="18"/>
        </w:rPr>
        <w:t> </w:t>
      </w:r>
      <w:hyperlink r:id="rId10" w:history="1">
        <w:r>
          <w:rPr>
            <w:rStyle w:val="Hyperlink"/>
            <w:rFonts w:ascii="Arial" w:hAnsi="Arial" w:cs="Arial"/>
            <w:color w:val="165788"/>
            <w:sz w:val="18"/>
            <w:szCs w:val="18"/>
          </w:rPr>
          <w:t>Mauritius</w:t>
        </w:r>
      </w:hyperlink>
      <w:r>
        <w:rPr>
          <w:rStyle w:val="post-labels"/>
          <w:rFonts w:ascii="Arial" w:hAnsi="Arial" w:cs="Arial"/>
          <w:color w:val="000000"/>
          <w:sz w:val="18"/>
          <w:szCs w:val="18"/>
        </w:rPr>
        <w:t>,</w:t>
      </w:r>
      <w:r>
        <w:rPr>
          <w:rStyle w:val="apple-converted-space"/>
          <w:rFonts w:ascii="Arial" w:hAnsi="Arial" w:cs="Arial"/>
          <w:color w:val="000000"/>
          <w:sz w:val="18"/>
          <w:szCs w:val="18"/>
        </w:rPr>
        <w:t> </w:t>
      </w:r>
      <w:hyperlink r:id="rId11" w:history="1">
        <w:r>
          <w:rPr>
            <w:rStyle w:val="Hyperlink"/>
            <w:rFonts w:ascii="Arial" w:hAnsi="Arial" w:cs="Arial"/>
            <w:color w:val="165788"/>
            <w:sz w:val="18"/>
            <w:szCs w:val="18"/>
          </w:rPr>
          <w:t>Monetary Policy</w:t>
        </w:r>
      </w:hyperlink>
      <w:r>
        <w:rPr>
          <w:rStyle w:val="post-labels"/>
          <w:rFonts w:ascii="Arial" w:hAnsi="Arial" w:cs="Arial"/>
          <w:color w:val="000000"/>
          <w:sz w:val="18"/>
          <w:szCs w:val="18"/>
        </w:rPr>
        <w:t xml:space="preserve"> </w:t>
      </w:r>
      <w:bookmarkStart w:id="2" w:name="_GoBack"/>
      <w:bookmarkEnd w:id="2"/>
    </w:p>
    <w:sectPr w:rsidR="00112A45" w:rsidRPr="00B73D37" w:rsidSect="00D55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uprum">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85B85"/>
    <w:multiLevelType w:val="multilevel"/>
    <w:tmpl w:val="98DA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86F60"/>
    <w:rsid w:val="00112A45"/>
    <w:rsid w:val="00B73D37"/>
    <w:rsid w:val="00C86F60"/>
    <w:rsid w:val="00D5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66"/>
  </w:style>
  <w:style w:type="paragraph" w:styleId="Heading1">
    <w:name w:val="heading 1"/>
    <w:basedOn w:val="Normal"/>
    <w:link w:val="Heading1Char"/>
    <w:uiPriority w:val="9"/>
    <w:qFormat/>
    <w:rsid w:val="00C86F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73D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3D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F6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86F60"/>
    <w:rPr>
      <w:color w:val="0000FF"/>
      <w:u w:val="single"/>
    </w:rPr>
  </w:style>
  <w:style w:type="character" w:customStyle="1" w:styleId="entry-cat-bg">
    <w:name w:val="entry-cat-bg"/>
    <w:basedOn w:val="DefaultParagraphFont"/>
    <w:rsid w:val="00C86F60"/>
  </w:style>
  <w:style w:type="character" w:customStyle="1" w:styleId="apple-converted-space">
    <w:name w:val="apple-converted-space"/>
    <w:basedOn w:val="DefaultParagraphFont"/>
    <w:rsid w:val="00C86F60"/>
  </w:style>
  <w:style w:type="character" w:customStyle="1" w:styleId="date">
    <w:name w:val="date"/>
    <w:basedOn w:val="DefaultParagraphFont"/>
    <w:rsid w:val="00C86F60"/>
  </w:style>
  <w:style w:type="character" w:customStyle="1" w:styleId="sep">
    <w:name w:val="sep"/>
    <w:basedOn w:val="DefaultParagraphFont"/>
    <w:rsid w:val="00C86F60"/>
  </w:style>
  <w:style w:type="character" w:customStyle="1" w:styleId="comments">
    <w:name w:val="comments"/>
    <w:basedOn w:val="DefaultParagraphFont"/>
    <w:rsid w:val="00C86F60"/>
  </w:style>
  <w:style w:type="paragraph" w:customStyle="1" w:styleId="wp-caption-text">
    <w:name w:val="wp-caption-text"/>
    <w:basedOn w:val="Normal"/>
    <w:rsid w:val="00C86F6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86F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6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F60"/>
    <w:rPr>
      <w:rFonts w:ascii="Tahoma" w:hAnsi="Tahoma" w:cs="Tahoma"/>
      <w:sz w:val="16"/>
      <w:szCs w:val="16"/>
    </w:rPr>
  </w:style>
  <w:style w:type="character" w:customStyle="1" w:styleId="Heading2Char">
    <w:name w:val="Heading 2 Char"/>
    <w:basedOn w:val="DefaultParagraphFont"/>
    <w:link w:val="Heading2"/>
    <w:uiPriority w:val="9"/>
    <w:semiHidden/>
    <w:rsid w:val="00B73D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73D37"/>
    <w:rPr>
      <w:rFonts w:asciiTheme="majorHAnsi" w:eastAsiaTheme="majorEastAsia" w:hAnsiTheme="majorHAnsi" w:cstheme="majorBidi"/>
      <w:b/>
      <w:bCs/>
      <w:color w:val="4F81BD" w:themeColor="accent1"/>
    </w:rPr>
  </w:style>
  <w:style w:type="character" w:customStyle="1" w:styleId="post-labels">
    <w:name w:val="post-labels"/>
    <w:basedOn w:val="DefaultParagraphFont"/>
    <w:rsid w:val="00B73D37"/>
  </w:style>
  <w:style w:type="paragraph" w:customStyle="1" w:styleId="description">
    <w:name w:val="description"/>
    <w:basedOn w:val="Normal"/>
    <w:rsid w:val="00B73D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8883">
      <w:bodyDiv w:val="1"/>
      <w:marLeft w:val="0"/>
      <w:marRight w:val="0"/>
      <w:marTop w:val="0"/>
      <w:marBottom w:val="0"/>
      <w:divBdr>
        <w:top w:val="none" w:sz="0" w:space="0" w:color="auto"/>
        <w:left w:val="none" w:sz="0" w:space="0" w:color="auto"/>
        <w:bottom w:val="none" w:sz="0" w:space="0" w:color="auto"/>
        <w:right w:val="none" w:sz="0" w:space="0" w:color="auto"/>
      </w:divBdr>
      <w:divsChild>
        <w:div w:id="1177422817">
          <w:marLeft w:val="0"/>
          <w:marRight w:val="0"/>
          <w:marTop w:val="0"/>
          <w:marBottom w:val="0"/>
          <w:divBdr>
            <w:top w:val="none" w:sz="0" w:space="0" w:color="auto"/>
            <w:left w:val="none" w:sz="0" w:space="0" w:color="auto"/>
            <w:bottom w:val="none" w:sz="0" w:space="0" w:color="auto"/>
            <w:right w:val="none" w:sz="0" w:space="0" w:color="auto"/>
          </w:divBdr>
          <w:divsChild>
            <w:div w:id="944656201">
              <w:marLeft w:val="0"/>
              <w:marRight w:val="0"/>
              <w:marTop w:val="0"/>
              <w:marBottom w:val="300"/>
              <w:divBdr>
                <w:top w:val="none" w:sz="0" w:space="0" w:color="auto"/>
                <w:left w:val="none" w:sz="0" w:space="0" w:color="auto"/>
                <w:bottom w:val="none" w:sz="0" w:space="0" w:color="auto"/>
                <w:right w:val="none" w:sz="0" w:space="0" w:color="auto"/>
              </w:divBdr>
              <w:divsChild>
                <w:div w:id="4308593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36945724">
          <w:marLeft w:val="0"/>
          <w:marRight w:val="0"/>
          <w:marTop w:val="0"/>
          <w:marBottom w:val="0"/>
          <w:divBdr>
            <w:top w:val="none" w:sz="0" w:space="0" w:color="auto"/>
            <w:left w:val="none" w:sz="0" w:space="0" w:color="auto"/>
            <w:bottom w:val="none" w:sz="0" w:space="0" w:color="auto"/>
            <w:right w:val="none" w:sz="0" w:space="0" w:color="auto"/>
          </w:divBdr>
        </w:div>
        <w:div w:id="566569507">
          <w:marLeft w:val="0"/>
          <w:marRight w:val="0"/>
          <w:marTop w:val="0"/>
          <w:marBottom w:val="0"/>
          <w:divBdr>
            <w:top w:val="none" w:sz="0" w:space="0" w:color="auto"/>
            <w:left w:val="none" w:sz="0" w:space="0" w:color="auto"/>
            <w:bottom w:val="none" w:sz="0" w:space="0" w:color="auto"/>
            <w:right w:val="none" w:sz="0" w:space="0" w:color="auto"/>
          </w:divBdr>
          <w:divsChild>
            <w:div w:id="2003923089">
              <w:marLeft w:val="0"/>
              <w:marRight w:val="600"/>
              <w:marTop w:val="0"/>
              <w:marBottom w:val="0"/>
              <w:divBdr>
                <w:top w:val="none" w:sz="0" w:space="0" w:color="auto"/>
                <w:left w:val="none" w:sz="0" w:space="0" w:color="auto"/>
                <w:bottom w:val="none" w:sz="0" w:space="0" w:color="auto"/>
                <w:right w:val="none" w:sz="0" w:space="0" w:color="auto"/>
              </w:divBdr>
              <w:divsChild>
                <w:div w:id="2046636152">
                  <w:marLeft w:val="0"/>
                  <w:marRight w:val="0"/>
                  <w:marTop w:val="0"/>
                  <w:marBottom w:val="0"/>
                  <w:divBdr>
                    <w:top w:val="none" w:sz="0" w:space="0" w:color="auto"/>
                    <w:left w:val="none" w:sz="0" w:space="0" w:color="auto"/>
                    <w:bottom w:val="none" w:sz="0" w:space="0" w:color="auto"/>
                    <w:right w:val="none" w:sz="0" w:space="0" w:color="auto"/>
                  </w:divBdr>
                  <w:divsChild>
                    <w:div w:id="1031078474">
                      <w:marLeft w:val="0"/>
                      <w:marRight w:val="0"/>
                      <w:marTop w:val="105"/>
                      <w:marBottom w:val="105"/>
                      <w:divBdr>
                        <w:top w:val="none" w:sz="0" w:space="0" w:color="auto"/>
                        <w:left w:val="none" w:sz="0" w:space="0" w:color="auto"/>
                        <w:bottom w:val="none" w:sz="0" w:space="0" w:color="auto"/>
                        <w:right w:val="none" w:sz="0" w:space="0" w:color="auto"/>
                      </w:divBdr>
                    </w:div>
                    <w:div w:id="1357655617">
                      <w:marLeft w:val="0"/>
                      <w:marRight w:val="0"/>
                      <w:marTop w:val="0"/>
                      <w:marBottom w:val="0"/>
                      <w:divBdr>
                        <w:top w:val="none" w:sz="0" w:space="0" w:color="auto"/>
                        <w:left w:val="none" w:sz="0" w:space="0" w:color="auto"/>
                        <w:bottom w:val="none" w:sz="0" w:space="0" w:color="auto"/>
                        <w:right w:val="none" w:sz="0" w:space="0" w:color="auto"/>
                      </w:divBdr>
                      <w:divsChild>
                        <w:div w:id="1660112470">
                          <w:marLeft w:val="0"/>
                          <w:marRight w:val="300"/>
                          <w:marTop w:val="96"/>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10624854">
      <w:bodyDiv w:val="1"/>
      <w:marLeft w:val="0"/>
      <w:marRight w:val="0"/>
      <w:marTop w:val="0"/>
      <w:marBottom w:val="0"/>
      <w:divBdr>
        <w:top w:val="none" w:sz="0" w:space="0" w:color="auto"/>
        <w:left w:val="none" w:sz="0" w:space="0" w:color="auto"/>
        <w:bottom w:val="none" w:sz="0" w:space="0" w:color="auto"/>
        <w:right w:val="none" w:sz="0" w:space="0" w:color="auto"/>
      </w:divBdr>
      <w:divsChild>
        <w:div w:id="1073433678">
          <w:marLeft w:val="0"/>
          <w:marRight w:val="0"/>
          <w:marTop w:val="0"/>
          <w:marBottom w:val="0"/>
          <w:divBdr>
            <w:top w:val="none" w:sz="0" w:space="0" w:color="auto"/>
            <w:left w:val="none" w:sz="0" w:space="0" w:color="auto"/>
            <w:bottom w:val="none" w:sz="0" w:space="0" w:color="auto"/>
            <w:right w:val="none" w:sz="0" w:space="0" w:color="auto"/>
          </w:divBdr>
          <w:divsChild>
            <w:div w:id="1072509343">
              <w:marLeft w:val="0"/>
              <w:marRight w:val="0"/>
              <w:marTop w:val="0"/>
              <w:marBottom w:val="0"/>
              <w:divBdr>
                <w:top w:val="none" w:sz="0" w:space="0" w:color="auto"/>
                <w:left w:val="none" w:sz="0" w:space="0" w:color="auto"/>
                <w:bottom w:val="none" w:sz="0" w:space="0" w:color="auto"/>
                <w:right w:val="none" w:sz="0" w:space="0" w:color="auto"/>
              </w:divBdr>
            </w:div>
          </w:divsChild>
        </w:div>
        <w:div w:id="940377698">
          <w:marLeft w:val="0"/>
          <w:marRight w:val="0"/>
          <w:marTop w:val="0"/>
          <w:marBottom w:val="0"/>
          <w:divBdr>
            <w:top w:val="none" w:sz="0" w:space="0" w:color="auto"/>
            <w:left w:val="none" w:sz="0" w:space="0" w:color="auto"/>
            <w:bottom w:val="none" w:sz="0" w:space="0" w:color="auto"/>
            <w:right w:val="none" w:sz="0" w:space="0" w:color="auto"/>
          </w:divBdr>
          <w:divsChild>
            <w:div w:id="488330044">
              <w:marLeft w:val="0"/>
              <w:marRight w:val="0"/>
              <w:marTop w:val="0"/>
              <w:marBottom w:val="0"/>
              <w:divBdr>
                <w:top w:val="none" w:sz="0" w:space="0" w:color="auto"/>
                <w:left w:val="none" w:sz="0" w:space="0" w:color="auto"/>
                <w:bottom w:val="none" w:sz="0" w:space="0" w:color="auto"/>
                <w:right w:val="none" w:sz="0" w:space="0" w:color="auto"/>
              </w:divBdr>
              <w:divsChild>
                <w:div w:id="199979967">
                  <w:marLeft w:val="0"/>
                  <w:marRight w:val="0"/>
                  <w:marTop w:val="0"/>
                  <w:marBottom w:val="0"/>
                  <w:divBdr>
                    <w:top w:val="none" w:sz="0" w:space="0" w:color="auto"/>
                    <w:left w:val="none" w:sz="0" w:space="0" w:color="auto"/>
                    <w:bottom w:val="none" w:sz="0" w:space="0" w:color="auto"/>
                    <w:right w:val="none" w:sz="0" w:space="0" w:color="auto"/>
                  </w:divBdr>
                  <w:divsChild>
                    <w:div w:id="758211468">
                      <w:marLeft w:val="405"/>
                      <w:marRight w:val="405"/>
                      <w:marTop w:val="0"/>
                      <w:marBottom w:val="0"/>
                      <w:divBdr>
                        <w:top w:val="none" w:sz="0" w:space="0" w:color="auto"/>
                        <w:left w:val="none" w:sz="0" w:space="0" w:color="auto"/>
                        <w:bottom w:val="none" w:sz="0" w:space="0" w:color="auto"/>
                        <w:right w:val="none" w:sz="0" w:space="0" w:color="auto"/>
                      </w:divBdr>
                      <w:divsChild>
                        <w:div w:id="1710303276">
                          <w:marLeft w:val="-240"/>
                          <w:marRight w:val="-240"/>
                          <w:marTop w:val="0"/>
                          <w:marBottom w:val="240"/>
                          <w:divBdr>
                            <w:top w:val="none" w:sz="0" w:space="0" w:color="auto"/>
                            <w:left w:val="none" w:sz="0" w:space="0" w:color="auto"/>
                            <w:bottom w:val="none" w:sz="0" w:space="0" w:color="auto"/>
                            <w:right w:val="none" w:sz="0" w:space="0" w:color="auto"/>
                          </w:divBdr>
                          <w:divsChild>
                            <w:div w:id="464004011">
                              <w:marLeft w:val="0"/>
                              <w:marRight w:val="0"/>
                              <w:marTop w:val="0"/>
                              <w:marBottom w:val="0"/>
                              <w:divBdr>
                                <w:top w:val="none" w:sz="0" w:space="0" w:color="auto"/>
                                <w:left w:val="none" w:sz="0" w:space="0" w:color="auto"/>
                                <w:bottom w:val="none" w:sz="0" w:space="0" w:color="auto"/>
                                <w:right w:val="none" w:sz="0" w:space="0" w:color="auto"/>
                              </w:divBdr>
                              <w:divsChild>
                                <w:div w:id="332685469">
                                  <w:marLeft w:val="0"/>
                                  <w:marRight w:val="0"/>
                                  <w:marTop w:val="0"/>
                                  <w:marBottom w:val="300"/>
                                  <w:divBdr>
                                    <w:top w:val="single" w:sz="6" w:space="0" w:color="EEEEEE"/>
                                    <w:left w:val="single" w:sz="6" w:space="11" w:color="EEEEEE"/>
                                    <w:bottom w:val="single" w:sz="6" w:space="0" w:color="EEEEEE"/>
                                    <w:right w:val="single" w:sz="6" w:space="11" w:color="EEEEEE"/>
                                  </w:divBdr>
                                  <w:divsChild>
                                    <w:div w:id="1130636404">
                                      <w:marLeft w:val="-225"/>
                                      <w:marRight w:val="-225"/>
                                      <w:marTop w:val="0"/>
                                      <w:marBottom w:val="0"/>
                                      <w:divBdr>
                                        <w:top w:val="single" w:sz="6" w:space="6" w:color="EEEEEE"/>
                                        <w:left w:val="none" w:sz="0" w:space="0" w:color="auto"/>
                                        <w:bottom w:val="none" w:sz="0" w:space="0" w:color="auto"/>
                                        <w:right w:val="none" w:sz="0" w:space="0" w:color="auto"/>
                                      </w:divBdr>
                                      <w:divsChild>
                                        <w:div w:id="965428938">
                                          <w:marLeft w:val="-225"/>
                                          <w:marRight w:val="-225"/>
                                          <w:marTop w:val="0"/>
                                          <w:marBottom w:val="0"/>
                                          <w:divBdr>
                                            <w:top w:val="none" w:sz="0" w:space="0" w:color="auto"/>
                                            <w:left w:val="none" w:sz="0" w:space="0" w:color="auto"/>
                                            <w:bottom w:val="none" w:sz="0" w:space="0" w:color="auto"/>
                                            <w:right w:val="none" w:sz="0" w:space="0" w:color="auto"/>
                                          </w:divBdr>
                                          <w:divsChild>
                                            <w:div w:id="1674336797">
                                              <w:marLeft w:val="0"/>
                                              <w:marRight w:val="0"/>
                                              <w:marTop w:val="0"/>
                                              <w:marBottom w:val="0"/>
                                              <w:divBdr>
                                                <w:top w:val="none" w:sz="0" w:space="0" w:color="auto"/>
                                                <w:left w:val="none" w:sz="0" w:space="0" w:color="auto"/>
                                                <w:bottom w:val="none" w:sz="0" w:space="0" w:color="auto"/>
                                                <w:right w:val="none" w:sz="0" w:space="0" w:color="auto"/>
                                              </w:divBdr>
                                              <w:divsChild>
                                                <w:div w:id="1585265944">
                                                  <w:marLeft w:val="0"/>
                                                  <w:marRight w:val="0"/>
                                                  <w:marTop w:val="0"/>
                                                  <w:marBottom w:val="0"/>
                                                  <w:divBdr>
                                                    <w:top w:val="none" w:sz="0" w:space="0" w:color="auto"/>
                                                    <w:left w:val="none" w:sz="0" w:space="0" w:color="auto"/>
                                                    <w:bottom w:val="none" w:sz="0" w:space="0" w:color="auto"/>
                                                    <w:right w:val="none" w:sz="0" w:space="0" w:color="auto"/>
                                                  </w:divBdr>
                                                </w:div>
                                                <w:div w:id="2127309513">
                                                  <w:marLeft w:val="0"/>
                                                  <w:marRight w:val="0"/>
                                                  <w:marTop w:val="360"/>
                                                  <w:marBottom w:val="0"/>
                                                  <w:divBdr>
                                                    <w:top w:val="none" w:sz="0" w:space="0" w:color="auto"/>
                                                    <w:left w:val="none" w:sz="0" w:space="0" w:color="auto"/>
                                                    <w:bottom w:val="none" w:sz="0" w:space="0" w:color="auto"/>
                                                    <w:right w:val="none" w:sz="0" w:space="0" w:color="auto"/>
                                                  </w:divBdr>
                                                  <w:divsChild>
                                                    <w:div w:id="17316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880332">
      <w:bodyDiv w:val="1"/>
      <w:marLeft w:val="0"/>
      <w:marRight w:val="0"/>
      <w:marTop w:val="0"/>
      <w:marBottom w:val="0"/>
      <w:divBdr>
        <w:top w:val="none" w:sz="0" w:space="0" w:color="auto"/>
        <w:left w:val="none" w:sz="0" w:space="0" w:color="auto"/>
        <w:bottom w:val="none" w:sz="0" w:space="0" w:color="auto"/>
        <w:right w:val="none" w:sz="0" w:space="0" w:color="auto"/>
      </w:divBdr>
      <w:divsChild>
        <w:div w:id="523373119">
          <w:marLeft w:val="0"/>
          <w:marRight w:val="0"/>
          <w:marTop w:val="0"/>
          <w:marBottom w:val="0"/>
          <w:divBdr>
            <w:top w:val="none" w:sz="0" w:space="0" w:color="auto"/>
            <w:left w:val="none" w:sz="0" w:space="0" w:color="auto"/>
            <w:bottom w:val="none" w:sz="0" w:space="0" w:color="auto"/>
            <w:right w:val="none" w:sz="0" w:space="0" w:color="auto"/>
          </w:divBdr>
        </w:div>
        <w:div w:id="79233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banknews.info/search/label/Bank%20of%20Mauriti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entralbanknews.info/search/label/Afr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news.info/" TargetMode="External"/><Relationship Id="rId11" Type="http://schemas.openxmlformats.org/officeDocument/2006/relationships/hyperlink" Target="http://www.centralbanknews.info/search/label/Monetary%20Policy" TargetMode="External"/><Relationship Id="rId5" Type="http://schemas.openxmlformats.org/officeDocument/2006/relationships/webSettings" Target="webSettings.xml"/><Relationship Id="rId10" Type="http://schemas.openxmlformats.org/officeDocument/2006/relationships/hyperlink" Target="http://www.centralbanknews.info/search/label/Mauritius" TargetMode="External"/><Relationship Id="rId4" Type="http://schemas.openxmlformats.org/officeDocument/2006/relationships/settings" Target="settings.xml"/><Relationship Id="rId9" Type="http://schemas.openxmlformats.org/officeDocument/2006/relationships/hyperlink" Target="http://www.centralbanknews.info/search/label/interest%20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itfsa</dc:creator>
  <cp:lastModifiedBy>itfsa</cp:lastModifiedBy>
  <cp:revision>2</cp:revision>
  <cp:lastPrinted>2017-06-07T19:48:00Z</cp:lastPrinted>
  <dcterms:created xsi:type="dcterms:W3CDTF">2017-06-07T20:00:00Z</dcterms:created>
  <dcterms:modified xsi:type="dcterms:W3CDTF">2017-06-07T20:00:00Z</dcterms:modified>
</cp:coreProperties>
</file>