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EF1" w:rsidRDefault="00410EF1" w:rsidP="00410EF1">
      <w:pPr>
        <w:jc w:val="both"/>
        <w:rPr>
          <w:b/>
        </w:rPr>
      </w:pPr>
      <w:r w:rsidRPr="005F0070">
        <w:rPr>
          <w:b/>
        </w:rPr>
        <w:t xml:space="preserve">Table 1: </w:t>
      </w:r>
      <w:r>
        <w:rPr>
          <w:b/>
        </w:rPr>
        <w:t xml:space="preserve">  </w:t>
      </w:r>
      <w:r w:rsidRPr="005F0070">
        <w:rPr>
          <w:b/>
        </w:rPr>
        <w:t xml:space="preserve">Quantitative emission targets for 2020 </w:t>
      </w:r>
      <w:r>
        <w:rPr>
          <w:b/>
        </w:rPr>
        <w:t>submitte</w:t>
      </w:r>
      <w:r w:rsidRPr="005F0070">
        <w:rPr>
          <w:b/>
        </w:rPr>
        <w:t>d at Cancun under the Copenhagen Accord</w:t>
      </w:r>
    </w:p>
    <w:p w:rsidR="00410EF1" w:rsidRDefault="00410EF1" w:rsidP="00410EF1">
      <w:pPr>
        <w:jc w:val="both"/>
        <w:rPr>
          <w:b/>
        </w:rPr>
      </w:pPr>
      <w:r>
        <w:rPr>
          <w:noProof/>
          <w:lang w:val="it-IT" w:eastAsia="it-IT"/>
        </w:rPr>
        <w:drawing>
          <wp:inline distT="0" distB="0" distL="0" distR="0">
            <wp:extent cx="9316287" cy="4319752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7375" cy="432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EF1" w:rsidRDefault="00410EF1" w:rsidP="00410EF1">
      <w:pPr>
        <w:jc w:val="both"/>
        <w:rPr>
          <w:sz w:val="16"/>
          <w:szCs w:val="16"/>
        </w:rPr>
      </w:pPr>
    </w:p>
    <w:p w:rsidR="00410EF1" w:rsidRDefault="00410EF1" w:rsidP="00410EF1">
      <w:pPr>
        <w:jc w:val="both"/>
        <w:rPr>
          <w:sz w:val="16"/>
          <w:szCs w:val="16"/>
        </w:rPr>
      </w:pPr>
      <w:r w:rsidRPr="00895387">
        <w:rPr>
          <w:sz w:val="16"/>
          <w:szCs w:val="16"/>
        </w:rPr>
        <w:t>Source</w:t>
      </w:r>
      <w:r>
        <w:rPr>
          <w:sz w:val="16"/>
          <w:szCs w:val="16"/>
        </w:rPr>
        <w:t>:</w:t>
      </w:r>
      <w:r w:rsidRPr="00895387">
        <w:rPr>
          <w:sz w:val="16"/>
          <w:szCs w:val="16"/>
        </w:rPr>
        <w:t xml:space="preserve"> </w:t>
      </w:r>
      <w:r>
        <w:rPr>
          <w:sz w:val="16"/>
          <w:szCs w:val="16"/>
        </w:rPr>
        <w:t>C</w:t>
      </w:r>
      <w:r w:rsidRPr="00895387">
        <w:rPr>
          <w:sz w:val="16"/>
          <w:szCs w:val="16"/>
        </w:rPr>
        <w:t>alculations based on Business as Usual (</w:t>
      </w:r>
      <w:proofErr w:type="spellStart"/>
      <w:r w:rsidRPr="00895387">
        <w:rPr>
          <w:sz w:val="16"/>
          <w:szCs w:val="16"/>
        </w:rPr>
        <w:t>BaU</w:t>
      </w:r>
      <w:proofErr w:type="spellEnd"/>
      <w:r w:rsidRPr="00895387">
        <w:rPr>
          <w:sz w:val="16"/>
          <w:szCs w:val="16"/>
        </w:rPr>
        <w:t>) scenarios of the WITCH model</w:t>
      </w:r>
      <w:r>
        <w:rPr>
          <w:sz w:val="16"/>
          <w:szCs w:val="16"/>
        </w:rPr>
        <w:t xml:space="preserve"> prepared for the </w:t>
      </w:r>
      <w:proofErr w:type="spellStart"/>
      <w:r w:rsidRPr="00BB0FE2">
        <w:rPr>
          <w:sz w:val="16"/>
          <w:szCs w:val="16"/>
        </w:rPr>
        <w:t>The</w:t>
      </w:r>
      <w:proofErr w:type="spellEnd"/>
      <w:r w:rsidRPr="00BB0FE2">
        <w:rPr>
          <w:sz w:val="16"/>
          <w:szCs w:val="16"/>
        </w:rPr>
        <w:t xml:space="preserve"> Emission Gap Report, United Nations Environment Program</w:t>
      </w:r>
      <w:r>
        <w:rPr>
          <w:sz w:val="16"/>
          <w:szCs w:val="16"/>
        </w:rPr>
        <w:t xml:space="preserve">; adjustments were made when countries are not individually represented in the WITCH model </w:t>
      </w:r>
      <w:r w:rsidRPr="00895387">
        <w:rPr>
          <w:sz w:val="16"/>
          <w:szCs w:val="16"/>
        </w:rPr>
        <w:t xml:space="preserve">. </w:t>
      </w:r>
    </w:p>
    <w:p w:rsidR="00505A7D" w:rsidRDefault="00505A7D"/>
    <w:p w:rsidR="00EC080D" w:rsidRDefault="00EC080D">
      <w:pPr>
        <w:spacing w:after="200" w:line="276" w:lineRule="auto"/>
        <w:rPr>
          <w:b/>
        </w:rPr>
        <w:sectPr w:rsidR="00EC080D" w:rsidSect="00EC080D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:rsidR="00410EF1" w:rsidRDefault="00410EF1" w:rsidP="00410EF1">
      <w:pPr>
        <w:spacing w:line="480" w:lineRule="auto"/>
        <w:ind w:firstLine="720"/>
      </w:pPr>
    </w:p>
    <w:p w:rsidR="00410EF1" w:rsidRPr="00950130" w:rsidRDefault="00410EF1" w:rsidP="00410EF1">
      <w:pPr>
        <w:spacing w:line="480" w:lineRule="auto"/>
        <w:rPr>
          <w:b/>
          <w:color w:val="000000"/>
          <w:sz w:val="16"/>
          <w:szCs w:val="16"/>
        </w:rPr>
      </w:pPr>
      <w:r w:rsidRPr="007F1016">
        <w:rPr>
          <w:b/>
        </w:rPr>
        <w:t>Table</w:t>
      </w:r>
      <w:r w:rsidR="00115593">
        <w:rPr>
          <w:b/>
        </w:rPr>
        <w:t xml:space="preserve"> 2</w:t>
      </w:r>
      <w:r w:rsidRPr="007F1016">
        <w:rPr>
          <w:b/>
        </w:rPr>
        <w:t xml:space="preserve">: Target starting points for the 12 </w:t>
      </w:r>
      <w:r>
        <w:rPr>
          <w:b/>
        </w:rPr>
        <w:t xml:space="preserve">modeled </w:t>
      </w:r>
      <w:r w:rsidRPr="007F1016">
        <w:rPr>
          <w:b/>
        </w:rPr>
        <w:t xml:space="preserve">regions </w:t>
      </w:r>
      <w:r w:rsidRPr="00723ADC">
        <w:rPr>
          <w:bCs/>
        </w:rPr>
        <w:t xml:space="preserve">(the case of 500 </w:t>
      </w:r>
      <w:proofErr w:type="spellStart"/>
      <w:r w:rsidRPr="00723ADC">
        <w:rPr>
          <w:bCs/>
        </w:rPr>
        <w:t>ppm</w:t>
      </w:r>
      <w:proofErr w:type="spellEnd"/>
      <w:r w:rsidRPr="00723ADC">
        <w:rPr>
          <w:bCs/>
        </w:rPr>
        <w:t xml:space="preserve"> goal)</w:t>
      </w:r>
      <w:r w:rsidRPr="00723ADC">
        <w:rPr>
          <w:bCs/>
          <w:color w:val="000000"/>
          <w:sz w:val="22"/>
          <w:szCs w:val="22"/>
        </w:rPr>
        <w:br/>
      </w:r>
    </w:p>
    <w:tbl>
      <w:tblPr>
        <w:tblW w:w="9720" w:type="dxa"/>
        <w:tblBorders>
          <w:top w:val="single" w:sz="18" w:space="0" w:color="auto"/>
          <w:bottom w:val="single" w:sz="18" w:space="0" w:color="auto"/>
        </w:tblBorders>
        <w:tblLook w:val="0000"/>
      </w:tblPr>
      <w:tblGrid>
        <w:gridCol w:w="3240"/>
        <w:gridCol w:w="2880"/>
        <w:gridCol w:w="3600"/>
      </w:tblGrid>
      <w:tr w:rsidR="00410EF1" w:rsidRPr="0085203D" w:rsidTr="00166A6A">
        <w:trPr>
          <w:trHeight w:val="300"/>
        </w:trPr>
        <w:tc>
          <w:tcPr>
            <w:tcW w:w="3240" w:type="dxa"/>
            <w:tcBorders>
              <w:left w:val="nil"/>
              <w:bottom w:val="nil"/>
              <w:right w:val="single" w:sz="4" w:space="0" w:color="auto"/>
            </w:tcBorders>
            <w:shd w:val="clear" w:color="auto" w:fill="D8D8D8"/>
            <w:noWrap/>
          </w:tcPr>
          <w:p w:rsidR="00410EF1" w:rsidRPr="00C03305" w:rsidRDefault="00410EF1" w:rsidP="00166A6A">
            <w:pPr>
              <w:spacing w:before="100" w:beforeAutospacing="1"/>
              <w:jc w:val="center"/>
              <w:rPr>
                <w:color w:val="000000"/>
              </w:rPr>
            </w:pPr>
            <w:r w:rsidRPr="00C03305">
              <w:rPr>
                <w:color w:val="000000"/>
              </w:rPr>
              <w:t> </w:t>
            </w: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8D8D8"/>
            <w:noWrap/>
          </w:tcPr>
          <w:p w:rsidR="00410EF1" w:rsidRPr="00C03305" w:rsidRDefault="00410EF1" w:rsidP="00166A6A">
            <w:pPr>
              <w:spacing w:before="100" w:beforeAutospacing="1"/>
              <w:jc w:val="center"/>
              <w:rPr>
                <w:color w:val="000000"/>
              </w:rPr>
            </w:pPr>
            <w:r w:rsidRPr="00C03305">
              <w:rPr>
                <w:color w:val="000000"/>
              </w:rPr>
              <w:t>2020</w:t>
            </w:r>
          </w:p>
        </w:tc>
        <w:tc>
          <w:tcPr>
            <w:tcW w:w="3600" w:type="dxa"/>
            <w:tcBorders>
              <w:left w:val="single" w:sz="4" w:space="0" w:color="auto"/>
              <w:bottom w:val="nil"/>
              <w:right w:val="nil"/>
            </w:tcBorders>
            <w:shd w:val="clear" w:color="auto" w:fill="D8D8D8"/>
            <w:noWrap/>
          </w:tcPr>
          <w:p w:rsidR="00410EF1" w:rsidRPr="00C03305" w:rsidRDefault="00410EF1" w:rsidP="00166A6A">
            <w:pPr>
              <w:spacing w:before="100" w:beforeAutospacing="1"/>
              <w:jc w:val="center"/>
              <w:rPr>
                <w:color w:val="000000"/>
              </w:rPr>
            </w:pPr>
            <w:r w:rsidRPr="00C03305">
              <w:rPr>
                <w:color w:val="000000"/>
              </w:rPr>
              <w:t>2050</w:t>
            </w:r>
          </w:p>
        </w:tc>
      </w:tr>
      <w:tr w:rsidR="00410EF1" w:rsidRPr="0085203D" w:rsidTr="00166A6A">
        <w:trPr>
          <w:trHeight w:val="300"/>
        </w:trPr>
        <w:tc>
          <w:tcPr>
            <w:tcW w:w="32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EU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30% below 1990 emissions</w:t>
            </w:r>
          </w:p>
        </w:tc>
        <w:tc>
          <w:tcPr>
            <w:tcW w:w="36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 xml:space="preserve">50% below 1990 </w:t>
            </w:r>
          </w:p>
        </w:tc>
      </w:tr>
      <w:tr w:rsidR="00410EF1" w:rsidRPr="0085203D" w:rsidTr="00166A6A">
        <w:trPr>
          <w:trHeight w:val="300"/>
        </w:trPr>
        <w:tc>
          <w:tcPr>
            <w:tcW w:w="32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03305">
                  <w:rPr>
                    <w:color w:val="000000"/>
                  </w:rPr>
                  <w:t>USA</w:t>
                </w:r>
              </w:smartTag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17% below 2005</w:t>
            </w:r>
          </w:p>
        </w:tc>
        <w:tc>
          <w:tcPr>
            <w:tcW w:w="36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83% below 2005</w:t>
            </w:r>
          </w:p>
        </w:tc>
      </w:tr>
      <w:tr w:rsidR="00410EF1" w:rsidRPr="0085203D" w:rsidTr="00166A6A">
        <w:trPr>
          <w:trHeight w:val="300"/>
        </w:trPr>
        <w:tc>
          <w:tcPr>
            <w:tcW w:w="32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  <w:lang w:val="it-IT"/>
              </w:rPr>
            </w:pPr>
            <w:r w:rsidRPr="00C03305">
              <w:rPr>
                <w:color w:val="000000"/>
                <w:lang w:val="it-IT"/>
              </w:rPr>
              <w:t xml:space="preserve">Australia, </w:t>
            </w:r>
            <w:proofErr w:type="spellStart"/>
            <w:r w:rsidRPr="00C03305">
              <w:rPr>
                <w:color w:val="000000"/>
                <w:lang w:val="it-IT"/>
              </w:rPr>
              <w:t>S.Africa</w:t>
            </w:r>
            <w:proofErr w:type="spellEnd"/>
            <w:r w:rsidRPr="00C03305">
              <w:rPr>
                <w:color w:val="000000"/>
                <w:lang w:val="it-IT"/>
              </w:rPr>
              <w:t xml:space="preserve"> &amp; </w:t>
            </w:r>
            <w:proofErr w:type="spellStart"/>
            <w:r w:rsidRPr="00C03305">
              <w:rPr>
                <w:color w:val="000000"/>
                <w:lang w:val="it-IT"/>
              </w:rPr>
              <w:t>S.Korea</w:t>
            </w:r>
            <w:proofErr w:type="spellEnd"/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34% below baseline</w:t>
            </w:r>
          </w:p>
        </w:tc>
        <w:tc>
          <w:tcPr>
            <w:tcW w:w="36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50% below baseline</w:t>
            </w:r>
          </w:p>
        </w:tc>
      </w:tr>
      <w:tr w:rsidR="00410EF1" w:rsidRPr="0085203D" w:rsidTr="00166A6A">
        <w:trPr>
          <w:trHeight w:val="300"/>
        </w:trPr>
        <w:tc>
          <w:tcPr>
            <w:tcW w:w="32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  <w:lang w:val="es-AR"/>
              </w:rPr>
            </w:pPr>
            <w:r w:rsidRPr="00C03305">
              <w:rPr>
                <w:color w:val="000000"/>
                <w:lang w:val="es-AR"/>
              </w:rPr>
              <w:t xml:space="preserve">Japan, Canada &amp; NZ 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Pr="00C03305">
              <w:rPr>
                <w:color w:val="000000"/>
              </w:rPr>
              <w:t xml:space="preserve">% below </w:t>
            </w:r>
            <w:r>
              <w:rPr>
                <w:color w:val="000000"/>
              </w:rPr>
              <w:t>2005</w:t>
            </w:r>
          </w:p>
        </w:tc>
        <w:tc>
          <w:tcPr>
            <w:tcW w:w="36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>
              <w:rPr>
                <w:color w:val="000000"/>
              </w:rPr>
              <w:t>65% below 2005</w:t>
            </w:r>
          </w:p>
        </w:tc>
      </w:tr>
      <w:tr w:rsidR="00410EF1" w:rsidRPr="0085203D" w:rsidTr="00166A6A">
        <w:trPr>
          <w:trHeight w:val="300"/>
        </w:trPr>
        <w:tc>
          <w:tcPr>
            <w:tcW w:w="32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TE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BAU</w:t>
            </w:r>
          </w:p>
        </w:tc>
        <w:tc>
          <w:tcPr>
            <w:tcW w:w="36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Cap based on formula in 2055</w:t>
            </w:r>
          </w:p>
        </w:tc>
      </w:tr>
      <w:tr w:rsidR="00410EF1" w:rsidRPr="0085203D" w:rsidTr="00166A6A">
        <w:trPr>
          <w:trHeight w:val="300"/>
        </w:trPr>
        <w:tc>
          <w:tcPr>
            <w:tcW w:w="32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LAM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BAU</w:t>
            </w:r>
          </w:p>
        </w:tc>
        <w:tc>
          <w:tcPr>
            <w:tcW w:w="36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Cap based on formula in 2040</w:t>
            </w:r>
          </w:p>
        </w:tc>
      </w:tr>
      <w:tr w:rsidR="00410EF1" w:rsidRPr="0085203D" w:rsidTr="00166A6A">
        <w:trPr>
          <w:trHeight w:val="300"/>
        </w:trPr>
        <w:tc>
          <w:tcPr>
            <w:tcW w:w="32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03305">
                  <w:rPr>
                    <w:color w:val="000000"/>
                  </w:rPr>
                  <w:t>India</w:t>
                </w:r>
              </w:smartTag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BAU</w:t>
            </w:r>
          </w:p>
        </w:tc>
        <w:tc>
          <w:tcPr>
            <w:tcW w:w="36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 xml:space="preserve">BAU </w:t>
            </w:r>
            <w:r w:rsidRPr="00C03305">
              <w:rPr>
                <w:color w:val="000000"/>
                <w:sz w:val="20"/>
                <w:szCs w:val="20"/>
              </w:rPr>
              <w:t>(cap based on formula, from 2060)</w:t>
            </w:r>
          </w:p>
        </w:tc>
      </w:tr>
      <w:tr w:rsidR="00410EF1" w:rsidRPr="0085203D" w:rsidTr="00166A6A">
        <w:trPr>
          <w:trHeight w:val="300"/>
        </w:trPr>
        <w:tc>
          <w:tcPr>
            <w:tcW w:w="32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EASIA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BAU</w:t>
            </w:r>
          </w:p>
        </w:tc>
        <w:tc>
          <w:tcPr>
            <w:tcW w:w="36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 xml:space="preserve">BAU </w:t>
            </w:r>
            <w:r w:rsidRPr="00C03305">
              <w:rPr>
                <w:color w:val="000000"/>
                <w:sz w:val="20"/>
                <w:szCs w:val="20"/>
              </w:rPr>
              <w:t>(cap based on formula, from 2060)</w:t>
            </w:r>
          </w:p>
        </w:tc>
      </w:tr>
      <w:tr w:rsidR="00410EF1" w:rsidRPr="0085203D" w:rsidTr="00166A6A">
        <w:trPr>
          <w:trHeight w:val="300"/>
        </w:trPr>
        <w:tc>
          <w:tcPr>
            <w:tcW w:w="32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SASIA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BAU</w:t>
            </w:r>
          </w:p>
        </w:tc>
        <w:tc>
          <w:tcPr>
            <w:tcW w:w="36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BAU</w:t>
            </w:r>
          </w:p>
        </w:tc>
      </w:tr>
      <w:tr w:rsidR="00410EF1" w:rsidRPr="0085203D" w:rsidTr="00166A6A">
        <w:trPr>
          <w:trHeight w:val="300"/>
        </w:trPr>
        <w:tc>
          <w:tcPr>
            <w:tcW w:w="32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C03305">
                  <w:rPr>
                    <w:color w:val="000000"/>
                  </w:rPr>
                  <w:t>CHINA</w:t>
                </w:r>
              </w:smartTag>
            </w:smartTag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BAU</w:t>
            </w:r>
          </w:p>
        </w:tc>
        <w:tc>
          <w:tcPr>
            <w:tcW w:w="36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Cap based on formula in 2050</w:t>
            </w:r>
          </w:p>
        </w:tc>
      </w:tr>
      <w:tr w:rsidR="00410EF1" w:rsidRPr="0085203D" w:rsidTr="00166A6A">
        <w:trPr>
          <w:trHeight w:val="300"/>
        </w:trPr>
        <w:tc>
          <w:tcPr>
            <w:tcW w:w="3240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SSA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BAU</w:t>
            </w:r>
          </w:p>
        </w:tc>
        <w:tc>
          <w:tcPr>
            <w:tcW w:w="3600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BAU</w:t>
            </w:r>
          </w:p>
        </w:tc>
      </w:tr>
      <w:tr w:rsidR="00410EF1" w:rsidRPr="0085203D" w:rsidTr="00166A6A">
        <w:trPr>
          <w:trHeight w:val="300"/>
        </w:trPr>
        <w:tc>
          <w:tcPr>
            <w:tcW w:w="324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MENA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BAU</w:t>
            </w:r>
          </w:p>
        </w:tc>
        <w:tc>
          <w:tcPr>
            <w:tcW w:w="360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</w:tcPr>
          <w:p w:rsidR="00410EF1" w:rsidRPr="00C03305" w:rsidRDefault="00410EF1" w:rsidP="00166A6A">
            <w:pPr>
              <w:spacing w:before="100" w:beforeAutospacing="1"/>
              <w:rPr>
                <w:color w:val="000000"/>
              </w:rPr>
            </w:pPr>
            <w:r w:rsidRPr="00C03305">
              <w:rPr>
                <w:color w:val="000000"/>
              </w:rPr>
              <w:t>Cap based on formula in 2065</w:t>
            </w:r>
          </w:p>
        </w:tc>
      </w:tr>
    </w:tbl>
    <w:p w:rsidR="00410EF1" w:rsidRDefault="00410EF1" w:rsidP="00410EF1">
      <w:pPr>
        <w:autoSpaceDE w:val="0"/>
        <w:autoSpaceDN w:val="0"/>
        <w:adjustRightInd w:val="0"/>
        <w:spacing w:line="480" w:lineRule="auto"/>
        <w:jc w:val="both"/>
        <w:rPr>
          <w:b/>
          <w:color w:val="000000"/>
        </w:rPr>
      </w:pPr>
    </w:p>
    <w:p w:rsidR="00410EF1" w:rsidRDefault="00115593" w:rsidP="00410EF1">
      <w:pPr>
        <w:rPr>
          <w:b/>
        </w:rPr>
      </w:pPr>
      <w:r>
        <w:rPr>
          <w:b/>
        </w:rPr>
        <w:t>Table 3</w:t>
      </w:r>
      <w:r w:rsidR="00410EF1" w:rsidRPr="00644AF9">
        <w:rPr>
          <w:b/>
        </w:rPr>
        <w:t xml:space="preserve">: Present discounted value of cost region by region (as percent of income) </w:t>
      </w:r>
      <w:r w:rsidR="00410EF1" w:rsidRPr="00833B34">
        <w:rPr>
          <w:b/>
          <w:sz w:val="12"/>
          <w:szCs w:val="12"/>
        </w:rPr>
        <w:br/>
      </w:r>
    </w:p>
    <w:p w:rsidR="00410EF1" w:rsidRPr="009403A4" w:rsidRDefault="00115593" w:rsidP="00410EF1">
      <w:pPr>
        <w:rPr>
          <w:b/>
          <w:sz w:val="6"/>
          <w:szCs w:val="6"/>
        </w:rPr>
      </w:pPr>
      <w:r>
        <w:rPr>
          <w:b/>
        </w:rPr>
        <w:t>3</w:t>
      </w:r>
      <w:r w:rsidR="00410EF1" w:rsidRPr="00644AF9">
        <w:rPr>
          <w:b/>
        </w:rPr>
        <w:t xml:space="preserve">a:  Measured </w:t>
      </w:r>
      <w:r w:rsidR="00410EF1">
        <w:rPr>
          <w:b/>
        </w:rPr>
        <w:t xml:space="preserve">relative to alternative </w:t>
      </w:r>
      <w:r w:rsidR="00410EF1" w:rsidRPr="00644AF9">
        <w:rPr>
          <w:b/>
        </w:rPr>
        <w:t>baseline</w:t>
      </w:r>
      <w:r w:rsidR="00410EF1">
        <w:rPr>
          <w:b/>
        </w:rPr>
        <w:t xml:space="preserve"> of no</w:t>
      </w:r>
      <w:r w:rsidR="00410EF1" w:rsidRPr="00644AF9">
        <w:t xml:space="preserve"> </w:t>
      </w:r>
      <w:r w:rsidR="00410EF1" w:rsidRPr="00302235">
        <w:rPr>
          <w:b/>
        </w:rPr>
        <w:t>international policy</w:t>
      </w:r>
      <w:r w:rsidR="00410EF1" w:rsidRPr="00644AF9">
        <w:rPr>
          <w:b/>
        </w:rPr>
        <w:t xml:space="preserve"> </w:t>
      </w:r>
      <w:r w:rsidR="00410EF1">
        <w:rPr>
          <w:b/>
        </w:rPr>
        <w:br/>
        <w:t>(i.e., BAU criterion)</w:t>
      </w:r>
    </w:p>
    <w:p w:rsidR="00410EF1" w:rsidRPr="009403A4" w:rsidRDefault="00410EF1" w:rsidP="00410EF1">
      <w:pPr>
        <w:spacing w:line="480" w:lineRule="auto"/>
        <w:rPr>
          <w:b/>
          <w:sz w:val="6"/>
          <w:szCs w:val="6"/>
        </w:rPr>
      </w:pPr>
    </w:p>
    <w:tbl>
      <w:tblPr>
        <w:tblW w:w="8747" w:type="dxa"/>
        <w:tblInd w:w="103" w:type="dxa"/>
        <w:tblLook w:val="00A0"/>
      </w:tblPr>
      <w:tblGrid>
        <w:gridCol w:w="725"/>
        <w:gridCol w:w="681"/>
        <w:gridCol w:w="759"/>
        <w:gridCol w:w="720"/>
        <w:gridCol w:w="681"/>
        <w:gridCol w:w="759"/>
        <w:gridCol w:w="900"/>
        <w:gridCol w:w="720"/>
        <w:gridCol w:w="720"/>
        <w:gridCol w:w="720"/>
        <w:gridCol w:w="681"/>
        <w:gridCol w:w="681"/>
      </w:tblGrid>
      <w:tr w:rsidR="00410EF1" w:rsidRPr="005E03EB" w:rsidTr="00166A6A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jc w:val="center"/>
              <w:rPr>
                <w:iCs/>
                <w:sz w:val="16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E03EB">
                  <w:rPr>
                    <w:iCs/>
                    <w:sz w:val="16"/>
                    <w:szCs w:val="20"/>
                  </w:rPr>
                  <w:t>USA</w:t>
                </w:r>
              </w:smartTag>
            </w:smartTag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jc w:val="center"/>
              <w:rPr>
                <w:iCs/>
                <w:sz w:val="16"/>
                <w:szCs w:val="20"/>
              </w:rPr>
            </w:pPr>
            <w:r w:rsidRPr="005E03EB">
              <w:rPr>
                <w:iCs/>
                <w:sz w:val="16"/>
                <w:szCs w:val="20"/>
              </w:rPr>
              <w:t>EU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jc w:val="center"/>
              <w:rPr>
                <w:iCs/>
                <w:sz w:val="16"/>
                <w:szCs w:val="20"/>
              </w:rPr>
            </w:pPr>
            <w:proofErr w:type="spellStart"/>
            <w:r w:rsidRPr="005E03EB">
              <w:rPr>
                <w:iCs/>
                <w:sz w:val="16"/>
                <w:szCs w:val="20"/>
              </w:rPr>
              <w:t>KoSAu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jc w:val="center"/>
              <w:rPr>
                <w:iCs/>
                <w:sz w:val="16"/>
                <w:szCs w:val="20"/>
              </w:rPr>
            </w:pPr>
            <w:proofErr w:type="spellStart"/>
            <w:r w:rsidRPr="005E03EB">
              <w:rPr>
                <w:iCs/>
                <w:sz w:val="16"/>
                <w:szCs w:val="20"/>
              </w:rPr>
              <w:t>CaJaZ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jc w:val="center"/>
              <w:rPr>
                <w:iCs/>
                <w:sz w:val="16"/>
                <w:szCs w:val="20"/>
              </w:rPr>
            </w:pPr>
            <w:r w:rsidRPr="005E03EB">
              <w:rPr>
                <w:iCs/>
                <w:sz w:val="16"/>
                <w:szCs w:val="20"/>
              </w:rPr>
              <w:t>TE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jc w:val="center"/>
              <w:rPr>
                <w:iCs/>
                <w:sz w:val="16"/>
                <w:szCs w:val="20"/>
              </w:rPr>
            </w:pPr>
            <w:r w:rsidRPr="005E03EB">
              <w:rPr>
                <w:iCs/>
                <w:sz w:val="16"/>
                <w:szCs w:val="20"/>
              </w:rPr>
              <w:t>MENA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jc w:val="center"/>
              <w:rPr>
                <w:iCs/>
                <w:sz w:val="16"/>
                <w:szCs w:val="20"/>
              </w:rPr>
            </w:pPr>
            <w:r w:rsidRPr="005E03EB">
              <w:rPr>
                <w:iCs/>
                <w:sz w:val="16"/>
                <w:szCs w:val="20"/>
              </w:rPr>
              <w:t>SSA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jc w:val="center"/>
              <w:rPr>
                <w:iCs/>
                <w:sz w:val="16"/>
                <w:szCs w:val="20"/>
              </w:rPr>
            </w:pPr>
            <w:proofErr w:type="spellStart"/>
            <w:r w:rsidRPr="005E03EB">
              <w:rPr>
                <w:iCs/>
                <w:sz w:val="16"/>
                <w:szCs w:val="20"/>
              </w:rPr>
              <w:t>SAsia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jc w:val="center"/>
              <w:rPr>
                <w:iCs/>
                <w:sz w:val="16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E03EB">
                  <w:rPr>
                    <w:iCs/>
                    <w:sz w:val="16"/>
                    <w:szCs w:val="20"/>
                  </w:rPr>
                  <w:t>China</w:t>
                </w:r>
              </w:smartTag>
            </w:smartTag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jc w:val="center"/>
              <w:rPr>
                <w:iCs/>
                <w:sz w:val="16"/>
                <w:szCs w:val="20"/>
              </w:rPr>
            </w:pPr>
            <w:proofErr w:type="spellStart"/>
            <w:r w:rsidRPr="005E03EB">
              <w:rPr>
                <w:iCs/>
                <w:sz w:val="16"/>
                <w:szCs w:val="20"/>
              </w:rPr>
              <w:t>EAsia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jc w:val="center"/>
              <w:rPr>
                <w:iCs/>
                <w:sz w:val="16"/>
                <w:szCs w:val="20"/>
              </w:rPr>
            </w:pPr>
            <w:proofErr w:type="spellStart"/>
            <w:r w:rsidRPr="005E03EB">
              <w:rPr>
                <w:iCs/>
                <w:sz w:val="16"/>
                <w:szCs w:val="20"/>
              </w:rPr>
              <w:t>LAm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jc w:val="center"/>
              <w:rPr>
                <w:iCs/>
                <w:sz w:val="16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5E03EB">
                  <w:rPr>
                    <w:iCs/>
                    <w:sz w:val="16"/>
                    <w:szCs w:val="20"/>
                  </w:rPr>
                  <w:t>India</w:t>
                </w:r>
              </w:smartTag>
            </w:smartTag>
          </w:p>
        </w:tc>
      </w:tr>
      <w:tr w:rsidR="00410EF1" w:rsidRPr="005E03EB" w:rsidTr="00166A6A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rPr>
                <w:color w:val="000000"/>
                <w:sz w:val="18"/>
                <w:szCs w:val="20"/>
              </w:rPr>
            </w:pPr>
            <w:r w:rsidRPr="005E03EB">
              <w:rPr>
                <w:color w:val="000000"/>
                <w:sz w:val="18"/>
                <w:szCs w:val="20"/>
              </w:rPr>
              <w:t>0.</w:t>
            </w:r>
            <w:r>
              <w:rPr>
                <w:color w:val="000000"/>
                <w:sz w:val="18"/>
                <w:szCs w:val="20"/>
              </w:rPr>
              <w:t>6</w:t>
            </w:r>
            <w:r w:rsidRPr="005E03EB">
              <w:rPr>
                <w:color w:val="000000"/>
                <w:sz w:val="18"/>
                <w:szCs w:val="20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rPr>
                <w:color w:val="000000"/>
                <w:sz w:val="18"/>
                <w:szCs w:val="20"/>
              </w:rPr>
            </w:pPr>
            <w:r w:rsidRPr="005E03EB">
              <w:rPr>
                <w:color w:val="000000"/>
                <w:sz w:val="18"/>
                <w:szCs w:val="20"/>
              </w:rPr>
              <w:t>0.</w:t>
            </w:r>
            <w:r>
              <w:rPr>
                <w:color w:val="000000"/>
                <w:sz w:val="18"/>
                <w:szCs w:val="20"/>
              </w:rPr>
              <w:t>2</w:t>
            </w:r>
            <w:r w:rsidRPr="005E03EB">
              <w:rPr>
                <w:color w:val="000000"/>
                <w:sz w:val="18"/>
                <w:szCs w:val="20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rPr>
                <w:color w:val="000000"/>
                <w:sz w:val="18"/>
                <w:szCs w:val="20"/>
              </w:rPr>
            </w:pPr>
            <w:r w:rsidRPr="005E03EB">
              <w:rPr>
                <w:color w:val="000000"/>
                <w:sz w:val="18"/>
                <w:szCs w:val="20"/>
              </w:rPr>
              <w:t>0.</w:t>
            </w:r>
            <w:r>
              <w:rPr>
                <w:color w:val="000000"/>
                <w:sz w:val="18"/>
                <w:szCs w:val="20"/>
              </w:rPr>
              <w:t>7</w:t>
            </w:r>
            <w:r w:rsidRPr="005E03EB">
              <w:rPr>
                <w:color w:val="000000"/>
                <w:sz w:val="18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rPr>
                <w:color w:val="000000"/>
                <w:sz w:val="18"/>
                <w:szCs w:val="20"/>
              </w:rPr>
            </w:pPr>
            <w:r w:rsidRPr="005E03EB">
              <w:rPr>
                <w:color w:val="000000"/>
                <w:sz w:val="18"/>
                <w:szCs w:val="20"/>
              </w:rPr>
              <w:t>0.</w:t>
            </w:r>
            <w:r>
              <w:rPr>
                <w:color w:val="000000"/>
                <w:sz w:val="18"/>
                <w:szCs w:val="20"/>
              </w:rPr>
              <w:t>7</w:t>
            </w:r>
            <w:r w:rsidRPr="005E03EB">
              <w:rPr>
                <w:color w:val="000000"/>
                <w:sz w:val="18"/>
                <w:szCs w:val="20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rPr>
                <w:color w:val="000000"/>
                <w:sz w:val="18"/>
                <w:szCs w:val="20"/>
              </w:rPr>
            </w:pPr>
            <w:r w:rsidRPr="005E03EB">
              <w:rPr>
                <w:color w:val="000000"/>
                <w:sz w:val="18"/>
                <w:szCs w:val="20"/>
              </w:rPr>
              <w:t>1.</w:t>
            </w:r>
            <w:r>
              <w:rPr>
                <w:color w:val="000000"/>
                <w:sz w:val="18"/>
                <w:szCs w:val="20"/>
              </w:rPr>
              <w:t>2</w:t>
            </w:r>
            <w:r w:rsidRPr="005E03EB">
              <w:rPr>
                <w:color w:val="000000"/>
                <w:sz w:val="18"/>
                <w:szCs w:val="20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rPr>
                <w:color w:val="000000"/>
                <w:sz w:val="18"/>
                <w:szCs w:val="20"/>
              </w:rPr>
            </w:pPr>
            <w:r>
              <w:rPr>
                <w:color w:val="000000"/>
                <w:sz w:val="18"/>
                <w:szCs w:val="20"/>
              </w:rPr>
              <w:t>2</w:t>
            </w:r>
            <w:r w:rsidRPr="005E03EB">
              <w:rPr>
                <w:color w:val="000000"/>
                <w:sz w:val="18"/>
                <w:szCs w:val="20"/>
              </w:rPr>
              <w:t>.</w:t>
            </w:r>
            <w:r>
              <w:rPr>
                <w:color w:val="000000"/>
                <w:sz w:val="18"/>
                <w:szCs w:val="20"/>
              </w:rPr>
              <w:t>2</w:t>
            </w:r>
            <w:r w:rsidRPr="005E03EB">
              <w:rPr>
                <w:color w:val="000000"/>
                <w:sz w:val="18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jc w:val="both"/>
              <w:rPr>
                <w:color w:val="000000"/>
                <w:sz w:val="18"/>
                <w:szCs w:val="20"/>
              </w:rPr>
            </w:pPr>
            <w:r w:rsidRPr="005E03EB">
              <w:rPr>
                <w:color w:val="000000"/>
                <w:sz w:val="18"/>
                <w:szCs w:val="20"/>
              </w:rPr>
              <w:t>-0.</w:t>
            </w:r>
            <w:r>
              <w:rPr>
                <w:color w:val="000000"/>
                <w:sz w:val="18"/>
                <w:szCs w:val="20"/>
              </w:rPr>
              <w:t>1</w:t>
            </w:r>
            <w:r w:rsidRPr="005E03EB">
              <w:rPr>
                <w:color w:val="000000"/>
                <w:sz w:val="18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rPr>
                <w:color w:val="000000"/>
                <w:sz w:val="18"/>
                <w:szCs w:val="20"/>
              </w:rPr>
            </w:pPr>
            <w:r w:rsidRPr="005E03EB">
              <w:rPr>
                <w:color w:val="000000"/>
                <w:sz w:val="18"/>
                <w:szCs w:val="20"/>
              </w:rPr>
              <w:t>-0.</w:t>
            </w:r>
            <w:r>
              <w:rPr>
                <w:color w:val="000000"/>
                <w:sz w:val="18"/>
                <w:szCs w:val="20"/>
              </w:rPr>
              <w:t>2</w:t>
            </w:r>
            <w:r w:rsidRPr="005E03EB">
              <w:rPr>
                <w:color w:val="000000"/>
                <w:sz w:val="18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rPr>
                <w:color w:val="000000"/>
                <w:sz w:val="18"/>
                <w:szCs w:val="20"/>
              </w:rPr>
            </w:pPr>
            <w:r w:rsidRPr="005E03EB">
              <w:rPr>
                <w:color w:val="000000"/>
                <w:sz w:val="18"/>
                <w:szCs w:val="20"/>
              </w:rPr>
              <w:t>1.</w:t>
            </w:r>
            <w:r>
              <w:rPr>
                <w:color w:val="000000"/>
                <w:sz w:val="18"/>
                <w:szCs w:val="20"/>
              </w:rPr>
              <w:t>1</w:t>
            </w:r>
            <w:r w:rsidRPr="005E03EB">
              <w:rPr>
                <w:color w:val="000000"/>
                <w:sz w:val="18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rPr>
                <w:color w:val="000000"/>
                <w:sz w:val="18"/>
                <w:szCs w:val="20"/>
              </w:rPr>
            </w:pPr>
            <w:r w:rsidRPr="005E03EB">
              <w:rPr>
                <w:color w:val="000000"/>
                <w:sz w:val="18"/>
                <w:szCs w:val="20"/>
              </w:rPr>
              <w:t>0.</w:t>
            </w:r>
            <w:r>
              <w:rPr>
                <w:color w:val="000000"/>
                <w:sz w:val="18"/>
                <w:szCs w:val="20"/>
              </w:rPr>
              <w:t>1</w:t>
            </w:r>
            <w:r w:rsidRPr="005E03EB">
              <w:rPr>
                <w:color w:val="000000"/>
                <w:sz w:val="18"/>
                <w:szCs w:val="20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rPr>
                <w:color w:val="000000"/>
                <w:sz w:val="18"/>
                <w:szCs w:val="20"/>
              </w:rPr>
            </w:pPr>
            <w:r w:rsidRPr="005E03EB">
              <w:rPr>
                <w:color w:val="000000"/>
                <w:sz w:val="18"/>
                <w:szCs w:val="20"/>
              </w:rPr>
              <w:t>0.</w:t>
            </w:r>
            <w:r>
              <w:rPr>
                <w:color w:val="000000"/>
                <w:sz w:val="18"/>
                <w:szCs w:val="20"/>
              </w:rPr>
              <w:t>5</w:t>
            </w:r>
            <w:r w:rsidRPr="005E03EB">
              <w:rPr>
                <w:color w:val="000000"/>
                <w:sz w:val="18"/>
                <w:szCs w:val="20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5E03EB" w:rsidRDefault="00410EF1" w:rsidP="00166A6A">
            <w:pPr>
              <w:spacing w:line="480" w:lineRule="auto"/>
              <w:rPr>
                <w:color w:val="000000"/>
                <w:sz w:val="18"/>
                <w:szCs w:val="20"/>
              </w:rPr>
            </w:pPr>
            <w:r w:rsidRPr="005E03EB">
              <w:rPr>
                <w:color w:val="000000"/>
                <w:sz w:val="18"/>
                <w:szCs w:val="20"/>
              </w:rPr>
              <w:t>0.</w:t>
            </w:r>
            <w:r>
              <w:rPr>
                <w:color w:val="000000"/>
                <w:sz w:val="18"/>
                <w:szCs w:val="20"/>
              </w:rPr>
              <w:t>4</w:t>
            </w:r>
            <w:r w:rsidRPr="005E03EB">
              <w:rPr>
                <w:color w:val="000000"/>
                <w:sz w:val="18"/>
                <w:szCs w:val="20"/>
              </w:rPr>
              <w:t>%</w:t>
            </w:r>
          </w:p>
        </w:tc>
      </w:tr>
    </w:tbl>
    <w:p w:rsidR="00410EF1" w:rsidRPr="00833B34" w:rsidRDefault="00410EF1" w:rsidP="00410EF1">
      <w:pPr>
        <w:spacing w:line="480" w:lineRule="auto"/>
        <w:rPr>
          <w:b/>
          <w:sz w:val="12"/>
          <w:szCs w:val="12"/>
        </w:rPr>
      </w:pPr>
    </w:p>
    <w:p w:rsidR="00410EF1" w:rsidRPr="009403A4" w:rsidRDefault="00115593" w:rsidP="00410EF1">
      <w:pPr>
        <w:spacing w:line="360" w:lineRule="auto"/>
        <w:rPr>
          <w:b/>
          <w:sz w:val="6"/>
          <w:szCs w:val="6"/>
        </w:rPr>
      </w:pPr>
      <w:r>
        <w:rPr>
          <w:b/>
          <w:noProof/>
        </w:rPr>
        <w:t>3</w:t>
      </w:r>
      <w:r w:rsidR="00410EF1" w:rsidRPr="00644AF9">
        <w:rPr>
          <w:b/>
          <w:noProof/>
        </w:rPr>
        <w:t>b:  Measured rela</w:t>
      </w:r>
      <w:r w:rsidR="00410EF1">
        <w:rPr>
          <w:b/>
          <w:noProof/>
        </w:rPr>
        <w:t>tive to the alternative of unilateral dropping out</w:t>
      </w:r>
      <w:r w:rsidR="00410EF1" w:rsidRPr="00644AF9">
        <w:rPr>
          <w:b/>
          <w:noProof/>
        </w:rPr>
        <w:t xml:space="preserve"> </w:t>
      </w:r>
      <w:r w:rsidR="00410EF1">
        <w:rPr>
          <w:b/>
          <w:noProof/>
        </w:rPr>
        <w:br/>
      </w:r>
      <w:r w:rsidR="00410EF1" w:rsidRPr="00302235">
        <w:rPr>
          <w:b/>
          <w:noProof/>
        </w:rPr>
        <w:t>while others continue to cooperate (i.e</w:t>
      </w:r>
      <w:r w:rsidR="00410EF1">
        <w:rPr>
          <w:b/>
          <w:noProof/>
        </w:rPr>
        <w:t>.,</w:t>
      </w:r>
      <w:r w:rsidR="00410EF1" w:rsidRPr="00302235">
        <w:rPr>
          <w:b/>
          <w:noProof/>
        </w:rPr>
        <w:t xml:space="preserve"> Nash </w:t>
      </w:r>
      <w:r w:rsidR="00410EF1">
        <w:rPr>
          <w:b/>
          <w:noProof/>
        </w:rPr>
        <w:t>criterion</w:t>
      </w:r>
      <w:r w:rsidR="00410EF1" w:rsidRPr="00302235">
        <w:rPr>
          <w:b/>
          <w:noProof/>
        </w:rPr>
        <w:t>)</w:t>
      </w:r>
      <w:r w:rsidR="00410EF1" w:rsidRPr="009403A4">
        <w:rPr>
          <w:b/>
          <w:noProof/>
          <w:sz w:val="6"/>
          <w:szCs w:val="6"/>
        </w:rPr>
        <w:br/>
      </w:r>
    </w:p>
    <w:tbl>
      <w:tblPr>
        <w:tblW w:w="8747" w:type="dxa"/>
        <w:tblInd w:w="103" w:type="dxa"/>
        <w:tblLook w:val="00A0"/>
      </w:tblPr>
      <w:tblGrid>
        <w:gridCol w:w="725"/>
        <w:gridCol w:w="681"/>
        <w:gridCol w:w="759"/>
        <w:gridCol w:w="720"/>
        <w:gridCol w:w="681"/>
        <w:gridCol w:w="759"/>
        <w:gridCol w:w="900"/>
        <w:gridCol w:w="720"/>
        <w:gridCol w:w="720"/>
        <w:gridCol w:w="720"/>
        <w:gridCol w:w="681"/>
        <w:gridCol w:w="681"/>
      </w:tblGrid>
      <w:tr w:rsidR="00410EF1" w:rsidRPr="00681966" w:rsidTr="00166A6A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80E5E">
                  <w:rPr>
                    <w:iCs/>
                    <w:sz w:val="18"/>
                    <w:szCs w:val="20"/>
                  </w:rPr>
                  <w:t>USA</w:t>
                </w:r>
              </w:smartTag>
            </w:smartTag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 w:rsidRPr="00880E5E">
              <w:rPr>
                <w:iCs/>
                <w:sz w:val="18"/>
                <w:szCs w:val="20"/>
              </w:rPr>
              <w:t>EU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proofErr w:type="spellStart"/>
            <w:r w:rsidRPr="00880E5E">
              <w:rPr>
                <w:iCs/>
                <w:sz w:val="18"/>
                <w:szCs w:val="20"/>
              </w:rPr>
              <w:t>KoSAu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proofErr w:type="spellStart"/>
            <w:r w:rsidRPr="00880E5E">
              <w:rPr>
                <w:iCs/>
                <w:sz w:val="18"/>
                <w:szCs w:val="20"/>
              </w:rPr>
              <w:t>CaJaZ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 w:rsidRPr="00880E5E">
              <w:rPr>
                <w:iCs/>
                <w:sz w:val="18"/>
                <w:szCs w:val="20"/>
              </w:rPr>
              <w:t>TE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 w:rsidRPr="00880E5E">
              <w:rPr>
                <w:iCs/>
                <w:sz w:val="18"/>
                <w:szCs w:val="20"/>
              </w:rPr>
              <w:t>MENA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 w:rsidRPr="00880E5E">
              <w:rPr>
                <w:iCs/>
                <w:sz w:val="18"/>
                <w:szCs w:val="20"/>
              </w:rPr>
              <w:t>SSA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proofErr w:type="spellStart"/>
            <w:r w:rsidRPr="00880E5E">
              <w:rPr>
                <w:iCs/>
                <w:sz w:val="18"/>
                <w:szCs w:val="20"/>
              </w:rPr>
              <w:t>SAsia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80E5E">
                  <w:rPr>
                    <w:iCs/>
                    <w:sz w:val="18"/>
                    <w:szCs w:val="20"/>
                  </w:rPr>
                  <w:t>China</w:t>
                </w:r>
              </w:smartTag>
            </w:smartTag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proofErr w:type="spellStart"/>
            <w:r w:rsidRPr="00880E5E">
              <w:rPr>
                <w:iCs/>
                <w:sz w:val="18"/>
                <w:szCs w:val="20"/>
              </w:rPr>
              <w:t>EAsia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proofErr w:type="spellStart"/>
            <w:r w:rsidRPr="00880E5E">
              <w:rPr>
                <w:iCs/>
                <w:sz w:val="18"/>
                <w:szCs w:val="20"/>
              </w:rPr>
              <w:t>LAm</w:t>
            </w:r>
            <w:proofErr w:type="spellEnd"/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80E5E">
                  <w:rPr>
                    <w:iCs/>
                    <w:sz w:val="18"/>
                    <w:szCs w:val="20"/>
                  </w:rPr>
                  <w:t>India</w:t>
                </w:r>
              </w:smartTag>
            </w:smartTag>
          </w:p>
        </w:tc>
      </w:tr>
      <w:tr w:rsidR="00410EF1" w:rsidRPr="00681966" w:rsidTr="00166A6A">
        <w:trPr>
          <w:trHeight w:val="30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 w:rsidRPr="00880E5E">
              <w:rPr>
                <w:iCs/>
                <w:sz w:val="18"/>
                <w:szCs w:val="20"/>
              </w:rPr>
              <w:t>0.</w:t>
            </w:r>
            <w:r>
              <w:rPr>
                <w:iCs/>
                <w:sz w:val="18"/>
                <w:szCs w:val="20"/>
              </w:rPr>
              <w:t>7</w:t>
            </w:r>
            <w:r w:rsidRPr="00880E5E">
              <w:rPr>
                <w:iCs/>
                <w:sz w:val="18"/>
                <w:szCs w:val="20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 w:rsidRPr="00880E5E">
              <w:rPr>
                <w:iCs/>
                <w:sz w:val="18"/>
                <w:szCs w:val="20"/>
              </w:rPr>
              <w:t>0.</w:t>
            </w:r>
            <w:r>
              <w:rPr>
                <w:iCs/>
                <w:sz w:val="18"/>
                <w:szCs w:val="20"/>
              </w:rPr>
              <w:t>3</w:t>
            </w:r>
            <w:r w:rsidRPr="00880E5E">
              <w:rPr>
                <w:iCs/>
                <w:sz w:val="18"/>
                <w:szCs w:val="20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 w:rsidRPr="00880E5E">
              <w:rPr>
                <w:iCs/>
                <w:sz w:val="18"/>
                <w:szCs w:val="20"/>
              </w:rPr>
              <w:t>0.</w:t>
            </w:r>
            <w:r>
              <w:rPr>
                <w:iCs/>
                <w:sz w:val="18"/>
                <w:szCs w:val="20"/>
              </w:rPr>
              <w:t>8</w:t>
            </w:r>
            <w:r w:rsidRPr="00880E5E">
              <w:rPr>
                <w:iCs/>
                <w:sz w:val="18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 w:rsidRPr="00880E5E">
              <w:rPr>
                <w:iCs/>
                <w:sz w:val="18"/>
                <w:szCs w:val="20"/>
              </w:rPr>
              <w:t>0.</w:t>
            </w:r>
            <w:r>
              <w:rPr>
                <w:iCs/>
                <w:sz w:val="18"/>
                <w:szCs w:val="20"/>
              </w:rPr>
              <w:t>6</w:t>
            </w:r>
            <w:r w:rsidRPr="00880E5E">
              <w:rPr>
                <w:iCs/>
                <w:sz w:val="18"/>
                <w:szCs w:val="20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>0.8</w:t>
            </w:r>
            <w:r w:rsidRPr="00880E5E">
              <w:rPr>
                <w:iCs/>
                <w:sz w:val="18"/>
                <w:szCs w:val="20"/>
              </w:rPr>
              <w:t>%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>
              <w:rPr>
                <w:iCs/>
                <w:sz w:val="18"/>
                <w:szCs w:val="20"/>
              </w:rPr>
              <w:t>0</w:t>
            </w:r>
            <w:r w:rsidRPr="00880E5E">
              <w:rPr>
                <w:iCs/>
                <w:sz w:val="18"/>
                <w:szCs w:val="20"/>
              </w:rPr>
              <w:t>.</w:t>
            </w:r>
            <w:r>
              <w:rPr>
                <w:iCs/>
                <w:sz w:val="18"/>
                <w:szCs w:val="20"/>
              </w:rPr>
              <w:t>8</w:t>
            </w:r>
            <w:r w:rsidRPr="00880E5E">
              <w:rPr>
                <w:iCs/>
                <w:sz w:val="18"/>
                <w:szCs w:val="20"/>
              </w:rPr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 w:rsidRPr="00880E5E">
              <w:rPr>
                <w:iCs/>
                <w:sz w:val="18"/>
                <w:szCs w:val="20"/>
              </w:rPr>
              <w:t>-0.</w:t>
            </w:r>
            <w:r>
              <w:rPr>
                <w:iCs/>
                <w:sz w:val="18"/>
                <w:szCs w:val="20"/>
              </w:rPr>
              <w:t>1</w:t>
            </w:r>
            <w:r w:rsidRPr="00880E5E">
              <w:rPr>
                <w:iCs/>
                <w:sz w:val="18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 w:rsidRPr="00880E5E">
              <w:rPr>
                <w:iCs/>
                <w:sz w:val="18"/>
                <w:szCs w:val="20"/>
              </w:rPr>
              <w:t>0.1%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 w:rsidRPr="00880E5E">
              <w:rPr>
                <w:iCs/>
                <w:sz w:val="18"/>
                <w:szCs w:val="20"/>
              </w:rPr>
              <w:t>1.</w:t>
            </w:r>
            <w:r>
              <w:rPr>
                <w:iCs/>
                <w:sz w:val="18"/>
                <w:szCs w:val="20"/>
              </w:rPr>
              <w:t>0</w:t>
            </w:r>
            <w:r w:rsidRPr="00880E5E">
              <w:rPr>
                <w:iCs/>
                <w:sz w:val="18"/>
                <w:szCs w:val="20"/>
              </w:rPr>
              <w:t>%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 w:rsidRPr="00880E5E">
              <w:rPr>
                <w:iCs/>
                <w:sz w:val="18"/>
                <w:szCs w:val="20"/>
              </w:rPr>
              <w:t>0.</w:t>
            </w:r>
            <w:r>
              <w:rPr>
                <w:iCs/>
                <w:sz w:val="18"/>
                <w:szCs w:val="20"/>
              </w:rPr>
              <w:t>4</w:t>
            </w:r>
            <w:r w:rsidRPr="00880E5E">
              <w:rPr>
                <w:iCs/>
                <w:sz w:val="18"/>
                <w:szCs w:val="20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 w:rsidRPr="00880E5E">
              <w:rPr>
                <w:iCs/>
                <w:sz w:val="18"/>
                <w:szCs w:val="20"/>
              </w:rPr>
              <w:t>0.</w:t>
            </w:r>
            <w:r>
              <w:rPr>
                <w:iCs/>
                <w:sz w:val="18"/>
                <w:szCs w:val="20"/>
              </w:rPr>
              <w:t>4</w:t>
            </w:r>
            <w:r w:rsidRPr="00880E5E">
              <w:rPr>
                <w:iCs/>
                <w:sz w:val="18"/>
                <w:szCs w:val="20"/>
              </w:rPr>
              <w:t>%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10EF1" w:rsidRPr="00880E5E" w:rsidRDefault="00410EF1" w:rsidP="00166A6A">
            <w:pPr>
              <w:spacing w:line="480" w:lineRule="auto"/>
              <w:jc w:val="center"/>
              <w:rPr>
                <w:iCs/>
                <w:sz w:val="18"/>
                <w:szCs w:val="20"/>
              </w:rPr>
            </w:pPr>
            <w:r w:rsidRPr="00880E5E">
              <w:rPr>
                <w:iCs/>
                <w:sz w:val="18"/>
                <w:szCs w:val="20"/>
              </w:rPr>
              <w:t>0.</w:t>
            </w:r>
            <w:r>
              <w:rPr>
                <w:iCs/>
                <w:sz w:val="18"/>
                <w:szCs w:val="20"/>
              </w:rPr>
              <w:t>7</w:t>
            </w:r>
            <w:r w:rsidRPr="00880E5E">
              <w:rPr>
                <w:iCs/>
                <w:sz w:val="18"/>
                <w:szCs w:val="20"/>
              </w:rPr>
              <w:t>%</w:t>
            </w:r>
          </w:p>
        </w:tc>
      </w:tr>
    </w:tbl>
    <w:p w:rsidR="00410EF1" w:rsidRDefault="00410EF1"/>
    <w:p w:rsidR="00115593" w:rsidRDefault="00115593"/>
    <w:p w:rsidR="00115593" w:rsidRPr="00C377D1" w:rsidRDefault="00115593" w:rsidP="00115593">
      <w:pPr>
        <w:spacing w:line="480" w:lineRule="auto"/>
        <w:jc w:val="both"/>
        <w:rPr>
          <w:b/>
        </w:rPr>
      </w:pPr>
      <w:r>
        <w:rPr>
          <w:b/>
        </w:rPr>
        <w:t>Table A1</w:t>
      </w:r>
      <w:r w:rsidRPr="00C377D1">
        <w:rPr>
          <w:b/>
        </w:rPr>
        <w:t xml:space="preserve">: </w:t>
      </w:r>
      <w:r>
        <w:rPr>
          <w:b/>
        </w:rPr>
        <w:t xml:space="preserve">Estimation of </w:t>
      </w:r>
      <w:r w:rsidRPr="00C377D1">
        <w:rPr>
          <w:b/>
        </w:rPr>
        <w:t xml:space="preserve">Progressivity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04"/>
        <w:gridCol w:w="1114"/>
        <w:gridCol w:w="1556"/>
        <w:gridCol w:w="236"/>
        <w:gridCol w:w="1259"/>
        <w:gridCol w:w="1719"/>
      </w:tblGrid>
      <w:tr w:rsidR="00115593" w:rsidRPr="00DE3C9B" w:rsidTr="00651A42">
        <w:tc>
          <w:tcPr>
            <w:tcW w:w="8388" w:type="dxa"/>
            <w:gridSpan w:val="6"/>
          </w:tcPr>
          <w:p w:rsidR="00115593" w:rsidRPr="00D64A67" w:rsidRDefault="00115593" w:rsidP="00651A42">
            <w:pPr>
              <w:spacing w:after="200"/>
              <w:jc w:val="center"/>
              <w:rPr>
                <w:b/>
                <w:sz w:val="16"/>
                <w:szCs w:val="16"/>
              </w:rPr>
            </w:pPr>
            <w:r w:rsidRPr="00DE3C9B">
              <w:rPr>
                <w:b/>
              </w:rPr>
              <w:t>Cancun emission target cuts, expressed relative to BAU,</w:t>
            </w:r>
            <w:r w:rsidRPr="00DE3C9B">
              <w:rPr>
                <w:b/>
              </w:rPr>
              <w:br/>
              <w:t>regressed against income per capita</w:t>
            </w:r>
          </w:p>
          <w:p w:rsidR="00115593" w:rsidRPr="00C377D1" w:rsidRDefault="00115593" w:rsidP="00651A42">
            <w:pPr>
              <w:spacing w:after="200"/>
              <w:jc w:val="center"/>
            </w:pPr>
            <w:r w:rsidRPr="00C377D1">
              <w:t xml:space="preserve">(21 </w:t>
            </w:r>
            <w:r>
              <w:t>country observations, counting EU27 as one</w:t>
            </w:r>
            <w:r w:rsidRPr="00C377D1">
              <w:t>)</w:t>
            </w:r>
          </w:p>
        </w:tc>
      </w:tr>
      <w:tr w:rsidR="00115593" w:rsidRPr="00DE3C9B" w:rsidTr="00651A42">
        <w:tc>
          <w:tcPr>
            <w:tcW w:w="2504" w:type="dxa"/>
          </w:tcPr>
          <w:p w:rsidR="00115593" w:rsidRPr="006426CE" w:rsidRDefault="00115593" w:rsidP="00651A42">
            <w:pPr>
              <w:spacing w:after="200"/>
              <w:jc w:val="center"/>
            </w:pPr>
          </w:p>
        </w:tc>
        <w:tc>
          <w:tcPr>
            <w:tcW w:w="5884" w:type="dxa"/>
            <w:gridSpan w:val="5"/>
          </w:tcPr>
          <w:p w:rsidR="00115593" w:rsidRPr="006426CE" w:rsidRDefault="00115593" w:rsidP="00651A42">
            <w:pPr>
              <w:spacing w:after="200"/>
              <w:jc w:val="center"/>
            </w:pPr>
            <w:r w:rsidRPr="006426CE">
              <w:t>Countries submitting negative cuts relative to BAU</w:t>
            </w:r>
            <w:r>
              <w:t xml:space="preserve"> are:</w:t>
            </w:r>
          </w:p>
        </w:tc>
      </w:tr>
      <w:tr w:rsidR="00115593" w:rsidRPr="00DE3C9B" w:rsidTr="00651A42">
        <w:tc>
          <w:tcPr>
            <w:tcW w:w="2504" w:type="dxa"/>
          </w:tcPr>
          <w:p w:rsidR="00115593" w:rsidRPr="006426CE" w:rsidRDefault="00115593" w:rsidP="00651A42">
            <w:pPr>
              <w:spacing w:after="200"/>
              <w:jc w:val="center"/>
            </w:pPr>
          </w:p>
        </w:tc>
        <w:tc>
          <w:tcPr>
            <w:tcW w:w="2906" w:type="dxa"/>
            <w:gridSpan w:val="3"/>
          </w:tcPr>
          <w:p w:rsidR="00115593" w:rsidRPr="006426CE" w:rsidRDefault="00115593" w:rsidP="00651A42">
            <w:pPr>
              <w:spacing w:after="200"/>
              <w:jc w:val="center"/>
            </w:pPr>
            <w:r w:rsidRPr="006426CE">
              <w:t>taken at face value</w:t>
            </w:r>
          </w:p>
        </w:tc>
        <w:tc>
          <w:tcPr>
            <w:tcW w:w="2978" w:type="dxa"/>
            <w:gridSpan w:val="2"/>
          </w:tcPr>
          <w:p w:rsidR="00115593" w:rsidRPr="006426CE" w:rsidRDefault="00115593" w:rsidP="00651A42">
            <w:pPr>
              <w:spacing w:after="200"/>
              <w:jc w:val="center"/>
            </w:pPr>
            <w:r w:rsidRPr="006426CE">
              <w:t>set = 0</w:t>
            </w:r>
          </w:p>
        </w:tc>
      </w:tr>
      <w:tr w:rsidR="00115593" w:rsidRPr="00DE3C9B" w:rsidTr="00651A42">
        <w:tc>
          <w:tcPr>
            <w:tcW w:w="2504" w:type="dxa"/>
          </w:tcPr>
          <w:p w:rsidR="00115593" w:rsidRPr="006426CE" w:rsidRDefault="00115593" w:rsidP="00651A42">
            <w:pPr>
              <w:spacing w:after="200"/>
              <w:jc w:val="center"/>
            </w:pPr>
          </w:p>
        </w:tc>
        <w:tc>
          <w:tcPr>
            <w:tcW w:w="1114" w:type="dxa"/>
          </w:tcPr>
          <w:p w:rsidR="00115593" w:rsidRPr="006426CE" w:rsidRDefault="00115593" w:rsidP="00651A42">
            <w:pPr>
              <w:spacing w:after="200"/>
              <w:jc w:val="center"/>
            </w:pPr>
            <w:r w:rsidRPr="006426CE">
              <w:t>Intercept</w:t>
            </w:r>
          </w:p>
        </w:tc>
        <w:tc>
          <w:tcPr>
            <w:tcW w:w="1556" w:type="dxa"/>
          </w:tcPr>
          <w:p w:rsidR="00115593" w:rsidRPr="00DE3C9B" w:rsidRDefault="00115593" w:rsidP="00651A42">
            <w:pPr>
              <w:spacing w:after="200"/>
              <w:jc w:val="center"/>
              <w:rPr>
                <w:b/>
              </w:rPr>
            </w:pPr>
            <w:r w:rsidRPr="00D5063C">
              <w:t>γ</w:t>
            </w:r>
          </w:p>
        </w:tc>
        <w:tc>
          <w:tcPr>
            <w:tcW w:w="236" w:type="dxa"/>
          </w:tcPr>
          <w:p w:rsidR="00115593" w:rsidRPr="006426CE" w:rsidRDefault="00115593" w:rsidP="00651A42">
            <w:pPr>
              <w:spacing w:after="200"/>
              <w:jc w:val="center"/>
            </w:pPr>
          </w:p>
        </w:tc>
        <w:tc>
          <w:tcPr>
            <w:tcW w:w="1259" w:type="dxa"/>
          </w:tcPr>
          <w:p w:rsidR="00115593" w:rsidRPr="006426CE" w:rsidRDefault="00115593" w:rsidP="00651A42">
            <w:pPr>
              <w:spacing w:after="200"/>
              <w:jc w:val="center"/>
            </w:pPr>
            <w:r w:rsidRPr="006426CE">
              <w:t>Intercept</w:t>
            </w:r>
          </w:p>
        </w:tc>
        <w:tc>
          <w:tcPr>
            <w:tcW w:w="1719" w:type="dxa"/>
          </w:tcPr>
          <w:p w:rsidR="00115593" w:rsidRPr="00D5063C" w:rsidRDefault="00115593" w:rsidP="00651A42">
            <w:pPr>
              <w:spacing w:after="200"/>
              <w:jc w:val="center"/>
              <w:rPr>
                <w:b/>
                <w:lang w:val="it-IT"/>
              </w:rPr>
            </w:pPr>
            <w:r w:rsidRPr="00D5063C">
              <w:t>γ</w:t>
            </w:r>
          </w:p>
        </w:tc>
      </w:tr>
      <w:tr w:rsidR="00115593" w:rsidRPr="00DE3C9B" w:rsidTr="00651A42">
        <w:tc>
          <w:tcPr>
            <w:tcW w:w="2504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lastRenderedPageBreak/>
              <w:t>Coefficient estimate</w:t>
            </w:r>
          </w:p>
        </w:tc>
        <w:tc>
          <w:tcPr>
            <w:tcW w:w="1114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t>0.018</w:t>
            </w:r>
          </w:p>
        </w:tc>
        <w:tc>
          <w:tcPr>
            <w:tcW w:w="1556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rPr>
                <w:rFonts w:cs="Calibri"/>
                <w:color w:val="000000"/>
              </w:rPr>
              <w:t>-0.162</w:t>
            </w:r>
          </w:p>
        </w:tc>
        <w:tc>
          <w:tcPr>
            <w:tcW w:w="236" w:type="dxa"/>
          </w:tcPr>
          <w:p w:rsidR="00115593" w:rsidRPr="00D5063C" w:rsidRDefault="00115593" w:rsidP="00651A42">
            <w:pPr>
              <w:spacing w:after="200"/>
              <w:jc w:val="center"/>
            </w:pPr>
          </w:p>
        </w:tc>
        <w:tc>
          <w:tcPr>
            <w:tcW w:w="1259" w:type="dxa"/>
          </w:tcPr>
          <w:p w:rsidR="00115593" w:rsidRPr="00D5063C" w:rsidRDefault="00115593" w:rsidP="00651A42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D5063C">
              <w:rPr>
                <w:rFonts w:cs="Calibri"/>
                <w:color w:val="000000"/>
              </w:rPr>
              <w:t>0.008</w:t>
            </w:r>
          </w:p>
        </w:tc>
        <w:tc>
          <w:tcPr>
            <w:tcW w:w="1719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rPr>
                <w:rFonts w:cs="Calibri"/>
                <w:color w:val="000000"/>
              </w:rPr>
              <w:t>-0.130</w:t>
            </w:r>
          </w:p>
        </w:tc>
      </w:tr>
      <w:tr w:rsidR="00115593" w:rsidRPr="00DE3C9B" w:rsidTr="00651A42">
        <w:tc>
          <w:tcPr>
            <w:tcW w:w="2504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t>Standard error</w:t>
            </w:r>
          </w:p>
        </w:tc>
        <w:tc>
          <w:tcPr>
            <w:tcW w:w="1114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rPr>
                <w:rFonts w:cs="Calibri"/>
                <w:color w:val="000000"/>
              </w:rPr>
              <w:t>0.065</w:t>
            </w:r>
          </w:p>
        </w:tc>
        <w:tc>
          <w:tcPr>
            <w:tcW w:w="1556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t>0.043</w:t>
            </w:r>
          </w:p>
        </w:tc>
        <w:tc>
          <w:tcPr>
            <w:tcW w:w="236" w:type="dxa"/>
          </w:tcPr>
          <w:p w:rsidR="00115593" w:rsidRPr="00D5063C" w:rsidRDefault="00115593" w:rsidP="00651A42">
            <w:pPr>
              <w:spacing w:after="200"/>
              <w:jc w:val="center"/>
            </w:pPr>
          </w:p>
        </w:tc>
        <w:tc>
          <w:tcPr>
            <w:tcW w:w="1259" w:type="dxa"/>
          </w:tcPr>
          <w:p w:rsidR="00115593" w:rsidRPr="00D5063C" w:rsidRDefault="00115593" w:rsidP="00651A42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D5063C">
              <w:rPr>
                <w:rFonts w:cs="Calibri"/>
                <w:color w:val="000000"/>
              </w:rPr>
              <w:t>0.050</w:t>
            </w:r>
          </w:p>
        </w:tc>
        <w:tc>
          <w:tcPr>
            <w:tcW w:w="1719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t>0.034</w:t>
            </w:r>
          </w:p>
        </w:tc>
      </w:tr>
      <w:tr w:rsidR="00115593" w:rsidRPr="00DE3C9B" w:rsidTr="00651A42">
        <w:tc>
          <w:tcPr>
            <w:tcW w:w="2504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t>t-statistic</w:t>
            </w:r>
          </w:p>
        </w:tc>
        <w:tc>
          <w:tcPr>
            <w:tcW w:w="1114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t>0.07</w:t>
            </w:r>
          </w:p>
        </w:tc>
        <w:tc>
          <w:tcPr>
            <w:tcW w:w="1556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t>-3.72</w:t>
            </w:r>
          </w:p>
        </w:tc>
        <w:tc>
          <w:tcPr>
            <w:tcW w:w="236" w:type="dxa"/>
          </w:tcPr>
          <w:p w:rsidR="00115593" w:rsidRPr="00D5063C" w:rsidRDefault="00115593" w:rsidP="00651A42">
            <w:pPr>
              <w:spacing w:after="200"/>
              <w:jc w:val="center"/>
            </w:pPr>
          </w:p>
        </w:tc>
        <w:tc>
          <w:tcPr>
            <w:tcW w:w="1259" w:type="dxa"/>
          </w:tcPr>
          <w:p w:rsidR="00115593" w:rsidRPr="00D5063C" w:rsidRDefault="00115593" w:rsidP="00651A42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D5063C">
              <w:rPr>
                <w:rFonts w:cs="Calibri"/>
                <w:color w:val="000000"/>
              </w:rPr>
              <w:t>0.16</w:t>
            </w:r>
          </w:p>
        </w:tc>
        <w:tc>
          <w:tcPr>
            <w:tcW w:w="1719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rPr>
                <w:rFonts w:cs="Calibri"/>
                <w:color w:val="000000"/>
              </w:rPr>
              <w:t>-3.87</w:t>
            </w:r>
          </w:p>
        </w:tc>
      </w:tr>
      <w:tr w:rsidR="00115593" w:rsidRPr="00DE3C9B" w:rsidTr="00651A42">
        <w:tc>
          <w:tcPr>
            <w:tcW w:w="2504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t>P value</w:t>
            </w:r>
          </w:p>
        </w:tc>
        <w:tc>
          <w:tcPr>
            <w:tcW w:w="1114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rPr>
                <w:rFonts w:cs="Calibri"/>
                <w:color w:val="000000"/>
              </w:rPr>
              <w:t>0.789</w:t>
            </w:r>
          </w:p>
        </w:tc>
        <w:tc>
          <w:tcPr>
            <w:tcW w:w="1556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rPr>
                <w:rFonts w:cs="Calibri"/>
                <w:color w:val="000000"/>
              </w:rPr>
              <w:t>0.001</w:t>
            </w:r>
          </w:p>
        </w:tc>
        <w:tc>
          <w:tcPr>
            <w:tcW w:w="236" w:type="dxa"/>
          </w:tcPr>
          <w:p w:rsidR="00115593" w:rsidRPr="00D5063C" w:rsidRDefault="00115593" w:rsidP="00651A42">
            <w:pPr>
              <w:spacing w:after="200"/>
              <w:jc w:val="center"/>
            </w:pPr>
          </w:p>
        </w:tc>
        <w:tc>
          <w:tcPr>
            <w:tcW w:w="1259" w:type="dxa"/>
          </w:tcPr>
          <w:p w:rsidR="00115593" w:rsidRPr="00D5063C" w:rsidRDefault="00115593" w:rsidP="00651A42">
            <w:pPr>
              <w:autoSpaceDE w:val="0"/>
              <w:autoSpaceDN w:val="0"/>
              <w:adjustRightInd w:val="0"/>
              <w:jc w:val="right"/>
              <w:rPr>
                <w:rFonts w:cs="Calibri"/>
                <w:color w:val="000000"/>
              </w:rPr>
            </w:pPr>
            <w:r w:rsidRPr="00D5063C">
              <w:rPr>
                <w:rFonts w:cs="Calibri"/>
                <w:color w:val="000000"/>
              </w:rPr>
              <w:t>0.878</w:t>
            </w:r>
          </w:p>
        </w:tc>
        <w:tc>
          <w:tcPr>
            <w:tcW w:w="1719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t>0.001</w:t>
            </w:r>
          </w:p>
        </w:tc>
      </w:tr>
      <w:tr w:rsidR="00115593" w:rsidRPr="00DE3C9B" w:rsidTr="00651A42">
        <w:tc>
          <w:tcPr>
            <w:tcW w:w="2504" w:type="dxa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t>R</w:t>
            </w:r>
            <w:r w:rsidRPr="00D5063C">
              <w:rPr>
                <w:vertAlign w:val="superscript"/>
              </w:rPr>
              <w:t>2</w:t>
            </w:r>
          </w:p>
        </w:tc>
        <w:tc>
          <w:tcPr>
            <w:tcW w:w="2670" w:type="dxa"/>
            <w:gridSpan w:val="2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rPr>
                <w:rFonts w:cs="Calibri"/>
                <w:color w:val="000000"/>
              </w:rPr>
              <w:t>0.421</w:t>
            </w:r>
          </w:p>
        </w:tc>
        <w:tc>
          <w:tcPr>
            <w:tcW w:w="236" w:type="dxa"/>
          </w:tcPr>
          <w:p w:rsidR="00115593" w:rsidRPr="00D5063C" w:rsidRDefault="00115593" w:rsidP="00651A42">
            <w:pPr>
              <w:spacing w:after="200"/>
              <w:jc w:val="center"/>
            </w:pPr>
          </w:p>
        </w:tc>
        <w:tc>
          <w:tcPr>
            <w:tcW w:w="2978" w:type="dxa"/>
            <w:gridSpan w:val="2"/>
          </w:tcPr>
          <w:p w:rsidR="00115593" w:rsidRPr="00D5063C" w:rsidRDefault="00115593" w:rsidP="00651A42">
            <w:pPr>
              <w:spacing w:after="200"/>
              <w:jc w:val="center"/>
            </w:pPr>
            <w:r w:rsidRPr="00D5063C">
              <w:rPr>
                <w:rFonts w:cs="Calibri"/>
                <w:color w:val="000000"/>
              </w:rPr>
              <w:t>0.441</w:t>
            </w:r>
          </w:p>
        </w:tc>
      </w:tr>
    </w:tbl>
    <w:p w:rsidR="00115593" w:rsidRPr="00D64A67" w:rsidRDefault="00115593" w:rsidP="00115593">
      <w:pPr>
        <w:spacing w:line="480" w:lineRule="auto"/>
        <w:rPr>
          <w:b/>
          <w:bCs/>
          <w:sz w:val="16"/>
          <w:szCs w:val="16"/>
        </w:rPr>
      </w:pPr>
    </w:p>
    <w:p w:rsidR="00115593" w:rsidRPr="00D64A67" w:rsidRDefault="00115593" w:rsidP="00115593">
      <w:pPr>
        <w:spacing w:line="480" w:lineRule="auto"/>
        <w:rPr>
          <w:b/>
          <w:bCs/>
          <w:sz w:val="16"/>
          <w:szCs w:val="16"/>
        </w:rPr>
      </w:pPr>
      <w:r w:rsidRPr="00D64A67">
        <w:rPr>
          <w:rFonts w:ascii="Palatino Linotype" w:hAnsi="Palatino Linotype"/>
          <w:b/>
          <w:bCs/>
        </w:rPr>
        <w:t xml:space="preserve">Table </w:t>
      </w:r>
      <w:r>
        <w:rPr>
          <w:rFonts w:ascii="Palatino Linotype" w:hAnsi="Palatino Linotype"/>
          <w:b/>
          <w:bCs/>
        </w:rPr>
        <w:t>A2</w:t>
      </w:r>
      <w:r w:rsidRPr="00D64A67">
        <w:rPr>
          <w:rFonts w:ascii="Palatino Linotype" w:hAnsi="Palatino Linotype"/>
          <w:b/>
          <w:bCs/>
        </w:rPr>
        <w:t>: Estimation of progressivity and latecome</w:t>
      </w:r>
      <w:r>
        <w:rPr>
          <w:rFonts w:ascii="Palatino Linotype" w:hAnsi="Palatino Linotype"/>
          <w:b/>
          <w:bCs/>
        </w:rPr>
        <w:t>r</w:t>
      </w:r>
      <w:r w:rsidRPr="00D64A67">
        <w:rPr>
          <w:rFonts w:ascii="Palatino Linotype" w:hAnsi="Palatino Linotype"/>
          <w:b/>
          <w:bCs/>
        </w:rPr>
        <w:t xml:space="preserve"> catch-up factors</w:t>
      </w:r>
    </w:p>
    <w:p w:rsidR="00115593" w:rsidRPr="00D64A67" w:rsidRDefault="00115593" w:rsidP="00115593">
      <w:pPr>
        <w:ind w:firstLine="720"/>
        <w:rPr>
          <w:sz w:val="16"/>
          <w:szCs w:val="16"/>
        </w:rPr>
      </w:pPr>
    </w:p>
    <w:tbl>
      <w:tblPr>
        <w:tblW w:w="8605" w:type="dxa"/>
        <w:tblLook w:val="00A0"/>
      </w:tblPr>
      <w:tblGrid>
        <w:gridCol w:w="3434"/>
        <w:gridCol w:w="900"/>
        <w:gridCol w:w="756"/>
        <w:gridCol w:w="720"/>
        <w:gridCol w:w="756"/>
        <w:gridCol w:w="1188"/>
        <w:gridCol w:w="978"/>
      </w:tblGrid>
      <w:tr w:rsidR="00115593" w:rsidRPr="007E10A3" w:rsidTr="00651A42">
        <w:trPr>
          <w:trHeight w:val="300"/>
        </w:trPr>
        <w:tc>
          <w:tcPr>
            <w:tcW w:w="3434" w:type="dxa"/>
            <w:noWrap/>
          </w:tcPr>
          <w:p w:rsidR="00115593" w:rsidRPr="00902E34" w:rsidRDefault="00115593" w:rsidP="00651A42">
            <w:pPr>
              <w:rPr>
                <w:rFonts w:ascii="Palatino Linotype" w:hAnsi="Palatino Linotype"/>
              </w:rPr>
            </w:pPr>
            <w:r w:rsidRPr="00902E34">
              <w:t>Dependent variable:</w:t>
            </w:r>
            <w:r>
              <w:rPr>
                <w:i/>
                <w:iCs/>
              </w:rPr>
              <w:br/>
            </w:r>
            <w:r w:rsidRPr="00B83FEE">
              <w:t>(</w:t>
            </w:r>
            <w:proofErr w:type="spellStart"/>
            <w:r>
              <w:rPr>
                <w:i/>
                <w:iCs/>
              </w:rPr>
              <w:t>l</w:t>
            </w:r>
            <w:r w:rsidRPr="00902E34">
              <w:rPr>
                <w:i/>
                <w:iCs/>
              </w:rPr>
              <w:t>nTarget</w:t>
            </w:r>
            <w:proofErr w:type="spellEnd"/>
            <w:r w:rsidRPr="00902E34">
              <w:rPr>
                <w:i/>
                <w:iCs/>
              </w:rPr>
              <w:t xml:space="preserve"> </w:t>
            </w:r>
            <w:r w:rsidRPr="00B83FEE">
              <w:rPr>
                <w:i/>
                <w:iCs/>
                <w:sz w:val="20"/>
                <w:szCs w:val="20"/>
              </w:rPr>
              <w:t>2020</w:t>
            </w:r>
            <w:r w:rsidRPr="00902E34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–</w:t>
            </w:r>
            <w:r w:rsidRPr="00902E34">
              <w:rPr>
                <w:i/>
                <w:iCs/>
              </w:rPr>
              <w:t xml:space="preserve"> </w:t>
            </w:r>
            <w:proofErr w:type="spellStart"/>
            <w:r w:rsidRPr="00902E34">
              <w:rPr>
                <w:i/>
                <w:iCs/>
              </w:rPr>
              <w:t>lnBAU</w:t>
            </w:r>
            <w:proofErr w:type="spellEnd"/>
            <w:r w:rsidRPr="00B83FEE">
              <w:rPr>
                <w:i/>
                <w:iCs/>
                <w:sz w:val="12"/>
                <w:szCs w:val="12"/>
              </w:rPr>
              <w:t xml:space="preserve"> </w:t>
            </w:r>
            <w:r w:rsidRPr="00B83FEE">
              <w:rPr>
                <w:i/>
                <w:iCs/>
                <w:sz w:val="20"/>
                <w:szCs w:val="20"/>
              </w:rPr>
              <w:t>2020</w:t>
            </w:r>
            <w:r w:rsidRPr="00902E34">
              <w:t xml:space="preserve"> )</w:t>
            </w:r>
          </w:p>
        </w:tc>
        <w:tc>
          <w:tcPr>
            <w:tcW w:w="900" w:type="dxa"/>
            <w:noWrap/>
          </w:tcPr>
          <w:p w:rsidR="00115593" w:rsidRPr="007E10A3" w:rsidRDefault="00115593" w:rsidP="00651A42">
            <w:pPr>
              <w:rPr>
                <w:rFonts w:ascii="Palatino Linotype" w:hAnsi="Palatino Linotype"/>
              </w:rPr>
            </w:pPr>
            <w:proofErr w:type="spellStart"/>
            <w:r w:rsidRPr="007E10A3">
              <w:rPr>
                <w:rFonts w:ascii="Palatino Linotype" w:hAnsi="Palatino Linotype"/>
              </w:rPr>
              <w:t>Coef</w:t>
            </w:r>
            <w:proofErr w:type="spellEnd"/>
            <w:r w:rsidRPr="007E10A3">
              <w:rPr>
                <w:rFonts w:ascii="Palatino Linotype" w:hAnsi="Palatino Linotype"/>
              </w:rPr>
              <w:t>.</w:t>
            </w:r>
          </w:p>
        </w:tc>
        <w:tc>
          <w:tcPr>
            <w:tcW w:w="629" w:type="dxa"/>
            <w:noWrap/>
          </w:tcPr>
          <w:p w:rsidR="00115593" w:rsidRPr="007E10A3" w:rsidRDefault="00115593" w:rsidP="00651A42">
            <w:pPr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Std. Err.</w:t>
            </w:r>
          </w:p>
        </w:tc>
        <w:tc>
          <w:tcPr>
            <w:tcW w:w="720" w:type="dxa"/>
            <w:noWrap/>
          </w:tcPr>
          <w:p w:rsidR="00115593" w:rsidRPr="007E10A3" w:rsidRDefault="00115593" w:rsidP="00651A42">
            <w:pPr>
              <w:jc w:val="center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t</w:t>
            </w:r>
          </w:p>
        </w:tc>
        <w:tc>
          <w:tcPr>
            <w:tcW w:w="756" w:type="dxa"/>
            <w:noWrap/>
          </w:tcPr>
          <w:p w:rsidR="00115593" w:rsidRPr="007E10A3" w:rsidRDefault="00115593" w:rsidP="00651A42">
            <w:pPr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P&gt;t</w:t>
            </w:r>
          </w:p>
        </w:tc>
        <w:tc>
          <w:tcPr>
            <w:tcW w:w="1188" w:type="dxa"/>
            <w:noWrap/>
          </w:tcPr>
          <w:p w:rsidR="00115593" w:rsidRPr="00902E34" w:rsidRDefault="00115593" w:rsidP="00651A42">
            <w:pPr>
              <w:rPr>
                <w:rFonts w:ascii="Palatino Linotype" w:hAnsi="Palatino Linotype"/>
                <w:sz w:val="20"/>
                <w:szCs w:val="20"/>
              </w:rPr>
            </w:pPr>
            <w:r w:rsidRPr="00902E34">
              <w:rPr>
                <w:rFonts w:ascii="Palatino Linotype" w:hAnsi="Palatino Linotype"/>
                <w:sz w:val="20"/>
                <w:szCs w:val="20"/>
              </w:rPr>
              <w:t>[95% Conf.</w:t>
            </w:r>
          </w:p>
        </w:tc>
        <w:tc>
          <w:tcPr>
            <w:tcW w:w="978" w:type="dxa"/>
            <w:noWrap/>
          </w:tcPr>
          <w:p w:rsidR="00115593" w:rsidRPr="00902E34" w:rsidRDefault="00115593" w:rsidP="00651A42">
            <w:pPr>
              <w:rPr>
                <w:rFonts w:ascii="Palatino Linotype" w:hAnsi="Palatino Linotype"/>
                <w:sz w:val="20"/>
                <w:szCs w:val="20"/>
              </w:rPr>
            </w:pPr>
            <w:r w:rsidRPr="00902E34">
              <w:rPr>
                <w:rFonts w:ascii="Palatino Linotype" w:hAnsi="Palatino Linotype"/>
                <w:sz w:val="20"/>
                <w:szCs w:val="20"/>
              </w:rPr>
              <w:t>Interval]</w:t>
            </w:r>
          </w:p>
        </w:tc>
      </w:tr>
      <w:tr w:rsidR="00115593" w:rsidRPr="007E10A3" w:rsidTr="00651A42">
        <w:trPr>
          <w:trHeight w:val="300"/>
        </w:trPr>
        <w:tc>
          <w:tcPr>
            <w:tcW w:w="3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5593" w:rsidRPr="007E10A3" w:rsidRDefault="00115593" w:rsidP="00651A42">
            <w:pPr>
              <w:rPr>
                <w:rFonts w:ascii="Palatino Linotype" w:hAnsi="Palatino Linotyp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rPr>
                <w:rFonts w:ascii="Palatino Linotype" w:hAnsi="Palatino Linotype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rPr>
                <w:rFonts w:ascii="Palatino Linotype" w:hAnsi="Palatino Linotyp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rPr>
                <w:rFonts w:ascii="Palatino Linotype" w:hAnsi="Palatino Linotype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rPr>
                <w:rFonts w:ascii="Palatino Linotype" w:hAnsi="Palatino Linotyp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rPr>
                <w:rFonts w:ascii="Palatino Linotype" w:hAnsi="Palatino Linotype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rPr>
                <w:rFonts w:ascii="Palatino Linotype" w:hAnsi="Palatino Linotype"/>
              </w:rPr>
            </w:pPr>
          </w:p>
        </w:tc>
      </w:tr>
      <w:tr w:rsidR="00115593" w:rsidRPr="007E10A3" w:rsidTr="00651A42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5593" w:rsidRPr="00B83FEE" w:rsidRDefault="00115593" w:rsidP="00651A42">
            <w:pPr>
              <w:rPr>
                <w:rFonts w:ascii="Palatino Linotype" w:hAnsi="Palatino Linotype"/>
                <w:i/>
                <w:iCs/>
              </w:rPr>
            </w:pPr>
            <w:proofErr w:type="spellStart"/>
            <w:r>
              <w:rPr>
                <w:rFonts w:ascii="Palatino Linotype" w:hAnsi="Palatino Linotype"/>
                <w:i/>
                <w:iCs/>
              </w:rPr>
              <w:t>l</w:t>
            </w:r>
            <w:r w:rsidRPr="00B83FEE">
              <w:rPr>
                <w:rFonts w:ascii="Palatino Linotype" w:hAnsi="Palatino Linotype"/>
                <w:i/>
                <w:iCs/>
              </w:rPr>
              <w:t>n</w:t>
            </w:r>
            <w:proofErr w:type="spellEnd"/>
            <w:r w:rsidRPr="00B83FEE">
              <w:rPr>
                <w:rFonts w:ascii="Palatino Linotype" w:hAnsi="Palatino Linotype"/>
                <w:i/>
                <w:iCs/>
              </w:rPr>
              <w:t xml:space="preserve"> income per capita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-0.156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0.03</w:t>
            </w:r>
            <w:r>
              <w:rPr>
                <w:rFonts w:ascii="Palatino Linotype" w:hAnsi="Palatino Linotype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-5.07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-0.22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-0.09</w:t>
            </w:r>
          </w:p>
        </w:tc>
      </w:tr>
      <w:tr w:rsidR="00115593" w:rsidRPr="007E10A3" w:rsidTr="00651A42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5593" w:rsidRPr="00902E34" w:rsidRDefault="00115593" w:rsidP="00651A42">
            <w:pPr>
              <w:rPr>
                <w:rFonts w:ascii="Palatino Linotype" w:hAnsi="Palatino Linotype"/>
              </w:rPr>
            </w:pPr>
            <w:proofErr w:type="spellStart"/>
            <w:r w:rsidRPr="00902E34">
              <w:rPr>
                <w:i/>
                <w:iCs/>
              </w:rPr>
              <w:t>ln</w:t>
            </w:r>
            <w:proofErr w:type="spellEnd"/>
            <w:r w:rsidRPr="00902E34">
              <w:rPr>
                <w:i/>
                <w:iCs/>
              </w:rPr>
              <w:t xml:space="preserve"> emissions</w:t>
            </w:r>
            <w:r w:rsidRPr="00902E34">
              <w:rPr>
                <w:i/>
                <w:iCs/>
                <w:vertAlign w:val="subscript"/>
              </w:rPr>
              <w:t>2007</w:t>
            </w:r>
            <w:r w:rsidRPr="00902E34">
              <w:rPr>
                <w:i/>
                <w:iCs/>
              </w:rPr>
              <w:t xml:space="preserve"> </w:t>
            </w:r>
            <w:r w:rsidRPr="00902E34">
              <w:rPr>
                <w:b/>
                <w:bCs/>
                <w:i/>
                <w:iCs/>
              </w:rPr>
              <w:t>-</w:t>
            </w:r>
            <w:r w:rsidRPr="00902E34">
              <w:rPr>
                <w:i/>
                <w:iCs/>
              </w:rPr>
              <w:t>lnBAU</w:t>
            </w:r>
            <w:r w:rsidRPr="00B83FEE">
              <w:rPr>
                <w:i/>
                <w:iCs/>
                <w:sz w:val="20"/>
                <w:szCs w:val="20"/>
              </w:rPr>
              <w:t>202</w:t>
            </w:r>
            <w:r w:rsidRPr="00D64A67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0.37</w:t>
            </w:r>
            <w:r>
              <w:rPr>
                <w:rFonts w:ascii="Palatino Linotype" w:hAnsi="Palatino Linotype"/>
              </w:rPr>
              <w:t>6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0.100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3.76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0.002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0.16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0.5</w:t>
            </w:r>
            <w:r>
              <w:rPr>
                <w:rFonts w:ascii="Palatino Linotype" w:hAnsi="Palatino Linotype"/>
              </w:rPr>
              <w:t>9</w:t>
            </w:r>
          </w:p>
        </w:tc>
      </w:tr>
      <w:tr w:rsidR="00115593" w:rsidRPr="007E10A3" w:rsidTr="00651A42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5593" w:rsidRPr="00131837" w:rsidRDefault="00115593" w:rsidP="00651A42">
            <w:pPr>
              <w:rPr>
                <w:rFonts w:ascii="Palatino Linotype" w:hAnsi="Palatino Linotype"/>
              </w:rPr>
            </w:pPr>
            <w:proofErr w:type="spellStart"/>
            <w:r w:rsidRPr="00131837">
              <w:rPr>
                <w:i/>
                <w:iCs/>
              </w:rPr>
              <w:t>ln</w:t>
            </w:r>
            <w:proofErr w:type="spellEnd"/>
            <w:r w:rsidRPr="00131837">
              <w:rPr>
                <w:i/>
                <w:iCs/>
              </w:rPr>
              <w:t xml:space="preserve"> emissions</w:t>
            </w:r>
            <w:r w:rsidRPr="00131837">
              <w:rPr>
                <w:i/>
                <w:iCs/>
                <w:vertAlign w:val="subscript"/>
              </w:rPr>
              <w:t>2007</w:t>
            </w:r>
            <w:r w:rsidRPr="00131837">
              <w:rPr>
                <w:i/>
                <w:iCs/>
              </w:rPr>
              <w:t xml:space="preserve"> </w:t>
            </w:r>
            <w:r w:rsidRPr="00B83FEE">
              <w:t>-</w:t>
            </w:r>
            <w:r>
              <w:t xml:space="preserve"> </w:t>
            </w:r>
            <w:proofErr w:type="spellStart"/>
            <w:r w:rsidRPr="00131837">
              <w:rPr>
                <w:i/>
                <w:iCs/>
              </w:rPr>
              <w:t>ln</w:t>
            </w:r>
            <w:proofErr w:type="spellEnd"/>
            <w:r w:rsidRPr="00131837">
              <w:rPr>
                <w:i/>
                <w:iCs/>
              </w:rPr>
              <w:t xml:space="preserve"> emissions</w:t>
            </w:r>
            <w:r w:rsidRPr="00131837">
              <w:rPr>
                <w:i/>
                <w:iCs/>
                <w:vertAlign w:val="subscript"/>
              </w:rPr>
              <w:t>1990</w:t>
            </w:r>
            <w:r w:rsidRPr="00131837">
              <w:t xml:space="preserve"> 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-0.32</w:t>
            </w:r>
            <w:r>
              <w:rPr>
                <w:rFonts w:ascii="Palatino Linotype" w:hAnsi="Palatino Linotype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0.091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-3.58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0.002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-0.52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-0.13</w:t>
            </w:r>
          </w:p>
        </w:tc>
      </w:tr>
      <w:tr w:rsidR="00115593" w:rsidRPr="007E10A3" w:rsidTr="00651A42">
        <w:trPr>
          <w:trHeight w:val="300"/>
        </w:trPr>
        <w:tc>
          <w:tcPr>
            <w:tcW w:w="34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5593" w:rsidRPr="007E10A3" w:rsidRDefault="00115593" w:rsidP="00651A42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C</w:t>
            </w:r>
            <w:r w:rsidRPr="007E10A3">
              <w:rPr>
                <w:rFonts w:ascii="Palatino Linotype" w:hAnsi="Palatino Linotype"/>
              </w:rPr>
              <w:t>ons</w:t>
            </w:r>
            <w:r>
              <w:rPr>
                <w:rFonts w:ascii="Palatino Linotype" w:hAnsi="Palatino Linotype"/>
              </w:rPr>
              <w:t>tant term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1.38</w:t>
            </w:r>
            <w:r>
              <w:rPr>
                <w:rFonts w:ascii="Palatino Linotype" w:hAnsi="Palatino Linotype"/>
              </w:rPr>
              <w:t>4</w:t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0.</w:t>
            </w:r>
            <w:r>
              <w:rPr>
                <w:rFonts w:ascii="Palatino Linotype" w:hAnsi="Palatino Linotype"/>
              </w:rPr>
              <w:t>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4.62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0.75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7E10A3" w:rsidRDefault="00115593" w:rsidP="00651A42">
            <w:pPr>
              <w:jc w:val="right"/>
              <w:rPr>
                <w:rFonts w:ascii="Palatino Linotype" w:hAnsi="Palatino Linotype"/>
              </w:rPr>
            </w:pPr>
            <w:r w:rsidRPr="007E10A3">
              <w:rPr>
                <w:rFonts w:ascii="Palatino Linotype" w:hAnsi="Palatino Linotype"/>
              </w:rPr>
              <w:t>2.0</w:t>
            </w:r>
            <w:r>
              <w:rPr>
                <w:rFonts w:ascii="Palatino Linotype" w:hAnsi="Palatino Linotype"/>
              </w:rPr>
              <w:t>2</w:t>
            </w:r>
          </w:p>
        </w:tc>
      </w:tr>
    </w:tbl>
    <w:p w:rsidR="00115593" w:rsidRPr="003673B3" w:rsidRDefault="00115593" w:rsidP="00115593">
      <w:pPr>
        <w:rPr>
          <w:sz w:val="20"/>
          <w:szCs w:val="20"/>
        </w:rPr>
      </w:pPr>
      <w:r w:rsidRPr="003673B3">
        <w:rPr>
          <w:sz w:val="20"/>
          <w:szCs w:val="20"/>
        </w:rPr>
        <w:t>.</w:t>
      </w:r>
    </w:p>
    <w:tbl>
      <w:tblPr>
        <w:tblW w:w="6494" w:type="dxa"/>
        <w:tblInd w:w="94" w:type="dxa"/>
        <w:tblLook w:val="00A0"/>
      </w:tblPr>
      <w:tblGrid>
        <w:gridCol w:w="1244"/>
        <w:gridCol w:w="1057"/>
        <w:gridCol w:w="1198"/>
        <w:gridCol w:w="295"/>
        <w:gridCol w:w="1800"/>
        <w:gridCol w:w="900"/>
      </w:tblGrid>
      <w:tr w:rsidR="00115593" w:rsidRPr="00D46AC9" w:rsidTr="00651A42">
        <w:trPr>
          <w:trHeight w:val="300"/>
        </w:trPr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Source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SS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 xml:space="preserve">     </w:t>
            </w:r>
            <w:proofErr w:type="spellStart"/>
            <w:r w:rsidRPr="00D46AC9">
              <w:rPr>
                <w:rFonts w:ascii="Palatino Linotype" w:hAnsi="Palatino Linotype"/>
                <w:sz w:val="16"/>
                <w:szCs w:val="16"/>
              </w:rPr>
              <w:t>df</w:t>
            </w:r>
            <w:proofErr w:type="spellEnd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Number of obs</w:t>
            </w:r>
            <w:r>
              <w:rPr>
                <w:rFonts w:ascii="Palatino Linotype" w:hAnsi="Palatino Linotype"/>
                <w:sz w:val="16"/>
                <w:szCs w:val="16"/>
              </w:rPr>
              <w:t>ervations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    </w:t>
            </w:r>
            <w:r w:rsidRPr="00D46AC9">
              <w:rPr>
                <w:rFonts w:ascii="Palatino Linotype" w:hAnsi="Palatino Linotype"/>
                <w:sz w:val="16"/>
                <w:szCs w:val="16"/>
              </w:rPr>
              <w:t xml:space="preserve">  21</w:t>
            </w:r>
          </w:p>
        </w:tc>
      </w:tr>
      <w:tr w:rsidR="00115593" w:rsidRPr="00D46AC9" w:rsidTr="00651A42">
        <w:trPr>
          <w:trHeight w:val="300"/>
        </w:trPr>
        <w:tc>
          <w:tcPr>
            <w:tcW w:w="1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F ( 3,   17)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 xml:space="preserve">  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  </w:t>
            </w:r>
            <w:r w:rsidRPr="00D46AC9">
              <w:rPr>
                <w:rFonts w:ascii="Palatino Linotype" w:hAnsi="Palatino Linotype"/>
                <w:sz w:val="16"/>
                <w:szCs w:val="16"/>
              </w:rPr>
              <w:t>13.02</w:t>
            </w:r>
          </w:p>
        </w:tc>
      </w:tr>
      <w:tr w:rsidR="00115593" w:rsidRPr="00D46AC9" w:rsidTr="00651A42">
        <w:trPr>
          <w:trHeight w:val="300"/>
        </w:trPr>
        <w:tc>
          <w:tcPr>
            <w:tcW w:w="124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Model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1.092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46AC9">
              <w:rPr>
                <w:rFonts w:ascii="Palatino Linotype" w:hAnsi="Palatino Linotype"/>
                <w:sz w:val="16"/>
                <w:szCs w:val="16"/>
              </w:rPr>
              <w:t>Prob</w:t>
            </w:r>
            <w:proofErr w:type="spellEnd"/>
            <w:r w:rsidRPr="00D46AC9">
              <w:rPr>
                <w:rFonts w:ascii="Palatino Linotype" w:hAnsi="Palatino Linotype"/>
                <w:sz w:val="16"/>
                <w:szCs w:val="16"/>
              </w:rPr>
              <w:t xml:space="preserve"> &gt; F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0.0001</w:t>
            </w:r>
          </w:p>
        </w:tc>
      </w:tr>
      <w:tr w:rsidR="00115593" w:rsidRPr="00D46AC9" w:rsidTr="00651A42">
        <w:trPr>
          <w:trHeight w:val="300"/>
        </w:trPr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Residual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0.475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R</w:t>
            </w:r>
            <w:r w:rsidRPr="00D46AC9">
              <w:rPr>
                <w:rFonts w:ascii="Palatino Linotype" w:hAnsi="Palatino Linotype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0.697</w:t>
            </w:r>
          </w:p>
        </w:tc>
      </w:tr>
      <w:tr w:rsidR="00115593" w:rsidRPr="00D46AC9" w:rsidTr="00651A42">
        <w:trPr>
          <w:trHeight w:val="300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D46AC9">
              <w:rPr>
                <w:rFonts w:ascii="Palatino Linotype" w:hAnsi="Palatino Linotype"/>
                <w:sz w:val="16"/>
                <w:szCs w:val="16"/>
              </w:rPr>
              <w:t>Adj</w:t>
            </w:r>
            <w:proofErr w:type="spellEnd"/>
            <w:r w:rsidRPr="00D46AC9">
              <w:rPr>
                <w:rFonts w:ascii="Palatino Linotype" w:hAnsi="Palatino Linotype"/>
                <w:sz w:val="16"/>
                <w:szCs w:val="16"/>
              </w:rPr>
              <w:t xml:space="preserve"> R</w:t>
            </w:r>
            <w:r w:rsidRPr="00D46AC9">
              <w:rPr>
                <w:rFonts w:ascii="Palatino Linotype" w:hAnsi="Palatino Linotype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0.643</w:t>
            </w:r>
          </w:p>
        </w:tc>
      </w:tr>
      <w:tr w:rsidR="00115593" w:rsidRPr="00D46AC9" w:rsidTr="00651A42">
        <w:trPr>
          <w:trHeight w:val="300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Total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1.567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Root MSE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115593" w:rsidRPr="00D46AC9" w:rsidRDefault="00115593" w:rsidP="00651A42">
            <w:pPr>
              <w:jc w:val="right"/>
              <w:rPr>
                <w:rFonts w:ascii="Palatino Linotype" w:hAnsi="Palatino Linotype"/>
                <w:sz w:val="16"/>
                <w:szCs w:val="16"/>
              </w:rPr>
            </w:pPr>
            <w:r w:rsidRPr="00D46AC9">
              <w:rPr>
                <w:rFonts w:ascii="Palatino Linotype" w:hAnsi="Palatino Linotype"/>
                <w:sz w:val="16"/>
                <w:szCs w:val="16"/>
              </w:rPr>
              <w:t>0.167</w:t>
            </w:r>
          </w:p>
        </w:tc>
      </w:tr>
    </w:tbl>
    <w:p w:rsidR="00115593" w:rsidRDefault="00115593"/>
    <w:sectPr w:rsidR="00115593" w:rsidSect="00EC080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283"/>
  <w:drawingGridHorizontalSpacing w:val="120"/>
  <w:displayHorizontalDrawingGridEvery w:val="2"/>
  <w:characterSpacingControl w:val="doNotCompress"/>
  <w:compat/>
  <w:rsids>
    <w:rsidRoot w:val="00410EF1"/>
    <w:rsid w:val="000A019E"/>
    <w:rsid w:val="00115593"/>
    <w:rsid w:val="00410EF1"/>
    <w:rsid w:val="00505A7D"/>
    <w:rsid w:val="00531F32"/>
    <w:rsid w:val="005370A4"/>
    <w:rsid w:val="00EC0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0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E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EF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0F16-318D-451E-BFCE-1C48F950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Bosetti</dc:creator>
  <cp:lastModifiedBy>Bosetti</cp:lastModifiedBy>
  <cp:revision>3</cp:revision>
  <dcterms:created xsi:type="dcterms:W3CDTF">2012-04-18T07:50:00Z</dcterms:created>
  <dcterms:modified xsi:type="dcterms:W3CDTF">2012-05-03T15:45:00Z</dcterms:modified>
</cp:coreProperties>
</file>