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F1C" w:rsidRPr="00534F1C" w:rsidRDefault="00E61F99" w:rsidP="00534F1C">
      <w:pPr>
        <w:spacing w:after="0" w:line="240" w:lineRule="auto"/>
        <w:jc w:val="right"/>
        <w:rPr>
          <w:sz w:val="18"/>
          <w:szCs w:val="18"/>
        </w:rPr>
      </w:pPr>
      <w:r w:rsidRPr="00534F1C">
        <w:rPr>
          <w:sz w:val="18"/>
          <w:szCs w:val="18"/>
        </w:rPr>
        <w:t xml:space="preserve">                                                                     </w:t>
      </w:r>
      <w:r w:rsidR="00986B92" w:rsidRPr="00534F1C">
        <w:rPr>
          <w:sz w:val="18"/>
          <w:szCs w:val="18"/>
        </w:rPr>
        <w:t xml:space="preserve">                               </w:t>
      </w:r>
      <w:r w:rsidR="00BD081E" w:rsidRPr="00534F1C">
        <w:rPr>
          <w:sz w:val="18"/>
          <w:szCs w:val="18"/>
        </w:rPr>
        <w:t>Memo 1</w:t>
      </w:r>
      <w:r w:rsidRPr="00534F1C">
        <w:rPr>
          <w:sz w:val="18"/>
          <w:szCs w:val="18"/>
        </w:rPr>
        <w:t>,</w:t>
      </w:r>
      <w:r w:rsidR="001F5C54" w:rsidRPr="00534F1C">
        <w:rPr>
          <w:sz w:val="18"/>
          <w:szCs w:val="18"/>
        </w:rPr>
        <w:t xml:space="preserve"> April 2</w:t>
      </w:r>
      <w:r w:rsidR="006E17AC" w:rsidRPr="00534F1C">
        <w:rPr>
          <w:sz w:val="18"/>
          <w:szCs w:val="18"/>
        </w:rPr>
        <w:t>7</w:t>
      </w:r>
      <w:r w:rsidR="00534F1C">
        <w:rPr>
          <w:sz w:val="18"/>
          <w:szCs w:val="18"/>
        </w:rPr>
        <w:t>, 2018</w:t>
      </w:r>
      <w:r w:rsidR="00615EFE" w:rsidRPr="00534F1C">
        <w:rPr>
          <w:sz w:val="18"/>
          <w:szCs w:val="18"/>
        </w:rPr>
        <w:t xml:space="preserve">; </w:t>
      </w:r>
      <w:r w:rsidR="00534F1C" w:rsidRPr="00534F1C">
        <w:rPr>
          <w:sz w:val="18"/>
          <w:szCs w:val="18"/>
        </w:rPr>
        <w:br/>
      </w:r>
      <w:r w:rsidR="00615EFE" w:rsidRPr="00534F1C">
        <w:rPr>
          <w:sz w:val="18"/>
          <w:szCs w:val="18"/>
        </w:rPr>
        <w:t>revised</w:t>
      </w:r>
      <w:r w:rsidR="00F5546A" w:rsidRPr="00534F1C">
        <w:rPr>
          <w:sz w:val="18"/>
          <w:szCs w:val="18"/>
        </w:rPr>
        <w:t xml:space="preserve"> May 1</w:t>
      </w:r>
      <w:r w:rsidR="00592834" w:rsidRPr="00534F1C">
        <w:rPr>
          <w:sz w:val="18"/>
          <w:szCs w:val="18"/>
        </w:rPr>
        <w:t>6</w:t>
      </w:r>
      <w:r w:rsidR="00FA3D67">
        <w:rPr>
          <w:sz w:val="18"/>
          <w:szCs w:val="18"/>
        </w:rPr>
        <w:t xml:space="preserve"> and June 21</w:t>
      </w:r>
    </w:p>
    <w:p w:rsidR="00BD081E" w:rsidRDefault="00E45F31" w:rsidP="00534F1C">
      <w:pPr>
        <w:spacing w:after="0" w:line="240" w:lineRule="auto"/>
        <w:jc w:val="center"/>
        <w:rPr>
          <w:b/>
          <w:sz w:val="24"/>
          <w:szCs w:val="24"/>
        </w:rPr>
      </w:pPr>
      <w:r>
        <w:rPr>
          <w:sz w:val="24"/>
          <w:szCs w:val="24"/>
        </w:rPr>
        <w:br/>
      </w:r>
      <w:r w:rsidR="000137B0">
        <w:rPr>
          <w:b/>
          <w:sz w:val="24"/>
          <w:szCs w:val="24"/>
        </w:rPr>
        <w:t>Economic F</w:t>
      </w:r>
      <w:r w:rsidR="001055F7" w:rsidRPr="001055F7">
        <w:rPr>
          <w:b/>
          <w:sz w:val="24"/>
          <w:szCs w:val="24"/>
        </w:rPr>
        <w:t xml:space="preserve">undamentals and </w:t>
      </w:r>
      <w:r w:rsidR="000137B0">
        <w:rPr>
          <w:b/>
          <w:sz w:val="24"/>
          <w:szCs w:val="24"/>
        </w:rPr>
        <w:t>T</w:t>
      </w:r>
      <w:r w:rsidR="001055F7" w:rsidRPr="001055F7">
        <w:rPr>
          <w:b/>
          <w:sz w:val="24"/>
          <w:szCs w:val="24"/>
        </w:rPr>
        <w:t>heo</w:t>
      </w:r>
      <w:r w:rsidR="0059281B">
        <w:rPr>
          <w:b/>
          <w:sz w:val="24"/>
          <w:szCs w:val="24"/>
        </w:rPr>
        <w:t xml:space="preserve">ries </w:t>
      </w:r>
      <w:r w:rsidR="000137B0">
        <w:rPr>
          <w:b/>
          <w:sz w:val="24"/>
          <w:szCs w:val="24"/>
        </w:rPr>
        <w:t>R</w:t>
      </w:r>
      <w:r w:rsidR="0059281B">
        <w:rPr>
          <w:b/>
          <w:sz w:val="24"/>
          <w:szCs w:val="24"/>
        </w:rPr>
        <w:t xml:space="preserve">elevant to </w:t>
      </w:r>
      <w:r w:rsidR="00781A30">
        <w:rPr>
          <w:b/>
          <w:sz w:val="24"/>
          <w:szCs w:val="24"/>
        </w:rPr>
        <w:t>Optimal C</w:t>
      </w:r>
      <w:r w:rsidR="0059281B">
        <w:rPr>
          <w:b/>
          <w:sz w:val="24"/>
          <w:szCs w:val="24"/>
        </w:rPr>
        <w:t xml:space="preserve">urrency </w:t>
      </w:r>
      <w:r w:rsidR="00781A30">
        <w:rPr>
          <w:b/>
          <w:sz w:val="24"/>
          <w:szCs w:val="24"/>
        </w:rPr>
        <w:t>Unions</w:t>
      </w:r>
      <w:r w:rsidR="00E61F99">
        <w:rPr>
          <w:b/>
          <w:sz w:val="24"/>
          <w:szCs w:val="24"/>
        </w:rPr>
        <w:br/>
      </w:r>
      <w:r w:rsidR="004E6722">
        <w:rPr>
          <w:b/>
          <w:sz w:val="24"/>
          <w:szCs w:val="24"/>
        </w:rPr>
        <w:t xml:space="preserve">Jeffrey Frankel, </w:t>
      </w:r>
      <w:r w:rsidR="00FE77E1">
        <w:rPr>
          <w:b/>
          <w:sz w:val="24"/>
          <w:szCs w:val="24"/>
        </w:rPr>
        <w:t>Harpel Professor of Capital Formation and Growth, Harva</w:t>
      </w:r>
      <w:r w:rsidR="00BD081E">
        <w:rPr>
          <w:b/>
          <w:sz w:val="24"/>
          <w:szCs w:val="24"/>
        </w:rPr>
        <w:t>r</w:t>
      </w:r>
      <w:r w:rsidR="00FE77E1">
        <w:rPr>
          <w:b/>
          <w:sz w:val="24"/>
          <w:szCs w:val="24"/>
        </w:rPr>
        <w:t>d Kennedy School</w:t>
      </w:r>
      <w:r w:rsidR="00E61F99">
        <w:rPr>
          <w:b/>
          <w:sz w:val="24"/>
          <w:szCs w:val="24"/>
        </w:rPr>
        <w:br/>
      </w:r>
      <w:r w:rsidR="004E6722">
        <w:rPr>
          <w:b/>
          <w:sz w:val="24"/>
          <w:szCs w:val="24"/>
        </w:rPr>
        <w:t>Senior Consultant, UN Economic Commission for Africa</w:t>
      </w:r>
      <w:r w:rsidR="00534F1C">
        <w:rPr>
          <w:b/>
          <w:sz w:val="24"/>
          <w:szCs w:val="24"/>
        </w:rPr>
        <w:br/>
      </w:r>
      <w:r w:rsidR="006A5A04">
        <w:rPr>
          <w:b/>
          <w:sz w:val="24"/>
          <w:szCs w:val="24"/>
        </w:rPr>
        <w:br/>
      </w:r>
      <w:proofErr w:type="gramStart"/>
      <w:r w:rsidR="006A5A04">
        <w:t>The</w:t>
      </w:r>
      <w:proofErr w:type="gramEnd"/>
      <w:r w:rsidR="006A5A04">
        <w:t xml:space="preserve"> author wo</w:t>
      </w:r>
      <w:r w:rsidR="00384277">
        <w:t xml:space="preserve">uld like to thank Vera Songwe, </w:t>
      </w:r>
      <w:r w:rsidR="006A5A04">
        <w:t>Executive Secretary of the ECA, for guidance.</w:t>
      </w:r>
      <w:r w:rsidR="006A5A04">
        <w:rPr>
          <w:b/>
          <w:sz w:val="24"/>
          <w:szCs w:val="24"/>
        </w:rPr>
        <w:br/>
      </w:r>
    </w:p>
    <w:p w:rsidR="00BD081E" w:rsidRPr="00E61F99" w:rsidRDefault="00BD081E" w:rsidP="00534F1C">
      <w:pPr>
        <w:jc w:val="center"/>
        <w:rPr>
          <w:sz w:val="24"/>
          <w:szCs w:val="24"/>
          <w:u w:val="single"/>
        </w:rPr>
      </w:pPr>
      <w:r w:rsidRPr="00E61F99">
        <w:rPr>
          <w:b/>
          <w:sz w:val="24"/>
          <w:szCs w:val="24"/>
          <w:u w:val="single"/>
        </w:rPr>
        <w:t>Contents</w:t>
      </w:r>
    </w:p>
    <w:p w:rsidR="001055F7" w:rsidRPr="00E61F99" w:rsidRDefault="001055F7" w:rsidP="001055F7">
      <w:pPr>
        <w:pStyle w:val="ListParagraph"/>
        <w:numPr>
          <w:ilvl w:val="0"/>
          <w:numId w:val="1"/>
        </w:numPr>
      </w:pPr>
      <w:r w:rsidRPr="00E61F99">
        <w:t>Intro</w:t>
      </w:r>
      <w:r w:rsidR="002E5082" w:rsidRPr="00E61F99">
        <w:t>duction</w:t>
      </w:r>
      <w:r w:rsidR="001E5698" w:rsidRPr="00E61F99">
        <w:t>: Propos</w:t>
      </w:r>
      <w:r w:rsidR="002E5082" w:rsidRPr="00E61F99">
        <w:t>ed</w:t>
      </w:r>
      <w:r w:rsidR="001E5698" w:rsidRPr="00E61F99">
        <w:t xml:space="preserve"> Currency Unions in Africa</w:t>
      </w:r>
      <w:r w:rsidR="00BB3D25" w:rsidRPr="00E61F99">
        <w:br/>
      </w:r>
    </w:p>
    <w:p w:rsidR="001055F7" w:rsidRPr="00E61F99" w:rsidRDefault="001055F7" w:rsidP="001055F7">
      <w:pPr>
        <w:pStyle w:val="ListParagraph"/>
        <w:numPr>
          <w:ilvl w:val="0"/>
          <w:numId w:val="1"/>
        </w:numPr>
      </w:pPr>
      <w:r w:rsidRPr="00E61F99">
        <w:t>Advantages of fixed exchange rates</w:t>
      </w:r>
    </w:p>
    <w:p w:rsidR="000726C7" w:rsidRPr="00E61F99" w:rsidRDefault="000726C7" w:rsidP="001329EA">
      <w:pPr>
        <w:pStyle w:val="ListParagraph"/>
        <w:numPr>
          <w:ilvl w:val="1"/>
          <w:numId w:val="1"/>
        </w:numPr>
      </w:pPr>
      <w:r w:rsidRPr="00E61F99">
        <w:t>Avoid competitive devaluation (“currency wars”)</w:t>
      </w:r>
    </w:p>
    <w:p w:rsidR="001329EA" w:rsidRPr="00E61F99" w:rsidRDefault="000726C7" w:rsidP="001329EA">
      <w:pPr>
        <w:pStyle w:val="ListParagraph"/>
        <w:numPr>
          <w:ilvl w:val="1"/>
          <w:numId w:val="1"/>
        </w:numPr>
      </w:pPr>
      <w:r w:rsidRPr="00E61F99">
        <w:t xml:space="preserve">Provide </w:t>
      </w:r>
      <w:r w:rsidR="001329EA" w:rsidRPr="00E61F99">
        <w:t>a nominal anchor for monetary policy</w:t>
      </w:r>
    </w:p>
    <w:p w:rsidR="001329EA" w:rsidRPr="003E02B6" w:rsidRDefault="000726C7" w:rsidP="000726C7">
      <w:pPr>
        <w:pStyle w:val="ListParagraph"/>
        <w:numPr>
          <w:ilvl w:val="1"/>
          <w:numId w:val="1"/>
        </w:numPr>
        <w:rPr>
          <w:sz w:val="16"/>
          <w:szCs w:val="16"/>
        </w:rPr>
      </w:pPr>
      <w:r w:rsidRPr="00E61F99">
        <w:t>Facilitate</w:t>
      </w:r>
      <w:r w:rsidR="00D55109" w:rsidRPr="00E61F99">
        <w:t xml:space="preserve"> trade</w:t>
      </w:r>
      <w:r w:rsidR="005C4619" w:rsidRPr="00E61F99">
        <w:t xml:space="preserve"> and investment</w:t>
      </w:r>
      <w:r w:rsidR="005C4619" w:rsidRPr="003E02B6">
        <w:rPr>
          <w:sz w:val="16"/>
          <w:szCs w:val="16"/>
        </w:rPr>
        <w:br/>
      </w:r>
    </w:p>
    <w:p w:rsidR="001055F7" w:rsidRPr="00E61F99" w:rsidRDefault="001055F7" w:rsidP="001055F7">
      <w:pPr>
        <w:pStyle w:val="ListParagraph"/>
        <w:numPr>
          <w:ilvl w:val="0"/>
          <w:numId w:val="1"/>
        </w:numPr>
      </w:pPr>
      <w:r w:rsidRPr="00E61F99">
        <w:t xml:space="preserve">Advantages of </w:t>
      </w:r>
      <w:r w:rsidR="007F7613" w:rsidRPr="00E61F99">
        <w:t>independent currencies</w:t>
      </w:r>
    </w:p>
    <w:p w:rsidR="00644CD8" w:rsidRPr="00E61F99" w:rsidRDefault="00BB3D25" w:rsidP="00BB3D25">
      <w:pPr>
        <w:pStyle w:val="ListParagraph"/>
        <w:numPr>
          <w:ilvl w:val="1"/>
          <w:numId w:val="1"/>
        </w:numPr>
      </w:pPr>
      <w:r w:rsidRPr="00E61F99">
        <w:t xml:space="preserve"> Retain monetary independence</w:t>
      </w:r>
    </w:p>
    <w:p w:rsidR="00644CD8" w:rsidRPr="00E61F99" w:rsidRDefault="00BB3D25" w:rsidP="00BB3D25">
      <w:pPr>
        <w:pStyle w:val="ListParagraph"/>
        <w:numPr>
          <w:ilvl w:val="1"/>
          <w:numId w:val="1"/>
        </w:numPr>
      </w:pPr>
      <w:r w:rsidRPr="00E61F99">
        <w:t xml:space="preserve"> Automatic adjustment to trade shocks </w:t>
      </w:r>
    </w:p>
    <w:p w:rsidR="00BB3D25" w:rsidRPr="003E02B6" w:rsidRDefault="00BB3D25" w:rsidP="001F7889">
      <w:pPr>
        <w:pStyle w:val="ListParagraph"/>
        <w:numPr>
          <w:ilvl w:val="1"/>
          <w:numId w:val="1"/>
        </w:numPr>
        <w:rPr>
          <w:sz w:val="16"/>
          <w:szCs w:val="16"/>
        </w:rPr>
      </w:pPr>
      <w:r w:rsidRPr="00E61F99">
        <w:t xml:space="preserve"> Retain seigniorage</w:t>
      </w:r>
      <w:r w:rsidR="00BB23E8" w:rsidRPr="00E61F99">
        <w:t xml:space="preserve"> and</w:t>
      </w:r>
      <w:r w:rsidRPr="00E61F99">
        <w:t xml:space="preserve"> Lender of Last Resort ability</w:t>
      </w:r>
    </w:p>
    <w:p w:rsidR="00BB3D25" w:rsidRPr="003E02B6" w:rsidRDefault="00BB3D25" w:rsidP="00BB3D25">
      <w:pPr>
        <w:pStyle w:val="ListParagraph"/>
        <w:ind w:left="792"/>
        <w:rPr>
          <w:sz w:val="16"/>
          <w:szCs w:val="16"/>
        </w:rPr>
      </w:pPr>
    </w:p>
    <w:p w:rsidR="003800BA" w:rsidRPr="00E61F99" w:rsidRDefault="003800BA" w:rsidP="003800BA">
      <w:pPr>
        <w:pStyle w:val="ListParagraph"/>
        <w:numPr>
          <w:ilvl w:val="0"/>
          <w:numId w:val="1"/>
        </w:numPr>
      </w:pPr>
      <w:r w:rsidRPr="00E61F99">
        <w:t>How do currency unions differ from fixed exchange rate arrangements?</w:t>
      </w:r>
    </w:p>
    <w:p w:rsidR="000310F4" w:rsidRPr="00E61F99" w:rsidRDefault="000310F4" w:rsidP="000310F4">
      <w:pPr>
        <w:pStyle w:val="ListParagraph"/>
        <w:numPr>
          <w:ilvl w:val="1"/>
          <w:numId w:val="1"/>
        </w:numPr>
      </w:pPr>
      <w:r w:rsidRPr="00E61F99">
        <w:t>Quantitative differences between a currency union and a fixed exchange rate</w:t>
      </w:r>
    </w:p>
    <w:p w:rsidR="00A93252" w:rsidRPr="003E02B6" w:rsidRDefault="000310F4" w:rsidP="000310F4">
      <w:pPr>
        <w:pStyle w:val="ListParagraph"/>
        <w:numPr>
          <w:ilvl w:val="1"/>
          <w:numId w:val="1"/>
        </w:numPr>
        <w:rPr>
          <w:sz w:val="16"/>
          <w:szCs w:val="16"/>
        </w:rPr>
      </w:pPr>
      <w:r w:rsidRPr="00E61F99">
        <w:t>Qualitative differences between a currency union and a fixed exchange rate</w:t>
      </w:r>
      <w:r w:rsidR="00A93252" w:rsidRPr="003E02B6">
        <w:rPr>
          <w:sz w:val="16"/>
          <w:szCs w:val="16"/>
        </w:rPr>
        <w:br/>
      </w:r>
    </w:p>
    <w:p w:rsidR="00A93252" w:rsidRPr="003E02B6" w:rsidRDefault="001055F7" w:rsidP="00A93252">
      <w:pPr>
        <w:pStyle w:val="ListParagraph"/>
        <w:numPr>
          <w:ilvl w:val="0"/>
          <w:numId w:val="1"/>
        </w:numPr>
        <w:rPr>
          <w:sz w:val="16"/>
          <w:szCs w:val="16"/>
        </w:rPr>
      </w:pPr>
      <w:r w:rsidRPr="00E61F99">
        <w:t xml:space="preserve">Attempts to weigh up </w:t>
      </w:r>
      <w:r w:rsidR="00847F05" w:rsidRPr="00E61F99">
        <w:t xml:space="preserve">the net benefits of alternative </w:t>
      </w:r>
      <w:r w:rsidR="001329EA" w:rsidRPr="00E61F99">
        <w:t>exchange rate regimes</w:t>
      </w:r>
      <w:r w:rsidR="00F33A74" w:rsidRPr="003E02B6">
        <w:rPr>
          <w:sz w:val="16"/>
          <w:szCs w:val="16"/>
        </w:rPr>
        <w:br/>
      </w:r>
    </w:p>
    <w:p w:rsidR="001055F7" w:rsidRPr="00E61F99" w:rsidRDefault="00F33A74" w:rsidP="001055F7">
      <w:pPr>
        <w:pStyle w:val="ListParagraph"/>
        <w:numPr>
          <w:ilvl w:val="0"/>
          <w:numId w:val="1"/>
        </w:numPr>
      </w:pPr>
      <w:r w:rsidRPr="00E61F99">
        <w:t xml:space="preserve">Optimum Currency Area theory: </w:t>
      </w:r>
      <w:r w:rsidR="001329EA" w:rsidRPr="00E61F99">
        <w:t>Country characteristics that should influence the choice</w:t>
      </w:r>
    </w:p>
    <w:p w:rsidR="00980F3D" w:rsidRPr="00E61F99" w:rsidRDefault="00980F3D" w:rsidP="00980F3D">
      <w:pPr>
        <w:pStyle w:val="ListParagraph"/>
        <w:numPr>
          <w:ilvl w:val="1"/>
          <w:numId w:val="1"/>
        </w:numPr>
      </w:pPr>
      <w:r w:rsidRPr="00E61F99">
        <w:t xml:space="preserve">A need to import monetary stability </w:t>
      </w:r>
    </w:p>
    <w:p w:rsidR="00507DFC" w:rsidRPr="00E61F99" w:rsidRDefault="00507DFC" w:rsidP="00507DFC">
      <w:pPr>
        <w:pStyle w:val="ListParagraph"/>
        <w:numPr>
          <w:ilvl w:val="1"/>
          <w:numId w:val="1"/>
        </w:numPr>
      </w:pPr>
      <w:r w:rsidRPr="00E61F99">
        <w:t>Supply shocks</w:t>
      </w:r>
    </w:p>
    <w:p w:rsidR="00507DFC" w:rsidRPr="00E61F99" w:rsidRDefault="00507DFC" w:rsidP="00507DFC">
      <w:pPr>
        <w:pStyle w:val="ListParagraph"/>
        <w:numPr>
          <w:ilvl w:val="1"/>
          <w:numId w:val="1"/>
        </w:numPr>
      </w:pPr>
      <w:r w:rsidRPr="00E61F99">
        <w:t>Terms of trade volatility</w:t>
      </w:r>
    </w:p>
    <w:p w:rsidR="00507DFC" w:rsidRPr="00E61F99" w:rsidRDefault="00507DFC" w:rsidP="00F33A74">
      <w:pPr>
        <w:pStyle w:val="ListParagraph"/>
        <w:numPr>
          <w:ilvl w:val="1"/>
          <w:numId w:val="1"/>
        </w:numPr>
      </w:pPr>
      <w:r w:rsidRPr="00E61F99">
        <w:t>Financial development</w:t>
      </w:r>
    </w:p>
    <w:p w:rsidR="00F33A74" w:rsidRPr="00E61F99" w:rsidRDefault="00781A30" w:rsidP="00F33A74">
      <w:pPr>
        <w:pStyle w:val="ListParagraph"/>
        <w:numPr>
          <w:ilvl w:val="1"/>
          <w:numId w:val="1"/>
        </w:numPr>
      </w:pPr>
      <w:r w:rsidRPr="00E61F99">
        <w:t>Small</w:t>
      </w:r>
      <w:r w:rsidR="00C4250E">
        <w:t xml:space="preserve"> and dependent on</w:t>
      </w:r>
      <w:r w:rsidRPr="00E61F99">
        <w:t xml:space="preserve"> t</w:t>
      </w:r>
      <w:r w:rsidR="00507DFC" w:rsidRPr="00E61F99">
        <w:t>rade</w:t>
      </w:r>
    </w:p>
    <w:p w:rsidR="00F33A74" w:rsidRPr="00E61F99" w:rsidRDefault="00781A30" w:rsidP="00F33A74">
      <w:pPr>
        <w:pStyle w:val="ListParagraph"/>
        <w:numPr>
          <w:ilvl w:val="1"/>
          <w:numId w:val="1"/>
        </w:numPr>
      </w:pPr>
      <w:r w:rsidRPr="00E61F99">
        <w:t>Correlation or symmetry of shocks</w:t>
      </w:r>
    </w:p>
    <w:p w:rsidR="00020C39" w:rsidRPr="00E61F99" w:rsidRDefault="00020C39" w:rsidP="00F33A74">
      <w:pPr>
        <w:pStyle w:val="ListParagraph"/>
        <w:numPr>
          <w:ilvl w:val="1"/>
          <w:numId w:val="1"/>
        </w:numPr>
      </w:pPr>
      <w:r w:rsidRPr="00E61F99">
        <w:t>Flexibility of l</w:t>
      </w:r>
      <w:r w:rsidR="00781A30" w:rsidRPr="00E61F99">
        <w:t xml:space="preserve">abor </w:t>
      </w:r>
      <w:r w:rsidRPr="00E61F99">
        <w:t>and goods markets</w:t>
      </w:r>
    </w:p>
    <w:p w:rsidR="00F33A74" w:rsidRPr="00E61F99" w:rsidRDefault="00020C39" w:rsidP="00020C39">
      <w:pPr>
        <w:pStyle w:val="ListParagraph"/>
        <w:numPr>
          <w:ilvl w:val="1"/>
          <w:numId w:val="1"/>
        </w:numPr>
      </w:pPr>
      <w:r w:rsidRPr="00E61F99">
        <w:t>Labor mobility across borders</w:t>
      </w:r>
    </w:p>
    <w:p w:rsidR="00F33A74" w:rsidRPr="00E61F99" w:rsidRDefault="00F33A74" w:rsidP="00F33A74">
      <w:pPr>
        <w:pStyle w:val="ListParagraph"/>
        <w:numPr>
          <w:ilvl w:val="1"/>
          <w:numId w:val="1"/>
        </w:numPr>
      </w:pPr>
      <w:r w:rsidRPr="00E61F99">
        <w:t>Emigrants</w:t>
      </w:r>
      <w:r w:rsidR="00020C39" w:rsidRPr="00E61F99">
        <w:t xml:space="preserve">’ </w:t>
      </w:r>
      <w:r w:rsidRPr="00E61F99">
        <w:t>remittances</w:t>
      </w:r>
    </w:p>
    <w:p w:rsidR="0033705D" w:rsidRPr="00E61F99" w:rsidRDefault="00F33A74" w:rsidP="00E61F99">
      <w:pPr>
        <w:pStyle w:val="ListParagraph"/>
        <w:numPr>
          <w:ilvl w:val="1"/>
          <w:numId w:val="1"/>
        </w:numPr>
      </w:pPr>
      <w:r w:rsidRPr="00E61F99">
        <w:t>Countercyclical fiscal policy</w:t>
      </w:r>
    </w:p>
    <w:p w:rsidR="00B23B5C" w:rsidRPr="00E61F99" w:rsidRDefault="0033705D" w:rsidP="00E61F99">
      <w:pPr>
        <w:pStyle w:val="ListParagraph"/>
        <w:numPr>
          <w:ilvl w:val="1"/>
          <w:numId w:val="1"/>
        </w:numPr>
      </w:pPr>
      <w:r w:rsidRPr="00E61F99">
        <w:t>Political willingness to give up some sovereignty</w:t>
      </w:r>
    </w:p>
    <w:p w:rsidR="00070DC8" w:rsidRPr="003E02B6" w:rsidRDefault="00B23B5C" w:rsidP="00E61F99">
      <w:pPr>
        <w:pStyle w:val="ListParagraph"/>
        <w:numPr>
          <w:ilvl w:val="1"/>
          <w:numId w:val="1"/>
        </w:numPr>
        <w:rPr>
          <w:sz w:val="16"/>
          <w:szCs w:val="16"/>
        </w:rPr>
      </w:pPr>
      <w:r w:rsidRPr="00E61F99">
        <w:t>The endogeneity of the Optimum Currency Area criteria</w:t>
      </w:r>
      <w:r w:rsidR="00E45F31" w:rsidRPr="003E02B6">
        <w:rPr>
          <w:sz w:val="16"/>
          <w:szCs w:val="16"/>
        </w:rPr>
        <w:br/>
      </w:r>
    </w:p>
    <w:p w:rsidR="00847F05" w:rsidRPr="00E45F31" w:rsidRDefault="00BC12F5" w:rsidP="00E45F31">
      <w:pPr>
        <w:pStyle w:val="ListParagraph"/>
        <w:numPr>
          <w:ilvl w:val="0"/>
          <w:numId w:val="1"/>
        </w:numPr>
        <w:rPr>
          <w:sz w:val="20"/>
          <w:szCs w:val="20"/>
        </w:rPr>
      </w:pPr>
      <w:r w:rsidRPr="00E61F99">
        <w:t>Concluding note</w:t>
      </w:r>
      <w:r w:rsidR="00847F05" w:rsidRPr="00E45F31">
        <w:rPr>
          <w:b/>
          <w:sz w:val="24"/>
          <w:szCs w:val="24"/>
        </w:rPr>
        <w:br w:type="page"/>
      </w:r>
    </w:p>
    <w:p w:rsidR="00426F9A" w:rsidRPr="009B2EE3" w:rsidRDefault="006A5A04" w:rsidP="009B2EE3">
      <w:pPr>
        <w:jc w:val="center"/>
        <w:rPr>
          <w:b/>
          <w:sz w:val="24"/>
          <w:szCs w:val="24"/>
        </w:rPr>
      </w:pPr>
      <w:r>
        <w:rPr>
          <w:b/>
          <w:sz w:val="24"/>
          <w:szCs w:val="24"/>
        </w:rPr>
        <w:lastRenderedPageBreak/>
        <w:t>Economic F</w:t>
      </w:r>
      <w:r w:rsidR="009B2EE3" w:rsidRPr="001055F7">
        <w:rPr>
          <w:b/>
          <w:sz w:val="24"/>
          <w:szCs w:val="24"/>
        </w:rPr>
        <w:t xml:space="preserve">undamentals and </w:t>
      </w:r>
      <w:r>
        <w:rPr>
          <w:b/>
          <w:sz w:val="24"/>
          <w:szCs w:val="24"/>
        </w:rPr>
        <w:t>T</w:t>
      </w:r>
      <w:r w:rsidR="009B2EE3" w:rsidRPr="001055F7">
        <w:rPr>
          <w:b/>
          <w:sz w:val="24"/>
          <w:szCs w:val="24"/>
        </w:rPr>
        <w:t>heo</w:t>
      </w:r>
      <w:r w:rsidR="009B2EE3">
        <w:rPr>
          <w:b/>
          <w:sz w:val="24"/>
          <w:szCs w:val="24"/>
        </w:rPr>
        <w:t xml:space="preserve">ries </w:t>
      </w:r>
      <w:r>
        <w:rPr>
          <w:b/>
          <w:sz w:val="24"/>
          <w:szCs w:val="24"/>
        </w:rPr>
        <w:t>R</w:t>
      </w:r>
      <w:r w:rsidR="009B2EE3">
        <w:rPr>
          <w:b/>
          <w:sz w:val="24"/>
          <w:szCs w:val="24"/>
        </w:rPr>
        <w:t xml:space="preserve">elevant to </w:t>
      </w:r>
      <w:r>
        <w:rPr>
          <w:b/>
          <w:sz w:val="24"/>
          <w:szCs w:val="24"/>
        </w:rPr>
        <w:t>C</w:t>
      </w:r>
      <w:r w:rsidR="009B2EE3">
        <w:rPr>
          <w:b/>
          <w:sz w:val="24"/>
          <w:szCs w:val="24"/>
        </w:rPr>
        <w:t xml:space="preserve">urrency </w:t>
      </w:r>
      <w:r>
        <w:rPr>
          <w:b/>
          <w:sz w:val="24"/>
          <w:szCs w:val="24"/>
        </w:rPr>
        <w:t>Z</w:t>
      </w:r>
      <w:r w:rsidR="009B2EE3">
        <w:rPr>
          <w:b/>
          <w:sz w:val="24"/>
          <w:szCs w:val="24"/>
        </w:rPr>
        <w:t>ones</w:t>
      </w:r>
      <w:r w:rsidR="00E45F31">
        <w:rPr>
          <w:b/>
          <w:sz w:val="24"/>
          <w:szCs w:val="24"/>
        </w:rPr>
        <w:br/>
      </w:r>
    </w:p>
    <w:p w:rsidR="009F2C36" w:rsidRPr="00952E19" w:rsidRDefault="002854FE" w:rsidP="009F2C36">
      <w:pPr>
        <w:pStyle w:val="ListParagraph"/>
        <w:numPr>
          <w:ilvl w:val="0"/>
          <w:numId w:val="3"/>
        </w:numPr>
        <w:ind w:left="720" w:hanging="720"/>
        <w:rPr>
          <w:b/>
          <w:sz w:val="24"/>
          <w:szCs w:val="24"/>
        </w:rPr>
      </w:pPr>
      <w:r w:rsidRPr="00952E19">
        <w:rPr>
          <w:b/>
          <w:sz w:val="24"/>
          <w:szCs w:val="24"/>
        </w:rPr>
        <w:t>Intro</w:t>
      </w:r>
      <w:r w:rsidR="000726C7" w:rsidRPr="00952E19">
        <w:rPr>
          <w:b/>
          <w:sz w:val="24"/>
          <w:szCs w:val="24"/>
        </w:rPr>
        <w:t>duction</w:t>
      </w:r>
      <w:r w:rsidRPr="00952E19">
        <w:rPr>
          <w:b/>
          <w:sz w:val="24"/>
          <w:szCs w:val="24"/>
        </w:rPr>
        <w:t>: Propos</w:t>
      </w:r>
      <w:r w:rsidR="00952E19">
        <w:rPr>
          <w:b/>
          <w:sz w:val="24"/>
          <w:szCs w:val="24"/>
        </w:rPr>
        <w:t>ed</w:t>
      </w:r>
      <w:r w:rsidRPr="00952E19">
        <w:rPr>
          <w:b/>
          <w:sz w:val="24"/>
          <w:szCs w:val="24"/>
        </w:rPr>
        <w:t xml:space="preserve"> Currency Unions in Africa</w:t>
      </w:r>
    </w:p>
    <w:p w:rsidR="00AD1CAB" w:rsidRDefault="00AD1CAB" w:rsidP="00AD1CAB">
      <w:pPr>
        <w:pStyle w:val="ListParagraph"/>
        <w:ind w:left="0" w:firstLine="720"/>
        <w:rPr>
          <w:sz w:val="24"/>
          <w:szCs w:val="24"/>
        </w:rPr>
      </w:pPr>
    </w:p>
    <w:p w:rsidR="00421769" w:rsidRDefault="00F704BF" w:rsidP="00421769">
      <w:pPr>
        <w:pStyle w:val="ListParagraph"/>
        <w:ind w:left="0" w:firstLine="720"/>
        <w:rPr>
          <w:sz w:val="24"/>
          <w:szCs w:val="24"/>
        </w:rPr>
      </w:pPr>
      <w:r>
        <w:rPr>
          <w:sz w:val="24"/>
          <w:szCs w:val="24"/>
        </w:rPr>
        <w:t>Proposals for m</w:t>
      </w:r>
      <w:r w:rsidR="009F2C36">
        <w:rPr>
          <w:sz w:val="24"/>
          <w:szCs w:val="24"/>
        </w:rPr>
        <w:t xml:space="preserve">onetary unions have been </w:t>
      </w:r>
      <w:r>
        <w:rPr>
          <w:sz w:val="24"/>
          <w:szCs w:val="24"/>
        </w:rPr>
        <w:t>advanced</w:t>
      </w:r>
      <w:r w:rsidR="006E17AC">
        <w:rPr>
          <w:sz w:val="24"/>
          <w:szCs w:val="24"/>
        </w:rPr>
        <w:t xml:space="preserve"> in many regions of the world.  M</w:t>
      </w:r>
      <w:r w:rsidR="009F2C36">
        <w:rPr>
          <w:sz w:val="24"/>
          <w:szCs w:val="24"/>
        </w:rPr>
        <w:t xml:space="preserve">ost </w:t>
      </w:r>
      <w:r>
        <w:rPr>
          <w:sz w:val="24"/>
          <w:szCs w:val="24"/>
        </w:rPr>
        <w:t xml:space="preserve">plans </w:t>
      </w:r>
      <w:r w:rsidR="009F2C36">
        <w:rPr>
          <w:sz w:val="24"/>
          <w:szCs w:val="24"/>
        </w:rPr>
        <w:t>have come to naught</w:t>
      </w:r>
      <w:r w:rsidR="006E17AC">
        <w:rPr>
          <w:sz w:val="24"/>
          <w:szCs w:val="24"/>
        </w:rPr>
        <w:t>, however</w:t>
      </w:r>
      <w:r w:rsidR="009F2C36">
        <w:rPr>
          <w:sz w:val="24"/>
          <w:szCs w:val="24"/>
        </w:rPr>
        <w:t>.</w:t>
      </w:r>
      <w:r w:rsidR="00421769">
        <w:rPr>
          <w:sz w:val="24"/>
          <w:szCs w:val="24"/>
        </w:rPr>
        <w:br/>
      </w:r>
      <w:r w:rsidR="009F2C36">
        <w:rPr>
          <w:sz w:val="24"/>
          <w:szCs w:val="24"/>
        </w:rPr>
        <w:t xml:space="preserve"> </w:t>
      </w:r>
    </w:p>
    <w:p w:rsidR="00421769" w:rsidRDefault="009F2C36" w:rsidP="00421769">
      <w:pPr>
        <w:pStyle w:val="ListParagraph"/>
        <w:ind w:left="0" w:firstLine="720"/>
        <w:rPr>
          <w:sz w:val="24"/>
          <w:szCs w:val="24"/>
        </w:rPr>
      </w:pPr>
      <w:r>
        <w:rPr>
          <w:sz w:val="24"/>
          <w:szCs w:val="24"/>
        </w:rPr>
        <w:t>The CFA</w:t>
      </w:r>
      <w:r w:rsidR="00264D3D">
        <w:rPr>
          <w:sz w:val="24"/>
          <w:szCs w:val="24"/>
        </w:rPr>
        <w:t xml:space="preserve"> zone</w:t>
      </w:r>
      <w:r>
        <w:rPr>
          <w:sz w:val="24"/>
          <w:szCs w:val="24"/>
        </w:rPr>
        <w:t xml:space="preserve"> (</w:t>
      </w:r>
      <w:proofErr w:type="spellStart"/>
      <w:r>
        <w:rPr>
          <w:sz w:val="24"/>
          <w:szCs w:val="24"/>
        </w:rPr>
        <w:t>Communauté</w:t>
      </w:r>
      <w:proofErr w:type="spellEnd"/>
      <w:r>
        <w:rPr>
          <w:sz w:val="24"/>
          <w:szCs w:val="24"/>
        </w:rPr>
        <w:t xml:space="preserve"> </w:t>
      </w:r>
      <w:proofErr w:type="spellStart"/>
      <w:r>
        <w:rPr>
          <w:sz w:val="24"/>
          <w:szCs w:val="24"/>
        </w:rPr>
        <w:t>Financière</w:t>
      </w:r>
      <w:proofErr w:type="spellEnd"/>
      <w:r>
        <w:rPr>
          <w:sz w:val="24"/>
          <w:szCs w:val="24"/>
        </w:rPr>
        <w:t xml:space="preserve"> </w:t>
      </w:r>
      <w:proofErr w:type="spellStart"/>
      <w:r>
        <w:rPr>
          <w:sz w:val="24"/>
          <w:szCs w:val="24"/>
        </w:rPr>
        <w:t>d’Afrique</w:t>
      </w:r>
      <w:proofErr w:type="spellEnd"/>
      <w:r w:rsidR="0013281E">
        <w:rPr>
          <w:sz w:val="24"/>
          <w:szCs w:val="24"/>
        </w:rPr>
        <w:t>)</w:t>
      </w:r>
      <w:r w:rsidR="00264D3D">
        <w:rPr>
          <w:sz w:val="24"/>
          <w:szCs w:val="24"/>
        </w:rPr>
        <w:t xml:space="preserve"> is </w:t>
      </w:r>
      <w:r w:rsidR="00F704BF">
        <w:rPr>
          <w:sz w:val="24"/>
          <w:szCs w:val="24"/>
        </w:rPr>
        <w:t xml:space="preserve">relatively unusual </w:t>
      </w:r>
      <w:r>
        <w:rPr>
          <w:sz w:val="24"/>
          <w:szCs w:val="24"/>
        </w:rPr>
        <w:t xml:space="preserve">in having successfully maintained a common currency for a long time </w:t>
      </w:r>
      <w:r w:rsidR="006E17AC">
        <w:rPr>
          <w:sz w:val="24"/>
          <w:szCs w:val="24"/>
        </w:rPr>
        <w:t xml:space="preserve">among a moderately large number of sovereign countries </w:t>
      </w:r>
      <w:r>
        <w:rPr>
          <w:sz w:val="24"/>
          <w:szCs w:val="24"/>
        </w:rPr>
        <w:t>(since</w:t>
      </w:r>
      <w:r w:rsidR="0013281E">
        <w:rPr>
          <w:sz w:val="24"/>
          <w:szCs w:val="24"/>
        </w:rPr>
        <w:t xml:space="preserve"> before </w:t>
      </w:r>
      <w:r>
        <w:rPr>
          <w:sz w:val="24"/>
          <w:szCs w:val="24"/>
        </w:rPr>
        <w:t>independence in 1960</w:t>
      </w:r>
      <w:r w:rsidR="0013281E">
        <w:rPr>
          <w:sz w:val="24"/>
          <w:szCs w:val="24"/>
        </w:rPr>
        <w:t>,</w:t>
      </w:r>
      <w:r w:rsidR="006E17AC">
        <w:rPr>
          <w:sz w:val="24"/>
          <w:szCs w:val="24"/>
        </w:rPr>
        <w:t xml:space="preserve"> for most of its</w:t>
      </w:r>
      <w:r>
        <w:rPr>
          <w:sz w:val="24"/>
          <w:szCs w:val="24"/>
        </w:rPr>
        <w:t xml:space="preserve"> members)</w:t>
      </w:r>
      <w:r w:rsidR="00E61F99">
        <w:rPr>
          <w:sz w:val="24"/>
          <w:szCs w:val="24"/>
        </w:rPr>
        <w:t xml:space="preserve">.  Its two currency unions </w:t>
      </w:r>
      <w:r>
        <w:rPr>
          <w:sz w:val="24"/>
          <w:szCs w:val="24"/>
        </w:rPr>
        <w:t xml:space="preserve">currently </w:t>
      </w:r>
      <w:r w:rsidR="00264D3D">
        <w:rPr>
          <w:sz w:val="24"/>
          <w:szCs w:val="24"/>
        </w:rPr>
        <w:t xml:space="preserve">comprise </w:t>
      </w:r>
      <w:r>
        <w:rPr>
          <w:sz w:val="24"/>
          <w:szCs w:val="24"/>
        </w:rPr>
        <w:t xml:space="preserve">eight </w:t>
      </w:r>
      <w:r w:rsidR="00E61F99">
        <w:rPr>
          <w:sz w:val="24"/>
          <w:szCs w:val="24"/>
        </w:rPr>
        <w:t xml:space="preserve">countries in </w:t>
      </w:r>
      <w:r>
        <w:rPr>
          <w:sz w:val="24"/>
          <w:szCs w:val="24"/>
        </w:rPr>
        <w:t>West Africa</w:t>
      </w:r>
      <w:r w:rsidR="00E61F99">
        <w:rPr>
          <w:sz w:val="24"/>
          <w:szCs w:val="24"/>
        </w:rPr>
        <w:t xml:space="preserve"> </w:t>
      </w:r>
      <w:r>
        <w:rPr>
          <w:sz w:val="24"/>
          <w:szCs w:val="24"/>
        </w:rPr>
        <w:t xml:space="preserve">and </w:t>
      </w:r>
      <w:r w:rsidR="0013281E">
        <w:rPr>
          <w:sz w:val="24"/>
          <w:szCs w:val="24"/>
        </w:rPr>
        <w:t>six</w:t>
      </w:r>
      <w:r w:rsidR="00421769">
        <w:rPr>
          <w:sz w:val="24"/>
          <w:szCs w:val="24"/>
        </w:rPr>
        <w:t xml:space="preserve"> in Central Africa, respectively named the West African Economic and Monetary Union, or UEMOA, </w:t>
      </w:r>
      <w:r w:rsidR="00421769" w:rsidRPr="00EB1F0A">
        <w:rPr>
          <w:sz w:val="24"/>
          <w:szCs w:val="24"/>
        </w:rPr>
        <w:t xml:space="preserve">and </w:t>
      </w:r>
      <w:r w:rsidR="00EB1F0A" w:rsidRPr="00EB1F0A">
        <w:rPr>
          <w:sz w:val="24"/>
          <w:szCs w:val="24"/>
        </w:rPr>
        <w:t xml:space="preserve">the </w:t>
      </w:r>
      <w:r w:rsidR="00EB1F0A" w:rsidRPr="00EB1F0A">
        <w:rPr>
          <w:rFonts w:cs="Arial"/>
          <w:color w:val="222222"/>
          <w:sz w:val="24"/>
          <w:szCs w:val="24"/>
          <w:shd w:val="clear" w:color="auto" w:fill="FFFFFF"/>
        </w:rPr>
        <w:t>Bank of the Central African States</w:t>
      </w:r>
      <w:r w:rsidR="00EB1F0A" w:rsidRPr="00EB1F0A">
        <w:rPr>
          <w:sz w:val="24"/>
          <w:szCs w:val="24"/>
        </w:rPr>
        <w:t>, or BEAC</w:t>
      </w:r>
      <w:r w:rsidR="00421769" w:rsidRPr="00EB1F0A">
        <w:rPr>
          <w:sz w:val="24"/>
          <w:szCs w:val="24"/>
        </w:rPr>
        <w:t>.</w:t>
      </w:r>
      <w:r w:rsidR="00421769">
        <w:rPr>
          <w:sz w:val="24"/>
          <w:szCs w:val="24"/>
        </w:rPr>
        <w:t xml:space="preserve">  </w:t>
      </w:r>
      <w:r w:rsidR="001C6056">
        <w:rPr>
          <w:sz w:val="24"/>
          <w:szCs w:val="24"/>
        </w:rPr>
        <w:t xml:space="preserve">  Another successful case is the </w:t>
      </w:r>
      <w:r w:rsidR="001C6056" w:rsidRPr="00A9364F">
        <w:rPr>
          <w:rFonts w:cs="Arial"/>
          <w:bCs/>
          <w:color w:val="222222"/>
          <w:sz w:val="24"/>
          <w:szCs w:val="24"/>
          <w:shd w:val="clear" w:color="auto" w:fill="FFFFFF"/>
        </w:rPr>
        <w:t>Common Monetary Area</w:t>
      </w:r>
      <w:r w:rsidR="001C6056" w:rsidRPr="00A9364F">
        <w:rPr>
          <w:rFonts w:cs="Arial"/>
          <w:color w:val="222222"/>
          <w:sz w:val="24"/>
          <w:szCs w:val="24"/>
          <w:shd w:val="clear" w:color="auto" w:fill="FFFFFF"/>
        </w:rPr>
        <w:t> (</w:t>
      </w:r>
      <w:r w:rsidR="001C6056" w:rsidRPr="00A9364F">
        <w:rPr>
          <w:rFonts w:cs="Arial"/>
          <w:bCs/>
          <w:color w:val="222222"/>
          <w:sz w:val="24"/>
          <w:szCs w:val="24"/>
          <w:shd w:val="clear" w:color="auto" w:fill="FFFFFF"/>
        </w:rPr>
        <w:t>CMA</w:t>
      </w:r>
      <w:r w:rsidR="001C6056" w:rsidRPr="00A9364F">
        <w:rPr>
          <w:rFonts w:cs="Arial"/>
          <w:color w:val="222222"/>
          <w:sz w:val="24"/>
          <w:szCs w:val="24"/>
          <w:shd w:val="clear" w:color="auto" w:fill="FFFFFF"/>
        </w:rPr>
        <w:t xml:space="preserve">), a long-standing </w:t>
      </w:r>
      <w:r w:rsidR="001C6056">
        <w:rPr>
          <w:rFonts w:cs="Arial"/>
          <w:color w:val="222222"/>
          <w:sz w:val="24"/>
          <w:szCs w:val="24"/>
          <w:shd w:val="clear" w:color="auto" w:fill="FFFFFF"/>
        </w:rPr>
        <w:t xml:space="preserve">exchange rate </w:t>
      </w:r>
      <w:r w:rsidR="001C6056" w:rsidRPr="00A9364F">
        <w:rPr>
          <w:rFonts w:cs="Arial"/>
          <w:color w:val="222222"/>
          <w:sz w:val="24"/>
          <w:szCs w:val="24"/>
          <w:shd w:val="clear" w:color="auto" w:fill="FFFFFF"/>
        </w:rPr>
        <w:t>union that includes South Africa, Lesotho, Namibia and Swaziland</w:t>
      </w:r>
      <w:r w:rsidR="001C6056" w:rsidRPr="00A9364F">
        <w:rPr>
          <w:sz w:val="24"/>
          <w:szCs w:val="24"/>
        </w:rPr>
        <w:t>.</w:t>
      </w:r>
    </w:p>
    <w:p w:rsidR="005C794F" w:rsidRDefault="009F2C36" w:rsidP="00421769">
      <w:pPr>
        <w:pStyle w:val="ListParagraph"/>
        <w:ind w:left="0" w:firstLine="720"/>
        <w:rPr>
          <w:rFonts w:ascii="Arial" w:hAnsi="Arial" w:cs="Arial"/>
          <w:color w:val="222222"/>
          <w:sz w:val="21"/>
          <w:szCs w:val="21"/>
          <w:shd w:val="clear" w:color="auto" w:fill="FFFFFF"/>
        </w:rPr>
      </w:pPr>
      <w:r>
        <w:rPr>
          <w:sz w:val="24"/>
          <w:szCs w:val="24"/>
        </w:rPr>
        <w:t>In 1987 the</w:t>
      </w:r>
      <w:r w:rsidR="0010171A">
        <w:rPr>
          <w:sz w:val="24"/>
          <w:szCs w:val="24"/>
        </w:rPr>
        <w:t xml:space="preserve"> leaders of the full set of West African countries</w:t>
      </w:r>
      <w:r w:rsidR="0013281E">
        <w:rPr>
          <w:sz w:val="24"/>
          <w:szCs w:val="24"/>
        </w:rPr>
        <w:t xml:space="preserve"> in ECOWAS (the Economic Community of West African States)</w:t>
      </w:r>
      <w:r w:rsidR="0010171A">
        <w:rPr>
          <w:sz w:val="24"/>
          <w:szCs w:val="24"/>
        </w:rPr>
        <w:t xml:space="preserve">, </w:t>
      </w:r>
      <w:r w:rsidR="00264D3D">
        <w:rPr>
          <w:sz w:val="24"/>
          <w:szCs w:val="24"/>
        </w:rPr>
        <w:t xml:space="preserve">including </w:t>
      </w:r>
      <w:r w:rsidR="0010171A">
        <w:rPr>
          <w:sz w:val="24"/>
          <w:szCs w:val="24"/>
        </w:rPr>
        <w:t xml:space="preserve">both </w:t>
      </w:r>
      <w:r w:rsidR="00D30D02">
        <w:rPr>
          <w:sz w:val="24"/>
          <w:szCs w:val="24"/>
        </w:rPr>
        <w:t xml:space="preserve">the West African members of CFA </w:t>
      </w:r>
      <w:r w:rsidR="00421769">
        <w:rPr>
          <w:sz w:val="24"/>
          <w:szCs w:val="24"/>
        </w:rPr>
        <w:t>(</w:t>
      </w:r>
      <w:r w:rsidR="00D30D02">
        <w:rPr>
          <w:sz w:val="24"/>
          <w:szCs w:val="24"/>
        </w:rPr>
        <w:t xml:space="preserve">UEMOA) </w:t>
      </w:r>
      <w:r w:rsidR="0010171A">
        <w:rPr>
          <w:sz w:val="24"/>
          <w:szCs w:val="24"/>
        </w:rPr>
        <w:t xml:space="preserve">and non-members, adopted a program to move forward with plans for monetary union in 2000.  That </w:t>
      </w:r>
      <w:r w:rsidR="0013281E">
        <w:rPr>
          <w:sz w:val="24"/>
          <w:szCs w:val="24"/>
        </w:rPr>
        <w:t xml:space="preserve">target </w:t>
      </w:r>
      <w:r w:rsidR="0010171A">
        <w:rPr>
          <w:sz w:val="24"/>
          <w:szCs w:val="24"/>
        </w:rPr>
        <w:t>date</w:t>
      </w:r>
      <w:r w:rsidR="00A9364F">
        <w:rPr>
          <w:sz w:val="24"/>
          <w:szCs w:val="24"/>
        </w:rPr>
        <w:t xml:space="preserve"> has been repeatedly postponed, </w:t>
      </w:r>
      <w:r w:rsidR="0010171A">
        <w:rPr>
          <w:sz w:val="24"/>
          <w:szCs w:val="24"/>
        </w:rPr>
        <w:t>partly because the member economies were not judged to have achieved established criteria for an optimal currency area.</w:t>
      </w:r>
      <w:r w:rsidR="00D30D02">
        <w:rPr>
          <w:sz w:val="24"/>
          <w:szCs w:val="24"/>
        </w:rPr>
        <w:t xml:space="preserve">  </w:t>
      </w:r>
      <w:r w:rsidR="006E17AC">
        <w:rPr>
          <w:sz w:val="24"/>
          <w:szCs w:val="24"/>
        </w:rPr>
        <w:t>At the same time, s</w:t>
      </w:r>
      <w:r w:rsidR="00D30D02">
        <w:rPr>
          <w:sz w:val="24"/>
          <w:szCs w:val="24"/>
        </w:rPr>
        <w:t xml:space="preserve">ix non-CFA West African countries belong to WAMZ (the </w:t>
      </w:r>
      <w:r w:rsidR="00421769">
        <w:rPr>
          <w:sz w:val="24"/>
          <w:szCs w:val="24"/>
        </w:rPr>
        <w:t xml:space="preserve">planned </w:t>
      </w:r>
      <w:r w:rsidR="00D30D02">
        <w:rPr>
          <w:sz w:val="24"/>
          <w:szCs w:val="24"/>
        </w:rPr>
        <w:t xml:space="preserve">West African Monetary Zone) which was formed </w:t>
      </w:r>
      <w:r w:rsidR="00670D43">
        <w:rPr>
          <w:sz w:val="24"/>
          <w:szCs w:val="24"/>
        </w:rPr>
        <w:t>in 2000 to pursue a common currency</w:t>
      </w:r>
      <w:r w:rsidR="006E17AC">
        <w:rPr>
          <w:sz w:val="24"/>
          <w:szCs w:val="24"/>
        </w:rPr>
        <w:t xml:space="preserve">, </w:t>
      </w:r>
      <w:r w:rsidR="00670D43">
        <w:rPr>
          <w:sz w:val="24"/>
          <w:szCs w:val="24"/>
        </w:rPr>
        <w:t>the eco</w:t>
      </w:r>
      <w:r w:rsidR="00421769">
        <w:rPr>
          <w:sz w:val="24"/>
          <w:szCs w:val="24"/>
        </w:rPr>
        <w:t>,</w:t>
      </w:r>
      <w:r w:rsidR="00670D43">
        <w:rPr>
          <w:sz w:val="24"/>
          <w:szCs w:val="24"/>
        </w:rPr>
        <w:t xml:space="preserve"> </w:t>
      </w:r>
      <w:r w:rsidR="00421769">
        <w:rPr>
          <w:sz w:val="24"/>
          <w:szCs w:val="24"/>
        </w:rPr>
        <w:t xml:space="preserve">on the road to that eventual monetary integration </w:t>
      </w:r>
      <w:r w:rsidR="006E17AC">
        <w:rPr>
          <w:sz w:val="24"/>
          <w:szCs w:val="24"/>
        </w:rPr>
        <w:t>with the UEMOA countries. I</w:t>
      </w:r>
      <w:r w:rsidR="00421769">
        <w:rPr>
          <w:sz w:val="24"/>
          <w:szCs w:val="24"/>
        </w:rPr>
        <w:t xml:space="preserve">ts start date, </w:t>
      </w:r>
      <w:r w:rsidR="006E17AC">
        <w:rPr>
          <w:sz w:val="24"/>
          <w:szCs w:val="24"/>
        </w:rPr>
        <w:t xml:space="preserve">however, </w:t>
      </w:r>
      <w:r w:rsidR="00421769">
        <w:rPr>
          <w:sz w:val="24"/>
          <w:szCs w:val="24"/>
        </w:rPr>
        <w:t xml:space="preserve">originally set </w:t>
      </w:r>
      <w:r w:rsidR="00421769" w:rsidRPr="00421769">
        <w:rPr>
          <w:sz w:val="24"/>
          <w:szCs w:val="24"/>
        </w:rPr>
        <w:t xml:space="preserve">for </w:t>
      </w:r>
      <w:r w:rsidR="00670D43" w:rsidRPr="00421769">
        <w:rPr>
          <w:rFonts w:cs="Arial"/>
          <w:color w:val="222222"/>
          <w:sz w:val="24"/>
          <w:szCs w:val="24"/>
          <w:shd w:val="clear" w:color="auto" w:fill="FFFFFF"/>
        </w:rPr>
        <w:t>2003</w:t>
      </w:r>
      <w:r w:rsidR="00421769" w:rsidRPr="00421769">
        <w:rPr>
          <w:rFonts w:cs="Arial"/>
          <w:color w:val="222222"/>
          <w:sz w:val="24"/>
          <w:szCs w:val="24"/>
          <w:shd w:val="clear" w:color="auto" w:fill="FFFFFF"/>
        </w:rPr>
        <w:t>, has again been repeatedly postponed.</w:t>
      </w:r>
      <w:r w:rsidR="00421769">
        <w:rPr>
          <w:rFonts w:ascii="Arial" w:hAnsi="Arial" w:cs="Arial"/>
          <w:color w:val="222222"/>
          <w:sz w:val="21"/>
          <w:szCs w:val="21"/>
          <w:shd w:val="clear" w:color="auto" w:fill="FFFFFF"/>
        </w:rPr>
        <w:t xml:space="preserve"> </w:t>
      </w:r>
    </w:p>
    <w:p w:rsidR="00AD1CAB" w:rsidRPr="005C794F" w:rsidRDefault="00D30D02" w:rsidP="00421769">
      <w:pPr>
        <w:pStyle w:val="ListParagraph"/>
        <w:ind w:left="0" w:firstLine="720"/>
        <w:rPr>
          <w:sz w:val="24"/>
          <w:szCs w:val="24"/>
        </w:rPr>
      </w:pPr>
      <w:r w:rsidRPr="005C794F">
        <w:rPr>
          <w:sz w:val="24"/>
          <w:szCs w:val="24"/>
        </w:rPr>
        <w:t xml:space="preserve">Monetary unions have also been proposed </w:t>
      </w:r>
      <w:r w:rsidR="002F621D" w:rsidRPr="005C794F">
        <w:rPr>
          <w:sz w:val="24"/>
          <w:szCs w:val="24"/>
        </w:rPr>
        <w:t xml:space="preserve">over the years </w:t>
      </w:r>
      <w:r w:rsidRPr="005C794F">
        <w:rPr>
          <w:sz w:val="24"/>
          <w:szCs w:val="24"/>
        </w:rPr>
        <w:t>in East Africa and Southern Africa</w:t>
      </w:r>
      <w:r w:rsidR="00C44DA1">
        <w:rPr>
          <w:sz w:val="24"/>
          <w:szCs w:val="24"/>
        </w:rPr>
        <w:t xml:space="preserve"> (COMESA and SADC, respectively)</w:t>
      </w:r>
      <w:r w:rsidR="00ED1B19">
        <w:rPr>
          <w:sz w:val="24"/>
          <w:szCs w:val="24"/>
        </w:rPr>
        <w:t>. T</w:t>
      </w:r>
      <w:r w:rsidR="00421769" w:rsidRPr="005C794F">
        <w:rPr>
          <w:sz w:val="24"/>
          <w:szCs w:val="24"/>
        </w:rPr>
        <w:t>hey too have made little progress</w:t>
      </w:r>
      <w:r w:rsidR="00ED1B19">
        <w:rPr>
          <w:sz w:val="24"/>
          <w:szCs w:val="24"/>
        </w:rPr>
        <w:t xml:space="preserve">.  </w:t>
      </w:r>
      <w:r w:rsidR="0049103C">
        <w:rPr>
          <w:sz w:val="24"/>
          <w:szCs w:val="24"/>
        </w:rPr>
        <w:t>But t</w:t>
      </w:r>
      <w:r w:rsidR="005C794F" w:rsidRPr="00A9364F">
        <w:rPr>
          <w:rFonts w:cs="Arial"/>
          <w:color w:val="222222"/>
          <w:sz w:val="24"/>
          <w:szCs w:val="24"/>
          <w:shd w:val="clear" w:color="auto" w:fill="FFFFFF"/>
        </w:rPr>
        <w:t>he Abuja Treaty of 1991</w:t>
      </w:r>
      <w:r w:rsidR="005C794F" w:rsidRPr="005C794F">
        <w:rPr>
          <w:rFonts w:cs="Arial"/>
          <w:color w:val="222222"/>
          <w:sz w:val="24"/>
          <w:szCs w:val="24"/>
          <w:shd w:val="clear" w:color="auto" w:fill="FFFFFF"/>
        </w:rPr>
        <w:t xml:space="preserve"> calls for establishing </w:t>
      </w:r>
      <w:r w:rsidR="005C794F">
        <w:rPr>
          <w:rFonts w:cs="Arial"/>
          <w:color w:val="222222"/>
          <w:sz w:val="24"/>
          <w:szCs w:val="24"/>
          <w:shd w:val="clear" w:color="auto" w:fill="FFFFFF"/>
        </w:rPr>
        <w:t xml:space="preserve">a </w:t>
      </w:r>
      <w:r w:rsidR="005C794F" w:rsidRPr="005C794F">
        <w:rPr>
          <w:rFonts w:cs="Arial"/>
          <w:color w:val="222222"/>
          <w:sz w:val="24"/>
          <w:szCs w:val="24"/>
          <w:shd w:val="clear" w:color="auto" w:fill="FFFFFF"/>
        </w:rPr>
        <w:t xml:space="preserve">pan-continental African Central Bank </w:t>
      </w:r>
      <w:r w:rsidR="005C794F">
        <w:rPr>
          <w:rFonts w:cs="Arial"/>
          <w:color w:val="222222"/>
          <w:sz w:val="24"/>
          <w:szCs w:val="24"/>
          <w:shd w:val="clear" w:color="auto" w:fill="FFFFFF"/>
        </w:rPr>
        <w:t xml:space="preserve">and single currency </w:t>
      </w:r>
      <w:r w:rsidR="005C794F" w:rsidRPr="005C794F">
        <w:rPr>
          <w:rFonts w:cs="Arial"/>
          <w:color w:val="222222"/>
          <w:sz w:val="24"/>
          <w:szCs w:val="24"/>
          <w:shd w:val="clear" w:color="auto" w:fill="FFFFFF"/>
        </w:rPr>
        <w:t>by 2028</w:t>
      </w:r>
      <w:r w:rsidR="006A52B0">
        <w:rPr>
          <w:rFonts w:cs="Arial"/>
          <w:color w:val="222222"/>
          <w:sz w:val="24"/>
          <w:szCs w:val="24"/>
          <w:shd w:val="clear" w:color="auto" w:fill="FFFFFF"/>
        </w:rPr>
        <w:t>, with the sub-continental monetary areas as building blocks or stepping stones</w:t>
      </w:r>
      <w:r w:rsidR="005C794F">
        <w:rPr>
          <w:rFonts w:cs="Arial"/>
          <w:color w:val="222222"/>
          <w:sz w:val="24"/>
          <w:szCs w:val="24"/>
          <w:shd w:val="clear" w:color="auto" w:fill="FFFFFF"/>
        </w:rPr>
        <w:t>.</w:t>
      </w:r>
    </w:p>
    <w:p w:rsidR="00CC2A39" w:rsidRDefault="00CC2A39" w:rsidP="00421769">
      <w:pPr>
        <w:pStyle w:val="ListParagraph"/>
        <w:ind w:left="0" w:firstLine="720"/>
        <w:rPr>
          <w:sz w:val="24"/>
          <w:szCs w:val="24"/>
        </w:rPr>
      </w:pPr>
      <w:r w:rsidRPr="000726C7">
        <w:t>The same pattern – bold decisions by political leaders to commit to monetary integration, followed by repeated postponement – is evident in other parts of the world.  For example, the members of the Gulf Cooperation Council have not followed through on their 2003 decision to adopt a monetary union by 2010.</w:t>
      </w:r>
      <w:r>
        <w:t xml:space="preserve">  </w:t>
      </w:r>
    </w:p>
    <w:p w:rsidR="00AD1CAB" w:rsidRDefault="00AD1CAB" w:rsidP="00AD1CAB">
      <w:pPr>
        <w:pStyle w:val="ListParagraph"/>
        <w:ind w:left="0" w:firstLine="720"/>
        <w:rPr>
          <w:sz w:val="24"/>
          <w:szCs w:val="24"/>
        </w:rPr>
      </w:pPr>
    </w:p>
    <w:p w:rsidR="00826120" w:rsidRDefault="00826120" w:rsidP="00AD1CAB">
      <w:pPr>
        <w:pStyle w:val="ListParagraph"/>
        <w:ind w:left="0" w:firstLine="720"/>
        <w:rPr>
          <w:sz w:val="24"/>
          <w:szCs w:val="24"/>
        </w:rPr>
      </w:pPr>
      <w:r>
        <w:rPr>
          <w:sz w:val="24"/>
          <w:szCs w:val="24"/>
        </w:rPr>
        <w:t xml:space="preserve">Meanwhile </w:t>
      </w:r>
      <w:r w:rsidR="0059281B">
        <w:rPr>
          <w:sz w:val="24"/>
          <w:szCs w:val="24"/>
        </w:rPr>
        <w:t xml:space="preserve">in Europe, 11 countries </w:t>
      </w:r>
      <w:r w:rsidR="006E17AC">
        <w:rPr>
          <w:sz w:val="24"/>
          <w:szCs w:val="24"/>
        </w:rPr>
        <w:t>did eventually follow</w:t>
      </w:r>
      <w:r w:rsidR="0059281B">
        <w:rPr>
          <w:sz w:val="24"/>
          <w:szCs w:val="24"/>
        </w:rPr>
        <w:t xml:space="preserve"> through with </w:t>
      </w:r>
      <w:r w:rsidR="00264D3D">
        <w:rPr>
          <w:sz w:val="24"/>
          <w:szCs w:val="24"/>
        </w:rPr>
        <w:t xml:space="preserve">historic </w:t>
      </w:r>
      <w:r w:rsidR="0059281B">
        <w:rPr>
          <w:sz w:val="24"/>
          <w:szCs w:val="24"/>
        </w:rPr>
        <w:t xml:space="preserve">plans to </w:t>
      </w:r>
      <w:r w:rsidR="0049103C">
        <w:rPr>
          <w:sz w:val="24"/>
          <w:szCs w:val="24"/>
        </w:rPr>
        <w:t>adopt</w:t>
      </w:r>
      <w:r w:rsidR="0059281B">
        <w:rPr>
          <w:sz w:val="24"/>
          <w:szCs w:val="24"/>
        </w:rPr>
        <w:t xml:space="preserve"> a common currency in 1999, </w:t>
      </w:r>
      <w:r w:rsidR="00CC2A39">
        <w:rPr>
          <w:sz w:val="24"/>
          <w:szCs w:val="24"/>
        </w:rPr>
        <w:t xml:space="preserve">the euro, </w:t>
      </w:r>
      <w:r w:rsidR="0009403C">
        <w:rPr>
          <w:sz w:val="24"/>
          <w:szCs w:val="24"/>
        </w:rPr>
        <w:t>joined</w:t>
      </w:r>
      <w:r w:rsidR="0059281B">
        <w:rPr>
          <w:sz w:val="24"/>
          <w:szCs w:val="24"/>
        </w:rPr>
        <w:t xml:space="preserve"> by</w:t>
      </w:r>
      <w:r w:rsidR="00377A02">
        <w:rPr>
          <w:sz w:val="24"/>
          <w:szCs w:val="24"/>
        </w:rPr>
        <w:t xml:space="preserve"> an additional 8</w:t>
      </w:r>
      <w:r w:rsidR="0059281B">
        <w:rPr>
          <w:sz w:val="24"/>
          <w:szCs w:val="24"/>
        </w:rPr>
        <w:t xml:space="preserve"> others</w:t>
      </w:r>
      <w:r w:rsidR="0013281E">
        <w:rPr>
          <w:sz w:val="24"/>
          <w:szCs w:val="24"/>
        </w:rPr>
        <w:t xml:space="preserve"> subsequently</w:t>
      </w:r>
      <w:r w:rsidR="002F621D">
        <w:rPr>
          <w:sz w:val="24"/>
          <w:szCs w:val="24"/>
        </w:rPr>
        <w:t xml:space="preserve">. </w:t>
      </w:r>
      <w:r w:rsidR="0059281B">
        <w:rPr>
          <w:sz w:val="24"/>
          <w:szCs w:val="24"/>
        </w:rPr>
        <w:t>They judged themselves to have satisfied a set of criteria agreed at Maastricht in 1991</w:t>
      </w:r>
      <w:r w:rsidR="0009403C">
        <w:rPr>
          <w:sz w:val="24"/>
          <w:szCs w:val="24"/>
        </w:rPr>
        <w:t>.  S</w:t>
      </w:r>
      <w:r w:rsidR="0059281B">
        <w:rPr>
          <w:sz w:val="24"/>
          <w:szCs w:val="24"/>
        </w:rPr>
        <w:t xml:space="preserve">ome </w:t>
      </w:r>
      <w:r w:rsidR="0059281B">
        <w:rPr>
          <w:sz w:val="24"/>
          <w:szCs w:val="24"/>
        </w:rPr>
        <w:lastRenderedPageBreak/>
        <w:t>economists were skeptical.</w:t>
      </w:r>
      <w:r w:rsidR="00FD1B60">
        <w:rPr>
          <w:rStyle w:val="FootnoteReference"/>
          <w:sz w:val="24"/>
          <w:szCs w:val="24"/>
        </w:rPr>
        <w:footnoteReference w:id="1"/>
      </w:r>
      <w:r w:rsidR="0059281B">
        <w:rPr>
          <w:sz w:val="24"/>
          <w:szCs w:val="24"/>
        </w:rPr>
        <w:t xml:space="preserve">  For the first 10 years, the euro seemed to have prove</w:t>
      </w:r>
      <w:r w:rsidR="006E17AC">
        <w:rPr>
          <w:sz w:val="24"/>
          <w:szCs w:val="24"/>
        </w:rPr>
        <w:t>n</w:t>
      </w:r>
      <w:r w:rsidR="0059281B">
        <w:rPr>
          <w:sz w:val="24"/>
          <w:szCs w:val="24"/>
        </w:rPr>
        <w:t xml:space="preserve"> the skeptics wrong.  Its success helped inspire other regional country groups to consider following suit.</w:t>
      </w:r>
      <w:r w:rsidR="0013281E">
        <w:rPr>
          <w:sz w:val="24"/>
          <w:szCs w:val="24"/>
        </w:rPr>
        <w:t xml:space="preserve">  Conversely, when the euro</w:t>
      </w:r>
      <w:r w:rsidR="00264D3D">
        <w:rPr>
          <w:sz w:val="24"/>
          <w:szCs w:val="24"/>
        </w:rPr>
        <w:t xml:space="preserve"> lost its luster</w:t>
      </w:r>
      <w:r w:rsidR="0013281E">
        <w:rPr>
          <w:sz w:val="24"/>
          <w:szCs w:val="24"/>
        </w:rPr>
        <w:t xml:space="preserve"> – due to the crisis </w:t>
      </w:r>
      <w:r w:rsidR="006E17AC">
        <w:rPr>
          <w:sz w:val="24"/>
          <w:szCs w:val="24"/>
        </w:rPr>
        <w:t xml:space="preserve">that </w:t>
      </w:r>
      <w:r w:rsidR="0013281E">
        <w:rPr>
          <w:sz w:val="24"/>
          <w:szCs w:val="24"/>
        </w:rPr>
        <w:t>erupted in Greece in 2010 and spread to other euro members – the highly visible European troubles took some of the wind out of the sails for other regional groupings with aspirations for monetary integration.</w:t>
      </w:r>
      <w:r w:rsidR="00F32FD1">
        <w:rPr>
          <w:sz w:val="24"/>
          <w:szCs w:val="24"/>
        </w:rPr>
        <w:t xml:space="preserve">  Nevertheless, the eurozone has survived the crisis, at least in the sense that no countries have dropped out.</w:t>
      </w:r>
      <w:r w:rsidR="00942F72">
        <w:rPr>
          <w:sz w:val="24"/>
          <w:szCs w:val="24"/>
        </w:rPr>
        <w:t xml:space="preserve">  At a minimum, the first 20 years of experience with the euro contain some useful lessons for other regional groups of countries contemplating monetary integration.</w:t>
      </w:r>
    </w:p>
    <w:p w:rsidR="0059281B" w:rsidRDefault="0059281B" w:rsidP="00AD1CAB">
      <w:pPr>
        <w:pStyle w:val="ListParagraph"/>
        <w:ind w:left="0"/>
        <w:rPr>
          <w:sz w:val="24"/>
          <w:szCs w:val="24"/>
        </w:rPr>
      </w:pPr>
    </w:p>
    <w:p w:rsidR="0009403C" w:rsidRDefault="00942F72" w:rsidP="00AD1CAB">
      <w:pPr>
        <w:pStyle w:val="ListParagraph"/>
        <w:ind w:left="0"/>
        <w:rPr>
          <w:sz w:val="24"/>
          <w:szCs w:val="24"/>
        </w:rPr>
      </w:pPr>
      <w:r>
        <w:rPr>
          <w:sz w:val="24"/>
          <w:szCs w:val="24"/>
        </w:rPr>
        <w:tab/>
        <w:t xml:space="preserve">Perhaps </w:t>
      </w:r>
      <w:r w:rsidR="00F935C4">
        <w:rPr>
          <w:sz w:val="24"/>
          <w:szCs w:val="24"/>
        </w:rPr>
        <w:t>momentum is returning to efforts at regional integration in Africa.  In March 2018, 44 African leaders signed an agreement for the African Continental Free Trade Area.</w:t>
      </w:r>
      <w:r w:rsidR="00273AA4">
        <w:rPr>
          <w:rStyle w:val="FootnoteReference"/>
          <w:sz w:val="24"/>
          <w:szCs w:val="24"/>
        </w:rPr>
        <w:footnoteReference w:id="2"/>
      </w:r>
      <w:r w:rsidR="00F935C4">
        <w:rPr>
          <w:sz w:val="24"/>
          <w:szCs w:val="24"/>
        </w:rPr>
        <w:t xml:space="preserve">  It is a good time to re-examine whether it is desirable for one or more groups of African countries to join in larger currency areas.   </w:t>
      </w:r>
    </w:p>
    <w:p w:rsidR="0009403C" w:rsidRDefault="0009403C" w:rsidP="00AD1CAB">
      <w:pPr>
        <w:pStyle w:val="ListParagraph"/>
        <w:ind w:left="0"/>
        <w:rPr>
          <w:sz w:val="24"/>
          <w:szCs w:val="24"/>
        </w:rPr>
      </w:pPr>
    </w:p>
    <w:p w:rsidR="0059281B" w:rsidRDefault="00F935C4" w:rsidP="0009403C">
      <w:pPr>
        <w:pStyle w:val="ListParagraph"/>
        <w:ind w:left="0" w:firstLine="720"/>
        <w:rPr>
          <w:sz w:val="24"/>
          <w:szCs w:val="24"/>
        </w:rPr>
      </w:pPr>
      <w:r>
        <w:rPr>
          <w:sz w:val="24"/>
          <w:szCs w:val="24"/>
        </w:rPr>
        <w:t>This first</w:t>
      </w:r>
      <w:r w:rsidR="006E17AC">
        <w:rPr>
          <w:sz w:val="24"/>
          <w:szCs w:val="24"/>
        </w:rPr>
        <w:t xml:space="preserve"> installment</w:t>
      </w:r>
      <w:r>
        <w:rPr>
          <w:sz w:val="24"/>
          <w:szCs w:val="24"/>
        </w:rPr>
        <w:t xml:space="preserve"> in a series of memos will no</w:t>
      </w:r>
      <w:r w:rsidR="008C155B">
        <w:rPr>
          <w:sz w:val="24"/>
          <w:szCs w:val="24"/>
        </w:rPr>
        <w:t>t deal with the specifics of Africa.</w:t>
      </w:r>
      <w:r w:rsidR="008C155B">
        <w:rPr>
          <w:rStyle w:val="FootnoteReference"/>
          <w:sz w:val="24"/>
          <w:szCs w:val="24"/>
        </w:rPr>
        <w:footnoteReference w:id="3"/>
      </w:r>
      <w:r w:rsidR="008C155B">
        <w:rPr>
          <w:sz w:val="24"/>
          <w:szCs w:val="24"/>
        </w:rPr>
        <w:t xml:space="preserve"> </w:t>
      </w:r>
      <w:r w:rsidR="006E17AC">
        <w:rPr>
          <w:sz w:val="24"/>
          <w:szCs w:val="24"/>
        </w:rPr>
        <w:t xml:space="preserve">  Rather it will</w:t>
      </w:r>
      <w:r w:rsidR="00BB0FEE">
        <w:rPr>
          <w:sz w:val="24"/>
          <w:szCs w:val="24"/>
        </w:rPr>
        <w:t xml:space="preserve"> survey the </w:t>
      </w:r>
      <w:r w:rsidR="0059281B">
        <w:rPr>
          <w:sz w:val="24"/>
          <w:szCs w:val="24"/>
        </w:rPr>
        <w:t>relevant e</w:t>
      </w:r>
      <w:r w:rsidR="0059281B" w:rsidRPr="0059281B">
        <w:rPr>
          <w:sz w:val="24"/>
          <w:szCs w:val="24"/>
        </w:rPr>
        <w:t>conomic fundamentals and theories.</w:t>
      </w:r>
      <w:r w:rsidR="00E71EEE">
        <w:rPr>
          <w:sz w:val="24"/>
          <w:szCs w:val="24"/>
        </w:rPr>
        <w:t xml:space="preserve"> </w:t>
      </w:r>
      <w:r w:rsidR="00BB0FEE">
        <w:rPr>
          <w:sz w:val="24"/>
          <w:szCs w:val="24"/>
        </w:rPr>
        <w:t xml:space="preserve"> The concepts that are developed in this memo will be applied in later memos both to the question of whether </w:t>
      </w:r>
      <w:r w:rsidR="009C7DFD">
        <w:rPr>
          <w:sz w:val="24"/>
          <w:szCs w:val="24"/>
        </w:rPr>
        <w:t>subsets of African states should</w:t>
      </w:r>
      <w:r w:rsidR="00ED5387">
        <w:rPr>
          <w:sz w:val="24"/>
          <w:szCs w:val="24"/>
        </w:rPr>
        <w:t xml:space="preserve"> join in currency union</w:t>
      </w:r>
      <w:r w:rsidR="009C7DFD">
        <w:rPr>
          <w:sz w:val="24"/>
          <w:szCs w:val="24"/>
        </w:rPr>
        <w:t>s</w:t>
      </w:r>
      <w:r w:rsidR="00ED5387">
        <w:rPr>
          <w:sz w:val="24"/>
          <w:szCs w:val="24"/>
        </w:rPr>
        <w:t xml:space="preserve"> and the </w:t>
      </w:r>
      <w:r w:rsidR="00BB0FEE">
        <w:rPr>
          <w:sz w:val="24"/>
          <w:szCs w:val="24"/>
        </w:rPr>
        <w:t>question of t</w:t>
      </w:r>
      <w:r w:rsidR="00ED5387">
        <w:rPr>
          <w:sz w:val="24"/>
          <w:szCs w:val="24"/>
        </w:rPr>
        <w:t xml:space="preserve">he external </w:t>
      </w:r>
      <w:r w:rsidR="00BB0FEE">
        <w:rPr>
          <w:sz w:val="24"/>
          <w:szCs w:val="24"/>
        </w:rPr>
        <w:t xml:space="preserve">currency </w:t>
      </w:r>
      <w:r w:rsidR="00ED5387">
        <w:rPr>
          <w:sz w:val="24"/>
          <w:szCs w:val="24"/>
        </w:rPr>
        <w:t>policy to be followed by th</w:t>
      </w:r>
      <w:r w:rsidR="009C7DFD">
        <w:rPr>
          <w:sz w:val="24"/>
          <w:szCs w:val="24"/>
        </w:rPr>
        <w:t>ose</w:t>
      </w:r>
      <w:r w:rsidR="00ED5387">
        <w:rPr>
          <w:sz w:val="24"/>
          <w:szCs w:val="24"/>
        </w:rPr>
        <w:t xml:space="preserve"> union</w:t>
      </w:r>
      <w:r w:rsidR="009C7DFD">
        <w:rPr>
          <w:sz w:val="24"/>
          <w:szCs w:val="24"/>
        </w:rPr>
        <w:t>s</w:t>
      </w:r>
      <w:r w:rsidR="00ED5387">
        <w:rPr>
          <w:sz w:val="24"/>
          <w:szCs w:val="24"/>
        </w:rPr>
        <w:t>.</w:t>
      </w:r>
    </w:p>
    <w:p w:rsidR="002854FE" w:rsidRDefault="002854FE" w:rsidP="009F2C36">
      <w:pPr>
        <w:pStyle w:val="ListParagraph"/>
        <w:ind w:left="0"/>
        <w:rPr>
          <w:sz w:val="24"/>
          <w:szCs w:val="24"/>
        </w:rPr>
      </w:pPr>
    </w:p>
    <w:p w:rsidR="005C4619" w:rsidRDefault="00E07851" w:rsidP="009F2C36">
      <w:pPr>
        <w:pStyle w:val="ListParagraph"/>
        <w:ind w:left="0"/>
        <w:rPr>
          <w:sz w:val="24"/>
          <w:szCs w:val="24"/>
        </w:rPr>
      </w:pPr>
      <w:r>
        <w:rPr>
          <w:sz w:val="24"/>
          <w:szCs w:val="24"/>
        </w:rPr>
        <w:tab/>
        <w:t xml:space="preserve">We begin </w:t>
      </w:r>
      <w:r w:rsidR="009C7DFD">
        <w:rPr>
          <w:sz w:val="24"/>
          <w:szCs w:val="24"/>
        </w:rPr>
        <w:t xml:space="preserve">this first memo </w:t>
      </w:r>
      <w:r>
        <w:rPr>
          <w:sz w:val="24"/>
          <w:szCs w:val="24"/>
        </w:rPr>
        <w:t xml:space="preserve">by considering </w:t>
      </w:r>
      <w:r w:rsidR="008F26F2">
        <w:rPr>
          <w:sz w:val="24"/>
          <w:szCs w:val="24"/>
        </w:rPr>
        <w:t xml:space="preserve">in turn </w:t>
      </w:r>
      <w:r w:rsidR="006E17AC">
        <w:rPr>
          <w:sz w:val="24"/>
          <w:szCs w:val="24"/>
        </w:rPr>
        <w:t>three</w:t>
      </w:r>
      <w:r w:rsidR="008F26F2">
        <w:rPr>
          <w:sz w:val="24"/>
          <w:szCs w:val="24"/>
        </w:rPr>
        <w:t xml:space="preserve"> advantages of </w:t>
      </w:r>
      <w:r w:rsidR="006E17AC">
        <w:rPr>
          <w:sz w:val="24"/>
          <w:szCs w:val="24"/>
        </w:rPr>
        <w:t xml:space="preserve">arrangements for </w:t>
      </w:r>
      <w:r w:rsidR="008F26F2">
        <w:rPr>
          <w:sz w:val="24"/>
          <w:szCs w:val="24"/>
        </w:rPr>
        <w:t>firmly fixed</w:t>
      </w:r>
      <w:r w:rsidR="00426F9A">
        <w:rPr>
          <w:sz w:val="24"/>
          <w:szCs w:val="24"/>
        </w:rPr>
        <w:t xml:space="preserve"> exchange</w:t>
      </w:r>
      <w:r w:rsidR="00A13D78">
        <w:rPr>
          <w:sz w:val="24"/>
          <w:szCs w:val="24"/>
        </w:rPr>
        <w:t xml:space="preserve"> rates</w:t>
      </w:r>
      <w:r w:rsidR="008F26F2">
        <w:rPr>
          <w:sz w:val="24"/>
          <w:szCs w:val="24"/>
        </w:rPr>
        <w:t xml:space="preserve"> – in the limit a</w:t>
      </w:r>
      <w:r w:rsidR="009C7DFD">
        <w:rPr>
          <w:sz w:val="24"/>
          <w:szCs w:val="24"/>
        </w:rPr>
        <w:t>rrangements for a</w:t>
      </w:r>
      <w:r w:rsidR="008F26F2">
        <w:rPr>
          <w:sz w:val="24"/>
          <w:szCs w:val="24"/>
        </w:rPr>
        <w:t xml:space="preserve"> currency union -- </w:t>
      </w:r>
      <w:r w:rsidR="006E17AC">
        <w:rPr>
          <w:sz w:val="24"/>
          <w:szCs w:val="24"/>
        </w:rPr>
        <w:t>followed by three</w:t>
      </w:r>
      <w:r w:rsidR="00426F9A">
        <w:rPr>
          <w:sz w:val="24"/>
          <w:szCs w:val="24"/>
        </w:rPr>
        <w:t xml:space="preserve"> advantages of fl</w:t>
      </w:r>
      <w:r w:rsidR="008F26F2">
        <w:rPr>
          <w:sz w:val="24"/>
          <w:szCs w:val="24"/>
        </w:rPr>
        <w:t>exible</w:t>
      </w:r>
      <w:r w:rsidR="00426F9A">
        <w:rPr>
          <w:sz w:val="24"/>
          <w:szCs w:val="24"/>
        </w:rPr>
        <w:t xml:space="preserve"> rates.  Only then we will consider how to </w:t>
      </w:r>
      <w:r w:rsidR="008F26F2">
        <w:rPr>
          <w:sz w:val="24"/>
          <w:szCs w:val="24"/>
        </w:rPr>
        <w:t xml:space="preserve">go about </w:t>
      </w:r>
      <w:r w:rsidR="00426F9A">
        <w:rPr>
          <w:sz w:val="24"/>
          <w:szCs w:val="24"/>
        </w:rPr>
        <w:t>weigh</w:t>
      </w:r>
      <w:r w:rsidR="008F26F2">
        <w:rPr>
          <w:sz w:val="24"/>
          <w:szCs w:val="24"/>
        </w:rPr>
        <w:t>ing</w:t>
      </w:r>
      <w:r w:rsidR="00426F9A">
        <w:rPr>
          <w:sz w:val="24"/>
          <w:szCs w:val="24"/>
        </w:rPr>
        <w:t xml:space="preserve"> up</w:t>
      </w:r>
      <w:r w:rsidR="006151B0">
        <w:rPr>
          <w:sz w:val="24"/>
          <w:szCs w:val="24"/>
        </w:rPr>
        <w:t xml:space="preserve"> the pros an</w:t>
      </w:r>
      <w:r w:rsidR="008F26F2">
        <w:rPr>
          <w:sz w:val="24"/>
          <w:szCs w:val="24"/>
        </w:rPr>
        <w:t>d cons</w:t>
      </w:r>
      <w:r w:rsidR="00BB0FEE">
        <w:rPr>
          <w:sz w:val="24"/>
          <w:szCs w:val="24"/>
        </w:rPr>
        <w:t xml:space="preserve"> and making the decision for a given country or group of countries</w:t>
      </w:r>
      <w:r w:rsidR="008F26F2">
        <w:rPr>
          <w:sz w:val="24"/>
          <w:szCs w:val="24"/>
        </w:rPr>
        <w:t xml:space="preserve">. </w:t>
      </w:r>
    </w:p>
    <w:p w:rsidR="00426F9A" w:rsidRDefault="006151B0" w:rsidP="005C4619">
      <w:pPr>
        <w:pStyle w:val="ListParagraph"/>
        <w:ind w:left="0" w:firstLine="720"/>
        <w:rPr>
          <w:sz w:val="24"/>
          <w:szCs w:val="24"/>
        </w:rPr>
      </w:pPr>
      <w:r>
        <w:rPr>
          <w:sz w:val="24"/>
          <w:szCs w:val="24"/>
        </w:rPr>
        <w:t>S</w:t>
      </w:r>
      <w:r w:rsidR="00426F9A">
        <w:rPr>
          <w:sz w:val="24"/>
          <w:szCs w:val="24"/>
        </w:rPr>
        <w:t xml:space="preserve">ome commentators talk as if an institutionally fixed exchange rate is right for all </w:t>
      </w:r>
      <w:r w:rsidR="00A13D78">
        <w:rPr>
          <w:sz w:val="24"/>
          <w:szCs w:val="24"/>
        </w:rPr>
        <w:t xml:space="preserve">countries, </w:t>
      </w:r>
      <w:r w:rsidR="00426F9A">
        <w:rPr>
          <w:sz w:val="24"/>
          <w:szCs w:val="24"/>
        </w:rPr>
        <w:t xml:space="preserve">others as if floating suits all, and </w:t>
      </w:r>
      <w:r w:rsidR="00A13D78">
        <w:rPr>
          <w:sz w:val="24"/>
          <w:szCs w:val="24"/>
        </w:rPr>
        <w:t xml:space="preserve">still </w:t>
      </w:r>
      <w:r w:rsidR="00426F9A">
        <w:rPr>
          <w:sz w:val="24"/>
          <w:szCs w:val="24"/>
        </w:rPr>
        <w:t>others as if a target zone is always the answer</w:t>
      </w:r>
      <w:r>
        <w:rPr>
          <w:sz w:val="24"/>
          <w:szCs w:val="24"/>
        </w:rPr>
        <w:t>.</w:t>
      </w:r>
      <w:r>
        <w:rPr>
          <w:rStyle w:val="FootnoteReference"/>
          <w:sz w:val="24"/>
          <w:szCs w:val="24"/>
        </w:rPr>
        <w:footnoteReference w:id="4"/>
      </w:r>
      <w:r>
        <w:rPr>
          <w:sz w:val="24"/>
          <w:szCs w:val="24"/>
        </w:rPr>
        <w:t xml:space="preserve">   But</w:t>
      </w:r>
      <w:r w:rsidR="00426F9A">
        <w:rPr>
          <w:sz w:val="24"/>
          <w:szCs w:val="24"/>
        </w:rPr>
        <w:t xml:space="preserve"> a more judicious approach recognizes that different regimes</w:t>
      </w:r>
      <w:r w:rsidR="00A13D78">
        <w:rPr>
          <w:sz w:val="24"/>
          <w:szCs w:val="24"/>
        </w:rPr>
        <w:t xml:space="preserve"> will suit different countries.</w:t>
      </w:r>
      <w:r w:rsidR="00426F9A">
        <w:rPr>
          <w:sz w:val="24"/>
          <w:szCs w:val="24"/>
        </w:rPr>
        <w:t xml:space="preserve"> </w:t>
      </w:r>
      <w:r w:rsidR="00426F9A">
        <w:rPr>
          <w:sz w:val="24"/>
          <w:szCs w:val="24"/>
        </w:rPr>
        <w:lastRenderedPageBreak/>
        <w:t>The overall judgment of what regime is best will depend on the circumstances of the country or countries in question.</w:t>
      </w:r>
      <w:r w:rsidR="00840E7B">
        <w:rPr>
          <w:rStyle w:val="FootnoteReference"/>
          <w:sz w:val="24"/>
          <w:szCs w:val="24"/>
        </w:rPr>
        <w:footnoteReference w:id="5"/>
      </w:r>
      <w:r w:rsidR="008F26F2">
        <w:rPr>
          <w:sz w:val="24"/>
          <w:szCs w:val="24"/>
        </w:rPr>
        <w:t xml:space="preserve">  That </w:t>
      </w:r>
      <w:r w:rsidR="009C7DFD">
        <w:rPr>
          <w:sz w:val="24"/>
          <w:szCs w:val="24"/>
        </w:rPr>
        <w:t xml:space="preserve">principle </w:t>
      </w:r>
      <w:r w:rsidR="0009403C">
        <w:rPr>
          <w:sz w:val="24"/>
          <w:szCs w:val="24"/>
        </w:rPr>
        <w:t>will lead</w:t>
      </w:r>
      <w:r w:rsidR="008F26F2">
        <w:rPr>
          <w:sz w:val="24"/>
          <w:szCs w:val="24"/>
        </w:rPr>
        <w:t xml:space="preserve"> us to the </w:t>
      </w:r>
      <w:r w:rsidR="006E17AC">
        <w:rPr>
          <w:sz w:val="24"/>
          <w:szCs w:val="24"/>
        </w:rPr>
        <w:t>framework</w:t>
      </w:r>
      <w:r w:rsidR="008F26F2">
        <w:rPr>
          <w:sz w:val="24"/>
          <w:szCs w:val="24"/>
        </w:rPr>
        <w:t xml:space="preserve"> of the optimum currency area.</w:t>
      </w:r>
      <w:r w:rsidR="008F26F2">
        <w:rPr>
          <w:rStyle w:val="FootnoteReference"/>
          <w:sz w:val="24"/>
          <w:szCs w:val="24"/>
        </w:rPr>
        <w:footnoteReference w:id="6"/>
      </w:r>
    </w:p>
    <w:p w:rsidR="00A13D78" w:rsidRDefault="00A13D78" w:rsidP="009F2C36">
      <w:pPr>
        <w:pStyle w:val="ListParagraph"/>
        <w:ind w:left="0"/>
        <w:rPr>
          <w:sz w:val="24"/>
          <w:szCs w:val="24"/>
        </w:rPr>
      </w:pPr>
    </w:p>
    <w:p w:rsidR="00A13D78" w:rsidRDefault="00A13D78" w:rsidP="009F2C36">
      <w:pPr>
        <w:pStyle w:val="ListParagraph"/>
        <w:ind w:left="0"/>
        <w:rPr>
          <w:sz w:val="24"/>
          <w:szCs w:val="24"/>
        </w:rPr>
      </w:pPr>
    </w:p>
    <w:p w:rsidR="00426F9A" w:rsidRPr="00952E19" w:rsidRDefault="002854FE" w:rsidP="002854FE">
      <w:pPr>
        <w:pStyle w:val="ListParagraph"/>
        <w:numPr>
          <w:ilvl w:val="0"/>
          <w:numId w:val="3"/>
        </w:numPr>
        <w:rPr>
          <w:b/>
          <w:sz w:val="24"/>
          <w:szCs w:val="24"/>
        </w:rPr>
      </w:pPr>
      <w:r w:rsidRPr="00952E19">
        <w:rPr>
          <w:b/>
          <w:sz w:val="24"/>
          <w:szCs w:val="24"/>
        </w:rPr>
        <w:t>Advantages of fixed exchange rates</w:t>
      </w:r>
    </w:p>
    <w:p w:rsidR="00426F9A" w:rsidRDefault="00426F9A" w:rsidP="00426F9A">
      <w:pPr>
        <w:pStyle w:val="ListParagraph"/>
        <w:ind w:left="360"/>
        <w:rPr>
          <w:sz w:val="24"/>
          <w:szCs w:val="24"/>
        </w:rPr>
      </w:pPr>
    </w:p>
    <w:p w:rsidR="000726C7" w:rsidRPr="00864519" w:rsidRDefault="00426F9A" w:rsidP="00864519">
      <w:pPr>
        <w:pStyle w:val="ListParagraph"/>
        <w:ind w:left="0" w:firstLine="360"/>
        <w:rPr>
          <w:sz w:val="24"/>
          <w:szCs w:val="24"/>
        </w:rPr>
      </w:pPr>
      <w:r w:rsidRPr="00426F9A">
        <w:rPr>
          <w:sz w:val="24"/>
          <w:szCs w:val="24"/>
        </w:rPr>
        <w:t xml:space="preserve">We </w:t>
      </w:r>
      <w:r>
        <w:rPr>
          <w:sz w:val="24"/>
          <w:szCs w:val="24"/>
        </w:rPr>
        <w:t xml:space="preserve">first </w:t>
      </w:r>
      <w:r w:rsidR="009B2EE3">
        <w:rPr>
          <w:sz w:val="24"/>
          <w:szCs w:val="24"/>
        </w:rPr>
        <w:t xml:space="preserve">consider </w:t>
      </w:r>
      <w:r w:rsidR="000726C7">
        <w:rPr>
          <w:sz w:val="24"/>
          <w:szCs w:val="24"/>
        </w:rPr>
        <w:t>three</w:t>
      </w:r>
      <w:r w:rsidRPr="00426F9A">
        <w:rPr>
          <w:sz w:val="24"/>
          <w:szCs w:val="24"/>
        </w:rPr>
        <w:t xml:space="preserve"> </w:t>
      </w:r>
      <w:r w:rsidR="00925940">
        <w:rPr>
          <w:sz w:val="24"/>
          <w:szCs w:val="24"/>
        </w:rPr>
        <w:t xml:space="preserve">major </w:t>
      </w:r>
      <w:r w:rsidRPr="00426F9A">
        <w:rPr>
          <w:sz w:val="24"/>
          <w:szCs w:val="24"/>
        </w:rPr>
        <w:t>advantages of fixing</w:t>
      </w:r>
      <w:r w:rsidR="000726C7">
        <w:rPr>
          <w:sz w:val="24"/>
          <w:szCs w:val="24"/>
        </w:rPr>
        <w:t xml:space="preserve"> the exchange rate</w:t>
      </w:r>
      <w:r w:rsidRPr="00426F9A">
        <w:rPr>
          <w:sz w:val="24"/>
          <w:szCs w:val="24"/>
        </w:rPr>
        <w:t>.  They are: (i)</w:t>
      </w:r>
      <w:r w:rsidR="000726C7" w:rsidRPr="000726C7">
        <w:rPr>
          <w:sz w:val="24"/>
          <w:szCs w:val="24"/>
        </w:rPr>
        <w:t xml:space="preserve"> </w:t>
      </w:r>
      <w:r w:rsidR="000726C7">
        <w:rPr>
          <w:sz w:val="24"/>
          <w:szCs w:val="24"/>
        </w:rPr>
        <w:t>avoiding competitive devaluation or “currency wars,”</w:t>
      </w:r>
      <w:r w:rsidR="000726C7" w:rsidRPr="000726C7">
        <w:rPr>
          <w:sz w:val="24"/>
          <w:szCs w:val="24"/>
        </w:rPr>
        <w:t xml:space="preserve"> (ii) </w:t>
      </w:r>
      <w:r w:rsidRPr="000726C7">
        <w:rPr>
          <w:sz w:val="24"/>
          <w:szCs w:val="24"/>
        </w:rPr>
        <w:t>providing a nominal anchor to monetary po</w:t>
      </w:r>
      <w:r w:rsidR="000726C7">
        <w:rPr>
          <w:sz w:val="24"/>
          <w:szCs w:val="24"/>
        </w:rPr>
        <w:t>licy, and (ii</w:t>
      </w:r>
      <w:r w:rsidR="00864519">
        <w:rPr>
          <w:sz w:val="24"/>
          <w:szCs w:val="24"/>
        </w:rPr>
        <w:t>i</w:t>
      </w:r>
      <w:r w:rsidR="000726C7">
        <w:rPr>
          <w:sz w:val="24"/>
          <w:szCs w:val="24"/>
        </w:rPr>
        <w:t xml:space="preserve">) facilitating </w:t>
      </w:r>
      <w:r w:rsidR="00925940">
        <w:rPr>
          <w:sz w:val="24"/>
          <w:szCs w:val="24"/>
        </w:rPr>
        <w:t xml:space="preserve">international </w:t>
      </w:r>
      <w:r w:rsidR="000726C7">
        <w:rPr>
          <w:sz w:val="24"/>
          <w:szCs w:val="24"/>
        </w:rPr>
        <w:t>trade</w:t>
      </w:r>
      <w:r w:rsidR="00925940">
        <w:rPr>
          <w:sz w:val="24"/>
          <w:szCs w:val="24"/>
        </w:rPr>
        <w:t xml:space="preserve"> and investment</w:t>
      </w:r>
      <w:r w:rsidR="000726C7">
        <w:rPr>
          <w:sz w:val="24"/>
          <w:szCs w:val="24"/>
        </w:rPr>
        <w:t>.</w:t>
      </w:r>
      <w:r w:rsidR="00864519">
        <w:rPr>
          <w:sz w:val="24"/>
          <w:szCs w:val="24"/>
        </w:rPr>
        <w:br/>
      </w:r>
    </w:p>
    <w:p w:rsidR="000726C7" w:rsidRPr="000726C7" w:rsidRDefault="000726C7" w:rsidP="000726C7">
      <w:pPr>
        <w:pStyle w:val="ListParagraph"/>
        <w:numPr>
          <w:ilvl w:val="1"/>
          <w:numId w:val="3"/>
        </w:numPr>
        <w:rPr>
          <w:sz w:val="24"/>
          <w:szCs w:val="24"/>
        </w:rPr>
      </w:pPr>
      <w:r>
        <w:rPr>
          <w:sz w:val="24"/>
          <w:szCs w:val="24"/>
        </w:rPr>
        <w:t xml:space="preserve"> </w:t>
      </w:r>
      <w:r w:rsidRPr="000726C7">
        <w:rPr>
          <w:sz w:val="24"/>
          <w:szCs w:val="24"/>
        </w:rPr>
        <w:t xml:space="preserve">Avoid </w:t>
      </w:r>
      <w:r w:rsidR="00864519">
        <w:rPr>
          <w:sz w:val="24"/>
          <w:szCs w:val="24"/>
        </w:rPr>
        <w:t>competitive devaluation</w:t>
      </w:r>
    </w:p>
    <w:p w:rsidR="000726C7" w:rsidRDefault="00774481" w:rsidP="006E17AC">
      <w:pPr>
        <w:ind w:firstLine="360"/>
        <w:jc w:val="both"/>
        <w:rPr>
          <w:sz w:val="24"/>
          <w:szCs w:val="24"/>
        </w:rPr>
      </w:pPr>
      <w:r>
        <w:rPr>
          <w:sz w:val="24"/>
          <w:szCs w:val="24"/>
        </w:rPr>
        <w:t>One</w:t>
      </w:r>
      <w:r w:rsidR="000726C7" w:rsidRPr="000726C7">
        <w:rPr>
          <w:sz w:val="24"/>
          <w:szCs w:val="24"/>
        </w:rPr>
        <w:t xml:space="preserve"> advantage of fixed exchange rates is that they prevent competitive devaluation. Competitive de</w:t>
      </w:r>
      <w:r w:rsidR="00864519">
        <w:rPr>
          <w:sz w:val="24"/>
          <w:szCs w:val="24"/>
        </w:rPr>
        <w:t>valuation</w:t>
      </w:r>
      <w:r w:rsidR="000726C7" w:rsidRPr="000726C7">
        <w:rPr>
          <w:sz w:val="24"/>
          <w:szCs w:val="24"/>
        </w:rPr>
        <w:t xml:space="preserve"> can be viewed as an inferior </w:t>
      </w:r>
      <w:r w:rsidR="00F46F71">
        <w:rPr>
          <w:sz w:val="24"/>
          <w:szCs w:val="24"/>
        </w:rPr>
        <w:t>“</w:t>
      </w:r>
      <w:r w:rsidR="000726C7" w:rsidRPr="000726C7">
        <w:rPr>
          <w:sz w:val="24"/>
          <w:szCs w:val="24"/>
        </w:rPr>
        <w:t>Nash noncooperative equilibrium,</w:t>
      </w:r>
      <w:r w:rsidR="00F46F71">
        <w:rPr>
          <w:sz w:val="24"/>
          <w:szCs w:val="24"/>
        </w:rPr>
        <w:t>”</w:t>
      </w:r>
      <w:r w:rsidR="000726C7" w:rsidRPr="000726C7">
        <w:rPr>
          <w:sz w:val="24"/>
          <w:szCs w:val="24"/>
        </w:rPr>
        <w:t xml:space="preserve"> where each country tries in vain to win a trade advantage over its neighbors. In such a </w:t>
      </w:r>
      <w:r w:rsidR="00F46F71">
        <w:rPr>
          <w:sz w:val="24"/>
          <w:szCs w:val="24"/>
        </w:rPr>
        <w:t>framework</w:t>
      </w:r>
      <w:r w:rsidR="000726C7" w:rsidRPr="000726C7">
        <w:rPr>
          <w:sz w:val="24"/>
          <w:szCs w:val="24"/>
        </w:rPr>
        <w:t xml:space="preserve">, fixing exchange rates can be an efficient institution for achieving the cooperative solution. </w:t>
      </w:r>
    </w:p>
    <w:p w:rsidR="000726C7" w:rsidRPr="00864519" w:rsidRDefault="000726C7" w:rsidP="006E17AC">
      <w:pPr>
        <w:ind w:firstLine="360"/>
        <w:jc w:val="both"/>
        <w:rPr>
          <w:sz w:val="24"/>
          <w:szCs w:val="24"/>
        </w:rPr>
      </w:pPr>
      <w:r w:rsidRPr="000726C7">
        <w:rPr>
          <w:sz w:val="24"/>
          <w:szCs w:val="24"/>
        </w:rPr>
        <w:t>The architects of the Bretton Woods system</w:t>
      </w:r>
      <w:r w:rsidR="00F46F71">
        <w:rPr>
          <w:sz w:val="24"/>
          <w:szCs w:val="24"/>
        </w:rPr>
        <w:t>, who agreed that countries should fix their exchange rates after World War II,</w:t>
      </w:r>
      <w:r w:rsidRPr="000726C7">
        <w:rPr>
          <w:sz w:val="24"/>
          <w:szCs w:val="24"/>
        </w:rPr>
        <w:t xml:space="preserve"> thought about the problem in terms of the “beggar thy neighbor” policies of the </w:t>
      </w:r>
      <w:r w:rsidR="00F46F71" w:rsidRPr="00F46F71">
        <w:rPr>
          <w:sz w:val="24"/>
          <w:szCs w:val="24"/>
        </w:rPr>
        <w:t xml:space="preserve"> </w:t>
      </w:r>
      <w:r w:rsidR="00F46F71">
        <w:rPr>
          <w:sz w:val="24"/>
          <w:szCs w:val="24"/>
        </w:rPr>
        <w:t>interwar period</w:t>
      </w:r>
      <w:r w:rsidR="00F46F71" w:rsidRPr="000726C7">
        <w:rPr>
          <w:sz w:val="24"/>
          <w:szCs w:val="24"/>
        </w:rPr>
        <w:t xml:space="preserve"> </w:t>
      </w:r>
      <w:r w:rsidR="00F46F71">
        <w:rPr>
          <w:sz w:val="24"/>
          <w:szCs w:val="24"/>
        </w:rPr>
        <w:t xml:space="preserve">, when </w:t>
      </w:r>
      <w:r w:rsidR="00864519">
        <w:rPr>
          <w:sz w:val="24"/>
          <w:szCs w:val="24"/>
        </w:rPr>
        <w:t xml:space="preserve">France, the US, and Britain each in turn </w:t>
      </w:r>
      <w:r w:rsidR="00F46F71">
        <w:rPr>
          <w:sz w:val="24"/>
          <w:szCs w:val="24"/>
        </w:rPr>
        <w:t xml:space="preserve">had </w:t>
      </w:r>
      <w:r w:rsidR="00864519">
        <w:rPr>
          <w:sz w:val="24"/>
          <w:szCs w:val="24"/>
        </w:rPr>
        <w:t xml:space="preserve">devalued </w:t>
      </w:r>
      <w:r w:rsidR="00925940">
        <w:rPr>
          <w:sz w:val="24"/>
          <w:szCs w:val="24"/>
        </w:rPr>
        <w:t xml:space="preserve"> </w:t>
      </w:r>
      <w:r w:rsidR="00864519">
        <w:rPr>
          <w:sz w:val="24"/>
          <w:szCs w:val="24"/>
        </w:rPr>
        <w:t xml:space="preserve">In the Latin American debt crisis of the 1980s and again in the East Asia crisis of 1997-98, </w:t>
      </w:r>
      <w:r w:rsidR="00F46F71">
        <w:rPr>
          <w:sz w:val="24"/>
          <w:szCs w:val="24"/>
        </w:rPr>
        <w:t>neighboring</w:t>
      </w:r>
      <w:r w:rsidR="00864519">
        <w:rPr>
          <w:sz w:val="24"/>
          <w:szCs w:val="24"/>
        </w:rPr>
        <w:t xml:space="preserve"> countries in balance of payments difficulty would devalue, but would find that the stimulus to their trade balances was less than it would have been if </w:t>
      </w:r>
      <w:r w:rsidR="00F46F71">
        <w:rPr>
          <w:sz w:val="24"/>
          <w:szCs w:val="24"/>
        </w:rPr>
        <w:t>each</w:t>
      </w:r>
      <w:r w:rsidR="00864519">
        <w:rPr>
          <w:sz w:val="24"/>
          <w:szCs w:val="24"/>
        </w:rPr>
        <w:t xml:space="preserve"> had devalued on </w:t>
      </w:r>
      <w:r w:rsidR="00F46F71">
        <w:rPr>
          <w:sz w:val="24"/>
          <w:szCs w:val="24"/>
        </w:rPr>
        <w:t>its</w:t>
      </w:r>
      <w:r w:rsidR="00864519">
        <w:rPr>
          <w:sz w:val="24"/>
          <w:szCs w:val="24"/>
        </w:rPr>
        <w:t xml:space="preserve"> own. </w:t>
      </w:r>
      <w:r w:rsidRPr="000726C7">
        <w:rPr>
          <w:sz w:val="24"/>
          <w:szCs w:val="24"/>
        </w:rPr>
        <w:t xml:space="preserve">Some argue that </w:t>
      </w:r>
      <w:r w:rsidR="00864519">
        <w:rPr>
          <w:sz w:val="24"/>
          <w:szCs w:val="24"/>
        </w:rPr>
        <w:t xml:space="preserve">avoiding </w:t>
      </w:r>
      <w:r w:rsidRPr="000726C7">
        <w:rPr>
          <w:sz w:val="24"/>
          <w:szCs w:val="24"/>
        </w:rPr>
        <w:t>competitive de</w:t>
      </w:r>
      <w:r w:rsidR="00864519">
        <w:rPr>
          <w:sz w:val="24"/>
          <w:szCs w:val="24"/>
        </w:rPr>
        <w:t>preciation</w:t>
      </w:r>
      <w:r w:rsidRPr="000726C7">
        <w:rPr>
          <w:sz w:val="24"/>
          <w:szCs w:val="24"/>
        </w:rPr>
        <w:t xml:space="preserve"> was a motivation for European Economic and Monetary Union</w:t>
      </w:r>
      <w:r w:rsidR="00864519">
        <w:rPr>
          <w:sz w:val="24"/>
          <w:szCs w:val="24"/>
        </w:rPr>
        <w:t xml:space="preserve"> and the introduction of the euro in 1999</w:t>
      </w:r>
      <w:r w:rsidRPr="000726C7">
        <w:rPr>
          <w:sz w:val="24"/>
          <w:szCs w:val="24"/>
        </w:rPr>
        <w:t>.</w:t>
      </w:r>
      <w:r>
        <w:rPr>
          <w:rStyle w:val="FootnoteReference"/>
          <w:sz w:val="24"/>
          <w:szCs w:val="24"/>
        </w:rPr>
        <w:footnoteReference w:id="7"/>
      </w:r>
      <w:r w:rsidRPr="000726C7">
        <w:rPr>
          <w:sz w:val="24"/>
          <w:szCs w:val="24"/>
        </w:rPr>
        <w:t xml:space="preserve">  More recently the issue has </w:t>
      </w:r>
      <w:r w:rsidR="00F46F71">
        <w:rPr>
          <w:sz w:val="24"/>
          <w:szCs w:val="24"/>
        </w:rPr>
        <w:t>reappeared</w:t>
      </w:r>
      <w:r w:rsidRPr="000726C7">
        <w:rPr>
          <w:sz w:val="24"/>
          <w:szCs w:val="24"/>
        </w:rPr>
        <w:t>, phrased by Brazilian leaders in 20</w:t>
      </w:r>
      <w:r w:rsidR="00774481">
        <w:rPr>
          <w:sz w:val="24"/>
          <w:szCs w:val="24"/>
        </w:rPr>
        <w:t>10 as “currency wars”: some governments complain</w:t>
      </w:r>
      <w:r w:rsidR="00F46F71">
        <w:rPr>
          <w:sz w:val="24"/>
          <w:szCs w:val="24"/>
        </w:rPr>
        <w:t>ed</w:t>
      </w:r>
      <w:r w:rsidRPr="000726C7">
        <w:rPr>
          <w:sz w:val="24"/>
          <w:szCs w:val="24"/>
        </w:rPr>
        <w:t xml:space="preserve"> that the </w:t>
      </w:r>
      <w:r w:rsidR="00864519">
        <w:rPr>
          <w:sz w:val="24"/>
          <w:szCs w:val="24"/>
        </w:rPr>
        <w:t xml:space="preserve">exchange rate implications of quantitative easing by </w:t>
      </w:r>
      <w:r w:rsidRPr="000726C7">
        <w:rPr>
          <w:sz w:val="24"/>
          <w:szCs w:val="24"/>
        </w:rPr>
        <w:t>others unfairly undercut their trade competitiveness.</w:t>
      </w:r>
    </w:p>
    <w:p w:rsidR="000726C7" w:rsidRDefault="000726C7" w:rsidP="000726C7">
      <w:pPr>
        <w:pStyle w:val="ListParagraph"/>
        <w:ind w:left="792"/>
        <w:rPr>
          <w:sz w:val="24"/>
          <w:szCs w:val="24"/>
        </w:rPr>
      </w:pPr>
      <w:r>
        <w:rPr>
          <w:sz w:val="24"/>
          <w:szCs w:val="24"/>
        </w:rPr>
        <w:t xml:space="preserve">  </w:t>
      </w:r>
    </w:p>
    <w:p w:rsidR="00426F9A" w:rsidRDefault="00D55109" w:rsidP="002854FE">
      <w:pPr>
        <w:pStyle w:val="ListParagraph"/>
        <w:numPr>
          <w:ilvl w:val="1"/>
          <w:numId w:val="3"/>
        </w:numPr>
        <w:rPr>
          <w:sz w:val="24"/>
          <w:szCs w:val="24"/>
        </w:rPr>
      </w:pPr>
      <w:r>
        <w:rPr>
          <w:sz w:val="24"/>
          <w:szCs w:val="24"/>
        </w:rPr>
        <w:t>The exchange rate as a nomi</w:t>
      </w:r>
      <w:r w:rsidR="00821840">
        <w:rPr>
          <w:sz w:val="24"/>
          <w:szCs w:val="24"/>
        </w:rPr>
        <w:t>nal anchor for monetary policy</w:t>
      </w:r>
      <w:r w:rsidR="00821840">
        <w:rPr>
          <w:sz w:val="24"/>
          <w:szCs w:val="24"/>
        </w:rPr>
        <w:br/>
      </w:r>
    </w:p>
    <w:p w:rsidR="000667DF" w:rsidRDefault="00AD1CAB" w:rsidP="000726C7">
      <w:pPr>
        <w:pStyle w:val="ListParagraph"/>
        <w:tabs>
          <w:tab w:val="left" w:pos="0"/>
          <w:tab w:val="left" w:pos="720"/>
          <w:tab w:val="left" w:pos="1440"/>
          <w:tab w:val="left" w:pos="2160"/>
          <w:tab w:val="left" w:pos="2880"/>
          <w:tab w:val="left" w:pos="3600"/>
          <w:tab w:val="left" w:pos="4320"/>
        </w:tabs>
        <w:ind w:left="0"/>
        <w:rPr>
          <w:sz w:val="24"/>
          <w:szCs w:val="24"/>
        </w:rPr>
      </w:pPr>
      <w:r>
        <w:rPr>
          <w:sz w:val="24"/>
          <w:szCs w:val="24"/>
        </w:rPr>
        <w:lastRenderedPageBreak/>
        <w:tab/>
      </w:r>
      <w:r w:rsidR="00A56832" w:rsidRPr="00821840">
        <w:rPr>
          <w:sz w:val="24"/>
          <w:szCs w:val="24"/>
        </w:rPr>
        <w:t xml:space="preserve">Fixed exchange rates, which had been abandoned by many countries in the decade after the 1971-1973 break-up of the Bretton Woods system, made something of a comeback in the following decade.  From Bolivia in 1985 to Brazil in 1994, countries that had fallen into high-inflation traps succeeded in escaping them </w:t>
      </w:r>
      <w:r w:rsidR="00F46F71">
        <w:rPr>
          <w:sz w:val="24"/>
          <w:szCs w:val="24"/>
        </w:rPr>
        <w:t xml:space="preserve">only </w:t>
      </w:r>
      <w:r w:rsidR="00A56832" w:rsidRPr="00821840">
        <w:rPr>
          <w:sz w:val="24"/>
          <w:szCs w:val="24"/>
        </w:rPr>
        <w:t xml:space="preserve">when their stabilization programs included a visible commitment to a target for the exchange rate.  The academic argument for such a </w:t>
      </w:r>
      <w:r w:rsidR="00BB2EB3" w:rsidRPr="00821840">
        <w:rPr>
          <w:sz w:val="24"/>
          <w:szCs w:val="24"/>
        </w:rPr>
        <w:t>nominal anchor for monetary policy</w:t>
      </w:r>
      <w:r w:rsidR="00A56832" w:rsidRPr="00821840">
        <w:rPr>
          <w:sz w:val="24"/>
          <w:szCs w:val="24"/>
        </w:rPr>
        <w:t xml:space="preserve"> </w:t>
      </w:r>
      <w:r w:rsidR="00BB2EB3" w:rsidRPr="00821840">
        <w:rPr>
          <w:sz w:val="24"/>
          <w:szCs w:val="24"/>
        </w:rPr>
        <w:t xml:space="preserve">is that there can be an inflationary bias when monetary policy is set </w:t>
      </w:r>
      <w:r w:rsidR="00F46F71">
        <w:rPr>
          <w:sz w:val="24"/>
          <w:szCs w:val="24"/>
        </w:rPr>
        <w:t xml:space="preserve">by governments </w:t>
      </w:r>
      <w:r w:rsidR="00BB2EB3" w:rsidRPr="00821840">
        <w:rPr>
          <w:sz w:val="24"/>
          <w:szCs w:val="24"/>
        </w:rPr>
        <w:t>with full discretion.</w:t>
      </w:r>
      <w:r w:rsidR="00BB2EB3" w:rsidRPr="00821840">
        <w:rPr>
          <w:rStyle w:val="FootnoteReference"/>
          <w:sz w:val="24"/>
          <w:szCs w:val="24"/>
        </w:rPr>
        <w:footnoteReference w:id="8"/>
      </w:r>
      <w:r w:rsidR="00BB2EB3" w:rsidRPr="00821840">
        <w:rPr>
          <w:sz w:val="24"/>
          <w:szCs w:val="24"/>
        </w:rPr>
        <w:t xml:space="preserve"> A central bank that wants to fight inflation can commit more credibly by fixing the exchange rate, or even giving up its currency altogether. Workers, firm managers, and others who set wages and prices then perceive that inflation will be low in the future because the currency peg will prevent the central bank from expanding even if it wanted to. When workers and firm managers have low expectations of inflation, they set their wages and prices accordingly. The result is that the country is able to attain a lower level of inflation for any given level of output.</w:t>
      </w:r>
    </w:p>
    <w:p w:rsidR="000667DF" w:rsidRDefault="000667DF" w:rsidP="000F7F9B">
      <w:pPr>
        <w:pStyle w:val="ListParagraph"/>
        <w:tabs>
          <w:tab w:val="left" w:pos="0"/>
          <w:tab w:val="left" w:pos="720"/>
          <w:tab w:val="left" w:pos="1440"/>
          <w:tab w:val="left" w:pos="2160"/>
          <w:tab w:val="left" w:pos="2880"/>
          <w:tab w:val="left" w:pos="3600"/>
          <w:tab w:val="left" w:pos="4320"/>
        </w:tabs>
        <w:spacing w:line="240" w:lineRule="auto"/>
        <w:ind w:left="0"/>
        <w:rPr>
          <w:sz w:val="24"/>
          <w:szCs w:val="24"/>
        </w:rPr>
      </w:pPr>
    </w:p>
    <w:p w:rsidR="00821840" w:rsidRDefault="00AD1CAB" w:rsidP="000726C7">
      <w:pPr>
        <w:pStyle w:val="ListParagraph"/>
        <w:tabs>
          <w:tab w:val="left" w:pos="0"/>
          <w:tab w:val="left" w:pos="720"/>
          <w:tab w:val="left" w:pos="1440"/>
          <w:tab w:val="left" w:pos="2160"/>
          <w:tab w:val="left" w:pos="2880"/>
          <w:tab w:val="left" w:pos="3600"/>
          <w:tab w:val="left" w:pos="4320"/>
        </w:tabs>
        <w:ind w:left="0"/>
        <w:rPr>
          <w:sz w:val="24"/>
          <w:szCs w:val="24"/>
        </w:rPr>
      </w:pPr>
      <w:r>
        <w:tab/>
      </w:r>
      <w:r w:rsidR="000667DF" w:rsidRPr="000F7F9B">
        <w:t xml:space="preserve">The argument assumes that the currency to which the domestic country is considering pegging is itself stable.  </w:t>
      </w:r>
      <w:r w:rsidR="000667DF">
        <w:t>For countries in Latin American and the Caribbean, th</w:t>
      </w:r>
      <w:r w:rsidR="00F46F71">
        <w:t>e currency in question</w:t>
      </w:r>
      <w:r w:rsidR="000667DF">
        <w:t xml:space="preserve"> is usually the US dollar; for those in Europe and Africa, it is more likely to be the euro (</w:t>
      </w:r>
      <w:r w:rsidR="00F46F71">
        <w:t>since</w:t>
      </w:r>
      <w:r w:rsidR="000667DF">
        <w:t xml:space="preserve"> 1999</w:t>
      </w:r>
      <w:r w:rsidR="00F46F71">
        <w:t>;</w:t>
      </w:r>
      <w:r w:rsidR="000667DF">
        <w:t xml:space="preserve"> the deutschemark or French franc</w:t>
      </w:r>
      <w:r w:rsidR="00F46F71">
        <w:t xml:space="preserve"> before 1999</w:t>
      </w:r>
      <w:r w:rsidR="000667DF">
        <w:t>).</w:t>
      </w:r>
      <w:r w:rsidR="000F7F9B">
        <w:rPr>
          <w:rStyle w:val="FootnoteReference"/>
          <w:sz w:val="24"/>
          <w:szCs w:val="24"/>
        </w:rPr>
        <w:footnoteReference w:id="9"/>
      </w:r>
      <w:r w:rsidR="00BB2EB3" w:rsidRPr="00821840">
        <w:rPr>
          <w:sz w:val="24"/>
          <w:szCs w:val="24"/>
        </w:rPr>
        <w:t xml:space="preserve"> </w:t>
      </w:r>
    </w:p>
    <w:p w:rsidR="000667DF" w:rsidRDefault="000667DF" w:rsidP="000726C7">
      <w:pPr>
        <w:pStyle w:val="ListParagraph"/>
        <w:tabs>
          <w:tab w:val="left" w:pos="0"/>
          <w:tab w:val="left" w:pos="720"/>
          <w:tab w:val="left" w:pos="1440"/>
          <w:tab w:val="left" w:pos="2160"/>
          <w:tab w:val="left" w:pos="2880"/>
          <w:tab w:val="left" w:pos="3600"/>
          <w:tab w:val="left" w:pos="4320"/>
        </w:tabs>
        <w:ind w:left="0"/>
        <w:rPr>
          <w:sz w:val="24"/>
          <w:szCs w:val="24"/>
        </w:rPr>
      </w:pPr>
    </w:p>
    <w:p w:rsidR="00BB2EB3" w:rsidRPr="00821840" w:rsidRDefault="000726C7" w:rsidP="000726C7">
      <w:pPr>
        <w:pStyle w:val="ListParagraph"/>
        <w:tabs>
          <w:tab w:val="left" w:pos="0"/>
          <w:tab w:val="left" w:pos="720"/>
          <w:tab w:val="left" w:pos="1440"/>
          <w:tab w:val="left" w:pos="2160"/>
          <w:tab w:val="left" w:pos="2880"/>
          <w:tab w:val="left" w:pos="3600"/>
          <w:tab w:val="left" w:pos="4320"/>
        </w:tabs>
        <w:ind w:left="0"/>
        <w:rPr>
          <w:sz w:val="24"/>
          <w:szCs w:val="24"/>
        </w:rPr>
      </w:pPr>
      <w:r>
        <w:rPr>
          <w:sz w:val="24"/>
          <w:szCs w:val="24"/>
        </w:rPr>
        <w:tab/>
      </w:r>
      <w:r w:rsidR="00BB2EB3" w:rsidRPr="00821840">
        <w:rPr>
          <w:sz w:val="24"/>
          <w:szCs w:val="24"/>
        </w:rPr>
        <w:t xml:space="preserve">The strength of the argument for basing monetary policy on an exchange rate target will </w:t>
      </w:r>
      <w:r>
        <w:rPr>
          <w:sz w:val="24"/>
          <w:szCs w:val="24"/>
        </w:rPr>
        <w:t xml:space="preserve">also </w:t>
      </w:r>
      <w:r w:rsidR="00BB2EB3" w:rsidRPr="00821840">
        <w:rPr>
          <w:sz w:val="24"/>
          <w:szCs w:val="24"/>
        </w:rPr>
        <w:t>depend in part on what alternative nominal anchors might be available.  Standard candidates besides the exchange rate include the money supply, inflation, the price level, and nominal GDP.</w:t>
      </w:r>
    </w:p>
    <w:p w:rsidR="00426F9A" w:rsidRDefault="00426F9A" w:rsidP="000F7F9B">
      <w:pPr>
        <w:pStyle w:val="ListParagraph"/>
        <w:ind w:left="0"/>
        <w:rPr>
          <w:sz w:val="24"/>
          <w:szCs w:val="24"/>
        </w:rPr>
      </w:pPr>
    </w:p>
    <w:p w:rsidR="000667DF" w:rsidRDefault="000667DF" w:rsidP="000726C7">
      <w:pPr>
        <w:pStyle w:val="ListParagraph"/>
        <w:ind w:left="0" w:firstLine="720"/>
        <w:rPr>
          <w:sz w:val="24"/>
          <w:szCs w:val="24"/>
        </w:rPr>
      </w:pPr>
      <w:r>
        <w:rPr>
          <w:sz w:val="24"/>
          <w:szCs w:val="24"/>
        </w:rPr>
        <w:t xml:space="preserve">In the context of the 1980s or 1990s, it seemed obvious that the long-term objective of assuring price stability meant getting the inflation rate down from the high levels it had attained in the 1970s.  </w:t>
      </w:r>
      <w:r w:rsidR="00230917">
        <w:rPr>
          <w:sz w:val="24"/>
          <w:szCs w:val="24"/>
        </w:rPr>
        <w:t>I</w:t>
      </w:r>
      <w:r>
        <w:rPr>
          <w:sz w:val="24"/>
          <w:szCs w:val="24"/>
        </w:rPr>
        <w:t>t must be noted that among advanced countries in recent years, the objective</w:t>
      </w:r>
      <w:r w:rsidR="00230917">
        <w:rPr>
          <w:sz w:val="24"/>
          <w:szCs w:val="24"/>
        </w:rPr>
        <w:t xml:space="preserve"> of monetary policy</w:t>
      </w:r>
      <w:r>
        <w:rPr>
          <w:sz w:val="24"/>
          <w:szCs w:val="24"/>
        </w:rPr>
        <w:t xml:space="preserve"> has been to get the inflation rate </w:t>
      </w:r>
      <w:r w:rsidRPr="00230917">
        <w:rPr>
          <w:i/>
          <w:sz w:val="24"/>
          <w:szCs w:val="24"/>
        </w:rPr>
        <w:t>up</w:t>
      </w:r>
      <w:r>
        <w:rPr>
          <w:sz w:val="24"/>
          <w:szCs w:val="24"/>
        </w:rPr>
        <w:t xml:space="preserve"> </w:t>
      </w:r>
      <w:r w:rsidR="00E5252D">
        <w:rPr>
          <w:sz w:val="24"/>
          <w:szCs w:val="24"/>
        </w:rPr>
        <w:t>(</w:t>
      </w:r>
      <w:r>
        <w:rPr>
          <w:sz w:val="24"/>
          <w:szCs w:val="24"/>
        </w:rPr>
        <w:t>often to two percent</w:t>
      </w:r>
      <w:r w:rsidR="00E5252D">
        <w:rPr>
          <w:sz w:val="24"/>
          <w:szCs w:val="24"/>
        </w:rPr>
        <w:t>)</w:t>
      </w:r>
      <w:r>
        <w:rPr>
          <w:sz w:val="24"/>
          <w:szCs w:val="24"/>
        </w:rPr>
        <w:t xml:space="preserve">, </w:t>
      </w:r>
      <w:r w:rsidR="00230917">
        <w:rPr>
          <w:sz w:val="24"/>
          <w:szCs w:val="24"/>
        </w:rPr>
        <w:t xml:space="preserve">in order </w:t>
      </w:r>
      <w:r>
        <w:rPr>
          <w:sz w:val="24"/>
          <w:szCs w:val="24"/>
        </w:rPr>
        <w:t>to complete the recovery from the Great Recession of 2008-09.</w:t>
      </w:r>
      <w:r w:rsidR="00230917">
        <w:rPr>
          <w:sz w:val="24"/>
          <w:szCs w:val="24"/>
        </w:rPr>
        <w:t xml:space="preserve">  </w:t>
      </w:r>
      <w:proofErr w:type="gramStart"/>
      <w:r w:rsidR="00343D93">
        <w:rPr>
          <w:sz w:val="24"/>
          <w:szCs w:val="24"/>
        </w:rPr>
        <w:t>But in most developing countries today, the price stability objective probably still means getting the inflation rate down and keeping it down.</w:t>
      </w:r>
      <w:proofErr w:type="gramEnd"/>
      <w:r w:rsidR="00343D93">
        <w:rPr>
          <w:sz w:val="24"/>
          <w:szCs w:val="24"/>
        </w:rPr>
        <w:t xml:space="preserve"> </w:t>
      </w:r>
    </w:p>
    <w:p w:rsidR="00D55109" w:rsidRDefault="00D55109" w:rsidP="00426F9A">
      <w:pPr>
        <w:pStyle w:val="ListParagraph"/>
        <w:ind w:left="360"/>
        <w:rPr>
          <w:sz w:val="24"/>
          <w:szCs w:val="24"/>
        </w:rPr>
      </w:pPr>
      <w:r>
        <w:rPr>
          <w:sz w:val="24"/>
          <w:szCs w:val="24"/>
        </w:rPr>
        <w:br/>
        <w:t xml:space="preserve"> </w:t>
      </w:r>
    </w:p>
    <w:p w:rsidR="00D55109" w:rsidRDefault="002854FE" w:rsidP="00D55109">
      <w:pPr>
        <w:pStyle w:val="ListParagraph"/>
        <w:numPr>
          <w:ilvl w:val="1"/>
          <w:numId w:val="3"/>
        </w:numPr>
        <w:rPr>
          <w:sz w:val="24"/>
          <w:szCs w:val="24"/>
        </w:rPr>
      </w:pPr>
      <w:r>
        <w:rPr>
          <w:sz w:val="24"/>
          <w:szCs w:val="24"/>
        </w:rPr>
        <w:lastRenderedPageBreak/>
        <w:t>Facilitating trade</w:t>
      </w:r>
    </w:p>
    <w:p w:rsidR="0035610A" w:rsidRDefault="00993803" w:rsidP="00BF5878">
      <w:pPr>
        <w:spacing w:line="240" w:lineRule="auto"/>
        <w:ind w:firstLine="720"/>
        <w:jc w:val="both"/>
        <w:rPr>
          <w:sz w:val="24"/>
          <w:szCs w:val="24"/>
        </w:rPr>
      </w:pPr>
      <w:r w:rsidRPr="00993803">
        <w:rPr>
          <w:sz w:val="24"/>
          <w:szCs w:val="24"/>
        </w:rPr>
        <w:t>Another leading argument in favor of fixed exchange rates</w:t>
      </w:r>
      <w:r>
        <w:rPr>
          <w:sz w:val="24"/>
          <w:szCs w:val="24"/>
        </w:rPr>
        <w:t xml:space="preserve"> is</w:t>
      </w:r>
      <w:r w:rsidR="0035610A">
        <w:rPr>
          <w:sz w:val="24"/>
          <w:szCs w:val="24"/>
        </w:rPr>
        <w:t xml:space="preserve"> e</w:t>
      </w:r>
      <w:r w:rsidR="00CE4E65">
        <w:rPr>
          <w:sz w:val="24"/>
          <w:szCs w:val="24"/>
        </w:rPr>
        <w:t>ncouragement of</w:t>
      </w:r>
      <w:r w:rsidR="0035610A">
        <w:rPr>
          <w:sz w:val="24"/>
          <w:szCs w:val="24"/>
        </w:rPr>
        <w:t xml:space="preserve"> </w:t>
      </w:r>
      <w:r w:rsidR="0035610A" w:rsidRPr="00993803">
        <w:rPr>
          <w:sz w:val="24"/>
          <w:szCs w:val="24"/>
        </w:rPr>
        <w:t xml:space="preserve">international </w:t>
      </w:r>
      <w:r w:rsidR="0035610A">
        <w:rPr>
          <w:sz w:val="24"/>
          <w:szCs w:val="24"/>
        </w:rPr>
        <w:t>trade.  When countries use diff</w:t>
      </w:r>
      <w:r>
        <w:rPr>
          <w:sz w:val="24"/>
          <w:szCs w:val="24"/>
        </w:rPr>
        <w:t xml:space="preserve">erent </w:t>
      </w:r>
      <w:r w:rsidRPr="00993803">
        <w:rPr>
          <w:sz w:val="24"/>
          <w:szCs w:val="24"/>
        </w:rPr>
        <w:t xml:space="preserve">currencies </w:t>
      </w:r>
      <w:r w:rsidR="0035610A">
        <w:rPr>
          <w:sz w:val="24"/>
          <w:szCs w:val="24"/>
        </w:rPr>
        <w:t>it acts as a barrier to</w:t>
      </w:r>
      <w:r w:rsidRPr="00993803">
        <w:rPr>
          <w:sz w:val="24"/>
          <w:szCs w:val="24"/>
        </w:rPr>
        <w:t xml:space="preserve"> trade.  </w:t>
      </w:r>
      <w:r w:rsidR="0035610A">
        <w:rPr>
          <w:sz w:val="24"/>
          <w:szCs w:val="24"/>
        </w:rPr>
        <w:t>For one thing, e</w:t>
      </w:r>
      <w:r w:rsidRPr="00993803">
        <w:rPr>
          <w:sz w:val="24"/>
          <w:szCs w:val="24"/>
        </w:rPr>
        <w:t>xchange rate variability creates uncertainty; this risk in turn discourages imports and exports</w:t>
      </w:r>
      <w:r>
        <w:rPr>
          <w:sz w:val="24"/>
          <w:szCs w:val="24"/>
        </w:rPr>
        <w:t xml:space="preserve">. </w:t>
      </w:r>
      <w:r w:rsidRPr="00993803">
        <w:rPr>
          <w:sz w:val="24"/>
          <w:szCs w:val="24"/>
        </w:rPr>
        <w:t xml:space="preserve">Furthermore, dealing in multiple currencies incurs transactions costs. Fixing the exchange rate in terms of a large neighbor eliminates exchange rate risk, and so encourages international trade, at least with that neighbor. Going one step farther and actually adopting the neighbor's currency as one's own eliminates transactions costs as well and thus promotes trade even more.  </w:t>
      </w:r>
    </w:p>
    <w:p w:rsidR="0035610A" w:rsidRPr="00993803" w:rsidRDefault="00864519" w:rsidP="00993803">
      <w:pPr>
        <w:spacing w:line="240" w:lineRule="auto"/>
        <w:ind w:firstLine="720"/>
        <w:jc w:val="both"/>
        <w:rPr>
          <w:sz w:val="24"/>
          <w:szCs w:val="24"/>
        </w:rPr>
      </w:pPr>
      <w:r>
        <w:rPr>
          <w:sz w:val="24"/>
          <w:szCs w:val="24"/>
        </w:rPr>
        <w:t>S</w:t>
      </w:r>
      <w:r w:rsidR="0035610A">
        <w:rPr>
          <w:sz w:val="24"/>
          <w:szCs w:val="24"/>
        </w:rPr>
        <w:t>imilar arguments have been made regarding international investment: exchange rate risk and currency transactions costs act as barriers to cross-bord</w:t>
      </w:r>
      <w:r w:rsidR="00BF5878">
        <w:rPr>
          <w:sz w:val="24"/>
          <w:szCs w:val="24"/>
        </w:rPr>
        <w:t xml:space="preserve">er </w:t>
      </w:r>
      <w:r w:rsidR="0035610A">
        <w:rPr>
          <w:sz w:val="24"/>
          <w:szCs w:val="24"/>
        </w:rPr>
        <w:t>asset trade and banking flows</w:t>
      </w:r>
      <w:r w:rsidR="005A28F3">
        <w:rPr>
          <w:sz w:val="24"/>
          <w:szCs w:val="24"/>
        </w:rPr>
        <w:t>. Thus</w:t>
      </w:r>
      <w:r w:rsidR="0035610A">
        <w:rPr>
          <w:sz w:val="24"/>
          <w:szCs w:val="24"/>
        </w:rPr>
        <w:t xml:space="preserve"> eliminating th</w:t>
      </w:r>
      <w:r w:rsidR="00E5252D">
        <w:rPr>
          <w:sz w:val="24"/>
          <w:szCs w:val="24"/>
        </w:rPr>
        <w:t xml:space="preserve">em by fixing the exchange rate, </w:t>
      </w:r>
      <w:r w:rsidR="0035610A">
        <w:rPr>
          <w:sz w:val="24"/>
          <w:szCs w:val="24"/>
        </w:rPr>
        <w:t>or going a</w:t>
      </w:r>
      <w:r w:rsidR="00E5252D">
        <w:rPr>
          <w:sz w:val="24"/>
          <w:szCs w:val="24"/>
        </w:rPr>
        <w:t>ll the way to a common currency,</w:t>
      </w:r>
      <w:r w:rsidR="0035610A">
        <w:rPr>
          <w:sz w:val="24"/>
          <w:szCs w:val="24"/>
        </w:rPr>
        <w:t xml:space="preserve"> promotes financial integration.</w:t>
      </w:r>
    </w:p>
    <w:p w:rsidR="00993803" w:rsidRPr="00993803" w:rsidRDefault="00993803" w:rsidP="00993803">
      <w:pPr>
        <w:spacing w:line="240" w:lineRule="auto"/>
        <w:jc w:val="both"/>
        <w:rPr>
          <w:sz w:val="24"/>
          <w:szCs w:val="24"/>
        </w:rPr>
      </w:pPr>
      <w:r w:rsidRPr="00993803">
        <w:rPr>
          <w:sz w:val="24"/>
          <w:szCs w:val="24"/>
        </w:rPr>
        <w:tab/>
        <w:t xml:space="preserve">Academic economists </w:t>
      </w:r>
      <w:r w:rsidR="0035610A">
        <w:rPr>
          <w:sz w:val="24"/>
          <w:szCs w:val="24"/>
        </w:rPr>
        <w:t>t</w:t>
      </w:r>
      <w:r>
        <w:rPr>
          <w:sz w:val="24"/>
          <w:szCs w:val="24"/>
        </w:rPr>
        <w:t>raditionally tended to be</w:t>
      </w:r>
      <w:r w:rsidRPr="00993803">
        <w:rPr>
          <w:sz w:val="24"/>
          <w:szCs w:val="24"/>
        </w:rPr>
        <w:t xml:space="preserve"> skeptical of th</w:t>
      </w:r>
      <w:r w:rsidR="0035610A">
        <w:rPr>
          <w:sz w:val="24"/>
          <w:szCs w:val="24"/>
        </w:rPr>
        <w:t>e</w:t>
      </w:r>
      <w:r w:rsidRPr="00993803">
        <w:rPr>
          <w:sz w:val="24"/>
          <w:szCs w:val="24"/>
        </w:rPr>
        <w:t xml:space="preserve"> claim</w:t>
      </w:r>
      <w:r w:rsidR="00BF5878">
        <w:rPr>
          <w:sz w:val="24"/>
          <w:szCs w:val="24"/>
        </w:rPr>
        <w:t>ed trade</w:t>
      </w:r>
      <w:r w:rsidR="005A28F3">
        <w:rPr>
          <w:sz w:val="24"/>
          <w:szCs w:val="24"/>
        </w:rPr>
        <w:t>-promoting</w:t>
      </w:r>
      <w:r w:rsidR="00952E19">
        <w:rPr>
          <w:sz w:val="24"/>
          <w:szCs w:val="24"/>
        </w:rPr>
        <w:t xml:space="preserve"> </w:t>
      </w:r>
      <w:r w:rsidR="00BF5878">
        <w:rPr>
          <w:sz w:val="24"/>
          <w:szCs w:val="24"/>
        </w:rPr>
        <w:t>effects</w:t>
      </w:r>
      <w:r w:rsidR="005A3801">
        <w:rPr>
          <w:sz w:val="24"/>
          <w:szCs w:val="24"/>
        </w:rPr>
        <w:t xml:space="preserve"> of fixed exchange rates</w:t>
      </w:r>
      <w:r w:rsidRPr="00993803">
        <w:rPr>
          <w:sz w:val="24"/>
          <w:szCs w:val="24"/>
        </w:rPr>
        <w:t>,</w:t>
      </w:r>
      <w:r w:rsidR="00BF5878">
        <w:rPr>
          <w:rStyle w:val="FootnoteReference"/>
          <w:sz w:val="24"/>
          <w:szCs w:val="24"/>
        </w:rPr>
        <w:footnoteReference w:id="10"/>
      </w:r>
      <w:r w:rsidRPr="00993803">
        <w:rPr>
          <w:sz w:val="24"/>
          <w:szCs w:val="24"/>
        </w:rPr>
        <w:t xml:space="preserve"> for three reasons. First, in theory, exchange rate uncertainty is merely the symptom of vari</w:t>
      </w:r>
      <w:r w:rsidR="007F7613">
        <w:rPr>
          <w:sz w:val="24"/>
          <w:szCs w:val="24"/>
        </w:rPr>
        <w:t>ability in economic fundamentals:</w:t>
      </w:r>
      <w:r w:rsidRPr="00993803">
        <w:rPr>
          <w:sz w:val="24"/>
          <w:szCs w:val="24"/>
        </w:rPr>
        <w:t xml:space="preserve"> if it is suppressed in the foreign exchange market it w</w:t>
      </w:r>
      <w:r w:rsidR="0035610A">
        <w:rPr>
          <w:sz w:val="24"/>
          <w:szCs w:val="24"/>
        </w:rPr>
        <w:t xml:space="preserve">ill show up somewhere else, </w:t>
      </w:r>
      <w:r w:rsidR="007F7613">
        <w:rPr>
          <w:sz w:val="24"/>
          <w:szCs w:val="24"/>
        </w:rPr>
        <w:t>in particular</w:t>
      </w:r>
      <w:r w:rsidRPr="00993803">
        <w:rPr>
          <w:sz w:val="24"/>
          <w:szCs w:val="24"/>
        </w:rPr>
        <w:t xml:space="preserve"> in the variability of </w:t>
      </w:r>
      <w:r w:rsidR="0035610A">
        <w:rPr>
          <w:sz w:val="24"/>
          <w:szCs w:val="24"/>
        </w:rPr>
        <w:t>goods</w:t>
      </w:r>
      <w:r w:rsidRPr="00993803">
        <w:rPr>
          <w:sz w:val="24"/>
          <w:szCs w:val="24"/>
        </w:rPr>
        <w:t xml:space="preserve"> price</w:t>
      </w:r>
      <w:r w:rsidR="0035610A">
        <w:rPr>
          <w:sz w:val="24"/>
          <w:szCs w:val="24"/>
        </w:rPr>
        <w:t>s</w:t>
      </w:r>
      <w:r w:rsidR="005A3801">
        <w:rPr>
          <w:sz w:val="24"/>
          <w:szCs w:val="24"/>
        </w:rPr>
        <w:t>. Second, in theory</w:t>
      </w:r>
      <w:r w:rsidRPr="00993803">
        <w:rPr>
          <w:sz w:val="24"/>
          <w:szCs w:val="24"/>
        </w:rPr>
        <w:t>, anyone adversely affected by exchange rate variability</w:t>
      </w:r>
      <w:r w:rsidR="005A3801">
        <w:rPr>
          <w:sz w:val="24"/>
          <w:szCs w:val="24"/>
        </w:rPr>
        <w:t xml:space="preserve"> </w:t>
      </w:r>
      <w:r w:rsidRPr="00993803">
        <w:rPr>
          <w:sz w:val="24"/>
          <w:szCs w:val="24"/>
        </w:rPr>
        <w:t>— importers, exporters</w:t>
      </w:r>
      <w:r w:rsidR="005A3801">
        <w:rPr>
          <w:sz w:val="24"/>
          <w:szCs w:val="24"/>
        </w:rPr>
        <w:t xml:space="preserve">, borrowers, lenders </w:t>
      </w:r>
      <w:r w:rsidRPr="00993803">
        <w:rPr>
          <w:sz w:val="24"/>
          <w:szCs w:val="24"/>
        </w:rPr>
        <w:t>—</w:t>
      </w:r>
      <w:r w:rsidR="005A3801">
        <w:rPr>
          <w:sz w:val="24"/>
          <w:szCs w:val="24"/>
        </w:rPr>
        <w:t xml:space="preserve"> </w:t>
      </w:r>
      <w:r w:rsidRPr="00993803">
        <w:rPr>
          <w:sz w:val="24"/>
          <w:szCs w:val="24"/>
        </w:rPr>
        <w:t xml:space="preserve">can hedge away the risk, using forward markets or other derivative markets. Third, empirically, it used to be difficult statistically to discern an adverse effect from increased exchange rate volatility on trade. </w:t>
      </w:r>
    </w:p>
    <w:p w:rsidR="00A7643D" w:rsidRDefault="00993803" w:rsidP="00993803">
      <w:pPr>
        <w:spacing w:line="240" w:lineRule="auto"/>
        <w:ind w:firstLine="720"/>
        <w:jc w:val="both"/>
        <w:rPr>
          <w:sz w:val="24"/>
          <w:szCs w:val="24"/>
        </w:rPr>
      </w:pPr>
      <w:r w:rsidRPr="00993803">
        <w:rPr>
          <w:sz w:val="24"/>
          <w:szCs w:val="24"/>
        </w:rPr>
        <w:t>Each of these three arguments can be re</w:t>
      </w:r>
      <w:r w:rsidR="005A3801">
        <w:rPr>
          <w:sz w:val="24"/>
          <w:szCs w:val="24"/>
        </w:rPr>
        <w:t xml:space="preserve">butted, however. To begin with, some </w:t>
      </w:r>
      <w:r w:rsidRPr="00993803">
        <w:rPr>
          <w:sz w:val="24"/>
          <w:szCs w:val="24"/>
        </w:rPr>
        <w:t>exchange</w:t>
      </w:r>
      <w:r w:rsidR="005A3801">
        <w:rPr>
          <w:sz w:val="24"/>
          <w:szCs w:val="24"/>
        </w:rPr>
        <w:t xml:space="preserve"> </w:t>
      </w:r>
      <w:r w:rsidRPr="00993803">
        <w:rPr>
          <w:sz w:val="24"/>
          <w:szCs w:val="24"/>
        </w:rPr>
        <w:t xml:space="preserve">rate </w:t>
      </w:r>
      <w:r w:rsidR="005A3801">
        <w:rPr>
          <w:sz w:val="24"/>
          <w:szCs w:val="24"/>
        </w:rPr>
        <w:t>changes appear</w:t>
      </w:r>
      <w:r w:rsidRPr="00993803">
        <w:rPr>
          <w:sz w:val="24"/>
          <w:szCs w:val="24"/>
        </w:rPr>
        <w:t xml:space="preserve"> to be unrelated to changes in macroec</w:t>
      </w:r>
      <w:r w:rsidR="007F7613">
        <w:rPr>
          <w:sz w:val="24"/>
          <w:szCs w:val="24"/>
        </w:rPr>
        <w:t>onomic fundamentals</w:t>
      </w:r>
      <w:r w:rsidR="005A3801">
        <w:rPr>
          <w:sz w:val="24"/>
          <w:szCs w:val="24"/>
        </w:rPr>
        <w:t xml:space="preserve"> and appear</w:t>
      </w:r>
      <w:r w:rsidRPr="00993803">
        <w:rPr>
          <w:sz w:val="24"/>
          <w:szCs w:val="24"/>
        </w:rPr>
        <w:t xml:space="preserve"> to be the cause rather than the result of real exchange rate variability.</w:t>
      </w:r>
      <w:r w:rsidR="008D1ED0">
        <w:rPr>
          <w:rStyle w:val="FootnoteReference"/>
          <w:sz w:val="24"/>
          <w:szCs w:val="24"/>
        </w:rPr>
        <w:footnoteReference w:id="11"/>
      </w:r>
      <w:r w:rsidR="008C39F8">
        <w:rPr>
          <w:sz w:val="24"/>
          <w:szCs w:val="24"/>
        </w:rPr>
        <w:t xml:space="preserve"> </w:t>
      </w:r>
      <w:r w:rsidR="005A3801">
        <w:rPr>
          <w:sz w:val="24"/>
          <w:szCs w:val="24"/>
        </w:rPr>
        <w:t xml:space="preserve">Some of the volatility of floating exchange rates might be due to speculative bubbles and therefore </w:t>
      </w:r>
      <w:r w:rsidR="00592834">
        <w:rPr>
          <w:sz w:val="24"/>
          <w:szCs w:val="24"/>
        </w:rPr>
        <w:t xml:space="preserve">might be </w:t>
      </w:r>
      <w:r w:rsidR="005A3801">
        <w:rPr>
          <w:sz w:val="24"/>
          <w:szCs w:val="24"/>
        </w:rPr>
        <w:t>unnecessary. Secondly,</w:t>
      </w:r>
      <w:r w:rsidRPr="00993803">
        <w:rPr>
          <w:sz w:val="24"/>
          <w:szCs w:val="24"/>
        </w:rPr>
        <w:t xml:space="preserve"> many smaller currencies</w:t>
      </w:r>
      <w:r w:rsidR="00B87EF3">
        <w:rPr>
          <w:sz w:val="24"/>
          <w:szCs w:val="24"/>
        </w:rPr>
        <w:t>, such as most of those in Africa,</w:t>
      </w:r>
      <w:r w:rsidRPr="00993803">
        <w:rPr>
          <w:sz w:val="24"/>
          <w:szCs w:val="24"/>
        </w:rPr>
        <w:t xml:space="preserve"> have no derivative </w:t>
      </w:r>
      <w:r w:rsidR="00A55163" w:rsidRPr="00993803">
        <w:rPr>
          <w:sz w:val="24"/>
          <w:szCs w:val="24"/>
        </w:rPr>
        <w:t>markets</w:t>
      </w:r>
      <w:r w:rsidR="00A55163">
        <w:rPr>
          <w:sz w:val="24"/>
          <w:szCs w:val="24"/>
        </w:rPr>
        <w:t>.</w:t>
      </w:r>
      <w:r w:rsidRPr="00993803">
        <w:rPr>
          <w:sz w:val="24"/>
          <w:szCs w:val="24"/>
        </w:rPr>
        <w:t xml:space="preserve"> </w:t>
      </w:r>
      <w:r w:rsidR="00B87EF3">
        <w:rPr>
          <w:sz w:val="24"/>
          <w:szCs w:val="24"/>
        </w:rPr>
        <w:t>E</w:t>
      </w:r>
      <w:r w:rsidRPr="00993803">
        <w:rPr>
          <w:sz w:val="24"/>
          <w:szCs w:val="24"/>
        </w:rPr>
        <w:t xml:space="preserve">ven where such markets exist, they may charge </w:t>
      </w:r>
      <w:r>
        <w:rPr>
          <w:sz w:val="24"/>
          <w:szCs w:val="24"/>
        </w:rPr>
        <w:t xml:space="preserve">substantial </w:t>
      </w:r>
      <w:r w:rsidRPr="00993803">
        <w:rPr>
          <w:sz w:val="24"/>
          <w:szCs w:val="24"/>
        </w:rPr>
        <w:t>costs for hedging</w:t>
      </w:r>
      <w:r w:rsidR="00A161ED">
        <w:rPr>
          <w:sz w:val="24"/>
          <w:szCs w:val="24"/>
        </w:rPr>
        <w:t xml:space="preserve"> </w:t>
      </w:r>
      <w:r w:rsidR="00A161ED" w:rsidRPr="00993803">
        <w:rPr>
          <w:sz w:val="24"/>
          <w:szCs w:val="24"/>
        </w:rPr>
        <w:t>which limit their actual use</w:t>
      </w:r>
      <w:r w:rsidRPr="00993803">
        <w:rPr>
          <w:sz w:val="24"/>
          <w:szCs w:val="24"/>
        </w:rPr>
        <w:t xml:space="preserve"> (transactions costs plus the exchange risk premium).</w:t>
      </w:r>
      <w:r w:rsidR="008C39F8">
        <w:rPr>
          <w:sz w:val="24"/>
          <w:szCs w:val="24"/>
        </w:rPr>
        <w:t xml:space="preserve"> </w:t>
      </w:r>
      <w:r w:rsidRPr="00993803">
        <w:rPr>
          <w:sz w:val="24"/>
          <w:szCs w:val="24"/>
        </w:rPr>
        <w:t>Thin trading is especially a problem for small and developing countries</w:t>
      </w:r>
      <w:r w:rsidR="00A161ED">
        <w:rPr>
          <w:sz w:val="24"/>
          <w:szCs w:val="24"/>
        </w:rPr>
        <w:t>.  B</w:t>
      </w:r>
      <w:r w:rsidRPr="00993803">
        <w:rPr>
          <w:sz w:val="24"/>
          <w:szCs w:val="24"/>
        </w:rPr>
        <w:t>ut even major currencies do not have forward markets at every horizon that an importer or exporter might need. Finally</w:t>
      </w:r>
      <w:r>
        <w:rPr>
          <w:sz w:val="24"/>
          <w:szCs w:val="24"/>
        </w:rPr>
        <w:t xml:space="preserve">, </w:t>
      </w:r>
      <w:r w:rsidRPr="00993803">
        <w:rPr>
          <w:sz w:val="24"/>
          <w:szCs w:val="24"/>
        </w:rPr>
        <w:t>econometric studies</w:t>
      </w:r>
      <w:r>
        <w:rPr>
          <w:sz w:val="24"/>
          <w:szCs w:val="24"/>
        </w:rPr>
        <w:t xml:space="preserve"> of the last 20 years</w:t>
      </w:r>
      <w:r w:rsidRPr="00993803">
        <w:rPr>
          <w:sz w:val="24"/>
          <w:szCs w:val="24"/>
        </w:rPr>
        <w:t>, based on large cross sections that include many small developing countries, have found stronger evidence of a</w:t>
      </w:r>
      <w:r w:rsidR="00B87EF3">
        <w:rPr>
          <w:sz w:val="24"/>
          <w:szCs w:val="24"/>
        </w:rPr>
        <w:t xml:space="preserve"> </w:t>
      </w:r>
      <w:r w:rsidRPr="00993803">
        <w:rPr>
          <w:sz w:val="24"/>
          <w:szCs w:val="24"/>
        </w:rPr>
        <w:t>n</w:t>
      </w:r>
      <w:r w:rsidR="00B87EF3">
        <w:rPr>
          <w:sz w:val="24"/>
          <w:szCs w:val="24"/>
        </w:rPr>
        <w:t>egative</w:t>
      </w:r>
      <w:r w:rsidRPr="00993803">
        <w:rPr>
          <w:sz w:val="24"/>
          <w:szCs w:val="24"/>
        </w:rPr>
        <w:t xml:space="preserve"> effect of exchange rate variability on trade.    </w:t>
      </w:r>
    </w:p>
    <w:p w:rsidR="00E5252D" w:rsidRDefault="008C39F8" w:rsidP="00993803">
      <w:pPr>
        <w:spacing w:line="240" w:lineRule="auto"/>
        <w:ind w:firstLine="720"/>
        <w:jc w:val="both"/>
        <w:rPr>
          <w:sz w:val="24"/>
          <w:szCs w:val="24"/>
        </w:rPr>
      </w:pPr>
      <w:r w:rsidRPr="000726C7">
        <w:rPr>
          <w:sz w:val="24"/>
          <w:szCs w:val="24"/>
        </w:rPr>
        <w:t xml:space="preserve">The </w:t>
      </w:r>
      <w:r w:rsidR="00A7643D" w:rsidRPr="000726C7">
        <w:rPr>
          <w:sz w:val="24"/>
          <w:szCs w:val="24"/>
        </w:rPr>
        <w:t xml:space="preserve">best </w:t>
      </w:r>
      <w:r w:rsidRPr="000726C7">
        <w:rPr>
          <w:sz w:val="24"/>
          <w:szCs w:val="24"/>
        </w:rPr>
        <w:t>econometric evidence is</w:t>
      </w:r>
      <w:r w:rsidR="00993803" w:rsidRPr="000726C7">
        <w:rPr>
          <w:sz w:val="24"/>
          <w:szCs w:val="24"/>
        </w:rPr>
        <w:t xml:space="preserve"> drawn from the gravity model</w:t>
      </w:r>
      <w:r w:rsidR="00141005" w:rsidRPr="000726C7">
        <w:rPr>
          <w:sz w:val="24"/>
          <w:szCs w:val="24"/>
        </w:rPr>
        <w:t xml:space="preserve"> of bilateral trade, where far more data are available</w:t>
      </w:r>
      <w:r w:rsidR="00B87EF3">
        <w:rPr>
          <w:sz w:val="24"/>
          <w:szCs w:val="24"/>
        </w:rPr>
        <w:t xml:space="preserve"> than when looking at countries’ levels of overall trade</w:t>
      </w:r>
      <w:r w:rsidR="00141005" w:rsidRPr="000726C7">
        <w:rPr>
          <w:sz w:val="24"/>
          <w:szCs w:val="24"/>
        </w:rPr>
        <w:t>.</w:t>
      </w:r>
      <w:r w:rsidR="00E5252D">
        <w:rPr>
          <w:sz w:val="24"/>
          <w:szCs w:val="24"/>
        </w:rPr>
        <w:t xml:space="preserve">  This </w:t>
      </w:r>
      <w:r w:rsidR="00E5252D">
        <w:rPr>
          <w:sz w:val="24"/>
          <w:szCs w:val="24"/>
        </w:rPr>
        <w:lastRenderedPageBreak/>
        <w:t>research has been able to find not only that reducing exchange rate variability to zero has</w:t>
      </w:r>
      <w:r w:rsidR="007F7613">
        <w:rPr>
          <w:sz w:val="24"/>
          <w:szCs w:val="24"/>
        </w:rPr>
        <w:t xml:space="preserve"> a</w:t>
      </w:r>
      <w:r w:rsidR="00E5252D">
        <w:rPr>
          <w:sz w:val="24"/>
          <w:szCs w:val="24"/>
        </w:rPr>
        <w:t xml:space="preserve"> highly significant effect on trade (though modest quantitatively), but that institutional fixes such as currency boards or dollarization have a distinctly bigger effect, and currency unions have the biggest effect of all.</w:t>
      </w:r>
    </w:p>
    <w:p w:rsidR="007F7613" w:rsidRDefault="00A7643D" w:rsidP="00993803">
      <w:pPr>
        <w:spacing w:line="240" w:lineRule="auto"/>
        <w:ind w:firstLine="720"/>
        <w:jc w:val="both"/>
        <w:rPr>
          <w:sz w:val="24"/>
          <w:szCs w:val="24"/>
        </w:rPr>
      </w:pPr>
      <w:r w:rsidRPr="000726C7">
        <w:rPr>
          <w:sz w:val="24"/>
          <w:szCs w:val="24"/>
        </w:rPr>
        <w:t>Most famously, Rose (2000) found that two members of a common currency area tend to trade as much as three times more with each other, compared to an otherwise similarl</w:t>
      </w:r>
      <w:r w:rsidR="00141005" w:rsidRPr="000726C7">
        <w:rPr>
          <w:sz w:val="24"/>
          <w:szCs w:val="24"/>
        </w:rPr>
        <w:t xml:space="preserve">y situated pair of countries. </w:t>
      </w:r>
      <w:r w:rsidR="00BC12F5">
        <w:rPr>
          <w:sz w:val="24"/>
          <w:szCs w:val="24"/>
        </w:rPr>
        <w:t xml:space="preserve">His data set was big enough to include trade among members of such currency unions as the CFA franc zone, the East Caribbean Currency area, and the southern Africa rand zone.  </w:t>
      </w:r>
      <w:r w:rsidR="00141005" w:rsidRPr="000726C7">
        <w:rPr>
          <w:sz w:val="24"/>
          <w:szCs w:val="24"/>
        </w:rPr>
        <w:t>Using a time series sample (1948–1997) that include</w:t>
      </w:r>
      <w:r w:rsidR="00B87EF3">
        <w:rPr>
          <w:sz w:val="24"/>
          <w:szCs w:val="24"/>
        </w:rPr>
        <w:t>d</w:t>
      </w:r>
      <w:r w:rsidR="00141005" w:rsidRPr="000726C7">
        <w:rPr>
          <w:sz w:val="24"/>
          <w:szCs w:val="24"/>
        </w:rPr>
        <w:t xml:space="preserve"> a number of countries which left currency unions, Glick and Rose (2002) found that trade among the members was twice as high in the currency union period as afterward. </w:t>
      </w:r>
      <w:r w:rsidR="00995EFA" w:rsidRPr="000726C7">
        <w:rPr>
          <w:sz w:val="24"/>
          <w:szCs w:val="24"/>
        </w:rPr>
        <w:t xml:space="preserve"> </w:t>
      </w:r>
    </w:p>
    <w:p w:rsidR="00482328" w:rsidRPr="000726C7" w:rsidRDefault="00995EFA" w:rsidP="00993803">
      <w:pPr>
        <w:spacing w:line="240" w:lineRule="auto"/>
        <w:ind w:firstLine="720"/>
        <w:jc w:val="both"/>
        <w:rPr>
          <w:sz w:val="24"/>
          <w:szCs w:val="24"/>
        </w:rPr>
      </w:pPr>
      <w:r w:rsidRPr="000726C7">
        <w:rPr>
          <w:sz w:val="24"/>
          <w:szCs w:val="24"/>
        </w:rPr>
        <w:t xml:space="preserve">Frankel and Rose (2002) found that for each </w:t>
      </w:r>
      <w:r w:rsidR="004F6FB7" w:rsidRPr="000726C7">
        <w:rPr>
          <w:sz w:val="24"/>
          <w:szCs w:val="24"/>
        </w:rPr>
        <w:t>1 per cent in openness (trade/GDP) resulting from</w:t>
      </w:r>
      <w:r w:rsidRPr="000726C7">
        <w:rPr>
          <w:sz w:val="24"/>
          <w:szCs w:val="24"/>
        </w:rPr>
        <w:t xml:space="preserve"> a common currency</w:t>
      </w:r>
      <w:r w:rsidR="00A55163" w:rsidRPr="000726C7">
        <w:rPr>
          <w:sz w:val="24"/>
          <w:szCs w:val="24"/>
        </w:rPr>
        <w:t>, GDP</w:t>
      </w:r>
      <w:r w:rsidRPr="000726C7">
        <w:rPr>
          <w:sz w:val="24"/>
          <w:szCs w:val="24"/>
        </w:rPr>
        <w:t xml:space="preserve"> </w:t>
      </w:r>
      <w:r w:rsidR="00B87EF3">
        <w:rPr>
          <w:sz w:val="24"/>
          <w:szCs w:val="24"/>
        </w:rPr>
        <w:t xml:space="preserve">goes up </w:t>
      </w:r>
      <w:r w:rsidRPr="000726C7">
        <w:rPr>
          <w:sz w:val="24"/>
          <w:szCs w:val="24"/>
        </w:rPr>
        <w:t xml:space="preserve">by 1/3 of a percent.  </w:t>
      </w:r>
      <w:r w:rsidR="004F6FB7" w:rsidRPr="000726C7">
        <w:rPr>
          <w:sz w:val="24"/>
          <w:szCs w:val="24"/>
        </w:rPr>
        <w:t xml:space="preserve">For example, </w:t>
      </w:r>
      <w:r w:rsidR="00482328" w:rsidRPr="000726C7">
        <w:rPr>
          <w:sz w:val="24"/>
          <w:szCs w:val="24"/>
        </w:rPr>
        <w:t xml:space="preserve"> Nigeria’s </w:t>
      </w:r>
      <w:r w:rsidR="004F6FB7" w:rsidRPr="000726C7">
        <w:rPr>
          <w:sz w:val="24"/>
          <w:szCs w:val="24"/>
        </w:rPr>
        <w:t>trade/GDP</w:t>
      </w:r>
      <w:r w:rsidR="00482328" w:rsidRPr="000726C7">
        <w:rPr>
          <w:sz w:val="24"/>
          <w:szCs w:val="24"/>
        </w:rPr>
        <w:t xml:space="preserve"> ratio in 1995 was .30; 34% of this was bilateral trade with the eurozone,  implying </w:t>
      </w:r>
      <w:r w:rsidR="007F7613">
        <w:rPr>
          <w:sz w:val="24"/>
          <w:szCs w:val="24"/>
        </w:rPr>
        <w:t xml:space="preserve">that </w:t>
      </w:r>
      <w:r w:rsidR="00482328" w:rsidRPr="000726C7">
        <w:rPr>
          <w:sz w:val="24"/>
          <w:szCs w:val="24"/>
        </w:rPr>
        <w:t>adopting the euro would raise Nigeria’s trade/GDP by an estimated 21%  and in turn would raise its GDP by an estimated 7 per cent.</w:t>
      </w:r>
      <w:r w:rsidR="005A3801">
        <w:rPr>
          <w:sz w:val="24"/>
          <w:szCs w:val="24"/>
        </w:rPr>
        <w:t xml:space="preserve"> </w:t>
      </w:r>
      <w:r w:rsidR="005A37B6">
        <w:rPr>
          <w:sz w:val="24"/>
          <w:szCs w:val="24"/>
        </w:rPr>
        <w:t>(</w:t>
      </w:r>
      <w:r w:rsidR="005A3801">
        <w:rPr>
          <w:sz w:val="24"/>
          <w:szCs w:val="24"/>
        </w:rPr>
        <w:t>D</w:t>
      </w:r>
      <w:r w:rsidR="005A3801" w:rsidRPr="000726C7">
        <w:rPr>
          <w:sz w:val="24"/>
          <w:szCs w:val="24"/>
        </w:rPr>
        <w:t>ollarization would have a similar effect</w:t>
      </w:r>
      <w:r w:rsidR="005A3801">
        <w:rPr>
          <w:sz w:val="24"/>
          <w:szCs w:val="24"/>
        </w:rPr>
        <w:t xml:space="preserve">, because </w:t>
      </w:r>
      <w:r w:rsidR="00E513DE" w:rsidRPr="000726C7">
        <w:rPr>
          <w:sz w:val="24"/>
          <w:szCs w:val="24"/>
        </w:rPr>
        <w:t>Nigeria trades as much with</w:t>
      </w:r>
      <w:r w:rsidR="005A3801">
        <w:rPr>
          <w:sz w:val="24"/>
          <w:szCs w:val="24"/>
        </w:rPr>
        <w:t xml:space="preserve"> the US as with the eurozone.</w:t>
      </w:r>
      <w:r w:rsidR="00E513DE" w:rsidRPr="000726C7">
        <w:rPr>
          <w:sz w:val="24"/>
          <w:szCs w:val="24"/>
        </w:rPr>
        <w:t xml:space="preserve"> But most African countries trade substantially more with Europe, so that adopting the euro would promote total trade by</w:t>
      </w:r>
      <w:r w:rsidR="005A37B6">
        <w:rPr>
          <w:sz w:val="24"/>
          <w:szCs w:val="24"/>
        </w:rPr>
        <w:t xml:space="preserve"> more than adopting the dollar.)</w:t>
      </w:r>
    </w:p>
    <w:p w:rsidR="00993803" w:rsidRPr="000726C7" w:rsidRDefault="00482328" w:rsidP="00993803">
      <w:pPr>
        <w:spacing w:line="240" w:lineRule="auto"/>
        <w:ind w:firstLine="720"/>
        <w:jc w:val="both"/>
        <w:rPr>
          <w:sz w:val="24"/>
          <w:szCs w:val="24"/>
        </w:rPr>
      </w:pPr>
      <w:r w:rsidRPr="000726C7">
        <w:rPr>
          <w:sz w:val="24"/>
          <w:szCs w:val="24"/>
        </w:rPr>
        <w:t xml:space="preserve"> </w:t>
      </w:r>
      <w:r w:rsidR="00995EFA" w:rsidRPr="000726C7">
        <w:rPr>
          <w:sz w:val="24"/>
          <w:szCs w:val="24"/>
        </w:rPr>
        <w:t xml:space="preserve"> </w:t>
      </w:r>
      <w:r w:rsidR="00A7643D" w:rsidRPr="000726C7">
        <w:rPr>
          <w:sz w:val="24"/>
          <w:szCs w:val="24"/>
        </w:rPr>
        <w:t xml:space="preserve">The </w:t>
      </w:r>
      <w:r w:rsidR="00995EFA" w:rsidRPr="000726C7">
        <w:rPr>
          <w:sz w:val="24"/>
          <w:szCs w:val="24"/>
        </w:rPr>
        <w:t xml:space="preserve">gravity </w:t>
      </w:r>
      <w:r w:rsidR="00A7643D" w:rsidRPr="000726C7">
        <w:rPr>
          <w:sz w:val="24"/>
          <w:szCs w:val="24"/>
        </w:rPr>
        <w:t xml:space="preserve">estimates control for a great many other determinants of bilateral trade, such as distance between the </w:t>
      </w:r>
      <w:r w:rsidR="004204E3" w:rsidRPr="000726C7">
        <w:rPr>
          <w:sz w:val="24"/>
          <w:szCs w:val="24"/>
        </w:rPr>
        <w:t xml:space="preserve">two </w:t>
      </w:r>
      <w:r w:rsidR="00A7643D" w:rsidRPr="000726C7">
        <w:rPr>
          <w:sz w:val="24"/>
          <w:szCs w:val="24"/>
        </w:rPr>
        <w:t xml:space="preserve">countries </w:t>
      </w:r>
      <w:r w:rsidR="007F7613">
        <w:rPr>
          <w:sz w:val="24"/>
          <w:szCs w:val="24"/>
        </w:rPr>
        <w:t>and</w:t>
      </w:r>
      <w:r w:rsidR="00A7643D" w:rsidRPr="000726C7">
        <w:rPr>
          <w:sz w:val="24"/>
          <w:szCs w:val="24"/>
        </w:rPr>
        <w:t xml:space="preserve"> </w:t>
      </w:r>
      <w:r w:rsidRPr="000726C7">
        <w:rPr>
          <w:sz w:val="24"/>
          <w:szCs w:val="24"/>
        </w:rPr>
        <w:t xml:space="preserve">a dummy variable representing </w:t>
      </w:r>
      <w:r w:rsidR="00A7643D" w:rsidRPr="000726C7">
        <w:rPr>
          <w:sz w:val="24"/>
          <w:szCs w:val="24"/>
        </w:rPr>
        <w:t>whether</w:t>
      </w:r>
      <w:r w:rsidR="005A3801">
        <w:rPr>
          <w:sz w:val="24"/>
          <w:szCs w:val="24"/>
        </w:rPr>
        <w:t xml:space="preserve"> they speak a common language. </w:t>
      </w:r>
      <w:r w:rsidR="00A7643D" w:rsidRPr="000726C7">
        <w:rPr>
          <w:sz w:val="24"/>
          <w:szCs w:val="24"/>
        </w:rPr>
        <w:t>These controls make it more likely</w:t>
      </w:r>
      <w:r w:rsidR="007561D5" w:rsidRPr="000726C7">
        <w:rPr>
          <w:sz w:val="24"/>
          <w:szCs w:val="24"/>
        </w:rPr>
        <w:t xml:space="preserve"> -- but not certain --</w:t>
      </w:r>
      <w:r w:rsidR="00A7643D" w:rsidRPr="000726C7">
        <w:rPr>
          <w:sz w:val="24"/>
          <w:szCs w:val="24"/>
        </w:rPr>
        <w:t xml:space="preserve"> that in this case c</w:t>
      </w:r>
      <w:r w:rsidR="007561D5" w:rsidRPr="000726C7">
        <w:rPr>
          <w:sz w:val="24"/>
          <w:szCs w:val="24"/>
        </w:rPr>
        <w:t xml:space="preserve">orrelation </w:t>
      </w:r>
      <w:r w:rsidR="004204E3" w:rsidRPr="000726C7">
        <w:rPr>
          <w:sz w:val="24"/>
          <w:szCs w:val="24"/>
        </w:rPr>
        <w:t>signifies</w:t>
      </w:r>
      <w:r w:rsidR="007561D5" w:rsidRPr="000726C7">
        <w:rPr>
          <w:sz w:val="24"/>
          <w:szCs w:val="24"/>
        </w:rPr>
        <w:t xml:space="preserve"> causality</w:t>
      </w:r>
      <w:r w:rsidR="00A7643D" w:rsidRPr="000726C7">
        <w:rPr>
          <w:sz w:val="24"/>
          <w:szCs w:val="24"/>
        </w:rPr>
        <w:t>.</w:t>
      </w:r>
      <w:r w:rsidR="00141005" w:rsidRPr="000726C7">
        <w:rPr>
          <w:sz w:val="24"/>
          <w:szCs w:val="24"/>
        </w:rPr>
        <w:t xml:space="preserve">  </w:t>
      </w:r>
    </w:p>
    <w:p w:rsidR="00482328" w:rsidRPr="000726C7" w:rsidRDefault="0039207F" w:rsidP="00993803">
      <w:pPr>
        <w:spacing w:line="240" w:lineRule="auto"/>
        <w:ind w:firstLine="720"/>
        <w:jc w:val="both"/>
        <w:rPr>
          <w:sz w:val="24"/>
          <w:szCs w:val="24"/>
        </w:rPr>
      </w:pPr>
      <w:r w:rsidRPr="000726C7">
        <w:rPr>
          <w:sz w:val="24"/>
          <w:szCs w:val="24"/>
        </w:rPr>
        <w:t>The Rose finding has been subject to a great many critiques.</w:t>
      </w:r>
      <w:r w:rsidR="00383502">
        <w:rPr>
          <w:rStyle w:val="FootnoteReference"/>
          <w:sz w:val="24"/>
          <w:szCs w:val="24"/>
        </w:rPr>
        <w:footnoteReference w:id="12"/>
      </w:r>
      <w:r w:rsidRPr="000726C7">
        <w:rPr>
          <w:sz w:val="24"/>
          <w:szCs w:val="24"/>
        </w:rPr>
        <w:t xml:space="preserve">  One critique is that early estimates suffered from </w:t>
      </w:r>
      <w:r w:rsidR="00482328" w:rsidRPr="000726C7">
        <w:rPr>
          <w:sz w:val="24"/>
          <w:szCs w:val="24"/>
        </w:rPr>
        <w:t>a missing variable</w:t>
      </w:r>
      <w:r w:rsidRPr="000726C7">
        <w:rPr>
          <w:sz w:val="24"/>
          <w:szCs w:val="24"/>
        </w:rPr>
        <w:t xml:space="preserve"> such as a “multilateral resistanc</w:t>
      </w:r>
      <w:r w:rsidR="00482328" w:rsidRPr="000726C7">
        <w:rPr>
          <w:sz w:val="24"/>
          <w:szCs w:val="24"/>
        </w:rPr>
        <w:t>e term</w:t>
      </w:r>
      <w:r w:rsidRPr="000726C7">
        <w:rPr>
          <w:sz w:val="24"/>
          <w:szCs w:val="24"/>
        </w:rPr>
        <w:t>” and that allowing for it reduces the estimates</w:t>
      </w:r>
      <w:r w:rsidR="00326099" w:rsidRPr="000726C7">
        <w:rPr>
          <w:sz w:val="24"/>
          <w:szCs w:val="24"/>
        </w:rPr>
        <w:t>.</w:t>
      </w:r>
      <w:r w:rsidR="00695287" w:rsidRPr="000726C7">
        <w:rPr>
          <w:rStyle w:val="FootnoteReference"/>
          <w:sz w:val="24"/>
          <w:szCs w:val="24"/>
        </w:rPr>
        <w:footnoteReference w:id="13"/>
      </w:r>
      <w:r w:rsidR="00326099" w:rsidRPr="000726C7">
        <w:rPr>
          <w:sz w:val="24"/>
          <w:szCs w:val="24"/>
        </w:rPr>
        <w:t xml:space="preserve">  </w:t>
      </w:r>
      <w:r w:rsidR="002152A5">
        <w:rPr>
          <w:sz w:val="24"/>
          <w:szCs w:val="24"/>
        </w:rPr>
        <w:t>Another critique is that the effects are smaller if one addresses the problem of some</w:t>
      </w:r>
      <w:r w:rsidR="002152A5" w:rsidRPr="00367E8B">
        <w:t xml:space="preserve"> zero values for bilateral trade.</w:t>
      </w:r>
      <w:r w:rsidR="002152A5">
        <w:rPr>
          <w:rStyle w:val="FootnoteReference"/>
        </w:rPr>
        <w:footnoteReference w:id="14"/>
      </w:r>
      <w:r w:rsidR="002152A5">
        <w:rPr>
          <w:sz w:val="24"/>
          <w:szCs w:val="24"/>
        </w:rPr>
        <w:t xml:space="preserve"> </w:t>
      </w:r>
      <w:r w:rsidR="00326099" w:rsidRPr="000726C7">
        <w:rPr>
          <w:sz w:val="24"/>
          <w:szCs w:val="24"/>
        </w:rPr>
        <w:t>Some attempts to address remaining endogeneity of the fixing decision also reduce the coefficient estimate.</w:t>
      </w:r>
      <w:r w:rsidR="002152A8">
        <w:rPr>
          <w:rStyle w:val="FootnoteReference"/>
          <w:sz w:val="24"/>
          <w:szCs w:val="24"/>
        </w:rPr>
        <w:footnoteReference w:id="15"/>
      </w:r>
      <w:r w:rsidR="00326099" w:rsidRPr="000726C7">
        <w:rPr>
          <w:sz w:val="24"/>
          <w:szCs w:val="24"/>
        </w:rPr>
        <w:t xml:space="preserve">  </w:t>
      </w:r>
    </w:p>
    <w:p w:rsidR="002854FE" w:rsidRPr="00CE4E65" w:rsidRDefault="00482328" w:rsidP="00CE4E65">
      <w:pPr>
        <w:spacing w:line="240" w:lineRule="auto"/>
        <w:ind w:firstLine="720"/>
        <w:jc w:val="both"/>
        <w:rPr>
          <w:sz w:val="24"/>
          <w:szCs w:val="24"/>
        </w:rPr>
      </w:pPr>
      <w:r w:rsidRPr="000726C7">
        <w:rPr>
          <w:sz w:val="24"/>
          <w:szCs w:val="24"/>
        </w:rPr>
        <w:t>T</w:t>
      </w:r>
      <w:r w:rsidR="00326099" w:rsidRPr="000726C7">
        <w:rPr>
          <w:sz w:val="24"/>
          <w:szCs w:val="24"/>
        </w:rPr>
        <w:t xml:space="preserve">he post-1999 trade-boosting effects of the euro have been found in many studies to be much smaller than those in the earlier studies where the available currency unions were all among countries that were small, developing, or both. </w:t>
      </w:r>
      <w:r w:rsidR="00CF4663">
        <w:rPr>
          <w:sz w:val="24"/>
          <w:szCs w:val="24"/>
        </w:rPr>
        <w:t xml:space="preserve"> Baldwin (2006) finds a central tendency </w:t>
      </w:r>
      <w:r w:rsidR="002152A8">
        <w:rPr>
          <w:sz w:val="24"/>
          <w:szCs w:val="24"/>
        </w:rPr>
        <w:t xml:space="preserve">in the estimates </w:t>
      </w:r>
      <w:r w:rsidR="00CF4663">
        <w:rPr>
          <w:sz w:val="24"/>
          <w:szCs w:val="24"/>
        </w:rPr>
        <w:t xml:space="preserve">of only 5 to 15 per cent.  The gap between such the estimates of the trade </w:t>
      </w:r>
      <w:r w:rsidR="00CF4663">
        <w:rPr>
          <w:sz w:val="24"/>
          <w:szCs w:val="24"/>
        </w:rPr>
        <w:lastRenderedPageBreak/>
        <w:t>effects of the euro and trade effects of earlier currency unions is a bit of a puzzle.</w:t>
      </w:r>
      <w:r w:rsidR="00326099" w:rsidRPr="000726C7">
        <w:rPr>
          <w:sz w:val="24"/>
          <w:szCs w:val="24"/>
        </w:rPr>
        <w:t xml:space="preserve"> The </w:t>
      </w:r>
      <w:r w:rsidR="002A414E" w:rsidRPr="000726C7">
        <w:rPr>
          <w:sz w:val="24"/>
          <w:szCs w:val="24"/>
        </w:rPr>
        <w:t xml:space="preserve">evidence doesn’t seem to support the </w:t>
      </w:r>
      <w:r w:rsidR="00326099" w:rsidRPr="000726C7">
        <w:rPr>
          <w:sz w:val="24"/>
          <w:szCs w:val="24"/>
        </w:rPr>
        <w:t xml:space="preserve">initial suspicion that the difference </w:t>
      </w:r>
      <w:r w:rsidR="00B87EF3">
        <w:rPr>
          <w:sz w:val="24"/>
          <w:szCs w:val="24"/>
        </w:rPr>
        <w:t>might</w:t>
      </w:r>
      <w:r w:rsidR="00326099" w:rsidRPr="000726C7">
        <w:rPr>
          <w:sz w:val="24"/>
          <w:szCs w:val="24"/>
        </w:rPr>
        <w:t xml:space="preserve"> reflect</w:t>
      </w:r>
      <w:r w:rsidR="002A414E" w:rsidRPr="000726C7">
        <w:rPr>
          <w:sz w:val="24"/>
          <w:szCs w:val="24"/>
        </w:rPr>
        <w:t xml:space="preserve"> that the proportionate effect </w:t>
      </w:r>
      <w:r w:rsidR="005A37B6">
        <w:rPr>
          <w:sz w:val="24"/>
          <w:szCs w:val="24"/>
        </w:rPr>
        <w:t>is smaller for large countries (</w:t>
      </w:r>
      <w:r w:rsidR="002A414E" w:rsidRPr="000726C7">
        <w:rPr>
          <w:sz w:val="24"/>
          <w:szCs w:val="24"/>
        </w:rPr>
        <w:t xml:space="preserve">which </w:t>
      </w:r>
      <w:r w:rsidR="00B87EF3">
        <w:rPr>
          <w:sz w:val="24"/>
          <w:szCs w:val="24"/>
        </w:rPr>
        <w:t xml:space="preserve">have </w:t>
      </w:r>
      <w:r w:rsidR="002A414E" w:rsidRPr="000726C7">
        <w:rPr>
          <w:sz w:val="24"/>
          <w:szCs w:val="24"/>
        </w:rPr>
        <w:t>already achieved a certain level of economies of scale internally</w:t>
      </w:r>
      <w:r w:rsidR="005A37B6">
        <w:rPr>
          <w:sz w:val="24"/>
          <w:szCs w:val="24"/>
        </w:rPr>
        <w:t>) than for small countries (</w:t>
      </w:r>
      <w:r w:rsidR="002A414E" w:rsidRPr="000726C7">
        <w:rPr>
          <w:sz w:val="24"/>
          <w:szCs w:val="24"/>
        </w:rPr>
        <w:t>which are more dependent on promoting trade</w:t>
      </w:r>
      <w:r w:rsidR="005A37B6">
        <w:rPr>
          <w:sz w:val="24"/>
          <w:szCs w:val="24"/>
        </w:rPr>
        <w:t>)</w:t>
      </w:r>
      <w:r w:rsidR="002A414E" w:rsidRPr="000726C7">
        <w:rPr>
          <w:sz w:val="24"/>
          <w:szCs w:val="24"/>
        </w:rPr>
        <w:t>.</w:t>
      </w:r>
      <w:r w:rsidR="002A414E" w:rsidRPr="000726C7">
        <w:rPr>
          <w:rStyle w:val="FootnoteReference"/>
          <w:sz w:val="24"/>
          <w:szCs w:val="24"/>
        </w:rPr>
        <w:footnoteReference w:id="16"/>
      </w:r>
      <w:r w:rsidR="00AD5E57" w:rsidRPr="000726C7">
        <w:rPr>
          <w:sz w:val="24"/>
          <w:szCs w:val="24"/>
        </w:rPr>
        <w:t xml:space="preserve"> </w:t>
      </w:r>
      <w:r w:rsidR="00A161ED" w:rsidRPr="000726C7">
        <w:rPr>
          <w:sz w:val="24"/>
          <w:szCs w:val="24"/>
        </w:rPr>
        <w:t xml:space="preserve"> Rather, the latest evidence seems to be that the euro has in fact increased trade among members by a highly significant estimate </w:t>
      </w:r>
      <w:r w:rsidR="00CF4663">
        <w:rPr>
          <w:sz w:val="24"/>
          <w:szCs w:val="24"/>
        </w:rPr>
        <w:t>as large as</w:t>
      </w:r>
      <w:r w:rsidR="00A161ED" w:rsidRPr="000726C7">
        <w:rPr>
          <w:sz w:val="24"/>
          <w:szCs w:val="24"/>
        </w:rPr>
        <w:t xml:space="preserve"> 54% and that </w:t>
      </w:r>
      <w:r w:rsidRPr="000726C7">
        <w:rPr>
          <w:sz w:val="24"/>
          <w:szCs w:val="24"/>
        </w:rPr>
        <w:t>studies</w:t>
      </w:r>
      <w:r w:rsidR="00A161ED" w:rsidRPr="000726C7">
        <w:rPr>
          <w:sz w:val="24"/>
          <w:szCs w:val="24"/>
        </w:rPr>
        <w:t xml:space="preserve"> finding smaller effects </w:t>
      </w:r>
      <w:r w:rsidR="002152A8">
        <w:rPr>
          <w:sz w:val="24"/>
          <w:szCs w:val="24"/>
        </w:rPr>
        <w:t>may have been</w:t>
      </w:r>
      <w:r w:rsidR="00A161ED" w:rsidRPr="000726C7">
        <w:rPr>
          <w:sz w:val="24"/>
          <w:szCs w:val="24"/>
        </w:rPr>
        <w:t xml:space="preserve"> based on insufficient</w:t>
      </w:r>
      <w:r w:rsidR="00B87EF3">
        <w:rPr>
          <w:sz w:val="24"/>
          <w:szCs w:val="24"/>
        </w:rPr>
        <w:t>ly large</w:t>
      </w:r>
      <w:r w:rsidR="00A161ED" w:rsidRPr="000726C7">
        <w:rPr>
          <w:sz w:val="24"/>
          <w:szCs w:val="24"/>
        </w:rPr>
        <w:t xml:space="preserve"> samples</w:t>
      </w:r>
      <w:r w:rsidR="00CF4663">
        <w:rPr>
          <w:sz w:val="24"/>
          <w:szCs w:val="24"/>
        </w:rPr>
        <w:t xml:space="preserve"> of countries</w:t>
      </w:r>
      <w:r w:rsidR="00A161ED" w:rsidRPr="000726C7">
        <w:rPr>
          <w:sz w:val="24"/>
          <w:szCs w:val="24"/>
        </w:rPr>
        <w:t>.</w:t>
      </w:r>
      <w:r w:rsidR="00141005" w:rsidRPr="000726C7">
        <w:rPr>
          <w:rStyle w:val="FootnoteReference"/>
          <w:sz w:val="24"/>
          <w:szCs w:val="24"/>
        </w:rPr>
        <w:footnoteReference w:id="17"/>
      </w:r>
    </w:p>
    <w:p w:rsidR="002854FE" w:rsidRDefault="002854FE" w:rsidP="002854FE">
      <w:pPr>
        <w:pStyle w:val="ListParagraph"/>
        <w:ind w:left="792"/>
        <w:rPr>
          <w:sz w:val="24"/>
          <w:szCs w:val="24"/>
        </w:rPr>
      </w:pPr>
    </w:p>
    <w:p w:rsidR="002854FE" w:rsidRPr="007F7613" w:rsidRDefault="002854FE" w:rsidP="002854FE">
      <w:pPr>
        <w:pStyle w:val="ListParagraph"/>
        <w:numPr>
          <w:ilvl w:val="0"/>
          <w:numId w:val="3"/>
        </w:numPr>
        <w:rPr>
          <w:b/>
          <w:sz w:val="24"/>
          <w:szCs w:val="24"/>
        </w:rPr>
      </w:pPr>
      <w:r w:rsidRPr="007F7613">
        <w:rPr>
          <w:b/>
          <w:sz w:val="24"/>
          <w:szCs w:val="24"/>
        </w:rPr>
        <w:t xml:space="preserve">Advantages of </w:t>
      </w:r>
      <w:r w:rsidR="007F7613">
        <w:rPr>
          <w:b/>
          <w:sz w:val="24"/>
          <w:szCs w:val="24"/>
        </w:rPr>
        <w:t>independent currencies</w:t>
      </w:r>
    </w:p>
    <w:p w:rsidR="00056F7B" w:rsidRPr="00846A40" w:rsidRDefault="00056F7B" w:rsidP="00846A40">
      <w:pPr>
        <w:ind w:firstLine="720"/>
        <w:rPr>
          <w:sz w:val="24"/>
          <w:szCs w:val="24"/>
        </w:rPr>
      </w:pPr>
      <w:r>
        <w:t>As there are thre</w:t>
      </w:r>
      <w:r w:rsidRPr="001C1A26">
        <w:t xml:space="preserve">e </w:t>
      </w:r>
      <w:r>
        <w:t xml:space="preserve">major </w:t>
      </w:r>
      <w:r w:rsidRPr="001C1A26">
        <w:t xml:space="preserve">advantages to fixed exchange rates, there are also </w:t>
      </w:r>
      <w:r>
        <w:t xml:space="preserve">three major </w:t>
      </w:r>
      <w:r w:rsidRPr="001C1A26">
        <w:t>advantages to flexible exchange rates</w:t>
      </w:r>
      <w:r>
        <w:t>.  They are</w:t>
      </w:r>
      <w:r w:rsidRPr="001C1A26">
        <w:t xml:space="preserve">: </w:t>
      </w:r>
      <w:r>
        <w:t>(i) national</w:t>
      </w:r>
      <w:r w:rsidRPr="001C1A26">
        <w:t xml:space="preserve"> independence </w:t>
      </w:r>
      <w:r>
        <w:t>for</w:t>
      </w:r>
      <w:r w:rsidRPr="001C1A26">
        <w:t xml:space="preserve"> monetary policy, </w:t>
      </w:r>
      <w:r>
        <w:t xml:space="preserve">(ii) </w:t>
      </w:r>
      <w:r w:rsidRPr="001C1A26">
        <w:t xml:space="preserve">allowing automatic adjustment to trade shocks, </w:t>
      </w:r>
      <w:r>
        <w:t xml:space="preserve">(iii) retaining seigniorage </w:t>
      </w:r>
      <w:r w:rsidR="00343D93">
        <w:t>and lender</w:t>
      </w:r>
      <w:r w:rsidRPr="001C1A26">
        <w:t>-of-last-resort capability</w:t>
      </w:r>
      <w:r w:rsidR="007F7613">
        <w:t>.</w:t>
      </w:r>
    </w:p>
    <w:p w:rsidR="00056F7B" w:rsidRDefault="00056F7B" w:rsidP="00056F7B">
      <w:pPr>
        <w:pStyle w:val="ListParagraph"/>
        <w:ind w:left="360"/>
        <w:rPr>
          <w:sz w:val="24"/>
          <w:szCs w:val="24"/>
        </w:rPr>
      </w:pPr>
    </w:p>
    <w:p w:rsidR="002854FE" w:rsidRDefault="002854FE" w:rsidP="002854FE">
      <w:pPr>
        <w:pStyle w:val="ListParagraph"/>
        <w:numPr>
          <w:ilvl w:val="1"/>
          <w:numId w:val="3"/>
        </w:numPr>
        <w:rPr>
          <w:sz w:val="24"/>
          <w:szCs w:val="24"/>
        </w:rPr>
      </w:pPr>
      <w:r>
        <w:rPr>
          <w:sz w:val="24"/>
          <w:szCs w:val="24"/>
        </w:rPr>
        <w:t xml:space="preserve"> Retain m</w:t>
      </w:r>
      <w:r w:rsidRPr="00BB3D25">
        <w:rPr>
          <w:sz w:val="24"/>
          <w:szCs w:val="24"/>
        </w:rPr>
        <w:t>onetary independence</w:t>
      </w:r>
    </w:p>
    <w:p w:rsidR="00056F7B" w:rsidRDefault="00846A40" w:rsidP="00996966">
      <w:pPr>
        <w:tabs>
          <w:tab w:val="left" w:pos="0"/>
          <w:tab w:val="left" w:pos="720"/>
          <w:tab w:val="left" w:pos="1440"/>
          <w:tab w:val="left" w:pos="2160"/>
          <w:tab w:val="left" w:pos="2880"/>
          <w:tab w:val="left" w:pos="3600"/>
          <w:tab w:val="left" w:pos="4320"/>
        </w:tabs>
        <w:jc w:val="both"/>
        <w:rPr>
          <w:sz w:val="24"/>
          <w:szCs w:val="24"/>
        </w:rPr>
      </w:pPr>
      <w:r>
        <w:rPr>
          <w:sz w:val="24"/>
          <w:szCs w:val="24"/>
        </w:rPr>
        <w:tab/>
      </w:r>
      <w:r w:rsidRPr="00846A40">
        <w:rPr>
          <w:sz w:val="24"/>
          <w:szCs w:val="24"/>
        </w:rPr>
        <w:t xml:space="preserve">The leading advantage of exchange rate flexibility is that it allows the country to pursue an independent monetary policy. The argument in favor of monetary independence, instead of constraining monetary policy by the fixed exchange rate, is the classic argument </w:t>
      </w:r>
      <w:r>
        <w:rPr>
          <w:sz w:val="24"/>
          <w:szCs w:val="24"/>
        </w:rPr>
        <w:t>for discretion to respond to shocks</w:t>
      </w:r>
      <w:r w:rsidRPr="00846A40">
        <w:rPr>
          <w:sz w:val="24"/>
          <w:szCs w:val="24"/>
        </w:rPr>
        <w:t xml:space="preserve">. When the economy is hit by a disturbance such as a fall in demand for the goods it produces, the government would like to be able to respond </w:t>
      </w:r>
      <w:r>
        <w:rPr>
          <w:sz w:val="24"/>
          <w:szCs w:val="24"/>
        </w:rPr>
        <w:t>with more money, lower interest rates, and a depreciated currency</w:t>
      </w:r>
      <w:r w:rsidR="00491CE4">
        <w:rPr>
          <w:sz w:val="24"/>
          <w:szCs w:val="24"/>
        </w:rPr>
        <w:t xml:space="preserve">, </w:t>
      </w:r>
      <w:r w:rsidRPr="00846A40">
        <w:rPr>
          <w:sz w:val="24"/>
          <w:szCs w:val="24"/>
        </w:rPr>
        <w:t xml:space="preserve">so that </w:t>
      </w:r>
      <w:r w:rsidR="002D5B46">
        <w:rPr>
          <w:sz w:val="24"/>
          <w:szCs w:val="24"/>
        </w:rPr>
        <w:t>it</w:t>
      </w:r>
      <w:r w:rsidRPr="00846A40">
        <w:rPr>
          <w:sz w:val="24"/>
          <w:szCs w:val="24"/>
        </w:rPr>
        <w:t xml:space="preserve"> does not go into </w:t>
      </w:r>
      <w:r w:rsidR="00491CE4">
        <w:rPr>
          <w:sz w:val="24"/>
          <w:szCs w:val="24"/>
        </w:rPr>
        <w:t xml:space="preserve">a deep </w:t>
      </w:r>
      <w:r w:rsidRPr="00846A40">
        <w:rPr>
          <w:sz w:val="24"/>
          <w:szCs w:val="24"/>
        </w:rPr>
        <w:t>recession. Under fixed exchange r</w:t>
      </w:r>
      <w:r>
        <w:rPr>
          <w:sz w:val="24"/>
          <w:szCs w:val="24"/>
        </w:rPr>
        <w:t xml:space="preserve">ates, monetary policy is </w:t>
      </w:r>
      <w:r w:rsidR="005B17A9">
        <w:rPr>
          <w:sz w:val="24"/>
          <w:szCs w:val="24"/>
        </w:rPr>
        <w:t xml:space="preserve">to an extent </w:t>
      </w:r>
      <w:r>
        <w:rPr>
          <w:sz w:val="24"/>
          <w:szCs w:val="24"/>
        </w:rPr>
        <w:t>diverted</w:t>
      </w:r>
      <w:r w:rsidRPr="00846A40">
        <w:rPr>
          <w:sz w:val="24"/>
          <w:szCs w:val="24"/>
        </w:rPr>
        <w:t xml:space="preserve"> to dealing with the balance of payments. This single instrument cannot be used to achieve both internal balance and external balance. </w:t>
      </w:r>
      <w:r w:rsidR="005B17A9">
        <w:rPr>
          <w:sz w:val="24"/>
          <w:szCs w:val="24"/>
        </w:rPr>
        <w:t>If financial markets are highly integrated, the loss of independence under a fixed exchange rate is particularly clear:  the domestic interest rate is tied to the foreign interest rate.</w:t>
      </w:r>
    </w:p>
    <w:p w:rsidR="002609A3" w:rsidRPr="00D95209" w:rsidRDefault="00443932" w:rsidP="00D95209">
      <w:pPr>
        <w:ind w:firstLine="720"/>
        <w:rPr>
          <w:rFonts w:ascii="Tahoma" w:hAnsi="Tahoma" w:cs="Tahoma"/>
          <w:color w:val="000000"/>
          <w:sz w:val="24"/>
          <w:szCs w:val="24"/>
          <w:lang w:eastAsia="ko-KR"/>
        </w:rPr>
      </w:pPr>
      <w:r>
        <w:rPr>
          <w:sz w:val="24"/>
          <w:szCs w:val="24"/>
        </w:rPr>
        <w:t>Hélène</w:t>
      </w:r>
      <w:r w:rsidR="002609A3">
        <w:rPr>
          <w:sz w:val="24"/>
          <w:szCs w:val="24"/>
        </w:rPr>
        <w:t xml:space="preserve"> Rey (2015) has recently questioned whether exchange rate flexibility in fact insulates countries from foreign shocks, </w:t>
      </w:r>
      <w:r>
        <w:rPr>
          <w:sz w:val="24"/>
          <w:szCs w:val="24"/>
        </w:rPr>
        <w:t xml:space="preserve">whether it </w:t>
      </w:r>
      <w:r w:rsidR="002609A3">
        <w:rPr>
          <w:sz w:val="24"/>
          <w:szCs w:val="24"/>
        </w:rPr>
        <w:t>allow</w:t>
      </w:r>
      <w:r>
        <w:rPr>
          <w:sz w:val="24"/>
          <w:szCs w:val="24"/>
        </w:rPr>
        <w:t>s</w:t>
      </w:r>
      <w:r w:rsidR="002609A3">
        <w:rPr>
          <w:sz w:val="24"/>
          <w:szCs w:val="24"/>
        </w:rPr>
        <w:t xml:space="preserve"> them to choose their own interest rates even when, for example, the Federal Reserve raises US interest rates. But there is evidence that it does</w:t>
      </w:r>
      <w:r w:rsidR="002609A3">
        <w:rPr>
          <w:sz w:val="24"/>
          <w:szCs w:val="24"/>
          <w:lang w:eastAsia="ko-KR"/>
        </w:rPr>
        <w:t xml:space="preserve">.  </w:t>
      </w:r>
      <w:r>
        <w:rPr>
          <w:sz w:val="24"/>
          <w:szCs w:val="24"/>
          <w:lang w:eastAsia="ko-KR"/>
        </w:rPr>
        <w:t xml:space="preserve">The results in </w:t>
      </w:r>
      <w:r w:rsidR="002609A3" w:rsidRPr="00210E5B">
        <w:rPr>
          <w:rFonts w:hint="eastAsia"/>
          <w:sz w:val="24"/>
          <w:szCs w:val="24"/>
          <w:lang w:eastAsia="ko-KR"/>
        </w:rPr>
        <w:t>Klein and Shambaugh</w:t>
      </w:r>
      <w:r w:rsidR="002609A3" w:rsidRPr="00210E5B">
        <w:rPr>
          <w:sz w:val="24"/>
          <w:szCs w:val="24"/>
          <w:lang w:eastAsia="ko-KR"/>
        </w:rPr>
        <w:t xml:space="preserve"> (201</w:t>
      </w:r>
      <w:r w:rsidR="00BB00C4">
        <w:rPr>
          <w:sz w:val="24"/>
          <w:szCs w:val="24"/>
          <w:lang w:eastAsia="ko-KR"/>
        </w:rPr>
        <w:t>6</w:t>
      </w:r>
      <w:r w:rsidR="002609A3" w:rsidRPr="00210E5B">
        <w:rPr>
          <w:sz w:val="24"/>
          <w:szCs w:val="24"/>
          <w:lang w:eastAsia="ko-KR"/>
        </w:rPr>
        <w:t>)</w:t>
      </w:r>
      <w:r w:rsidR="002609A3">
        <w:rPr>
          <w:sz w:val="24"/>
          <w:szCs w:val="24"/>
          <w:lang w:eastAsia="ko-KR"/>
        </w:rPr>
        <w:t xml:space="preserve"> </w:t>
      </w:r>
      <w:r>
        <w:rPr>
          <w:sz w:val="24"/>
          <w:szCs w:val="24"/>
          <w:lang w:eastAsia="ko-KR"/>
        </w:rPr>
        <w:t>s</w:t>
      </w:r>
      <w:r w:rsidR="002609A3" w:rsidRPr="00210E5B">
        <w:rPr>
          <w:rFonts w:hint="eastAsia"/>
          <w:sz w:val="24"/>
          <w:szCs w:val="24"/>
          <w:lang w:eastAsia="ko-KR"/>
        </w:rPr>
        <w:t>up</w:t>
      </w:r>
      <w:r>
        <w:rPr>
          <w:rFonts w:hint="eastAsia"/>
          <w:sz w:val="24"/>
          <w:szCs w:val="24"/>
          <w:lang w:eastAsia="ko-KR"/>
        </w:rPr>
        <w:t>port</w:t>
      </w:r>
      <w:r w:rsidR="002609A3" w:rsidRPr="00210E5B">
        <w:rPr>
          <w:rFonts w:hint="eastAsia"/>
          <w:sz w:val="24"/>
          <w:szCs w:val="24"/>
          <w:lang w:eastAsia="ko-KR"/>
        </w:rPr>
        <w:t xml:space="preserve"> the traditional view that </w:t>
      </w:r>
      <w:r w:rsidR="002609A3" w:rsidRPr="00210E5B">
        <w:rPr>
          <w:sz w:val="24"/>
          <w:szCs w:val="24"/>
          <w:lang w:eastAsia="ko-KR"/>
        </w:rPr>
        <w:t xml:space="preserve">“a </w:t>
      </w:r>
      <w:r w:rsidR="002609A3" w:rsidRPr="00210E5B">
        <w:rPr>
          <w:rFonts w:cs="Tahoma"/>
          <w:color w:val="000000"/>
          <w:sz w:val="24"/>
          <w:szCs w:val="24"/>
        </w:rPr>
        <w:t>moderate amount of exchange rate flexibility does allow for some degree of monetary autonomy, especially in emerging and developing economies.</w:t>
      </w:r>
      <w:r w:rsidR="002609A3" w:rsidRPr="00210E5B">
        <w:rPr>
          <w:rFonts w:cs="Tahoma"/>
          <w:color w:val="000000"/>
          <w:sz w:val="24"/>
          <w:szCs w:val="24"/>
          <w:lang w:eastAsia="ko-KR"/>
        </w:rPr>
        <w:t xml:space="preserve">”  </w:t>
      </w:r>
      <w:r w:rsidR="002609A3">
        <w:rPr>
          <w:rFonts w:cs="Arial"/>
          <w:sz w:val="24"/>
          <w:szCs w:val="24"/>
        </w:rPr>
        <w:t>Di Giovanni and</w:t>
      </w:r>
      <w:r w:rsidR="002609A3" w:rsidRPr="00210E5B">
        <w:rPr>
          <w:rFonts w:cs="Arial"/>
          <w:sz w:val="24"/>
          <w:szCs w:val="24"/>
        </w:rPr>
        <w:t xml:space="preserve"> Shambaugh (2008) find that</w:t>
      </w:r>
      <w:r w:rsidR="002609A3">
        <w:rPr>
          <w:rFonts w:cs="Arial"/>
          <w:sz w:val="24"/>
          <w:szCs w:val="24"/>
        </w:rPr>
        <w:t>,</w:t>
      </w:r>
      <w:r w:rsidR="002609A3" w:rsidRPr="00210E5B">
        <w:rPr>
          <w:rFonts w:cs="Arial"/>
          <w:sz w:val="24"/>
          <w:szCs w:val="24"/>
        </w:rPr>
        <w:t xml:space="preserve"> </w:t>
      </w:r>
      <w:r w:rsidR="002609A3">
        <w:rPr>
          <w:rFonts w:cs="Arial"/>
          <w:sz w:val="24"/>
          <w:szCs w:val="24"/>
        </w:rPr>
        <w:t>while</w:t>
      </w:r>
      <w:r w:rsidR="002609A3" w:rsidRPr="00210E5B">
        <w:rPr>
          <w:rFonts w:cs="Arial"/>
          <w:sz w:val="24"/>
          <w:szCs w:val="24"/>
        </w:rPr>
        <w:t xml:space="preserve"> foreign interest rates have a negative impact on </w:t>
      </w:r>
      <w:r w:rsidR="002609A3">
        <w:rPr>
          <w:rFonts w:cs="Arial"/>
          <w:sz w:val="24"/>
          <w:szCs w:val="24"/>
        </w:rPr>
        <w:t xml:space="preserve">domestic </w:t>
      </w:r>
      <w:r w:rsidR="002609A3" w:rsidRPr="00210E5B">
        <w:rPr>
          <w:rFonts w:cs="Arial"/>
          <w:sz w:val="24"/>
          <w:szCs w:val="24"/>
        </w:rPr>
        <w:t>GDP in pegged countries, flexible exchange rates insulate against them.</w:t>
      </w:r>
      <w:r w:rsidR="002609A3">
        <w:rPr>
          <w:rFonts w:cs="Arial"/>
          <w:sz w:val="24"/>
          <w:szCs w:val="24"/>
        </w:rPr>
        <w:t xml:space="preserve">  </w:t>
      </w:r>
      <w:r w:rsidR="002609A3" w:rsidRPr="00344B13">
        <w:rPr>
          <w:rFonts w:cs="Arial"/>
          <w:color w:val="222222"/>
          <w:sz w:val="24"/>
          <w:szCs w:val="24"/>
          <w:shd w:val="clear" w:color="auto" w:fill="FFFFFF"/>
        </w:rPr>
        <w:t>Aizenman, Chinn and Ito (2010</w:t>
      </w:r>
      <w:r w:rsidR="002609A3">
        <w:rPr>
          <w:rFonts w:cs="Arial"/>
          <w:color w:val="222222"/>
          <w:sz w:val="24"/>
          <w:szCs w:val="24"/>
          <w:shd w:val="clear" w:color="auto" w:fill="FFFFFF"/>
        </w:rPr>
        <w:t>, 2011</w:t>
      </w:r>
      <w:r w:rsidR="002609A3" w:rsidRPr="00344B13">
        <w:rPr>
          <w:rFonts w:cs="Arial"/>
          <w:color w:val="222222"/>
          <w:sz w:val="24"/>
          <w:szCs w:val="24"/>
          <w:shd w:val="clear" w:color="auto" w:fill="FFFFFF"/>
        </w:rPr>
        <w:t xml:space="preserve">) </w:t>
      </w:r>
      <w:r w:rsidR="002609A3" w:rsidRPr="00344B13">
        <w:rPr>
          <w:rFonts w:cs="Arial"/>
          <w:color w:val="222222"/>
          <w:sz w:val="24"/>
          <w:szCs w:val="24"/>
          <w:shd w:val="clear" w:color="auto" w:fill="FFFFFF"/>
        </w:rPr>
        <w:lastRenderedPageBreak/>
        <w:t>find that exchange rate stability is associated with less monetary independence and more output volatility.</w:t>
      </w:r>
      <w:r w:rsidR="002609A3">
        <w:rPr>
          <w:rFonts w:cs="Arial"/>
          <w:color w:val="222222"/>
          <w:sz w:val="24"/>
          <w:szCs w:val="24"/>
          <w:shd w:val="clear" w:color="auto" w:fill="FFFFFF"/>
        </w:rPr>
        <w:t xml:space="preserve">  Obstfeld (2015) finds that the correlation between local and US short-term interest rates falls to zero for countries with flexible exchange rates.</w:t>
      </w:r>
    </w:p>
    <w:p w:rsidR="003D7980" w:rsidRPr="00BB3D25" w:rsidRDefault="003D7980" w:rsidP="003D7980">
      <w:pPr>
        <w:pStyle w:val="ListParagraph"/>
        <w:ind w:left="792"/>
        <w:rPr>
          <w:sz w:val="24"/>
          <w:szCs w:val="24"/>
        </w:rPr>
      </w:pPr>
    </w:p>
    <w:p w:rsidR="002854FE" w:rsidRDefault="002854FE" w:rsidP="002854FE">
      <w:pPr>
        <w:pStyle w:val="ListParagraph"/>
        <w:numPr>
          <w:ilvl w:val="1"/>
          <w:numId w:val="3"/>
        </w:numPr>
        <w:rPr>
          <w:sz w:val="24"/>
          <w:szCs w:val="24"/>
        </w:rPr>
      </w:pPr>
      <w:r w:rsidRPr="00BB3D25">
        <w:rPr>
          <w:sz w:val="24"/>
          <w:szCs w:val="24"/>
        </w:rPr>
        <w:t xml:space="preserve"> Automatic adjustment to trade shocks </w:t>
      </w:r>
    </w:p>
    <w:p w:rsidR="003D7980" w:rsidRDefault="00996966" w:rsidP="00DF4D21">
      <w:pPr>
        <w:ind w:firstLine="720"/>
        <w:rPr>
          <w:sz w:val="24"/>
          <w:szCs w:val="24"/>
        </w:rPr>
      </w:pPr>
      <w:r w:rsidRPr="00996966">
        <w:rPr>
          <w:sz w:val="24"/>
          <w:szCs w:val="24"/>
        </w:rPr>
        <w:t xml:space="preserve">The unfortunate reality is that relatively few developing countries </w:t>
      </w:r>
      <w:r w:rsidR="00B978CE">
        <w:rPr>
          <w:sz w:val="24"/>
          <w:szCs w:val="24"/>
        </w:rPr>
        <w:t xml:space="preserve">in practice </w:t>
      </w:r>
      <w:r w:rsidRPr="00996966">
        <w:rPr>
          <w:sz w:val="24"/>
          <w:szCs w:val="24"/>
        </w:rPr>
        <w:t xml:space="preserve">have been able regularly to make effective use of discretionary </w:t>
      </w:r>
      <w:r w:rsidR="002D5B46">
        <w:rPr>
          <w:sz w:val="24"/>
          <w:szCs w:val="24"/>
        </w:rPr>
        <w:t xml:space="preserve">or activist </w:t>
      </w:r>
      <w:r w:rsidRPr="00996966">
        <w:rPr>
          <w:sz w:val="24"/>
          <w:szCs w:val="24"/>
        </w:rPr>
        <w:t xml:space="preserve">monetary policy.  Imperfect </w:t>
      </w:r>
      <w:proofErr w:type="gramStart"/>
      <w:r w:rsidRPr="00996966">
        <w:rPr>
          <w:sz w:val="24"/>
          <w:szCs w:val="24"/>
        </w:rPr>
        <w:t>data,</w:t>
      </w:r>
      <w:proofErr w:type="gramEnd"/>
      <w:r w:rsidRPr="00996966">
        <w:rPr>
          <w:sz w:val="24"/>
          <w:szCs w:val="24"/>
        </w:rPr>
        <w:t xml:space="preserve"> lags, and political forces all get in the way</w:t>
      </w:r>
      <w:r w:rsidR="002D5B46">
        <w:rPr>
          <w:sz w:val="24"/>
          <w:szCs w:val="24"/>
        </w:rPr>
        <w:t xml:space="preserve"> of timely response to shocks</w:t>
      </w:r>
      <w:r w:rsidRPr="00996966">
        <w:rPr>
          <w:sz w:val="24"/>
          <w:szCs w:val="24"/>
        </w:rPr>
        <w:t xml:space="preserve">. But even if one gives up on deliberate changes in monetary policy, there </w:t>
      </w:r>
      <w:r>
        <w:rPr>
          <w:sz w:val="24"/>
          <w:szCs w:val="24"/>
        </w:rPr>
        <w:t xml:space="preserve">remains </w:t>
      </w:r>
      <w:r w:rsidRPr="00996966">
        <w:rPr>
          <w:sz w:val="24"/>
          <w:szCs w:val="24"/>
        </w:rPr>
        <w:t>a</w:t>
      </w:r>
      <w:r>
        <w:rPr>
          <w:sz w:val="24"/>
          <w:szCs w:val="24"/>
        </w:rPr>
        <w:t xml:space="preserve">n </w:t>
      </w:r>
      <w:r w:rsidR="00362E5C">
        <w:rPr>
          <w:sz w:val="24"/>
          <w:szCs w:val="24"/>
        </w:rPr>
        <w:t xml:space="preserve">important </w:t>
      </w:r>
      <w:r w:rsidRPr="00996966">
        <w:rPr>
          <w:sz w:val="24"/>
          <w:szCs w:val="24"/>
        </w:rPr>
        <w:t xml:space="preserve">advantage of floating: that it allows automatic adjustment to </w:t>
      </w:r>
      <w:r w:rsidR="008A4464">
        <w:rPr>
          <w:sz w:val="24"/>
          <w:szCs w:val="24"/>
        </w:rPr>
        <w:t>external</w:t>
      </w:r>
      <w:r w:rsidRPr="00996966">
        <w:rPr>
          <w:sz w:val="24"/>
          <w:szCs w:val="24"/>
        </w:rPr>
        <w:t xml:space="preserve"> shocks. The currency responds to adverse developments in the country’s export markets or other</w:t>
      </w:r>
      <w:r w:rsidR="00B978CE">
        <w:rPr>
          <w:sz w:val="24"/>
          <w:szCs w:val="24"/>
        </w:rPr>
        <w:t xml:space="preserve"> adverse</w:t>
      </w:r>
      <w:r w:rsidRPr="00996966">
        <w:rPr>
          <w:sz w:val="24"/>
          <w:szCs w:val="24"/>
        </w:rPr>
        <w:t xml:space="preserve"> shifts in the terms of trade by depreciating</w:t>
      </w:r>
      <w:r>
        <w:rPr>
          <w:sz w:val="24"/>
          <w:szCs w:val="24"/>
        </w:rPr>
        <w:t>, which in turn works to restore equilibrium.</w:t>
      </w:r>
      <w:r w:rsidR="006A481A">
        <w:rPr>
          <w:rStyle w:val="FootnoteReference"/>
          <w:sz w:val="24"/>
          <w:szCs w:val="24"/>
        </w:rPr>
        <w:footnoteReference w:id="18"/>
      </w:r>
      <w:r>
        <w:rPr>
          <w:sz w:val="24"/>
          <w:szCs w:val="24"/>
        </w:rPr>
        <w:t xml:space="preserve">  </w:t>
      </w:r>
    </w:p>
    <w:p w:rsidR="003D7980" w:rsidRPr="00BB3D25" w:rsidRDefault="003D7980" w:rsidP="003D7980">
      <w:pPr>
        <w:pStyle w:val="ListParagraph"/>
        <w:ind w:left="792"/>
        <w:rPr>
          <w:sz w:val="24"/>
          <w:szCs w:val="24"/>
        </w:rPr>
      </w:pPr>
    </w:p>
    <w:p w:rsidR="002854FE" w:rsidRPr="000F6C29" w:rsidRDefault="002854FE" w:rsidP="000F6C29">
      <w:pPr>
        <w:pStyle w:val="ListParagraph"/>
        <w:numPr>
          <w:ilvl w:val="1"/>
          <w:numId w:val="3"/>
        </w:numPr>
        <w:rPr>
          <w:sz w:val="24"/>
          <w:szCs w:val="24"/>
        </w:rPr>
      </w:pPr>
      <w:r w:rsidRPr="00BB3D25">
        <w:rPr>
          <w:sz w:val="24"/>
          <w:szCs w:val="24"/>
        </w:rPr>
        <w:t xml:space="preserve"> Retain seigniorage</w:t>
      </w:r>
      <w:r w:rsidR="005A3801">
        <w:rPr>
          <w:sz w:val="24"/>
          <w:szCs w:val="24"/>
        </w:rPr>
        <w:t xml:space="preserve"> and l</w:t>
      </w:r>
      <w:r w:rsidRPr="005A3801">
        <w:rPr>
          <w:sz w:val="24"/>
          <w:szCs w:val="24"/>
        </w:rPr>
        <w:t xml:space="preserve">ender of </w:t>
      </w:r>
      <w:r w:rsidR="000F6C29">
        <w:rPr>
          <w:sz w:val="24"/>
          <w:szCs w:val="24"/>
        </w:rPr>
        <w:t>l</w:t>
      </w:r>
      <w:r w:rsidRPr="005A3801">
        <w:rPr>
          <w:sz w:val="24"/>
          <w:szCs w:val="24"/>
        </w:rPr>
        <w:t>ast Resort ability</w:t>
      </w:r>
    </w:p>
    <w:p w:rsidR="00084C62" w:rsidRDefault="007F7613" w:rsidP="004B2462">
      <w:pPr>
        <w:ind w:firstLine="720"/>
        <w:jc w:val="both"/>
      </w:pPr>
      <w:r>
        <w:t>When a country has its own money, t</w:t>
      </w:r>
      <w:r w:rsidR="00285D11" w:rsidRPr="001C1A26">
        <w:t xml:space="preserve">he </w:t>
      </w:r>
      <w:r w:rsidR="00285D11">
        <w:t>government</w:t>
      </w:r>
      <w:r>
        <w:t xml:space="preserve"> can </w:t>
      </w:r>
      <w:r w:rsidR="00285D11" w:rsidRPr="001C1A26">
        <w:t>earn seign</w:t>
      </w:r>
      <w:r w:rsidR="00285D11">
        <w:t>i</w:t>
      </w:r>
      <w:r w:rsidR="00285D11" w:rsidRPr="001C1A26">
        <w:t>orage</w:t>
      </w:r>
      <w:r w:rsidR="00285D11">
        <w:t xml:space="preserve">, that </w:t>
      </w:r>
      <w:r w:rsidR="00285D11" w:rsidRPr="001C1A26">
        <w:t>is</w:t>
      </w:r>
      <w:r w:rsidR="004B2462">
        <w:t>,</w:t>
      </w:r>
      <w:r w:rsidR="00285D11" w:rsidRPr="001C1A26">
        <w:t xml:space="preserve"> </w:t>
      </w:r>
      <w:r>
        <w:t>it can</w:t>
      </w:r>
      <w:r w:rsidR="00285D11">
        <w:t xml:space="preserve"> command real resources when it funds the budget by creating </w:t>
      </w:r>
      <w:r w:rsidR="004B2462">
        <w:t xml:space="preserve">(“printing”) </w:t>
      </w:r>
      <w:r w:rsidR="00285D11">
        <w:t>domestic money,</w:t>
      </w:r>
      <w:r>
        <w:t xml:space="preserve"> avoiding the need to </w:t>
      </w:r>
      <w:r w:rsidR="00084C62">
        <w:t xml:space="preserve">finance its spending by </w:t>
      </w:r>
      <w:r>
        <w:t>rais</w:t>
      </w:r>
      <w:r w:rsidR="00084C62">
        <w:t>ing</w:t>
      </w:r>
      <w:r>
        <w:t xml:space="preserve"> tax revenue or borrow</w:t>
      </w:r>
      <w:r w:rsidR="00084C62">
        <w:t>ing</w:t>
      </w:r>
      <w:r>
        <w:t>.  This ability</w:t>
      </w:r>
      <w:r w:rsidR="00285D11">
        <w:t xml:space="preserve"> is </w:t>
      </w:r>
      <w:r w:rsidR="00285D11" w:rsidRPr="001C1A26">
        <w:t xml:space="preserve">partially lost </w:t>
      </w:r>
      <w:r w:rsidR="00285D11">
        <w:t>under a fixed exchange rate</w:t>
      </w:r>
      <w:r>
        <w:t xml:space="preserve">, because </w:t>
      </w:r>
      <w:r w:rsidR="00084C62">
        <w:t>the central bank</w:t>
      </w:r>
      <w:r>
        <w:t xml:space="preserve"> has to hold foreign exchange reserves and must limit the amount of domestic credit creation if the exchange rate peg is to be sustainable</w:t>
      </w:r>
      <w:r w:rsidR="00285D11">
        <w:t xml:space="preserve">.  The </w:t>
      </w:r>
      <w:r>
        <w:t xml:space="preserve">lost </w:t>
      </w:r>
      <w:r w:rsidR="00285D11">
        <w:t>seign</w:t>
      </w:r>
      <w:r w:rsidR="004B2462">
        <w:t>i</w:t>
      </w:r>
      <w:r w:rsidR="00285D11">
        <w:t>orage accrues instead to the</w:t>
      </w:r>
      <w:r w:rsidR="004B2462">
        <w:t xml:space="preserve"> foreign </w:t>
      </w:r>
      <w:r w:rsidR="00285D11">
        <w:t>government that create</w:t>
      </w:r>
      <w:r w:rsidR="004B2462">
        <w:t>s the money which the domestic central bank</w:t>
      </w:r>
      <w:r w:rsidR="00285D11">
        <w:t xml:space="preserve"> must hold as foreign exchange reserves to back up its </w:t>
      </w:r>
      <w:r w:rsidR="004B2462">
        <w:t>own currency</w:t>
      </w:r>
      <w:r w:rsidR="00285D11">
        <w:t>.</w:t>
      </w:r>
      <w:r w:rsidR="004B2462">
        <w:t xml:space="preserve">  </w:t>
      </w:r>
    </w:p>
    <w:p w:rsidR="004B2462" w:rsidRDefault="004B2462" w:rsidP="004B2462">
      <w:pPr>
        <w:ind w:firstLine="720"/>
        <w:jc w:val="both"/>
      </w:pPr>
      <w:r>
        <w:t xml:space="preserve">More </w:t>
      </w:r>
      <w:r w:rsidR="00343D93">
        <w:t>seigniorage</w:t>
      </w:r>
      <w:r>
        <w:t xml:space="preserve"> is lost </w:t>
      </w:r>
      <w:r w:rsidRPr="001C1A26">
        <w:t>under a rigid institutional commitment such as a currency board</w:t>
      </w:r>
      <w:r w:rsidR="007F7613">
        <w:t>, because money creation must by law be backed up fully by the accumulation of foreign exchange reserves</w:t>
      </w:r>
      <w:r>
        <w:t xml:space="preserve">. </w:t>
      </w:r>
      <w:r w:rsidR="00285D11">
        <w:t xml:space="preserve"> </w:t>
      </w:r>
      <w:r w:rsidR="00343D93" w:rsidRPr="001C1A26">
        <w:t xml:space="preserve">Seigniorage is lost </w:t>
      </w:r>
      <w:r w:rsidR="00343D93" w:rsidRPr="002D39EA">
        <w:rPr>
          <w:i/>
        </w:rPr>
        <w:t>entirely</w:t>
      </w:r>
      <w:r w:rsidR="00343D93">
        <w:rPr>
          <w:i/>
        </w:rPr>
        <w:t xml:space="preserve"> </w:t>
      </w:r>
      <w:r w:rsidR="00343D93" w:rsidRPr="004B2462">
        <w:t>under full</w:t>
      </w:r>
      <w:r w:rsidR="00343D93" w:rsidRPr="001C1A26">
        <w:t xml:space="preserve"> </w:t>
      </w:r>
      <w:r w:rsidR="00343D93">
        <w:t xml:space="preserve">dollarization or </w:t>
      </w:r>
      <w:r w:rsidR="00343D93" w:rsidRPr="001C1A26">
        <w:t>monetary union</w:t>
      </w:r>
      <w:r w:rsidR="00343D93">
        <w:t xml:space="preserve"> (except to the extent that the arrangements under which it joins the monetary union allow it to share in the </w:t>
      </w:r>
      <w:r w:rsidR="007F7613">
        <w:t xml:space="preserve">common </w:t>
      </w:r>
      <w:r w:rsidR="00343D93">
        <w:t>seigniorage)</w:t>
      </w:r>
      <w:r w:rsidR="00084C62">
        <w:t xml:space="preserve">, because the domestic country no longer even has </w:t>
      </w:r>
      <w:proofErr w:type="gramStart"/>
      <w:r w:rsidR="00084C62">
        <w:t>a money</w:t>
      </w:r>
      <w:proofErr w:type="gramEnd"/>
      <w:r w:rsidR="00084C62">
        <w:t xml:space="preserve"> it could print</w:t>
      </w:r>
      <w:r w:rsidR="00343D93">
        <w:t>.</w:t>
      </w:r>
    </w:p>
    <w:p w:rsidR="002854FE" w:rsidRPr="00925940" w:rsidRDefault="00084C62" w:rsidP="003800BA">
      <w:pPr>
        <w:ind w:firstLine="360"/>
        <w:jc w:val="both"/>
      </w:pPr>
      <w:r>
        <w:t>A particularly salient application of the case for seigniorage is t</w:t>
      </w:r>
      <w:r w:rsidR="00285D11" w:rsidRPr="001C1A26">
        <w:t xml:space="preserve">he </w:t>
      </w:r>
      <w:r w:rsidR="003800BA">
        <w:t>monetary authority</w:t>
      </w:r>
      <w:r w:rsidR="00285D11" w:rsidRPr="001C1A26">
        <w:t>’s ability to act as a lender of last resort for the banking system</w:t>
      </w:r>
      <w:r>
        <w:t xml:space="preserve">. </w:t>
      </w:r>
      <w:r w:rsidR="00285D11" w:rsidRPr="001C1A26">
        <w:t xml:space="preserve"> </w:t>
      </w:r>
      <w:r>
        <w:t xml:space="preserve">Playing the lender of last resort role </w:t>
      </w:r>
      <w:r w:rsidR="00E93AC3">
        <w:t xml:space="preserve">in a crisis ultimately </w:t>
      </w:r>
      <w:r w:rsidR="00285D11" w:rsidRPr="001C1A26">
        <w:t xml:space="preserve">depends on the knowledge that </w:t>
      </w:r>
      <w:r>
        <w:t>the central bank</w:t>
      </w:r>
      <w:r w:rsidR="00285D11" w:rsidRPr="001C1A26">
        <w:t xml:space="preserve"> can create as much money as necessary to bail out banks in difficulty.</w:t>
      </w:r>
      <w:r w:rsidR="004B2462">
        <w:t xml:space="preserve">  </w:t>
      </w:r>
      <w:r w:rsidR="003800BA">
        <w:t xml:space="preserve">If citizens believe that their deposits are backed by this ultimate guarantee, </w:t>
      </w:r>
      <w:r w:rsidR="003800BA">
        <w:lastRenderedPageBreak/>
        <w:t xml:space="preserve">they won’t “run” on banks in the first place.  </w:t>
      </w:r>
      <w:r w:rsidR="004B2462">
        <w:t>Th</w:t>
      </w:r>
      <w:r w:rsidR="003800BA">
        <w:t xml:space="preserve">e credibility of this guarantee </w:t>
      </w:r>
      <w:r w:rsidR="004B2462">
        <w:t xml:space="preserve">is lost if </w:t>
      </w:r>
      <w:r w:rsidR="003800BA">
        <w:t>the central bank</w:t>
      </w:r>
      <w:r w:rsidR="005A37B6">
        <w:t xml:space="preserve"> does not have its own money -- </w:t>
      </w:r>
      <w:r w:rsidR="004B2462">
        <w:t>unless the monetary union includes a banking union with some allowance for regulating and rescuing banks in member countries.</w:t>
      </w:r>
    </w:p>
    <w:p w:rsidR="00925940" w:rsidRPr="00BB3D25" w:rsidRDefault="00925940" w:rsidP="002854FE">
      <w:pPr>
        <w:pStyle w:val="ListParagraph"/>
        <w:ind w:left="792"/>
        <w:rPr>
          <w:sz w:val="24"/>
          <w:szCs w:val="24"/>
        </w:rPr>
      </w:pPr>
    </w:p>
    <w:p w:rsidR="002854FE" w:rsidRPr="007F7613" w:rsidRDefault="00A1116B" w:rsidP="002854FE">
      <w:pPr>
        <w:pStyle w:val="ListParagraph"/>
        <w:numPr>
          <w:ilvl w:val="0"/>
          <w:numId w:val="3"/>
        </w:numPr>
        <w:rPr>
          <w:b/>
          <w:sz w:val="24"/>
          <w:szCs w:val="24"/>
        </w:rPr>
      </w:pPr>
      <w:r w:rsidRPr="007F7613">
        <w:rPr>
          <w:b/>
          <w:sz w:val="24"/>
          <w:szCs w:val="24"/>
        </w:rPr>
        <w:t>How d</w:t>
      </w:r>
      <w:r w:rsidR="00880822" w:rsidRPr="007F7613">
        <w:rPr>
          <w:b/>
          <w:sz w:val="24"/>
          <w:szCs w:val="24"/>
        </w:rPr>
        <w:t>o</w:t>
      </w:r>
      <w:r w:rsidR="003800BA">
        <w:rPr>
          <w:b/>
          <w:sz w:val="24"/>
          <w:szCs w:val="24"/>
        </w:rPr>
        <w:t xml:space="preserve"> cur</w:t>
      </w:r>
      <w:r w:rsidR="002854FE" w:rsidRPr="007F7613">
        <w:rPr>
          <w:b/>
          <w:sz w:val="24"/>
          <w:szCs w:val="24"/>
        </w:rPr>
        <w:t>r</w:t>
      </w:r>
      <w:r w:rsidR="003800BA">
        <w:rPr>
          <w:b/>
          <w:sz w:val="24"/>
          <w:szCs w:val="24"/>
        </w:rPr>
        <w:t>enc</w:t>
      </w:r>
      <w:r w:rsidR="002854FE" w:rsidRPr="007F7613">
        <w:rPr>
          <w:b/>
          <w:sz w:val="24"/>
          <w:szCs w:val="24"/>
        </w:rPr>
        <w:t xml:space="preserve">y unions </w:t>
      </w:r>
      <w:r w:rsidR="00880822" w:rsidRPr="007F7613">
        <w:rPr>
          <w:b/>
          <w:sz w:val="24"/>
          <w:szCs w:val="24"/>
        </w:rPr>
        <w:t>differ from fixed exchange rate</w:t>
      </w:r>
      <w:r w:rsidR="00670D43" w:rsidRPr="007F7613">
        <w:rPr>
          <w:b/>
          <w:sz w:val="24"/>
          <w:szCs w:val="24"/>
        </w:rPr>
        <w:t xml:space="preserve"> arrangement</w:t>
      </w:r>
      <w:r w:rsidR="00880822" w:rsidRPr="007F7613">
        <w:rPr>
          <w:b/>
          <w:sz w:val="24"/>
          <w:szCs w:val="24"/>
        </w:rPr>
        <w:t>s</w:t>
      </w:r>
      <w:r w:rsidR="002854FE" w:rsidRPr="007F7613">
        <w:rPr>
          <w:b/>
          <w:sz w:val="24"/>
          <w:szCs w:val="24"/>
        </w:rPr>
        <w:t>?</w:t>
      </w:r>
    </w:p>
    <w:p w:rsidR="00D17E79" w:rsidRDefault="00556FA2" w:rsidP="00556FA2">
      <w:pPr>
        <w:ind w:firstLine="360"/>
        <w:rPr>
          <w:sz w:val="24"/>
          <w:szCs w:val="24"/>
        </w:rPr>
      </w:pPr>
      <w:r w:rsidRPr="00556FA2">
        <w:rPr>
          <w:sz w:val="24"/>
          <w:szCs w:val="24"/>
        </w:rPr>
        <w:t>The binary choice between fixed and fl</w:t>
      </w:r>
      <w:r w:rsidR="00F01362">
        <w:rPr>
          <w:sz w:val="24"/>
          <w:szCs w:val="24"/>
        </w:rPr>
        <w:t>exible</w:t>
      </w:r>
      <w:r w:rsidRPr="00556FA2">
        <w:rPr>
          <w:sz w:val="24"/>
          <w:szCs w:val="24"/>
        </w:rPr>
        <w:t xml:space="preserve"> </w:t>
      </w:r>
      <w:r>
        <w:rPr>
          <w:sz w:val="24"/>
          <w:szCs w:val="24"/>
        </w:rPr>
        <w:t xml:space="preserve">is convenient for textbook purposes, but </w:t>
      </w:r>
      <w:r w:rsidRPr="00556FA2">
        <w:rPr>
          <w:sz w:val="24"/>
          <w:szCs w:val="24"/>
        </w:rPr>
        <w:t>oversimplifies the range of options considerably.</w:t>
      </w:r>
      <w:r w:rsidR="00F01362">
        <w:rPr>
          <w:sz w:val="24"/>
          <w:szCs w:val="24"/>
        </w:rPr>
        <w:t xml:space="preserve">  The </w:t>
      </w:r>
      <w:r w:rsidR="005A6C48">
        <w:rPr>
          <w:sz w:val="24"/>
          <w:szCs w:val="24"/>
        </w:rPr>
        <w:t xml:space="preserve">full </w:t>
      </w:r>
      <w:r w:rsidR="00F01362">
        <w:rPr>
          <w:sz w:val="24"/>
          <w:szCs w:val="24"/>
        </w:rPr>
        <w:t xml:space="preserve">range runs from free floating – not relevant for most developing countries – to </w:t>
      </w:r>
      <w:r w:rsidR="00343D93">
        <w:rPr>
          <w:sz w:val="24"/>
          <w:szCs w:val="24"/>
        </w:rPr>
        <w:t>an</w:t>
      </w:r>
      <w:r w:rsidR="00D17E79">
        <w:rPr>
          <w:sz w:val="24"/>
          <w:szCs w:val="24"/>
        </w:rPr>
        <w:t xml:space="preserve"> </w:t>
      </w:r>
      <w:r w:rsidR="00F01362">
        <w:rPr>
          <w:sz w:val="24"/>
          <w:szCs w:val="24"/>
        </w:rPr>
        <w:t>institutionally fixed</w:t>
      </w:r>
      <w:r w:rsidR="00D17E79">
        <w:rPr>
          <w:sz w:val="24"/>
          <w:szCs w:val="24"/>
        </w:rPr>
        <w:t xml:space="preserve"> regime such as adopting a foreign currency as legal tender domestically</w:t>
      </w:r>
      <w:r w:rsidR="003800BA">
        <w:rPr>
          <w:sz w:val="24"/>
          <w:szCs w:val="24"/>
        </w:rPr>
        <w:t>.  A wide</w:t>
      </w:r>
      <w:r w:rsidR="00F01362">
        <w:rPr>
          <w:sz w:val="24"/>
          <w:szCs w:val="24"/>
        </w:rPr>
        <w:t xml:space="preserve"> variety of intermediate regimes</w:t>
      </w:r>
      <w:r w:rsidR="003800BA">
        <w:rPr>
          <w:sz w:val="24"/>
          <w:szCs w:val="24"/>
        </w:rPr>
        <w:t>,</w:t>
      </w:r>
      <w:r w:rsidR="00F01362">
        <w:rPr>
          <w:sz w:val="24"/>
          <w:szCs w:val="24"/>
        </w:rPr>
        <w:t xml:space="preserve"> such as target zones</w:t>
      </w:r>
      <w:r w:rsidR="003800BA">
        <w:rPr>
          <w:sz w:val="24"/>
          <w:szCs w:val="24"/>
        </w:rPr>
        <w:t xml:space="preserve"> and adjustable pegs, are arrayed along the spectrum in between the polar extremes of free floating and currency unions</w:t>
      </w:r>
      <w:r w:rsidR="00D17E79">
        <w:rPr>
          <w:sz w:val="24"/>
          <w:szCs w:val="24"/>
        </w:rPr>
        <w:t xml:space="preserve">.     </w:t>
      </w:r>
    </w:p>
    <w:p w:rsidR="00556FA2" w:rsidRDefault="00D17E79" w:rsidP="00556FA2">
      <w:pPr>
        <w:ind w:firstLine="360"/>
        <w:rPr>
          <w:sz w:val="24"/>
          <w:szCs w:val="24"/>
        </w:rPr>
      </w:pPr>
      <w:r>
        <w:rPr>
          <w:sz w:val="24"/>
          <w:szCs w:val="24"/>
        </w:rPr>
        <w:t xml:space="preserve">For many African countries, and for the purposes of this project, the relevant choice is between joining a monetary union </w:t>
      </w:r>
      <w:r w:rsidR="00343D93">
        <w:rPr>
          <w:sz w:val="24"/>
          <w:szCs w:val="24"/>
        </w:rPr>
        <w:t>and</w:t>
      </w:r>
      <w:r>
        <w:rPr>
          <w:sz w:val="24"/>
          <w:szCs w:val="24"/>
        </w:rPr>
        <w:t xml:space="preserve"> retaining a degree of flexibility.  What difference does it make if the commitment is to a monetary union rather than a simple declaration of a fixed exchange rate?   </w:t>
      </w:r>
      <w:r w:rsidR="005A6C48">
        <w:rPr>
          <w:sz w:val="24"/>
          <w:szCs w:val="24"/>
        </w:rPr>
        <w:t>Experience has taught us</w:t>
      </w:r>
      <w:r>
        <w:rPr>
          <w:sz w:val="24"/>
          <w:szCs w:val="24"/>
        </w:rPr>
        <w:t xml:space="preserve"> that it makes a lot of difference.   For one thing, many formally declared pegs are best classified in practice as </w:t>
      </w:r>
      <w:r w:rsidR="00F01362">
        <w:rPr>
          <w:sz w:val="24"/>
          <w:szCs w:val="24"/>
        </w:rPr>
        <w:t>adjustable pegs</w:t>
      </w:r>
      <w:r>
        <w:rPr>
          <w:sz w:val="24"/>
          <w:szCs w:val="24"/>
        </w:rPr>
        <w:t>, because they last only until they are put under strain, often due to a big shock</w:t>
      </w:r>
      <w:r w:rsidR="00F01362">
        <w:rPr>
          <w:sz w:val="24"/>
          <w:szCs w:val="24"/>
        </w:rPr>
        <w:t>.</w:t>
      </w:r>
      <w:r w:rsidR="00912474">
        <w:rPr>
          <w:rStyle w:val="FootnoteReference"/>
          <w:sz w:val="24"/>
          <w:szCs w:val="24"/>
        </w:rPr>
        <w:footnoteReference w:id="19"/>
      </w:r>
      <w:r w:rsidR="00F01362">
        <w:rPr>
          <w:sz w:val="24"/>
          <w:szCs w:val="24"/>
        </w:rPr>
        <w:t xml:space="preserve"> </w:t>
      </w:r>
      <w:r>
        <w:rPr>
          <w:sz w:val="24"/>
          <w:szCs w:val="24"/>
        </w:rPr>
        <w:t xml:space="preserve"> There are other ways as well in which a monetary union has effects that go beyond a fixed exchange rate</w:t>
      </w:r>
      <w:r w:rsidR="00B74A2C">
        <w:rPr>
          <w:sz w:val="24"/>
          <w:szCs w:val="24"/>
        </w:rPr>
        <w:t>.  For many</w:t>
      </w:r>
      <w:r>
        <w:rPr>
          <w:sz w:val="24"/>
          <w:szCs w:val="24"/>
        </w:rPr>
        <w:t xml:space="preserve"> of the effects it is mainly a question of degree, i.e., the difference is mostly quant</w:t>
      </w:r>
      <w:r w:rsidR="005A37B6">
        <w:rPr>
          <w:sz w:val="24"/>
          <w:szCs w:val="24"/>
        </w:rPr>
        <w:t>itative</w:t>
      </w:r>
      <w:r w:rsidR="00B74A2C">
        <w:rPr>
          <w:sz w:val="24"/>
          <w:szCs w:val="24"/>
        </w:rPr>
        <w:t xml:space="preserve">; but for some the difference is </w:t>
      </w:r>
      <w:r w:rsidR="005A37B6">
        <w:rPr>
          <w:sz w:val="24"/>
          <w:szCs w:val="24"/>
        </w:rPr>
        <w:t>qualitative</w:t>
      </w:r>
      <w:r>
        <w:rPr>
          <w:sz w:val="24"/>
          <w:szCs w:val="24"/>
        </w:rPr>
        <w:t>.</w:t>
      </w:r>
    </w:p>
    <w:p w:rsidR="000310F4" w:rsidRPr="000310F4" w:rsidRDefault="000310F4" w:rsidP="000310F4">
      <w:pPr>
        <w:pStyle w:val="ListParagraph"/>
        <w:numPr>
          <w:ilvl w:val="1"/>
          <w:numId w:val="3"/>
        </w:numPr>
        <w:rPr>
          <w:sz w:val="24"/>
          <w:szCs w:val="24"/>
        </w:rPr>
      </w:pPr>
      <w:r w:rsidRPr="000310F4">
        <w:rPr>
          <w:sz w:val="24"/>
          <w:szCs w:val="24"/>
        </w:rPr>
        <w:t>Quantitative differences between a currency union and a fixed exchange rate</w:t>
      </w:r>
    </w:p>
    <w:p w:rsidR="00FC16D7" w:rsidRPr="00FC16D7" w:rsidRDefault="000D46E7" w:rsidP="00FC16D7">
      <w:pPr>
        <w:ind w:firstLine="360"/>
        <w:rPr>
          <w:sz w:val="24"/>
          <w:szCs w:val="24"/>
        </w:rPr>
      </w:pPr>
      <w:r>
        <w:rPr>
          <w:sz w:val="24"/>
          <w:szCs w:val="24"/>
        </w:rPr>
        <w:tab/>
      </w:r>
      <w:r w:rsidR="004E6837">
        <w:rPr>
          <w:sz w:val="24"/>
          <w:szCs w:val="24"/>
        </w:rPr>
        <w:t xml:space="preserve">One </w:t>
      </w:r>
      <w:r>
        <w:rPr>
          <w:sz w:val="24"/>
          <w:szCs w:val="24"/>
        </w:rPr>
        <w:t xml:space="preserve">important way that a currency union differs from a fixed exchange rate is the relative permanence of the arrangement. </w:t>
      </w:r>
      <w:r w:rsidR="004F6424">
        <w:rPr>
          <w:sz w:val="24"/>
          <w:szCs w:val="24"/>
        </w:rPr>
        <w:t xml:space="preserve">A fixed exchange rate can always be changed.  Even the CFA </w:t>
      </w:r>
      <w:r w:rsidR="00FC16D7">
        <w:rPr>
          <w:sz w:val="24"/>
          <w:szCs w:val="24"/>
        </w:rPr>
        <w:t>franc</w:t>
      </w:r>
      <w:r w:rsidR="004F6424">
        <w:rPr>
          <w:sz w:val="24"/>
          <w:szCs w:val="24"/>
        </w:rPr>
        <w:t xml:space="preserve"> devalued against the French franc in 1994.</w:t>
      </w:r>
      <w:r w:rsidR="00FC16D7">
        <w:rPr>
          <w:rStyle w:val="FootnoteReference"/>
          <w:sz w:val="24"/>
          <w:szCs w:val="24"/>
        </w:rPr>
        <w:footnoteReference w:id="20"/>
      </w:r>
    </w:p>
    <w:p w:rsidR="000D46E7" w:rsidRPr="000D46E7" w:rsidRDefault="000D46E7" w:rsidP="00556FA2">
      <w:pPr>
        <w:ind w:firstLine="360"/>
        <w:rPr>
          <w:sz w:val="24"/>
          <w:szCs w:val="24"/>
        </w:rPr>
      </w:pPr>
      <w:r w:rsidRPr="000D46E7">
        <w:rPr>
          <w:sz w:val="24"/>
          <w:szCs w:val="24"/>
        </w:rPr>
        <w:t>It would not be quite right to say that the decision to join a monetary union is permanent and irrevocable.  There are some cases of countries leaving.  But most of the cases occur at the same time that a larger political union breaks up into separate countries, such as the breakups of the Soviet Union, Yugoslavia, and Czechoslovakia in the 1990s.</w:t>
      </w:r>
      <w:r w:rsidR="004E6837">
        <w:rPr>
          <w:sz w:val="24"/>
          <w:szCs w:val="24"/>
        </w:rPr>
        <w:t xml:space="preserve">  In any case, a currency union </w:t>
      </w:r>
      <w:r w:rsidR="004E6837">
        <w:rPr>
          <w:sz w:val="24"/>
          <w:szCs w:val="24"/>
        </w:rPr>
        <w:lastRenderedPageBreak/>
        <w:t>is more permanent than a conventional fixed exchange rate or even than a currency board or dollarization.</w:t>
      </w:r>
    </w:p>
    <w:p w:rsidR="00556FA2" w:rsidRDefault="00022CC6" w:rsidP="008E5552">
      <w:pPr>
        <w:pStyle w:val="ListParagraph"/>
        <w:ind w:left="0" w:firstLine="720"/>
        <w:rPr>
          <w:sz w:val="24"/>
          <w:szCs w:val="24"/>
        </w:rPr>
      </w:pPr>
      <w:r>
        <w:rPr>
          <w:sz w:val="24"/>
          <w:szCs w:val="24"/>
        </w:rPr>
        <w:t>Consider</w:t>
      </w:r>
      <w:r w:rsidR="008A1F7C">
        <w:rPr>
          <w:sz w:val="24"/>
          <w:szCs w:val="24"/>
        </w:rPr>
        <w:t xml:space="preserve"> the argument </w:t>
      </w:r>
      <w:r>
        <w:rPr>
          <w:sz w:val="24"/>
          <w:szCs w:val="24"/>
        </w:rPr>
        <w:t>(</w:t>
      </w:r>
      <w:r w:rsidR="004505AF">
        <w:rPr>
          <w:sz w:val="24"/>
          <w:szCs w:val="24"/>
        </w:rPr>
        <w:t xml:space="preserve">in Section </w:t>
      </w:r>
      <w:r>
        <w:rPr>
          <w:sz w:val="24"/>
          <w:szCs w:val="24"/>
        </w:rPr>
        <w:t xml:space="preserve">2.2) </w:t>
      </w:r>
      <w:r w:rsidR="008A1F7C">
        <w:rPr>
          <w:sz w:val="24"/>
          <w:szCs w:val="24"/>
        </w:rPr>
        <w:t xml:space="preserve">that a fixed exchange rate provides a credible commitment to non-inflationary monetary </w:t>
      </w:r>
      <w:r w:rsidR="00A55163">
        <w:rPr>
          <w:sz w:val="24"/>
          <w:szCs w:val="24"/>
        </w:rPr>
        <w:t>policy or</w:t>
      </w:r>
      <w:r w:rsidR="008A1F7C">
        <w:rPr>
          <w:sz w:val="24"/>
          <w:szCs w:val="24"/>
        </w:rPr>
        <w:t xml:space="preserve"> at least to monetary policy that is no more inflationary than that of the external currency to which the country links.</w:t>
      </w:r>
      <w:r w:rsidR="008E5552">
        <w:rPr>
          <w:sz w:val="24"/>
          <w:szCs w:val="24"/>
        </w:rPr>
        <w:t xml:space="preserve">  A currency that is officially pegged today but can be devalued tomorrow does not represent a very credible commitment.  More credible – more likely to anchor inflation expectations and thus achieve price stability without loss of output – is an exchange rate that is fixed by law, as in a currency board arrangement.   But even currency boards can be abandoned, as holders of Argentine pesos discovered to their loss in 2001.  The ultimate commitment is to give up the national currency altogether and join a monetary union.</w:t>
      </w:r>
    </w:p>
    <w:p w:rsidR="00A1116B" w:rsidRDefault="00847F05" w:rsidP="008E5552">
      <w:pPr>
        <w:pStyle w:val="ListParagraph"/>
        <w:ind w:left="0" w:firstLine="720"/>
        <w:rPr>
          <w:sz w:val="24"/>
          <w:szCs w:val="24"/>
        </w:rPr>
      </w:pPr>
      <w:r>
        <w:rPr>
          <w:sz w:val="24"/>
          <w:szCs w:val="24"/>
        </w:rPr>
        <w:br/>
      </w:r>
      <w:r>
        <w:rPr>
          <w:sz w:val="24"/>
          <w:szCs w:val="24"/>
        </w:rPr>
        <w:tab/>
        <w:t>T</w:t>
      </w:r>
      <w:r w:rsidR="00A1116B">
        <w:rPr>
          <w:sz w:val="24"/>
          <w:szCs w:val="24"/>
        </w:rPr>
        <w:t>he near-permanence of a currency union is a double-edged sword for monetary policy.  Although it does make inflation-fighting more credible, it also virtually eliminates the possibility of responding to even a very severe negative shock.  Greece probably regretted the decision to join the euro when it could n</w:t>
      </w:r>
      <w:r w:rsidR="000D46E7">
        <w:rPr>
          <w:sz w:val="24"/>
          <w:szCs w:val="24"/>
        </w:rPr>
        <w:t>ot devalue or lower interest rates</w:t>
      </w:r>
      <w:r w:rsidR="00C510DB">
        <w:rPr>
          <w:sz w:val="24"/>
          <w:szCs w:val="24"/>
        </w:rPr>
        <w:t xml:space="preserve"> </w:t>
      </w:r>
      <w:r w:rsidR="00A1116B">
        <w:rPr>
          <w:sz w:val="24"/>
          <w:szCs w:val="24"/>
        </w:rPr>
        <w:t xml:space="preserve">even in </w:t>
      </w:r>
      <w:r w:rsidR="000D46E7">
        <w:rPr>
          <w:sz w:val="24"/>
          <w:szCs w:val="24"/>
        </w:rPr>
        <w:t xml:space="preserve">response to </w:t>
      </w:r>
      <w:r w:rsidR="00A1116B">
        <w:rPr>
          <w:sz w:val="24"/>
          <w:szCs w:val="24"/>
        </w:rPr>
        <w:t>a crisis a</w:t>
      </w:r>
      <w:r w:rsidR="000D46E7">
        <w:rPr>
          <w:sz w:val="24"/>
          <w:szCs w:val="24"/>
        </w:rPr>
        <w:t>s</w:t>
      </w:r>
      <w:r w:rsidR="00A1116B">
        <w:rPr>
          <w:sz w:val="24"/>
          <w:szCs w:val="24"/>
        </w:rPr>
        <w:t xml:space="preserve"> severe as the one it suffered in 2010.</w:t>
      </w:r>
    </w:p>
    <w:p w:rsidR="002854FE" w:rsidRDefault="008E5552" w:rsidP="00CC255D">
      <w:pPr>
        <w:ind w:firstLine="720"/>
        <w:rPr>
          <w:sz w:val="24"/>
          <w:szCs w:val="24"/>
        </w:rPr>
      </w:pPr>
      <w:r w:rsidRPr="008E5552">
        <w:rPr>
          <w:sz w:val="24"/>
          <w:szCs w:val="24"/>
        </w:rPr>
        <w:t xml:space="preserve">Consider next </w:t>
      </w:r>
      <w:r w:rsidR="004505AF">
        <w:rPr>
          <w:sz w:val="24"/>
          <w:szCs w:val="24"/>
        </w:rPr>
        <w:t xml:space="preserve">(Section 2.3) </w:t>
      </w:r>
      <w:r w:rsidRPr="008E5552">
        <w:rPr>
          <w:sz w:val="24"/>
          <w:szCs w:val="24"/>
        </w:rPr>
        <w:t xml:space="preserve">the argument that a fixed exchange rate encourages trade.  There is </w:t>
      </w:r>
      <w:r w:rsidR="00DD2C2D">
        <w:rPr>
          <w:sz w:val="24"/>
          <w:szCs w:val="24"/>
        </w:rPr>
        <w:t>evidence in the gravity model estimates of a statistically significant boost to bilateral trade when “fixed” means near-zero variability in the exchange rate during some period of time, even without an institutional mechanism to assure that it will stay fixed in the future.</w:t>
      </w:r>
      <w:r w:rsidR="00912474">
        <w:rPr>
          <w:rStyle w:val="FootnoteReference"/>
          <w:sz w:val="24"/>
          <w:szCs w:val="24"/>
        </w:rPr>
        <w:footnoteReference w:id="21"/>
      </w:r>
      <w:r w:rsidR="00DD2C2D">
        <w:rPr>
          <w:sz w:val="24"/>
          <w:szCs w:val="24"/>
        </w:rPr>
        <w:t xml:space="preserve"> </w:t>
      </w:r>
      <w:r w:rsidR="00CE4E65">
        <w:rPr>
          <w:sz w:val="24"/>
          <w:szCs w:val="24"/>
        </w:rPr>
        <w:t xml:space="preserve">  But the boost is far larger if the exchange rate is fixed by an institutional mechanism.  It is larger still in a monetary union, where it is not just exchange rate risk that is eliminated but also the transactions cost that comes from dealing with separate currencies.</w:t>
      </w:r>
      <w:r w:rsidR="00912474">
        <w:rPr>
          <w:rStyle w:val="FootnoteReference"/>
          <w:sz w:val="24"/>
          <w:szCs w:val="24"/>
        </w:rPr>
        <w:footnoteReference w:id="22"/>
      </w:r>
      <w:r w:rsidR="00CE4E65">
        <w:rPr>
          <w:sz w:val="24"/>
          <w:szCs w:val="24"/>
        </w:rPr>
        <w:t xml:space="preserve">  The result seems to be analogous to econometric findings regarding the effects of regional trading arrangeme</w:t>
      </w:r>
      <w:r w:rsidR="00E50ED6">
        <w:rPr>
          <w:sz w:val="24"/>
          <w:szCs w:val="24"/>
        </w:rPr>
        <w:t>nts.  A</w:t>
      </w:r>
      <w:r w:rsidR="00CE4E65" w:rsidRPr="00CE4E65">
        <w:rPr>
          <w:sz w:val="24"/>
          <w:szCs w:val="24"/>
        </w:rPr>
        <w:t xml:space="preserve"> </w:t>
      </w:r>
      <w:r w:rsidR="00CE4E65">
        <w:rPr>
          <w:sz w:val="24"/>
          <w:szCs w:val="24"/>
        </w:rPr>
        <w:t xml:space="preserve">Free Trade Area that eliminates tariffs </w:t>
      </w:r>
      <w:r w:rsidR="00E50ED6">
        <w:rPr>
          <w:sz w:val="24"/>
          <w:szCs w:val="24"/>
        </w:rPr>
        <w:t>stimulates</w:t>
      </w:r>
      <w:r w:rsidR="00CE4E65">
        <w:rPr>
          <w:sz w:val="24"/>
          <w:szCs w:val="24"/>
        </w:rPr>
        <w:t xml:space="preserve"> trade somewhat</w:t>
      </w:r>
      <w:r w:rsidR="00E50ED6">
        <w:rPr>
          <w:sz w:val="24"/>
          <w:szCs w:val="24"/>
        </w:rPr>
        <w:t>;</w:t>
      </w:r>
      <w:r w:rsidR="00CE4E65">
        <w:rPr>
          <w:sz w:val="24"/>
          <w:szCs w:val="24"/>
        </w:rPr>
        <w:t xml:space="preserve"> but a Customs Union that eliminates </w:t>
      </w:r>
      <w:r w:rsidR="00E50ED6">
        <w:rPr>
          <w:sz w:val="24"/>
          <w:szCs w:val="24"/>
        </w:rPr>
        <w:t xml:space="preserve">altogether </w:t>
      </w:r>
      <w:r w:rsidR="00CE4E65">
        <w:rPr>
          <w:sz w:val="24"/>
          <w:szCs w:val="24"/>
        </w:rPr>
        <w:t xml:space="preserve">the need for trucks to stop at the border </w:t>
      </w:r>
      <w:r w:rsidR="00E50ED6">
        <w:rPr>
          <w:sz w:val="24"/>
          <w:szCs w:val="24"/>
        </w:rPr>
        <w:t xml:space="preserve">stimulates </w:t>
      </w:r>
      <w:r w:rsidR="00CE4E65">
        <w:rPr>
          <w:sz w:val="24"/>
          <w:szCs w:val="24"/>
        </w:rPr>
        <w:t>trade by a distinctly greater amount.</w:t>
      </w:r>
    </w:p>
    <w:p w:rsidR="000310F4" w:rsidRPr="000310F4" w:rsidRDefault="000310F4" w:rsidP="000310F4">
      <w:pPr>
        <w:pStyle w:val="ListParagraph"/>
        <w:numPr>
          <w:ilvl w:val="1"/>
          <w:numId w:val="3"/>
        </w:numPr>
        <w:rPr>
          <w:sz w:val="24"/>
          <w:szCs w:val="24"/>
        </w:rPr>
      </w:pPr>
      <w:r w:rsidRPr="000310F4">
        <w:rPr>
          <w:sz w:val="24"/>
          <w:szCs w:val="24"/>
        </w:rPr>
        <w:t>Qualitative differences between a currency union and a fixed exchange rate</w:t>
      </w:r>
    </w:p>
    <w:p w:rsidR="002854FE" w:rsidRDefault="003513BA" w:rsidP="00CC255D">
      <w:pPr>
        <w:ind w:firstLine="720"/>
        <w:rPr>
          <w:sz w:val="24"/>
          <w:szCs w:val="24"/>
        </w:rPr>
      </w:pPr>
      <w:r>
        <w:rPr>
          <w:sz w:val="24"/>
          <w:szCs w:val="24"/>
        </w:rPr>
        <w:t>A monetary union has at least two advantages that are</w:t>
      </w:r>
      <w:r w:rsidR="00CC255D">
        <w:rPr>
          <w:sz w:val="24"/>
          <w:szCs w:val="24"/>
        </w:rPr>
        <w:t xml:space="preserve"> different from fixed exchange rates</w:t>
      </w:r>
      <w:r>
        <w:rPr>
          <w:sz w:val="24"/>
          <w:szCs w:val="24"/>
        </w:rPr>
        <w:t xml:space="preserve"> not just quantitatively but qualitatively</w:t>
      </w:r>
      <w:r w:rsidR="00CC255D">
        <w:rPr>
          <w:sz w:val="24"/>
          <w:szCs w:val="24"/>
        </w:rPr>
        <w:t xml:space="preserve">.  </w:t>
      </w:r>
      <w:r>
        <w:rPr>
          <w:sz w:val="24"/>
          <w:szCs w:val="24"/>
        </w:rPr>
        <w:t>First, i</w:t>
      </w:r>
      <w:r w:rsidR="00CC255D">
        <w:rPr>
          <w:sz w:val="24"/>
          <w:szCs w:val="24"/>
        </w:rPr>
        <w:t>t a</w:t>
      </w:r>
      <w:r w:rsidR="002854FE" w:rsidRPr="00CC255D">
        <w:rPr>
          <w:sz w:val="24"/>
          <w:szCs w:val="24"/>
        </w:rPr>
        <w:t xml:space="preserve">voids </w:t>
      </w:r>
      <w:r w:rsidR="004E6837">
        <w:rPr>
          <w:sz w:val="24"/>
          <w:szCs w:val="24"/>
        </w:rPr>
        <w:t xml:space="preserve">not only </w:t>
      </w:r>
      <w:r w:rsidR="00CC255D">
        <w:rPr>
          <w:sz w:val="24"/>
          <w:szCs w:val="24"/>
        </w:rPr>
        <w:t xml:space="preserve">the </w:t>
      </w:r>
      <w:r w:rsidR="002854FE" w:rsidRPr="00CC255D">
        <w:rPr>
          <w:sz w:val="24"/>
          <w:szCs w:val="24"/>
        </w:rPr>
        <w:t xml:space="preserve">speculative bubbles </w:t>
      </w:r>
      <w:r w:rsidR="00CC255D">
        <w:rPr>
          <w:sz w:val="24"/>
          <w:szCs w:val="24"/>
        </w:rPr>
        <w:t xml:space="preserve">that may sometimes afflict floating exchange rates, </w:t>
      </w:r>
      <w:r w:rsidR="004E6837">
        <w:rPr>
          <w:sz w:val="24"/>
          <w:szCs w:val="24"/>
        </w:rPr>
        <w:t xml:space="preserve">but also </w:t>
      </w:r>
      <w:r w:rsidR="00CC255D">
        <w:rPr>
          <w:sz w:val="24"/>
          <w:szCs w:val="24"/>
        </w:rPr>
        <w:t xml:space="preserve">the </w:t>
      </w:r>
      <w:r w:rsidR="002854FE" w:rsidRPr="00CC255D">
        <w:rPr>
          <w:sz w:val="24"/>
          <w:szCs w:val="24"/>
        </w:rPr>
        <w:t>speculative attacks</w:t>
      </w:r>
      <w:r w:rsidR="00CC255D">
        <w:rPr>
          <w:sz w:val="24"/>
          <w:szCs w:val="24"/>
        </w:rPr>
        <w:t xml:space="preserve"> that </w:t>
      </w:r>
      <w:r w:rsidR="00CC255D">
        <w:rPr>
          <w:sz w:val="24"/>
          <w:szCs w:val="24"/>
        </w:rPr>
        <w:lastRenderedPageBreak/>
        <w:t>sometimes afflict pegged exchange rates.  In both cases the problem simply doesn’t arise because the exchange rate does not exist.</w:t>
      </w:r>
      <w:r>
        <w:rPr>
          <w:sz w:val="24"/>
          <w:szCs w:val="24"/>
        </w:rPr>
        <w:t xml:space="preserve">  If there is no exchange rate, then there is no target for</w:t>
      </w:r>
      <w:r w:rsidR="00022CC6">
        <w:rPr>
          <w:sz w:val="24"/>
          <w:szCs w:val="24"/>
        </w:rPr>
        <w:t xml:space="preserve"> central bankers to defend</w:t>
      </w:r>
      <w:r>
        <w:rPr>
          <w:sz w:val="24"/>
          <w:szCs w:val="24"/>
        </w:rPr>
        <w:t xml:space="preserve"> or for </w:t>
      </w:r>
      <w:r w:rsidR="00022CC6">
        <w:rPr>
          <w:sz w:val="24"/>
          <w:szCs w:val="24"/>
        </w:rPr>
        <w:t>speculators to attack</w:t>
      </w:r>
      <w:r>
        <w:rPr>
          <w:sz w:val="24"/>
          <w:szCs w:val="24"/>
        </w:rPr>
        <w:t>.</w:t>
      </w:r>
    </w:p>
    <w:p w:rsidR="003513BA" w:rsidRDefault="003513BA" w:rsidP="00CC255D">
      <w:pPr>
        <w:ind w:firstLine="720"/>
        <w:rPr>
          <w:sz w:val="24"/>
          <w:szCs w:val="24"/>
        </w:rPr>
      </w:pPr>
      <w:r>
        <w:rPr>
          <w:sz w:val="24"/>
          <w:szCs w:val="24"/>
        </w:rPr>
        <w:t>Secondly, a country that joins a currency union usually gains the right to some sort of represe</w:t>
      </w:r>
      <w:r w:rsidR="00C510DB">
        <w:rPr>
          <w:sz w:val="24"/>
          <w:szCs w:val="24"/>
        </w:rPr>
        <w:t xml:space="preserve">ntation in the decision-making </w:t>
      </w:r>
      <w:r>
        <w:rPr>
          <w:sz w:val="24"/>
          <w:szCs w:val="24"/>
        </w:rPr>
        <w:t>of the union’s central bank.  Typically the extent of representation will be larger or smaller depending on the size of the country in question (or some</w:t>
      </w:r>
      <w:r w:rsidR="004505AF">
        <w:rPr>
          <w:sz w:val="24"/>
          <w:szCs w:val="24"/>
        </w:rPr>
        <w:t>times</w:t>
      </w:r>
      <w:r>
        <w:rPr>
          <w:sz w:val="24"/>
          <w:szCs w:val="24"/>
        </w:rPr>
        <w:t xml:space="preserve"> depending on whether it joins earlier or later).  But a country that fixes its exchange rate to the dollar, or even that formally dollarizes (i.e., adopts the dollar as legal tender)</w:t>
      </w:r>
      <w:r w:rsidR="002F1234">
        <w:rPr>
          <w:sz w:val="24"/>
          <w:szCs w:val="24"/>
        </w:rPr>
        <w:t>,</w:t>
      </w:r>
      <w:r>
        <w:rPr>
          <w:sz w:val="24"/>
          <w:szCs w:val="24"/>
        </w:rPr>
        <w:t xml:space="preserve"> gets no representation </w:t>
      </w:r>
      <w:r w:rsidR="002F1234">
        <w:rPr>
          <w:sz w:val="24"/>
          <w:szCs w:val="24"/>
        </w:rPr>
        <w:t xml:space="preserve">at all at the US </w:t>
      </w:r>
      <w:r>
        <w:rPr>
          <w:sz w:val="24"/>
          <w:szCs w:val="24"/>
        </w:rPr>
        <w:t>Federal Reserve Board.</w:t>
      </w:r>
    </w:p>
    <w:p w:rsidR="002854FE" w:rsidRPr="00CC255D" w:rsidRDefault="00C510DB" w:rsidP="00C510DB">
      <w:pPr>
        <w:ind w:firstLine="720"/>
        <w:rPr>
          <w:sz w:val="24"/>
          <w:szCs w:val="24"/>
        </w:rPr>
      </w:pPr>
      <w:r>
        <w:rPr>
          <w:sz w:val="24"/>
          <w:szCs w:val="24"/>
        </w:rPr>
        <w:t xml:space="preserve">Countries that form a monetary union also run into some problems that don’t arise from ordinary fixed exchange rates.  If </w:t>
      </w:r>
      <w:r w:rsidR="004505AF">
        <w:rPr>
          <w:sz w:val="24"/>
          <w:szCs w:val="24"/>
        </w:rPr>
        <w:t xml:space="preserve">responsibility for </w:t>
      </w:r>
      <w:r>
        <w:rPr>
          <w:sz w:val="24"/>
          <w:szCs w:val="24"/>
        </w:rPr>
        <w:t>fiscal policy remains at the national level, moral hazard can arise as individual governments run up excessive levels of debt</w:t>
      </w:r>
      <w:r w:rsidR="004505AF">
        <w:rPr>
          <w:sz w:val="24"/>
          <w:szCs w:val="24"/>
        </w:rPr>
        <w:t>,</w:t>
      </w:r>
      <w:r>
        <w:rPr>
          <w:sz w:val="24"/>
          <w:szCs w:val="24"/>
        </w:rPr>
        <w:t xml:space="preserve"> because they and their creditors feel that they will </w:t>
      </w:r>
      <w:r w:rsidR="00185ED8">
        <w:rPr>
          <w:sz w:val="24"/>
          <w:szCs w:val="24"/>
        </w:rPr>
        <w:t xml:space="preserve">likely </w:t>
      </w:r>
      <w:r>
        <w:rPr>
          <w:sz w:val="24"/>
          <w:szCs w:val="24"/>
        </w:rPr>
        <w:t xml:space="preserve">be bailed out in the event of a fiscal crisis.  The architects of European EMU recognized and addressed this danger, by setting limits on members’ budget deficits and debt levels.  But </w:t>
      </w:r>
      <w:r w:rsidR="004505AF">
        <w:rPr>
          <w:sz w:val="24"/>
          <w:szCs w:val="24"/>
        </w:rPr>
        <w:t xml:space="preserve">after 1999 </w:t>
      </w:r>
      <w:r>
        <w:rPr>
          <w:sz w:val="24"/>
          <w:szCs w:val="24"/>
        </w:rPr>
        <w:t>virtually all the members violated the limits, most egregiously Greece, leading to the crisis that erupted in early 2010.</w:t>
      </w:r>
      <w:r w:rsidR="004279C2">
        <w:rPr>
          <w:sz w:val="24"/>
          <w:szCs w:val="24"/>
        </w:rPr>
        <w:t xml:space="preserve"> </w:t>
      </w:r>
      <w:r w:rsidR="004505AF">
        <w:rPr>
          <w:sz w:val="24"/>
          <w:szCs w:val="24"/>
        </w:rPr>
        <w:t>One can imagine s</w:t>
      </w:r>
      <w:r w:rsidR="004279C2">
        <w:rPr>
          <w:sz w:val="24"/>
          <w:szCs w:val="24"/>
        </w:rPr>
        <w:t xml:space="preserve">imilar problems </w:t>
      </w:r>
      <w:r w:rsidR="004505AF">
        <w:rPr>
          <w:sz w:val="24"/>
          <w:szCs w:val="24"/>
        </w:rPr>
        <w:t xml:space="preserve">of fiscal moral hazard </w:t>
      </w:r>
      <w:r w:rsidR="004279C2">
        <w:rPr>
          <w:sz w:val="24"/>
          <w:szCs w:val="24"/>
        </w:rPr>
        <w:t>afflict</w:t>
      </w:r>
      <w:r w:rsidR="004505AF">
        <w:rPr>
          <w:sz w:val="24"/>
          <w:szCs w:val="24"/>
        </w:rPr>
        <w:t>ing</w:t>
      </w:r>
      <w:r w:rsidR="004279C2">
        <w:rPr>
          <w:sz w:val="24"/>
          <w:szCs w:val="24"/>
        </w:rPr>
        <w:t xml:space="preserve"> an African currency union.</w:t>
      </w:r>
      <w:r w:rsidR="004279C2">
        <w:rPr>
          <w:rStyle w:val="FootnoteReference"/>
          <w:sz w:val="24"/>
          <w:szCs w:val="24"/>
        </w:rPr>
        <w:footnoteReference w:id="23"/>
      </w:r>
    </w:p>
    <w:p w:rsidR="003E7577" w:rsidRPr="00B0677B" w:rsidRDefault="003E7577" w:rsidP="00B0677B">
      <w:pPr>
        <w:rPr>
          <w:sz w:val="24"/>
          <w:szCs w:val="24"/>
        </w:rPr>
      </w:pPr>
    </w:p>
    <w:p w:rsidR="000A4A2F" w:rsidRPr="00185ED8" w:rsidRDefault="00847F05" w:rsidP="00847F05">
      <w:pPr>
        <w:pStyle w:val="ListParagraph"/>
        <w:numPr>
          <w:ilvl w:val="0"/>
          <w:numId w:val="3"/>
        </w:numPr>
        <w:rPr>
          <w:b/>
          <w:sz w:val="24"/>
          <w:szCs w:val="24"/>
        </w:rPr>
      </w:pPr>
      <w:r w:rsidRPr="00185ED8">
        <w:rPr>
          <w:b/>
          <w:sz w:val="24"/>
          <w:szCs w:val="24"/>
        </w:rPr>
        <w:t>Attempts to weigh up the net benefits of alternative exchange rate regimes</w:t>
      </w:r>
      <w:r w:rsidRPr="00185ED8">
        <w:rPr>
          <w:b/>
          <w:sz w:val="24"/>
          <w:szCs w:val="24"/>
        </w:rPr>
        <w:br/>
      </w:r>
    </w:p>
    <w:p w:rsidR="00B0677B" w:rsidRPr="002C627B" w:rsidRDefault="000A4A2F" w:rsidP="000A4A2F">
      <w:pPr>
        <w:tabs>
          <w:tab w:val="left" w:pos="0"/>
          <w:tab w:val="left" w:pos="720"/>
          <w:tab w:val="left" w:pos="2160"/>
          <w:tab w:val="left" w:pos="2880"/>
          <w:tab w:val="left" w:pos="3600"/>
          <w:tab w:val="left" w:pos="4320"/>
        </w:tabs>
        <w:rPr>
          <w:bCs/>
          <w:sz w:val="24"/>
          <w:szCs w:val="24"/>
        </w:rPr>
      </w:pPr>
      <w:r>
        <w:rPr>
          <w:sz w:val="24"/>
          <w:szCs w:val="24"/>
        </w:rPr>
        <w:tab/>
      </w:r>
      <w:r w:rsidR="00B0677B" w:rsidRPr="002C627B">
        <w:rPr>
          <w:bCs/>
          <w:sz w:val="24"/>
          <w:szCs w:val="24"/>
        </w:rPr>
        <w:t>Which dominate: the advantages of f</w:t>
      </w:r>
      <w:r w:rsidR="00912474" w:rsidRPr="002C627B">
        <w:rPr>
          <w:bCs/>
          <w:sz w:val="24"/>
          <w:szCs w:val="24"/>
        </w:rPr>
        <w:t xml:space="preserve">lexible exchange rates or </w:t>
      </w:r>
      <w:r w:rsidR="00B0677B" w:rsidRPr="002C627B">
        <w:rPr>
          <w:bCs/>
          <w:sz w:val="24"/>
          <w:szCs w:val="24"/>
        </w:rPr>
        <w:t>the advantages of f</w:t>
      </w:r>
      <w:r w:rsidR="00912474" w:rsidRPr="002C627B">
        <w:rPr>
          <w:bCs/>
          <w:sz w:val="24"/>
          <w:szCs w:val="24"/>
        </w:rPr>
        <w:t>ixin</w:t>
      </w:r>
      <w:r w:rsidR="00B0677B" w:rsidRPr="002C627B">
        <w:rPr>
          <w:bCs/>
          <w:sz w:val="24"/>
          <w:szCs w:val="24"/>
        </w:rPr>
        <w:t xml:space="preserve">g?  </w:t>
      </w:r>
      <w:r w:rsidRPr="002C627B">
        <w:rPr>
          <w:bCs/>
          <w:sz w:val="24"/>
          <w:szCs w:val="24"/>
        </w:rPr>
        <w:t xml:space="preserve">Some studies have </w:t>
      </w:r>
      <w:r w:rsidR="00B0677B" w:rsidRPr="002C627B">
        <w:rPr>
          <w:bCs/>
          <w:sz w:val="24"/>
          <w:szCs w:val="24"/>
        </w:rPr>
        <w:t>classif</w:t>
      </w:r>
      <w:r w:rsidRPr="002C627B">
        <w:rPr>
          <w:bCs/>
          <w:sz w:val="24"/>
          <w:szCs w:val="24"/>
        </w:rPr>
        <w:t>ied</w:t>
      </w:r>
      <w:r w:rsidR="00B0677B" w:rsidRPr="002C627B">
        <w:rPr>
          <w:bCs/>
          <w:sz w:val="24"/>
          <w:szCs w:val="24"/>
        </w:rPr>
        <w:t xml:space="preserve"> countries according to their de facto e</w:t>
      </w:r>
      <w:r w:rsidRPr="002C627B">
        <w:rPr>
          <w:bCs/>
          <w:sz w:val="24"/>
          <w:szCs w:val="24"/>
        </w:rPr>
        <w:t>xchange rate regime and then t</w:t>
      </w:r>
      <w:r w:rsidR="00B0677B" w:rsidRPr="002C627B">
        <w:rPr>
          <w:bCs/>
          <w:sz w:val="24"/>
          <w:szCs w:val="24"/>
        </w:rPr>
        <w:t>est</w:t>
      </w:r>
      <w:r w:rsidRPr="002C627B">
        <w:rPr>
          <w:bCs/>
          <w:sz w:val="24"/>
          <w:szCs w:val="24"/>
        </w:rPr>
        <w:t>ed</w:t>
      </w:r>
      <w:r w:rsidR="00B0677B" w:rsidRPr="002C627B">
        <w:rPr>
          <w:bCs/>
          <w:sz w:val="24"/>
          <w:szCs w:val="24"/>
        </w:rPr>
        <w:t xml:space="preserve"> which categories have superior economic performance, judged </w:t>
      </w:r>
      <w:r w:rsidR="00912474" w:rsidRPr="002C627B">
        <w:rPr>
          <w:bCs/>
          <w:sz w:val="24"/>
          <w:szCs w:val="24"/>
        </w:rPr>
        <w:t xml:space="preserve">usually </w:t>
      </w:r>
      <w:r w:rsidR="00B0677B" w:rsidRPr="002C627B">
        <w:rPr>
          <w:bCs/>
          <w:sz w:val="24"/>
          <w:szCs w:val="24"/>
        </w:rPr>
        <w:t>by growth</w:t>
      </w:r>
      <w:r w:rsidR="00912474" w:rsidRPr="002C627B">
        <w:rPr>
          <w:bCs/>
          <w:sz w:val="24"/>
          <w:szCs w:val="24"/>
        </w:rPr>
        <w:t xml:space="preserve"> and/or</w:t>
      </w:r>
      <w:r w:rsidR="00B0677B" w:rsidRPr="002C627B">
        <w:rPr>
          <w:bCs/>
          <w:sz w:val="24"/>
          <w:szCs w:val="24"/>
        </w:rPr>
        <w:t xml:space="preserve"> inflation.</w:t>
      </w:r>
      <w:r w:rsidR="00B5032D" w:rsidRPr="002C627B">
        <w:rPr>
          <w:rStyle w:val="FootnoteReference"/>
          <w:bCs/>
          <w:sz w:val="24"/>
          <w:szCs w:val="24"/>
        </w:rPr>
        <w:footnoteReference w:id="24"/>
      </w:r>
      <w:r w:rsidR="00B0677B" w:rsidRPr="002C627B">
        <w:rPr>
          <w:bCs/>
          <w:sz w:val="24"/>
          <w:szCs w:val="24"/>
        </w:rPr>
        <w:t xml:space="preserve"> This literature is entirely inconclusi</w:t>
      </w:r>
      <w:r w:rsidR="00B5032D" w:rsidRPr="002C627B">
        <w:rPr>
          <w:bCs/>
          <w:sz w:val="24"/>
          <w:szCs w:val="24"/>
        </w:rPr>
        <w:t xml:space="preserve">ve.  </w:t>
      </w:r>
      <w:r w:rsidRPr="002C627B">
        <w:rPr>
          <w:bCs/>
          <w:sz w:val="24"/>
          <w:szCs w:val="24"/>
        </w:rPr>
        <w:t xml:space="preserve"> Some find that floating works best, some that institutionally fixed rates work best, some that an intermediate regime works best.</w:t>
      </w:r>
    </w:p>
    <w:p w:rsidR="002C627B" w:rsidRPr="002C627B" w:rsidRDefault="00B0677B" w:rsidP="000A4A2F">
      <w:pPr>
        <w:tabs>
          <w:tab w:val="left" w:pos="0"/>
          <w:tab w:val="left" w:pos="720"/>
          <w:tab w:val="left" w:pos="2160"/>
          <w:tab w:val="left" w:pos="2880"/>
          <w:tab w:val="left" w:pos="3600"/>
          <w:tab w:val="left" w:pos="4320"/>
        </w:tabs>
        <w:spacing w:line="269" w:lineRule="auto"/>
        <w:jc w:val="both"/>
        <w:rPr>
          <w:sz w:val="24"/>
          <w:szCs w:val="24"/>
        </w:rPr>
      </w:pPr>
      <w:r w:rsidRPr="002C627B">
        <w:rPr>
          <w:sz w:val="24"/>
          <w:szCs w:val="24"/>
        </w:rPr>
        <w:tab/>
        <w:t>Why such different answers?  There are two major reasons, one relatively more pedestrian an</w:t>
      </w:r>
      <w:r w:rsidR="000A4A2F" w:rsidRPr="002C627B">
        <w:rPr>
          <w:sz w:val="24"/>
          <w:szCs w:val="24"/>
        </w:rPr>
        <w:t xml:space="preserve">d the other more enlightening. </w:t>
      </w:r>
      <w:r w:rsidRPr="002C627B">
        <w:rPr>
          <w:sz w:val="24"/>
          <w:szCs w:val="24"/>
        </w:rPr>
        <w:t xml:space="preserve"> First, the classification schemes do not correspond to each other.  A country’s currency may be classified by one author as pegged and </w:t>
      </w:r>
      <w:r w:rsidRPr="002C627B">
        <w:rPr>
          <w:sz w:val="24"/>
          <w:szCs w:val="24"/>
        </w:rPr>
        <w:lastRenderedPageBreak/>
        <w:t>by another as floating.</w:t>
      </w:r>
      <w:r w:rsidRPr="002C627B">
        <w:rPr>
          <w:rStyle w:val="FootnoteReference"/>
          <w:sz w:val="24"/>
          <w:szCs w:val="24"/>
        </w:rPr>
        <w:footnoteReference w:id="25"/>
      </w:r>
      <w:r w:rsidRPr="002C627B">
        <w:rPr>
          <w:sz w:val="24"/>
          <w:szCs w:val="24"/>
        </w:rPr>
        <w:t xml:space="preserve">  To that extent, it is no surprise that the authors get differe</w:t>
      </w:r>
      <w:r w:rsidR="002C627B" w:rsidRPr="002C627B">
        <w:rPr>
          <w:sz w:val="24"/>
          <w:szCs w:val="24"/>
        </w:rPr>
        <w:t>nt answers as to performance</w:t>
      </w:r>
      <w:r w:rsidR="00A52F04">
        <w:rPr>
          <w:sz w:val="24"/>
          <w:szCs w:val="24"/>
        </w:rPr>
        <w:t xml:space="preserve"> of different categories of exchange rate regime</w:t>
      </w:r>
      <w:r w:rsidR="002C627B" w:rsidRPr="002C627B">
        <w:rPr>
          <w:sz w:val="24"/>
          <w:szCs w:val="24"/>
        </w:rPr>
        <w:t xml:space="preserve">.  </w:t>
      </w:r>
    </w:p>
    <w:p w:rsidR="00B0677B" w:rsidRPr="002C627B" w:rsidRDefault="002C627B" w:rsidP="000A4A2F">
      <w:pPr>
        <w:tabs>
          <w:tab w:val="left" w:pos="0"/>
          <w:tab w:val="left" w:pos="720"/>
          <w:tab w:val="left" w:pos="2160"/>
          <w:tab w:val="left" w:pos="2880"/>
          <w:tab w:val="left" w:pos="3600"/>
          <w:tab w:val="left" w:pos="4320"/>
        </w:tabs>
        <w:spacing w:line="269" w:lineRule="auto"/>
        <w:jc w:val="both"/>
        <w:rPr>
          <w:sz w:val="24"/>
          <w:szCs w:val="24"/>
        </w:rPr>
      </w:pPr>
      <w:r w:rsidRPr="002C627B">
        <w:rPr>
          <w:sz w:val="24"/>
          <w:szCs w:val="24"/>
        </w:rPr>
        <w:tab/>
      </w:r>
      <w:r w:rsidR="00B0677B" w:rsidRPr="002C627B">
        <w:rPr>
          <w:sz w:val="24"/>
          <w:szCs w:val="24"/>
        </w:rPr>
        <w:t xml:space="preserve"> Secondly, and more interestingly from an economic viewpoint, the question as to what exchange rate regime is best should depend on the circumstances of the country in question.  </w:t>
      </w:r>
      <w:r w:rsidR="00A52F04">
        <w:rPr>
          <w:sz w:val="24"/>
          <w:szCs w:val="24"/>
        </w:rPr>
        <w:t>N</w:t>
      </w:r>
      <w:r w:rsidR="00B0677B" w:rsidRPr="002C627B">
        <w:rPr>
          <w:sz w:val="24"/>
          <w:szCs w:val="24"/>
        </w:rPr>
        <w:t xml:space="preserve">o single exchange rate regime is right for all countries. </w:t>
      </w:r>
      <w:r w:rsidR="00E00099" w:rsidRPr="002C627B">
        <w:rPr>
          <w:sz w:val="24"/>
          <w:szCs w:val="24"/>
        </w:rPr>
        <w:t xml:space="preserve"> </w:t>
      </w:r>
      <w:r w:rsidR="00B0677B" w:rsidRPr="002C627B">
        <w:rPr>
          <w:sz w:val="24"/>
          <w:szCs w:val="24"/>
        </w:rPr>
        <w:t xml:space="preserve">Although some of the aforementioned studies include </w:t>
      </w:r>
      <w:r w:rsidR="005637C7" w:rsidRPr="002C627B">
        <w:rPr>
          <w:sz w:val="24"/>
          <w:szCs w:val="24"/>
        </w:rPr>
        <w:t>estimates</w:t>
      </w:r>
      <w:r w:rsidR="00B0677B" w:rsidRPr="002C627B">
        <w:rPr>
          <w:sz w:val="24"/>
          <w:szCs w:val="24"/>
        </w:rPr>
        <w:t xml:space="preserve"> that condition on </w:t>
      </w:r>
      <w:r w:rsidR="00E00099" w:rsidRPr="002C627B">
        <w:rPr>
          <w:sz w:val="24"/>
          <w:szCs w:val="24"/>
        </w:rPr>
        <w:t>a few</w:t>
      </w:r>
      <w:r w:rsidR="00B0677B" w:rsidRPr="002C627B">
        <w:rPr>
          <w:sz w:val="24"/>
          <w:szCs w:val="24"/>
        </w:rPr>
        <w:t xml:space="preserve"> country variables</w:t>
      </w:r>
      <w:r w:rsidR="00E00099" w:rsidRPr="002C627B">
        <w:rPr>
          <w:sz w:val="24"/>
          <w:szCs w:val="24"/>
        </w:rPr>
        <w:t>, such as distinguishing developing countries from advanced</w:t>
      </w:r>
      <w:r>
        <w:rPr>
          <w:sz w:val="24"/>
          <w:szCs w:val="24"/>
        </w:rPr>
        <w:t xml:space="preserve"> countries</w:t>
      </w:r>
      <w:r w:rsidR="00B0677B" w:rsidRPr="002C627B">
        <w:rPr>
          <w:sz w:val="24"/>
          <w:szCs w:val="24"/>
        </w:rPr>
        <w:t xml:space="preserve">, the list of </w:t>
      </w:r>
      <w:r w:rsidR="00A52F04">
        <w:rPr>
          <w:sz w:val="24"/>
          <w:szCs w:val="24"/>
        </w:rPr>
        <w:t xml:space="preserve">conditioning </w:t>
      </w:r>
      <w:r w:rsidR="00B0677B" w:rsidRPr="002C627B">
        <w:rPr>
          <w:sz w:val="24"/>
          <w:szCs w:val="24"/>
        </w:rPr>
        <w:t>variables is not extensive or definitive.</w:t>
      </w:r>
    </w:p>
    <w:p w:rsidR="002609A3" w:rsidRPr="002C627B" w:rsidRDefault="00670D43" w:rsidP="000A4A2F">
      <w:pPr>
        <w:tabs>
          <w:tab w:val="left" w:pos="0"/>
          <w:tab w:val="left" w:pos="720"/>
          <w:tab w:val="left" w:pos="2160"/>
          <w:tab w:val="left" w:pos="2880"/>
          <w:tab w:val="left" w:pos="3600"/>
          <w:tab w:val="left" w:pos="4320"/>
        </w:tabs>
        <w:spacing w:line="269" w:lineRule="auto"/>
        <w:jc w:val="both"/>
        <w:rPr>
          <w:sz w:val="24"/>
          <w:szCs w:val="24"/>
        </w:rPr>
      </w:pPr>
      <w:r w:rsidRPr="002C627B">
        <w:rPr>
          <w:sz w:val="24"/>
          <w:szCs w:val="24"/>
        </w:rPr>
        <w:tab/>
        <w:t>We need a framework for thinking about the characteristics that suit a country or other geographic area for fixing or floating or intermediate regimes, the characteristics that determine the relative weight that should be placed on the advantages and disadvantages considered above.</w:t>
      </w:r>
      <w:r w:rsidR="00AF54E8" w:rsidRPr="002C627B">
        <w:rPr>
          <w:sz w:val="24"/>
          <w:szCs w:val="24"/>
        </w:rPr>
        <w:t xml:space="preserve">  This leads us to the theory of the Optimum Currency Area.</w:t>
      </w:r>
    </w:p>
    <w:p w:rsidR="000A4A2F" w:rsidRDefault="000A4A2F" w:rsidP="000A4A2F">
      <w:pPr>
        <w:tabs>
          <w:tab w:val="left" w:pos="0"/>
          <w:tab w:val="left" w:pos="720"/>
          <w:tab w:val="left" w:pos="2160"/>
          <w:tab w:val="left" w:pos="2880"/>
          <w:tab w:val="left" w:pos="3600"/>
          <w:tab w:val="left" w:pos="4320"/>
        </w:tabs>
        <w:spacing w:line="269" w:lineRule="auto"/>
        <w:jc w:val="both"/>
      </w:pPr>
    </w:p>
    <w:p w:rsidR="002854FE" w:rsidRPr="002C627B" w:rsidRDefault="0096706E" w:rsidP="00B0677B">
      <w:pPr>
        <w:pStyle w:val="ListParagraph"/>
        <w:numPr>
          <w:ilvl w:val="0"/>
          <w:numId w:val="3"/>
        </w:numPr>
        <w:rPr>
          <w:b/>
          <w:sz w:val="24"/>
          <w:szCs w:val="24"/>
        </w:rPr>
      </w:pPr>
      <w:r w:rsidRPr="002C627B">
        <w:rPr>
          <w:b/>
          <w:sz w:val="24"/>
          <w:szCs w:val="24"/>
        </w:rPr>
        <w:t>The Optimum Currency Area</w:t>
      </w:r>
      <w:r w:rsidR="005F0695" w:rsidRPr="002C627B">
        <w:rPr>
          <w:b/>
          <w:sz w:val="24"/>
          <w:szCs w:val="24"/>
        </w:rPr>
        <w:t>:  C</w:t>
      </w:r>
      <w:r w:rsidRPr="002C627B">
        <w:rPr>
          <w:b/>
          <w:sz w:val="24"/>
          <w:szCs w:val="24"/>
        </w:rPr>
        <w:t>riteria</w:t>
      </w:r>
      <w:r w:rsidR="005F0695" w:rsidRPr="002C627B">
        <w:rPr>
          <w:b/>
          <w:sz w:val="24"/>
          <w:szCs w:val="24"/>
        </w:rPr>
        <w:t xml:space="preserve"> that suit a country to give up its own currency </w:t>
      </w:r>
    </w:p>
    <w:p w:rsidR="005F0695" w:rsidRPr="005F0695" w:rsidRDefault="005F0695" w:rsidP="003E02B6">
      <w:pPr>
        <w:ind w:firstLine="720"/>
        <w:rPr>
          <w:sz w:val="24"/>
          <w:szCs w:val="24"/>
        </w:rPr>
      </w:pPr>
      <w:r w:rsidRPr="005F0695">
        <w:rPr>
          <w:sz w:val="24"/>
          <w:szCs w:val="24"/>
        </w:rPr>
        <w:t xml:space="preserve">Characteristics of the country in question should be major determinants of the decision to enter a monetary union or retain more flexible exchange rate arrangements.  Some such criteria are already implicit in the pros and cons that have been listed in earlier sections of the paper.  </w:t>
      </w:r>
    </w:p>
    <w:p w:rsidR="005F0695" w:rsidRDefault="005F0695" w:rsidP="005F0695">
      <w:pPr>
        <w:pStyle w:val="ListParagraph"/>
        <w:numPr>
          <w:ilvl w:val="1"/>
          <w:numId w:val="3"/>
        </w:numPr>
        <w:rPr>
          <w:sz w:val="24"/>
          <w:szCs w:val="24"/>
        </w:rPr>
      </w:pPr>
      <w:r>
        <w:rPr>
          <w:sz w:val="24"/>
          <w:szCs w:val="24"/>
        </w:rPr>
        <w:t xml:space="preserve">A need to import monetary stability </w:t>
      </w:r>
    </w:p>
    <w:p w:rsidR="005F0695" w:rsidRPr="005F0695" w:rsidRDefault="005F0695" w:rsidP="003E02B6">
      <w:pPr>
        <w:ind w:firstLine="720"/>
        <w:rPr>
          <w:sz w:val="24"/>
          <w:szCs w:val="24"/>
        </w:rPr>
      </w:pPr>
      <w:r w:rsidRPr="005F0695">
        <w:rPr>
          <w:sz w:val="24"/>
          <w:szCs w:val="24"/>
        </w:rPr>
        <w:t>Re</w:t>
      </w:r>
      <w:r>
        <w:rPr>
          <w:sz w:val="24"/>
          <w:szCs w:val="24"/>
        </w:rPr>
        <w:t xml:space="preserve">call </w:t>
      </w:r>
      <w:r w:rsidR="00980F3D">
        <w:rPr>
          <w:sz w:val="24"/>
          <w:szCs w:val="24"/>
        </w:rPr>
        <w:t xml:space="preserve">from </w:t>
      </w:r>
      <w:r w:rsidRPr="005F0695">
        <w:rPr>
          <w:sz w:val="24"/>
          <w:szCs w:val="24"/>
        </w:rPr>
        <w:t>section 2.2</w:t>
      </w:r>
      <w:r>
        <w:rPr>
          <w:sz w:val="24"/>
          <w:szCs w:val="24"/>
        </w:rPr>
        <w:t xml:space="preserve"> </w:t>
      </w:r>
      <w:r w:rsidR="00980F3D">
        <w:rPr>
          <w:sz w:val="24"/>
          <w:szCs w:val="24"/>
        </w:rPr>
        <w:t xml:space="preserve">that one argument </w:t>
      </w:r>
      <w:r>
        <w:rPr>
          <w:sz w:val="24"/>
          <w:szCs w:val="24"/>
        </w:rPr>
        <w:t xml:space="preserve">in favor of giving up currency independence </w:t>
      </w:r>
      <w:r w:rsidR="00980F3D">
        <w:rPr>
          <w:sz w:val="24"/>
          <w:szCs w:val="24"/>
        </w:rPr>
        <w:t xml:space="preserve">is </w:t>
      </w:r>
      <w:r>
        <w:rPr>
          <w:sz w:val="24"/>
          <w:szCs w:val="24"/>
        </w:rPr>
        <w:t>that</w:t>
      </w:r>
      <w:r w:rsidRPr="005F0695">
        <w:rPr>
          <w:sz w:val="24"/>
          <w:szCs w:val="24"/>
        </w:rPr>
        <w:t xml:space="preserve"> </w:t>
      </w:r>
      <w:r>
        <w:rPr>
          <w:sz w:val="24"/>
          <w:szCs w:val="24"/>
        </w:rPr>
        <w:t xml:space="preserve">an institutionally fixed exchange rate provides a </w:t>
      </w:r>
      <w:r w:rsidRPr="005F0695">
        <w:rPr>
          <w:sz w:val="24"/>
          <w:szCs w:val="24"/>
        </w:rPr>
        <w:t>credible nominal anchor for monetary policy</w:t>
      </w:r>
      <w:r>
        <w:rPr>
          <w:sz w:val="24"/>
          <w:szCs w:val="24"/>
        </w:rPr>
        <w:t>.   A</w:t>
      </w:r>
      <w:r w:rsidRPr="005F0695">
        <w:rPr>
          <w:sz w:val="24"/>
          <w:szCs w:val="24"/>
        </w:rPr>
        <w:t xml:space="preserve"> country is </w:t>
      </w:r>
      <w:r w:rsidR="00980F3D">
        <w:rPr>
          <w:sz w:val="24"/>
          <w:szCs w:val="24"/>
        </w:rPr>
        <w:t xml:space="preserve">particularly </w:t>
      </w:r>
      <w:r>
        <w:rPr>
          <w:sz w:val="24"/>
          <w:szCs w:val="24"/>
        </w:rPr>
        <w:t xml:space="preserve">suited </w:t>
      </w:r>
      <w:r w:rsidRPr="005F0695">
        <w:rPr>
          <w:sz w:val="24"/>
          <w:szCs w:val="24"/>
        </w:rPr>
        <w:t xml:space="preserve">to give up exchange rate flexibility if it has a desperate need to import monetary stability.  A desperate need to import monetary stability can </w:t>
      </w:r>
      <w:r>
        <w:rPr>
          <w:sz w:val="24"/>
          <w:szCs w:val="24"/>
        </w:rPr>
        <w:t xml:space="preserve">in turn </w:t>
      </w:r>
      <w:r w:rsidRPr="005F0695">
        <w:rPr>
          <w:sz w:val="24"/>
          <w:szCs w:val="24"/>
        </w:rPr>
        <w:t xml:space="preserve">arise from such factors as: a past history of hyperinflation, an absence of credible public institutions, </w:t>
      </w:r>
      <w:r>
        <w:rPr>
          <w:sz w:val="24"/>
          <w:szCs w:val="24"/>
        </w:rPr>
        <w:t xml:space="preserve">chronic political pressure to monetize large fiscal deficits, </w:t>
      </w:r>
      <w:r w:rsidRPr="005F0695">
        <w:rPr>
          <w:sz w:val="24"/>
          <w:szCs w:val="24"/>
        </w:rPr>
        <w:t>location in a dangerous neighborhood, or large exposure to nervous international investors.</w:t>
      </w:r>
    </w:p>
    <w:p w:rsidR="00883D9F" w:rsidRDefault="00883D9F" w:rsidP="005F0695">
      <w:pPr>
        <w:pStyle w:val="ListParagraph"/>
        <w:numPr>
          <w:ilvl w:val="1"/>
          <w:numId w:val="3"/>
        </w:numPr>
        <w:rPr>
          <w:sz w:val="24"/>
          <w:szCs w:val="24"/>
        </w:rPr>
      </w:pPr>
      <w:r>
        <w:rPr>
          <w:sz w:val="24"/>
          <w:szCs w:val="24"/>
        </w:rPr>
        <w:t>Supply shocks</w:t>
      </w:r>
    </w:p>
    <w:p w:rsidR="00883D9F" w:rsidRPr="00980F3D" w:rsidRDefault="00883D9F" w:rsidP="003E02B6">
      <w:pPr>
        <w:ind w:firstLine="720"/>
        <w:rPr>
          <w:sz w:val="24"/>
          <w:szCs w:val="24"/>
        </w:rPr>
      </w:pPr>
      <w:r w:rsidRPr="00980F3D">
        <w:rPr>
          <w:sz w:val="24"/>
          <w:szCs w:val="24"/>
        </w:rPr>
        <w:lastRenderedPageBreak/>
        <w:t xml:space="preserve">An old textbook wisdom holds that fixed rates work best if shocks are mostly internal demand shocks (especially monetary) but flexible rates work best if shocks </w:t>
      </w:r>
      <w:r w:rsidR="00980F3D">
        <w:rPr>
          <w:sz w:val="24"/>
          <w:szCs w:val="24"/>
        </w:rPr>
        <w:t>are mostly</w:t>
      </w:r>
      <w:r w:rsidRPr="00980F3D">
        <w:rPr>
          <w:sz w:val="24"/>
          <w:szCs w:val="24"/>
        </w:rPr>
        <w:t xml:space="preserve"> to be supply shocks or real shocks (especially external trade shocks).   The theory is that floating rates can automatically accommodate or adjust to real shocks.  Developing countries tend to be more prone to real or supply </w:t>
      </w:r>
      <w:r w:rsidR="00A52F04">
        <w:rPr>
          <w:sz w:val="24"/>
          <w:szCs w:val="24"/>
        </w:rPr>
        <w:t>disturbance</w:t>
      </w:r>
      <w:r w:rsidRPr="00980F3D">
        <w:rPr>
          <w:sz w:val="24"/>
          <w:szCs w:val="24"/>
        </w:rPr>
        <w:t xml:space="preserve">s than advanced economies. </w:t>
      </w:r>
      <w:r w:rsidR="00980F3D">
        <w:rPr>
          <w:sz w:val="24"/>
          <w:szCs w:val="24"/>
        </w:rPr>
        <w:t xml:space="preserve"> In theoretical models, supply shocks are usually labelled “productivity shocks.” </w:t>
      </w:r>
      <w:r w:rsidR="0015049C">
        <w:rPr>
          <w:sz w:val="24"/>
          <w:szCs w:val="24"/>
        </w:rPr>
        <w:t xml:space="preserve"> But </w:t>
      </w:r>
      <w:r w:rsidR="00507DFC">
        <w:rPr>
          <w:sz w:val="24"/>
          <w:szCs w:val="24"/>
        </w:rPr>
        <w:t xml:space="preserve">some other </w:t>
      </w:r>
      <w:r w:rsidR="0015049C">
        <w:rPr>
          <w:sz w:val="24"/>
          <w:szCs w:val="24"/>
        </w:rPr>
        <w:t xml:space="preserve">supply shocks are </w:t>
      </w:r>
      <w:r w:rsidR="00507DFC">
        <w:rPr>
          <w:sz w:val="24"/>
          <w:szCs w:val="24"/>
        </w:rPr>
        <w:t xml:space="preserve">also </w:t>
      </w:r>
      <w:r w:rsidR="0015049C">
        <w:rPr>
          <w:sz w:val="24"/>
          <w:szCs w:val="24"/>
        </w:rPr>
        <w:t xml:space="preserve">common in developing countries </w:t>
      </w:r>
      <w:r w:rsidR="00507DFC">
        <w:rPr>
          <w:sz w:val="24"/>
          <w:szCs w:val="24"/>
        </w:rPr>
        <w:t xml:space="preserve">and yet </w:t>
      </w:r>
      <w:r w:rsidR="0015049C">
        <w:rPr>
          <w:sz w:val="24"/>
          <w:szCs w:val="24"/>
        </w:rPr>
        <w:t xml:space="preserve">are easier to </w:t>
      </w:r>
      <w:r w:rsidR="00507DFC">
        <w:rPr>
          <w:sz w:val="24"/>
          <w:szCs w:val="24"/>
        </w:rPr>
        <w:t>observe than p</w:t>
      </w:r>
      <w:r w:rsidR="0015049C">
        <w:rPr>
          <w:sz w:val="24"/>
          <w:szCs w:val="24"/>
        </w:rPr>
        <w:t>roductiv</w:t>
      </w:r>
      <w:r w:rsidR="00507DFC">
        <w:rPr>
          <w:sz w:val="24"/>
          <w:szCs w:val="24"/>
        </w:rPr>
        <w:t>i</w:t>
      </w:r>
      <w:r w:rsidR="0015049C">
        <w:rPr>
          <w:sz w:val="24"/>
          <w:szCs w:val="24"/>
        </w:rPr>
        <w:t>ty shocks</w:t>
      </w:r>
      <w:r w:rsidR="00507DFC">
        <w:rPr>
          <w:sz w:val="24"/>
          <w:szCs w:val="24"/>
        </w:rPr>
        <w:t xml:space="preserve">.  They include </w:t>
      </w:r>
      <w:r w:rsidR="0015049C">
        <w:rPr>
          <w:sz w:val="24"/>
          <w:szCs w:val="24"/>
        </w:rPr>
        <w:t xml:space="preserve">labor </w:t>
      </w:r>
      <w:r w:rsidR="00507DFC">
        <w:rPr>
          <w:sz w:val="24"/>
          <w:szCs w:val="24"/>
        </w:rPr>
        <w:t>s</w:t>
      </w:r>
      <w:r w:rsidR="0015049C">
        <w:rPr>
          <w:sz w:val="24"/>
          <w:szCs w:val="24"/>
        </w:rPr>
        <w:t xml:space="preserve">trife, electric power failures, major weather events, and natural disasters  </w:t>
      </w:r>
      <w:r w:rsidR="00980F3D">
        <w:rPr>
          <w:sz w:val="24"/>
          <w:szCs w:val="24"/>
        </w:rPr>
        <w:t xml:space="preserve"> </w:t>
      </w:r>
      <w:r w:rsidR="0015049C">
        <w:rPr>
          <w:sz w:val="24"/>
          <w:szCs w:val="24"/>
        </w:rPr>
        <w:t>Empirical r</w:t>
      </w:r>
      <w:r w:rsidRPr="00980F3D">
        <w:rPr>
          <w:sz w:val="24"/>
          <w:szCs w:val="24"/>
        </w:rPr>
        <w:t xml:space="preserve">esearch finds that </w:t>
      </w:r>
      <w:r w:rsidR="0015049C">
        <w:rPr>
          <w:sz w:val="24"/>
          <w:szCs w:val="24"/>
        </w:rPr>
        <w:t xml:space="preserve">when developing countries are hit by natural disasters, they tend to adjust better if their exchange rate </w:t>
      </w:r>
      <w:r w:rsidRPr="00980F3D">
        <w:rPr>
          <w:sz w:val="24"/>
          <w:szCs w:val="24"/>
        </w:rPr>
        <w:t>float</w:t>
      </w:r>
      <w:r w:rsidR="0015049C">
        <w:rPr>
          <w:sz w:val="24"/>
          <w:szCs w:val="24"/>
        </w:rPr>
        <w:t>s</w:t>
      </w:r>
      <w:r w:rsidRPr="00980F3D">
        <w:rPr>
          <w:sz w:val="24"/>
          <w:szCs w:val="24"/>
        </w:rPr>
        <w:t>.</w:t>
      </w:r>
      <w:r w:rsidRPr="00980F3D">
        <w:rPr>
          <w:rStyle w:val="FootnoteReference"/>
          <w:sz w:val="24"/>
          <w:szCs w:val="24"/>
        </w:rPr>
        <w:footnoteReference w:id="26"/>
      </w:r>
    </w:p>
    <w:p w:rsidR="005F0695" w:rsidRDefault="00D052EB" w:rsidP="005F0695">
      <w:pPr>
        <w:pStyle w:val="ListParagraph"/>
        <w:numPr>
          <w:ilvl w:val="1"/>
          <w:numId w:val="3"/>
        </w:numPr>
        <w:rPr>
          <w:sz w:val="24"/>
          <w:szCs w:val="24"/>
        </w:rPr>
      </w:pPr>
      <w:r>
        <w:rPr>
          <w:sz w:val="24"/>
          <w:szCs w:val="24"/>
        </w:rPr>
        <w:t>V</w:t>
      </w:r>
      <w:r w:rsidR="00883D9F">
        <w:rPr>
          <w:sz w:val="24"/>
          <w:szCs w:val="24"/>
        </w:rPr>
        <w:t>olatility</w:t>
      </w:r>
      <w:r>
        <w:rPr>
          <w:sz w:val="24"/>
          <w:szCs w:val="24"/>
        </w:rPr>
        <w:t xml:space="preserve"> of commodity export prices</w:t>
      </w:r>
    </w:p>
    <w:p w:rsidR="005F0695" w:rsidRDefault="00883D9F" w:rsidP="003E02B6">
      <w:pPr>
        <w:ind w:firstLine="720"/>
        <w:rPr>
          <w:sz w:val="24"/>
          <w:szCs w:val="24"/>
        </w:rPr>
      </w:pPr>
      <w:r>
        <w:t>Terms of trade fluctuations are a common variety of real shock.</w:t>
      </w:r>
      <w:r w:rsidRPr="00883D9F">
        <w:rPr>
          <w:sz w:val="24"/>
          <w:szCs w:val="24"/>
        </w:rPr>
        <w:t xml:space="preserve"> </w:t>
      </w:r>
      <w:r>
        <w:rPr>
          <w:sz w:val="24"/>
          <w:szCs w:val="24"/>
        </w:rPr>
        <w:t xml:space="preserve"> </w:t>
      </w:r>
      <w:r w:rsidR="005F0695" w:rsidRPr="005F0695">
        <w:rPr>
          <w:sz w:val="24"/>
          <w:szCs w:val="24"/>
        </w:rPr>
        <w:t xml:space="preserve">Other things equal, a country that experiences </w:t>
      </w:r>
      <w:r>
        <w:rPr>
          <w:sz w:val="24"/>
          <w:szCs w:val="24"/>
        </w:rPr>
        <w:t xml:space="preserve">more volatile </w:t>
      </w:r>
      <w:r w:rsidR="00D052EB">
        <w:rPr>
          <w:sz w:val="24"/>
          <w:szCs w:val="24"/>
        </w:rPr>
        <w:t xml:space="preserve">terms of trade, </w:t>
      </w:r>
      <w:r w:rsidR="005F0695" w:rsidRPr="005F0695">
        <w:rPr>
          <w:sz w:val="24"/>
          <w:szCs w:val="24"/>
        </w:rPr>
        <w:t xml:space="preserve">which describes most </w:t>
      </w:r>
      <w:r w:rsidR="00D052EB">
        <w:rPr>
          <w:sz w:val="24"/>
          <w:szCs w:val="24"/>
        </w:rPr>
        <w:t>developing</w:t>
      </w:r>
      <w:r w:rsidR="005F0695" w:rsidRPr="005F0695">
        <w:rPr>
          <w:sz w:val="24"/>
          <w:szCs w:val="24"/>
        </w:rPr>
        <w:t xml:space="preserve"> countries</w:t>
      </w:r>
      <w:r w:rsidR="00D052EB">
        <w:rPr>
          <w:sz w:val="24"/>
          <w:szCs w:val="24"/>
        </w:rPr>
        <w:t xml:space="preserve"> </w:t>
      </w:r>
      <w:r w:rsidR="00DE204F">
        <w:rPr>
          <w:sz w:val="24"/>
          <w:szCs w:val="24"/>
        </w:rPr>
        <w:t>more than</w:t>
      </w:r>
      <w:r w:rsidR="00D052EB">
        <w:rPr>
          <w:sz w:val="24"/>
          <w:szCs w:val="24"/>
        </w:rPr>
        <w:t xml:space="preserve"> most advanced countries</w:t>
      </w:r>
      <w:r w:rsidR="005F0695" w:rsidRPr="005F0695">
        <w:rPr>
          <w:sz w:val="24"/>
          <w:szCs w:val="24"/>
        </w:rPr>
        <w:t xml:space="preserve">, is a better candidate for an exchange rate policy that is flexible enough to accommodate such shocks, for the reasons </w:t>
      </w:r>
      <w:r w:rsidR="005955DC">
        <w:rPr>
          <w:sz w:val="24"/>
          <w:szCs w:val="24"/>
        </w:rPr>
        <w:t>discussed in section 3.2 above.</w:t>
      </w:r>
      <w:r w:rsidR="005955DC">
        <w:rPr>
          <w:rStyle w:val="FootnoteReference"/>
          <w:sz w:val="24"/>
          <w:szCs w:val="24"/>
        </w:rPr>
        <w:footnoteReference w:id="27"/>
      </w:r>
      <w:r w:rsidR="005F0695" w:rsidRPr="005F0695">
        <w:rPr>
          <w:sz w:val="24"/>
          <w:szCs w:val="24"/>
        </w:rPr>
        <w:t xml:space="preserve"> </w:t>
      </w:r>
    </w:p>
    <w:p w:rsidR="00D052EB" w:rsidRDefault="00D052EB" w:rsidP="00D052EB">
      <w:pPr>
        <w:ind w:firstLine="720"/>
        <w:rPr>
          <w:sz w:val="24"/>
          <w:szCs w:val="24"/>
        </w:rPr>
      </w:pPr>
      <w:r>
        <w:rPr>
          <w:sz w:val="24"/>
          <w:szCs w:val="24"/>
        </w:rPr>
        <w:t xml:space="preserve">The biggest sources of exogenous terms of trade shocks are changes in the world prices of oil, minerals or agricultural commodities which impact countries that specialize in the exports of those products.  This factor is especially relevant for almost all African countries. (A country’s terms of trade is defined as the ratio of export prices to import prices.   But export prices </w:t>
      </w:r>
      <w:r w:rsidR="00DE204F">
        <w:rPr>
          <w:sz w:val="24"/>
          <w:szCs w:val="24"/>
        </w:rPr>
        <w:t>for most</w:t>
      </w:r>
      <w:r>
        <w:rPr>
          <w:sz w:val="24"/>
          <w:szCs w:val="24"/>
        </w:rPr>
        <w:t xml:space="preserve"> commodity producers are much more variable than any country’s import prices.)  </w:t>
      </w:r>
    </w:p>
    <w:p w:rsidR="00D052EB" w:rsidRPr="007B03E9" w:rsidRDefault="00D052EB" w:rsidP="00D052EB">
      <w:pPr>
        <w:ind w:firstLine="720"/>
        <w:rPr>
          <w:rFonts w:cs="Times New Roman"/>
        </w:rPr>
      </w:pPr>
      <w:r w:rsidRPr="007B03E9">
        <w:rPr>
          <w:rFonts w:cs="Times New Roman"/>
        </w:rPr>
        <w:t xml:space="preserve">Empirical evidence that the currencies of commodity-exporting countries that float do in fact fluctuate together with the global prices of the commodities in question is offered by </w:t>
      </w:r>
      <w:proofErr w:type="spellStart"/>
      <w:r w:rsidRPr="007B03E9">
        <w:rPr>
          <w:rFonts w:cs="Times New Roman"/>
          <w:color w:val="222222"/>
          <w:shd w:val="clear" w:color="auto" w:fill="FFFFFF"/>
        </w:rPr>
        <w:t>Cashin</w:t>
      </w:r>
      <w:proofErr w:type="spellEnd"/>
      <w:r w:rsidRPr="007B03E9">
        <w:rPr>
          <w:rFonts w:cs="Times New Roman"/>
          <w:color w:val="222222"/>
          <w:shd w:val="clear" w:color="auto" w:fill="FFFFFF"/>
        </w:rPr>
        <w:t>, Céspedes, and Sahay (2004)</w:t>
      </w:r>
      <w:r w:rsidRPr="007B03E9">
        <w:rPr>
          <w:rFonts w:cs="Times New Roman"/>
        </w:rPr>
        <w:t xml:space="preserve">, Chen and Rogoff (2003), Frankel (2007), and </w:t>
      </w:r>
      <w:r w:rsidRPr="007B03E9">
        <w:rPr>
          <w:rFonts w:cs="Times New Roman"/>
          <w:color w:val="222222"/>
          <w:shd w:val="clear" w:color="auto" w:fill="FFFFFF"/>
        </w:rPr>
        <w:t xml:space="preserve">Habib and </w:t>
      </w:r>
      <w:proofErr w:type="spellStart"/>
      <w:r w:rsidRPr="007B03E9">
        <w:rPr>
          <w:rFonts w:cs="Times New Roman"/>
          <w:color w:val="222222"/>
          <w:shd w:val="clear" w:color="auto" w:fill="FFFFFF"/>
        </w:rPr>
        <w:t>Kalamova</w:t>
      </w:r>
      <w:proofErr w:type="spellEnd"/>
      <w:r w:rsidRPr="007B03E9">
        <w:rPr>
          <w:rFonts w:cs="Times New Roman"/>
          <w:color w:val="222222"/>
          <w:shd w:val="clear" w:color="auto" w:fill="FFFFFF"/>
        </w:rPr>
        <w:t xml:space="preserve"> (2007), </w:t>
      </w:r>
      <w:r w:rsidRPr="007B03E9">
        <w:rPr>
          <w:rFonts w:cs="Times New Roman"/>
        </w:rPr>
        <w:t>among others.  Examples of such commodity currencies include the Australian dollar, Canadian dollar, Chilean peso, Russian ruble and South African rand.</w:t>
      </w:r>
    </w:p>
    <w:p w:rsidR="00D052EB" w:rsidRPr="00E50ED6" w:rsidRDefault="00D052EB" w:rsidP="00D052EB">
      <w:pPr>
        <w:ind w:firstLine="720"/>
        <w:rPr>
          <w:rFonts w:cs="Times New Roman"/>
          <w:color w:val="000000"/>
        </w:rPr>
      </w:pPr>
      <w:r w:rsidRPr="007B03E9">
        <w:rPr>
          <w:rFonts w:cs="Times New Roman"/>
        </w:rPr>
        <w:t>Furthermore,</w:t>
      </w:r>
      <w:r w:rsidR="00A71E16">
        <w:rPr>
          <w:rFonts w:cs="Times New Roman"/>
        </w:rPr>
        <w:t xml:space="preserve"> </w:t>
      </w:r>
      <w:r w:rsidR="00DE204F">
        <w:rPr>
          <w:rFonts w:cs="Times New Roman"/>
        </w:rPr>
        <w:t>these exchange rate a</w:t>
      </w:r>
      <w:r w:rsidR="00A71E16">
        <w:rPr>
          <w:rFonts w:cs="Times New Roman"/>
        </w:rPr>
        <w:t>djustment</w:t>
      </w:r>
      <w:r w:rsidR="00DE204F">
        <w:rPr>
          <w:rFonts w:cs="Times New Roman"/>
        </w:rPr>
        <w:t>s seem to work.  A</w:t>
      </w:r>
      <w:r w:rsidRPr="007B03E9">
        <w:rPr>
          <w:rFonts w:cs="Times New Roman"/>
        </w:rPr>
        <w:t xml:space="preserve"> number of studies have confirmed empirically that in the presence of large terms of trade shocks, economic performance tends to be better in countries with floating exchange rates </w:t>
      </w:r>
      <w:r>
        <w:rPr>
          <w:rFonts w:cs="Times New Roman"/>
        </w:rPr>
        <w:t xml:space="preserve">than in countries with </w:t>
      </w:r>
      <w:r w:rsidRPr="007B03E9">
        <w:rPr>
          <w:rFonts w:cs="Times New Roman"/>
        </w:rPr>
        <w:t xml:space="preserve">fixed exchange rates: </w:t>
      </w:r>
      <w:proofErr w:type="spellStart"/>
      <w:r w:rsidRPr="007B03E9">
        <w:rPr>
          <w:rFonts w:cs="Times New Roman"/>
        </w:rPr>
        <w:t>Broda</w:t>
      </w:r>
      <w:proofErr w:type="spellEnd"/>
      <w:r w:rsidRPr="007B03E9">
        <w:rPr>
          <w:rFonts w:cs="Times New Roman"/>
        </w:rPr>
        <w:t xml:space="preserve"> (2004), Edwards and Levy-Yeyati (2005), Rafiq (2011), Céspedes and Velasco (2012)</w:t>
      </w:r>
      <w:r>
        <w:rPr>
          <w:rFonts w:cs="Times New Roman"/>
        </w:rPr>
        <w:t xml:space="preserve">, </w:t>
      </w:r>
      <w:r w:rsidR="00A71E16">
        <w:rPr>
          <w:rFonts w:cs="Times New Roman"/>
        </w:rPr>
        <w:t xml:space="preserve">and Berg, </w:t>
      </w:r>
      <w:r w:rsidR="00A71E16">
        <w:t xml:space="preserve">Goncalves, and Portillo (2018) </w:t>
      </w:r>
      <w:r w:rsidRPr="007B03E9">
        <w:rPr>
          <w:rFonts w:cs="Times New Roman"/>
        </w:rPr>
        <w:t xml:space="preserve">.  Céspedes and Velasco (2012), for example, examine 107 major country </w:t>
      </w:r>
      <w:r w:rsidRPr="007B03E9">
        <w:rPr>
          <w:rFonts w:cs="Times New Roman"/>
        </w:rPr>
        <w:lastRenderedPageBreak/>
        <w:t xml:space="preserve">commodity boom-bust cycles, and find that the output loss from a given </w:t>
      </w:r>
      <w:r>
        <w:rPr>
          <w:rFonts w:cs="Times New Roman"/>
        </w:rPr>
        <w:t xml:space="preserve">commodity </w:t>
      </w:r>
      <w:r w:rsidRPr="007B03E9">
        <w:rPr>
          <w:rFonts w:cs="Times New Roman"/>
        </w:rPr>
        <w:t>price decline is smaller, the more flexible is the exchange rate.</w:t>
      </w:r>
    </w:p>
    <w:p w:rsidR="00D052EB" w:rsidRPr="005F0695" w:rsidRDefault="00D052EB" w:rsidP="00883D9F">
      <w:pPr>
        <w:ind w:firstLine="360"/>
        <w:rPr>
          <w:sz w:val="24"/>
          <w:szCs w:val="24"/>
        </w:rPr>
      </w:pPr>
    </w:p>
    <w:p w:rsidR="005F0695" w:rsidRPr="005F0695" w:rsidRDefault="005F0695" w:rsidP="005F0695">
      <w:pPr>
        <w:pStyle w:val="ListParagraph"/>
        <w:numPr>
          <w:ilvl w:val="1"/>
          <w:numId w:val="3"/>
        </w:numPr>
        <w:rPr>
          <w:sz w:val="24"/>
          <w:szCs w:val="24"/>
        </w:rPr>
      </w:pPr>
      <w:r>
        <w:rPr>
          <w:sz w:val="24"/>
          <w:szCs w:val="24"/>
        </w:rPr>
        <w:t>Financial development</w:t>
      </w:r>
    </w:p>
    <w:p w:rsidR="00117560" w:rsidRDefault="00BE5495" w:rsidP="00D052EB">
      <w:pPr>
        <w:ind w:firstLine="720"/>
        <w:rPr>
          <w:sz w:val="24"/>
          <w:szCs w:val="24"/>
        </w:rPr>
      </w:pPr>
      <w:r>
        <w:rPr>
          <w:sz w:val="24"/>
          <w:szCs w:val="24"/>
        </w:rPr>
        <w:t>A</w:t>
      </w:r>
      <w:r w:rsidRPr="005F0695">
        <w:rPr>
          <w:sz w:val="24"/>
          <w:szCs w:val="24"/>
        </w:rPr>
        <w:t xml:space="preserve">nother of the characteristics that </w:t>
      </w:r>
      <w:r>
        <w:rPr>
          <w:sz w:val="24"/>
          <w:szCs w:val="24"/>
        </w:rPr>
        <w:t xml:space="preserve">is often suggested to </w:t>
      </w:r>
      <w:r w:rsidRPr="005F0695">
        <w:rPr>
          <w:sz w:val="24"/>
          <w:szCs w:val="24"/>
        </w:rPr>
        <w:t xml:space="preserve">suit a country for a flexible exchange </w:t>
      </w:r>
      <w:r w:rsidR="00A55163" w:rsidRPr="005F0695">
        <w:rPr>
          <w:sz w:val="24"/>
          <w:szCs w:val="24"/>
        </w:rPr>
        <w:t>rate</w:t>
      </w:r>
      <w:r w:rsidR="00A55163" w:rsidDel="00BE5495">
        <w:rPr>
          <w:sz w:val="24"/>
          <w:szCs w:val="24"/>
        </w:rPr>
        <w:t xml:space="preserve"> </w:t>
      </w:r>
      <w:r w:rsidR="00A55163">
        <w:rPr>
          <w:sz w:val="24"/>
          <w:szCs w:val="24"/>
        </w:rPr>
        <w:t>is</w:t>
      </w:r>
      <w:r w:rsidR="00D052EB">
        <w:rPr>
          <w:sz w:val="24"/>
          <w:szCs w:val="24"/>
        </w:rPr>
        <w:t xml:space="preserve"> f</w:t>
      </w:r>
      <w:r w:rsidR="005F0695" w:rsidRPr="005F0695">
        <w:rPr>
          <w:sz w:val="24"/>
          <w:szCs w:val="24"/>
        </w:rPr>
        <w:t>inancial development</w:t>
      </w:r>
      <w:r w:rsidR="005F0695">
        <w:rPr>
          <w:sz w:val="24"/>
          <w:szCs w:val="24"/>
        </w:rPr>
        <w:t xml:space="preserve">. </w:t>
      </w:r>
      <w:r w:rsidR="00396D7A">
        <w:rPr>
          <w:sz w:val="24"/>
          <w:szCs w:val="24"/>
        </w:rPr>
        <w:t xml:space="preserve"> In some countries </w:t>
      </w:r>
      <w:r w:rsidR="00BD63D7" w:rsidRPr="00BD63D7">
        <w:rPr>
          <w:sz w:val="24"/>
          <w:szCs w:val="24"/>
        </w:rPr>
        <w:t>at low levels of financial development</w:t>
      </w:r>
      <w:r w:rsidR="00081ABB">
        <w:rPr>
          <w:sz w:val="20"/>
          <w:szCs w:val="20"/>
        </w:rPr>
        <w:t>,</w:t>
      </w:r>
      <w:r w:rsidR="00BD63D7">
        <w:rPr>
          <w:sz w:val="20"/>
          <w:szCs w:val="20"/>
        </w:rPr>
        <w:t xml:space="preserve"> </w:t>
      </w:r>
      <w:r w:rsidR="00396D7A">
        <w:rPr>
          <w:sz w:val="24"/>
          <w:szCs w:val="24"/>
        </w:rPr>
        <w:t xml:space="preserve">the supply and demand for foreign exchange on a given day </w:t>
      </w:r>
      <w:r>
        <w:rPr>
          <w:sz w:val="24"/>
          <w:szCs w:val="24"/>
        </w:rPr>
        <w:t>may be</w:t>
      </w:r>
      <w:r w:rsidR="00396D7A">
        <w:rPr>
          <w:sz w:val="24"/>
          <w:szCs w:val="24"/>
        </w:rPr>
        <w:t xml:space="preserve"> too thin to let the exchange rate be determined in a free-floating market.  </w:t>
      </w:r>
      <w:r w:rsidR="005F0695">
        <w:rPr>
          <w:sz w:val="24"/>
          <w:szCs w:val="24"/>
        </w:rPr>
        <w:t xml:space="preserve">Financial development </w:t>
      </w:r>
      <w:r w:rsidR="00396D7A">
        <w:rPr>
          <w:sz w:val="24"/>
          <w:szCs w:val="24"/>
        </w:rPr>
        <w:t xml:space="preserve">includes </w:t>
      </w:r>
      <w:r w:rsidR="00396D7A" w:rsidRPr="00396D7A">
        <w:rPr>
          <w:sz w:val="24"/>
          <w:szCs w:val="24"/>
        </w:rPr>
        <w:t xml:space="preserve">a </w:t>
      </w:r>
      <w:r w:rsidR="005F0695" w:rsidRPr="00396D7A">
        <w:rPr>
          <w:sz w:val="24"/>
          <w:szCs w:val="24"/>
        </w:rPr>
        <w:t>liberalized ye</w:t>
      </w:r>
      <w:r w:rsidR="00396D7A" w:rsidRPr="00396D7A">
        <w:rPr>
          <w:sz w:val="24"/>
          <w:szCs w:val="24"/>
        </w:rPr>
        <w:t xml:space="preserve">t </w:t>
      </w:r>
      <w:r w:rsidR="00396D7A">
        <w:rPr>
          <w:sz w:val="24"/>
          <w:szCs w:val="24"/>
        </w:rPr>
        <w:t>well-regulated banking system.  It also includes markets in such instruments as forward exchange contracts, which are useful for helping firms manage the risk that arises from variable exchange rates</w:t>
      </w:r>
      <w:r w:rsidR="00081ABB">
        <w:rPr>
          <w:sz w:val="24"/>
          <w:szCs w:val="24"/>
        </w:rPr>
        <w:t xml:space="preserve"> as noted in section 2.3</w:t>
      </w:r>
      <w:r w:rsidR="00396D7A">
        <w:rPr>
          <w:sz w:val="24"/>
          <w:szCs w:val="24"/>
        </w:rPr>
        <w:t xml:space="preserve">. </w:t>
      </w:r>
      <w:r w:rsidR="00BD63D7">
        <w:rPr>
          <w:rStyle w:val="FootnoteReference"/>
          <w:sz w:val="24"/>
          <w:szCs w:val="24"/>
        </w:rPr>
        <w:footnoteReference w:id="28"/>
      </w:r>
      <w:r w:rsidR="00EC529E">
        <w:rPr>
          <w:sz w:val="24"/>
          <w:szCs w:val="24"/>
        </w:rPr>
        <w:t xml:space="preserve"> </w:t>
      </w:r>
    </w:p>
    <w:p w:rsidR="00D052EB" w:rsidRPr="00117560" w:rsidRDefault="004D5095" w:rsidP="00D052EB">
      <w:pPr>
        <w:ind w:firstLine="720"/>
        <w:rPr>
          <w:sz w:val="20"/>
          <w:szCs w:val="20"/>
        </w:rPr>
      </w:pPr>
      <w:r>
        <w:rPr>
          <w:sz w:val="24"/>
          <w:szCs w:val="24"/>
        </w:rPr>
        <w:t>I</w:t>
      </w:r>
      <w:r w:rsidR="00D052EB">
        <w:rPr>
          <w:sz w:val="24"/>
          <w:szCs w:val="24"/>
        </w:rPr>
        <w:t>t has been argued that a country that is open to capital inflows and outflows is a better candidate to giv</w:t>
      </w:r>
      <w:r w:rsidR="00AD06F7">
        <w:rPr>
          <w:sz w:val="24"/>
          <w:szCs w:val="24"/>
        </w:rPr>
        <w:t>e up its currency independence. Indeed giving up capital controls is usually considered a necessary component of joining a monetary union.</w:t>
      </w:r>
      <w:r w:rsidR="00D052EB">
        <w:rPr>
          <w:sz w:val="24"/>
          <w:szCs w:val="24"/>
        </w:rPr>
        <w:t xml:space="preserve"> The argument is that the ability to borrow internationally after an adverse shock makes </w:t>
      </w:r>
      <w:r>
        <w:rPr>
          <w:sz w:val="24"/>
          <w:szCs w:val="24"/>
        </w:rPr>
        <w:t>an independent monetary response</w:t>
      </w:r>
      <w:r w:rsidR="00D052EB">
        <w:rPr>
          <w:sz w:val="24"/>
          <w:szCs w:val="24"/>
        </w:rPr>
        <w:t xml:space="preserve"> less necessary</w:t>
      </w:r>
      <w:r>
        <w:rPr>
          <w:sz w:val="24"/>
          <w:szCs w:val="24"/>
        </w:rPr>
        <w:t>.  But this argument is somewhat undermined by the observation that the capital flows experienced by developing countries tend to be pro-cyclical in practice, not counter-cyclical as the theory says.</w:t>
      </w:r>
      <w:r>
        <w:rPr>
          <w:rStyle w:val="FootnoteReference"/>
          <w:sz w:val="24"/>
          <w:szCs w:val="24"/>
        </w:rPr>
        <w:footnoteReference w:id="29"/>
      </w:r>
    </w:p>
    <w:p w:rsidR="00677783" w:rsidRPr="00B93F40" w:rsidRDefault="00B93F40" w:rsidP="00B93F40">
      <w:pPr>
        <w:pStyle w:val="ListParagraph"/>
        <w:numPr>
          <w:ilvl w:val="1"/>
          <w:numId w:val="3"/>
        </w:numPr>
        <w:rPr>
          <w:sz w:val="24"/>
          <w:szCs w:val="24"/>
        </w:rPr>
      </w:pPr>
      <w:r w:rsidRPr="00B93F40">
        <w:rPr>
          <w:sz w:val="24"/>
          <w:szCs w:val="24"/>
        </w:rPr>
        <w:t xml:space="preserve">Small and </w:t>
      </w:r>
      <w:r w:rsidR="00C4250E">
        <w:rPr>
          <w:sz w:val="24"/>
          <w:szCs w:val="24"/>
        </w:rPr>
        <w:t xml:space="preserve">dependent on </w:t>
      </w:r>
      <w:r w:rsidR="00070DC8" w:rsidRPr="00B93F40">
        <w:rPr>
          <w:sz w:val="24"/>
          <w:szCs w:val="24"/>
        </w:rPr>
        <w:t>t</w:t>
      </w:r>
      <w:r w:rsidR="005E6322">
        <w:rPr>
          <w:sz w:val="24"/>
          <w:szCs w:val="24"/>
        </w:rPr>
        <w:t>rade</w:t>
      </w:r>
      <w:r w:rsidR="00677783" w:rsidRPr="00B93F40">
        <w:rPr>
          <w:sz w:val="24"/>
          <w:szCs w:val="24"/>
        </w:rPr>
        <w:t xml:space="preserve"> </w:t>
      </w:r>
    </w:p>
    <w:p w:rsidR="00D95209" w:rsidRPr="00E843C9" w:rsidRDefault="00B93F40" w:rsidP="00D052EB">
      <w:pPr>
        <w:spacing w:after="0"/>
        <w:ind w:firstLine="720"/>
        <w:rPr>
          <w:sz w:val="24"/>
          <w:szCs w:val="24"/>
        </w:rPr>
      </w:pPr>
      <w:r w:rsidRPr="00E843C9">
        <w:rPr>
          <w:sz w:val="24"/>
          <w:szCs w:val="24"/>
        </w:rPr>
        <w:t>A classic criterion suiting a country to give up its own currency is small size and openness</w:t>
      </w:r>
      <w:r w:rsidR="00761AFB" w:rsidRPr="00E843C9">
        <w:rPr>
          <w:sz w:val="24"/>
          <w:szCs w:val="24"/>
        </w:rPr>
        <w:t xml:space="preserve">. </w:t>
      </w:r>
      <w:r w:rsidR="00E843C9" w:rsidRPr="00E843C9">
        <w:rPr>
          <w:sz w:val="24"/>
          <w:szCs w:val="24"/>
        </w:rPr>
        <w:t>After all, few would suggest that a small city should have its own currency, its own exchange rate, and its own monetary policy.</w:t>
      </w:r>
      <w:r w:rsidR="00761AFB" w:rsidRPr="00E843C9">
        <w:rPr>
          <w:sz w:val="24"/>
          <w:szCs w:val="24"/>
        </w:rPr>
        <w:t xml:space="preserve">  Openness can be measured</w:t>
      </w:r>
      <w:r w:rsidRPr="00E843C9">
        <w:rPr>
          <w:sz w:val="24"/>
          <w:szCs w:val="24"/>
        </w:rPr>
        <w:t>, for example, in the ratio of tradable goods to GDP.</w:t>
      </w:r>
      <w:r w:rsidRPr="00E843C9">
        <w:rPr>
          <w:rStyle w:val="FootnoteReference"/>
          <w:sz w:val="24"/>
          <w:szCs w:val="24"/>
        </w:rPr>
        <w:footnoteReference w:id="30"/>
      </w:r>
      <w:r w:rsidRPr="00E843C9">
        <w:rPr>
          <w:sz w:val="24"/>
          <w:szCs w:val="24"/>
        </w:rPr>
        <w:t xml:space="preserve">  </w:t>
      </w:r>
      <w:r w:rsidR="00D95209" w:rsidRPr="00E843C9">
        <w:rPr>
          <w:sz w:val="24"/>
          <w:szCs w:val="24"/>
        </w:rPr>
        <w:t xml:space="preserve"> </w:t>
      </w:r>
    </w:p>
    <w:p w:rsidR="001A7F89" w:rsidRPr="00E843C9" w:rsidRDefault="00D95209" w:rsidP="001A7F89">
      <w:pPr>
        <w:spacing w:after="0"/>
        <w:ind w:firstLine="360"/>
        <w:rPr>
          <w:sz w:val="24"/>
          <w:szCs w:val="24"/>
        </w:rPr>
      </w:pPr>
      <w:r w:rsidRPr="00E843C9">
        <w:rPr>
          <w:sz w:val="24"/>
          <w:szCs w:val="24"/>
        </w:rPr>
        <w:lastRenderedPageBreak/>
        <w:t xml:space="preserve">There are two ways to make </w:t>
      </w:r>
      <w:r w:rsidR="003C688B" w:rsidRPr="00E843C9">
        <w:rPr>
          <w:sz w:val="24"/>
          <w:szCs w:val="24"/>
        </w:rPr>
        <w:t>the argument</w:t>
      </w:r>
      <w:r w:rsidR="00D06601">
        <w:rPr>
          <w:sz w:val="24"/>
          <w:szCs w:val="24"/>
        </w:rPr>
        <w:t xml:space="preserve"> that small open economies are suited to give up the independence of having their own currency</w:t>
      </w:r>
      <w:r w:rsidR="003C688B" w:rsidRPr="00E843C9">
        <w:rPr>
          <w:sz w:val="24"/>
          <w:szCs w:val="24"/>
        </w:rPr>
        <w:t>:</w:t>
      </w:r>
      <w:r w:rsidRPr="00E843C9">
        <w:rPr>
          <w:sz w:val="24"/>
          <w:szCs w:val="24"/>
        </w:rPr>
        <w:t xml:space="preserve"> in terms of the pros </w:t>
      </w:r>
      <w:r w:rsidR="003C688B" w:rsidRPr="00E843C9">
        <w:rPr>
          <w:sz w:val="24"/>
          <w:szCs w:val="24"/>
        </w:rPr>
        <w:t>or</w:t>
      </w:r>
      <w:r w:rsidRPr="00E843C9">
        <w:rPr>
          <w:sz w:val="24"/>
          <w:szCs w:val="24"/>
        </w:rPr>
        <w:t xml:space="preserve"> cons</w:t>
      </w:r>
      <w:r w:rsidR="00BE5495">
        <w:rPr>
          <w:sz w:val="24"/>
          <w:szCs w:val="24"/>
        </w:rPr>
        <w:t>, respectively,</w:t>
      </w:r>
      <w:r w:rsidRPr="00E843C9">
        <w:rPr>
          <w:sz w:val="24"/>
          <w:szCs w:val="24"/>
        </w:rPr>
        <w:t xml:space="preserve"> discussed in sections 5.2 and 5.3.  </w:t>
      </w:r>
      <w:r w:rsidR="00B93F40" w:rsidRPr="00E843C9">
        <w:rPr>
          <w:sz w:val="24"/>
          <w:szCs w:val="24"/>
        </w:rPr>
        <w:t>On the one side, advantages of eliminating currency differences,</w:t>
      </w:r>
      <w:r w:rsidRPr="00E843C9">
        <w:rPr>
          <w:sz w:val="24"/>
          <w:szCs w:val="24"/>
        </w:rPr>
        <w:t xml:space="preserve"> particularly the </w:t>
      </w:r>
      <w:r w:rsidR="00B93F40" w:rsidRPr="00E843C9">
        <w:rPr>
          <w:sz w:val="24"/>
          <w:szCs w:val="24"/>
        </w:rPr>
        <w:t xml:space="preserve">facilitation of trade, tend to be larger for small open countries that are highly dependent on trade.  On the other side, the advantages of floating, </w:t>
      </w:r>
      <w:r w:rsidRPr="00E843C9">
        <w:rPr>
          <w:sz w:val="24"/>
          <w:szCs w:val="24"/>
        </w:rPr>
        <w:t>particularly</w:t>
      </w:r>
      <w:r w:rsidR="00B93F40" w:rsidRPr="00E843C9">
        <w:rPr>
          <w:sz w:val="24"/>
          <w:szCs w:val="24"/>
        </w:rPr>
        <w:t xml:space="preserve"> discretionary monetary </w:t>
      </w:r>
      <w:proofErr w:type="gramStart"/>
      <w:r w:rsidR="00B93F40" w:rsidRPr="00E843C9">
        <w:rPr>
          <w:sz w:val="24"/>
          <w:szCs w:val="24"/>
        </w:rPr>
        <w:t>policy,</w:t>
      </w:r>
      <w:proofErr w:type="gramEnd"/>
      <w:r w:rsidR="00B93F40" w:rsidRPr="00E843C9">
        <w:rPr>
          <w:sz w:val="24"/>
          <w:szCs w:val="24"/>
        </w:rPr>
        <w:t xml:space="preserve"> tend to be smaller for small open countries.</w:t>
      </w:r>
      <w:r w:rsidR="00B93F40" w:rsidRPr="00E843C9">
        <w:rPr>
          <w:rStyle w:val="FootnoteReference"/>
          <w:sz w:val="24"/>
          <w:szCs w:val="24"/>
        </w:rPr>
        <w:footnoteReference w:id="31"/>
      </w:r>
      <w:r w:rsidR="00B93F40" w:rsidRPr="00E843C9">
        <w:rPr>
          <w:sz w:val="24"/>
          <w:szCs w:val="24"/>
        </w:rPr>
        <w:t xml:space="preserve">  </w:t>
      </w:r>
      <w:r w:rsidR="001A7F89" w:rsidRPr="00E843C9">
        <w:rPr>
          <w:sz w:val="24"/>
          <w:szCs w:val="24"/>
        </w:rPr>
        <w:t xml:space="preserve">  </w:t>
      </w:r>
    </w:p>
    <w:p w:rsidR="00761AFB" w:rsidRPr="00E843C9" w:rsidRDefault="00761AFB" w:rsidP="001A7F89">
      <w:pPr>
        <w:spacing w:after="0"/>
        <w:ind w:firstLine="360"/>
        <w:rPr>
          <w:sz w:val="24"/>
          <w:szCs w:val="24"/>
        </w:rPr>
      </w:pPr>
      <w:r w:rsidRPr="00E843C9">
        <w:rPr>
          <w:sz w:val="24"/>
          <w:szCs w:val="24"/>
        </w:rPr>
        <w:t>We c</w:t>
      </w:r>
      <w:r w:rsidR="00FC7D35" w:rsidRPr="00E843C9">
        <w:rPr>
          <w:sz w:val="24"/>
          <w:szCs w:val="24"/>
        </w:rPr>
        <w:t>lassify</w:t>
      </w:r>
      <w:r w:rsidRPr="00E843C9">
        <w:rPr>
          <w:sz w:val="24"/>
          <w:szCs w:val="24"/>
        </w:rPr>
        <w:t xml:space="preserve"> small size and openness together as one criterion, because small countries are more dependent on trade than large countries.</w:t>
      </w:r>
      <w:r w:rsidR="00FC7D35" w:rsidRPr="00E843C9">
        <w:rPr>
          <w:sz w:val="24"/>
          <w:szCs w:val="24"/>
        </w:rPr>
        <w:t xml:space="preserve">   </w:t>
      </w:r>
      <w:r w:rsidRPr="00E843C9">
        <w:rPr>
          <w:sz w:val="24"/>
          <w:szCs w:val="24"/>
        </w:rPr>
        <w:t>Small countries need trade</w:t>
      </w:r>
      <w:r w:rsidR="00BE5495" w:rsidRPr="00E843C9">
        <w:rPr>
          <w:sz w:val="24"/>
          <w:szCs w:val="24"/>
        </w:rPr>
        <w:t xml:space="preserve"> to achieve economies of scale in production</w:t>
      </w:r>
      <w:r w:rsidRPr="00E843C9">
        <w:rPr>
          <w:sz w:val="24"/>
          <w:szCs w:val="24"/>
        </w:rPr>
        <w:t xml:space="preserve"> </w:t>
      </w:r>
      <w:r w:rsidR="00BE5495">
        <w:rPr>
          <w:sz w:val="24"/>
          <w:szCs w:val="24"/>
        </w:rPr>
        <w:t xml:space="preserve">and also </w:t>
      </w:r>
      <w:r w:rsidRPr="00E843C9">
        <w:rPr>
          <w:sz w:val="24"/>
          <w:szCs w:val="24"/>
        </w:rPr>
        <w:t>because they are likely to be und</w:t>
      </w:r>
      <w:r w:rsidR="00FC7D35" w:rsidRPr="00E843C9">
        <w:rPr>
          <w:sz w:val="24"/>
          <w:szCs w:val="24"/>
        </w:rPr>
        <w:t xml:space="preserve">er-endowed with some </w:t>
      </w:r>
      <w:r w:rsidRPr="00E843C9">
        <w:rPr>
          <w:sz w:val="24"/>
          <w:szCs w:val="24"/>
        </w:rPr>
        <w:t>factors of production.</w:t>
      </w:r>
      <w:r w:rsidR="009A2CA1">
        <w:rPr>
          <w:sz w:val="24"/>
          <w:szCs w:val="24"/>
        </w:rPr>
        <w:t xml:space="preserve">  The United States could survive without trade.  Singapore could not.</w:t>
      </w:r>
    </w:p>
    <w:p w:rsidR="00B93F40" w:rsidRPr="001A7F89" w:rsidRDefault="001A7F89" w:rsidP="001A7F89">
      <w:pPr>
        <w:spacing w:after="0"/>
        <w:ind w:firstLine="360"/>
        <w:rPr>
          <w:sz w:val="24"/>
          <w:szCs w:val="24"/>
        </w:rPr>
      </w:pPr>
      <w:r w:rsidRPr="001A7F89">
        <w:rPr>
          <w:sz w:val="24"/>
          <w:szCs w:val="24"/>
        </w:rPr>
        <w:t xml:space="preserve">Small size and openness to trade </w:t>
      </w:r>
      <w:r w:rsidR="00FC7D35">
        <w:rPr>
          <w:sz w:val="24"/>
          <w:szCs w:val="24"/>
        </w:rPr>
        <w:t>are attractive as OCA</w:t>
      </w:r>
      <w:r w:rsidR="00B93F40" w:rsidRPr="001A7F89">
        <w:rPr>
          <w:sz w:val="24"/>
          <w:szCs w:val="24"/>
        </w:rPr>
        <w:t xml:space="preserve"> criteria in that </w:t>
      </w:r>
      <w:r w:rsidRPr="001A7F89">
        <w:rPr>
          <w:sz w:val="24"/>
          <w:szCs w:val="24"/>
        </w:rPr>
        <w:t>they suggest</w:t>
      </w:r>
      <w:r w:rsidR="00B93F40" w:rsidRPr="001A7F89">
        <w:rPr>
          <w:sz w:val="24"/>
          <w:szCs w:val="24"/>
        </w:rPr>
        <w:t xml:space="preserve"> that there exists a roughly optimum </w:t>
      </w:r>
      <w:r w:rsidR="00B93F40" w:rsidRPr="001A7F89">
        <w:rPr>
          <w:i/>
          <w:sz w:val="24"/>
          <w:szCs w:val="24"/>
        </w:rPr>
        <w:t xml:space="preserve">size </w:t>
      </w:r>
      <w:r w:rsidR="00B93F40" w:rsidRPr="001A7F89">
        <w:rPr>
          <w:sz w:val="24"/>
          <w:szCs w:val="24"/>
        </w:rPr>
        <w:t>for a currency area.</w:t>
      </w:r>
      <w:r>
        <w:rPr>
          <w:sz w:val="24"/>
          <w:szCs w:val="24"/>
        </w:rPr>
        <w:t xml:space="preserve">  If a group of neighboring countries are judged too small and open to merit each having its own currency, the set is more likely to meet the criterion when considered as a larg</w:t>
      </w:r>
      <w:r w:rsidR="00DA56C7">
        <w:rPr>
          <w:sz w:val="24"/>
          <w:szCs w:val="24"/>
        </w:rPr>
        <w:t xml:space="preserve">er unit.  The larger the </w:t>
      </w:r>
      <w:r w:rsidR="00DA56C7" w:rsidRPr="00DA56C7">
        <w:rPr>
          <w:sz w:val="24"/>
          <w:szCs w:val="24"/>
        </w:rPr>
        <w:t>size</w:t>
      </w:r>
      <w:r w:rsidR="00DA56C7">
        <w:rPr>
          <w:sz w:val="24"/>
          <w:szCs w:val="24"/>
        </w:rPr>
        <w:t xml:space="preserve"> of</w:t>
      </w:r>
      <w:r>
        <w:rPr>
          <w:sz w:val="24"/>
          <w:szCs w:val="24"/>
        </w:rPr>
        <w:t xml:space="preserve"> the set of countries under consideration, the lower will be the openness measure of the </w:t>
      </w:r>
      <w:r w:rsidR="00DA56C7">
        <w:rPr>
          <w:sz w:val="24"/>
          <w:szCs w:val="24"/>
        </w:rPr>
        <w:t xml:space="preserve">collective </w:t>
      </w:r>
      <w:r>
        <w:rPr>
          <w:sz w:val="24"/>
          <w:szCs w:val="24"/>
        </w:rPr>
        <w:t>unit (the ratio of trade undertaken with countries outside the region relative to the amount of economic activity within the region</w:t>
      </w:r>
      <w:r w:rsidR="00761AFB">
        <w:rPr>
          <w:sz w:val="24"/>
          <w:szCs w:val="24"/>
        </w:rPr>
        <w:t>)</w:t>
      </w:r>
      <w:r w:rsidR="00DA56C7">
        <w:rPr>
          <w:sz w:val="24"/>
          <w:szCs w:val="24"/>
        </w:rPr>
        <w:t xml:space="preserve"> and the more likely are they able to stand on their own as a currency area</w:t>
      </w:r>
      <w:r>
        <w:rPr>
          <w:sz w:val="24"/>
          <w:szCs w:val="24"/>
        </w:rPr>
        <w:t>.</w:t>
      </w:r>
    </w:p>
    <w:p w:rsidR="00D95209" w:rsidRPr="00E843C9" w:rsidRDefault="00D95209" w:rsidP="00D95209">
      <w:pPr>
        <w:spacing w:after="0"/>
        <w:ind w:firstLine="360"/>
        <w:rPr>
          <w:sz w:val="24"/>
          <w:szCs w:val="24"/>
        </w:rPr>
      </w:pPr>
      <w:r w:rsidRPr="00E843C9">
        <w:rPr>
          <w:sz w:val="24"/>
          <w:szCs w:val="24"/>
        </w:rPr>
        <w:t xml:space="preserve">A related criterion is the existence of major-currency partners with whom bilateral trade, investment and other activities are already high, or are hoped to be high in the future. </w:t>
      </w:r>
      <w:r w:rsidR="008C143B">
        <w:rPr>
          <w:sz w:val="24"/>
          <w:szCs w:val="24"/>
        </w:rPr>
        <w:t>Is trade geographically concentrated or diversified?  If a country</w:t>
      </w:r>
      <w:r w:rsidR="002D3882" w:rsidRPr="00E843C9">
        <w:rPr>
          <w:sz w:val="24"/>
          <w:szCs w:val="24"/>
        </w:rPr>
        <w:t>’</w:t>
      </w:r>
      <w:r w:rsidR="008C143B">
        <w:rPr>
          <w:sz w:val="24"/>
          <w:szCs w:val="24"/>
        </w:rPr>
        <w:t>s</w:t>
      </w:r>
      <w:r w:rsidR="002D3882" w:rsidRPr="00E843C9">
        <w:rPr>
          <w:sz w:val="24"/>
          <w:szCs w:val="24"/>
        </w:rPr>
        <w:t xml:space="preserve"> trade is </w:t>
      </w:r>
      <w:r w:rsidR="008C143B">
        <w:rPr>
          <w:sz w:val="24"/>
          <w:szCs w:val="24"/>
        </w:rPr>
        <w:t xml:space="preserve">spread </w:t>
      </w:r>
      <w:r w:rsidR="002D3882" w:rsidRPr="00E843C9">
        <w:rPr>
          <w:sz w:val="24"/>
          <w:szCs w:val="24"/>
        </w:rPr>
        <w:t xml:space="preserve">relatively equally around the world, it does not have the option to fix its exchange rate to one set of important trading partners (say, the euro) without giving rise to variability in its exchange rate vis-à-vis other important trading partners (say, the dollar bloc). </w:t>
      </w:r>
      <w:r w:rsidRPr="00E843C9">
        <w:rPr>
          <w:sz w:val="24"/>
          <w:szCs w:val="24"/>
        </w:rPr>
        <w:t xml:space="preserve"> In theory a country can peg to a basket of foreign currencies if necessary to match a geographically diversified </w:t>
      </w:r>
      <w:r w:rsidR="002D3882" w:rsidRPr="00E843C9">
        <w:rPr>
          <w:sz w:val="24"/>
          <w:szCs w:val="24"/>
        </w:rPr>
        <w:t>trade pattern.  But basket pegs tend to be loose in practice.  A</w:t>
      </w:r>
      <w:r w:rsidRPr="00E843C9">
        <w:rPr>
          <w:sz w:val="24"/>
          <w:szCs w:val="24"/>
        </w:rPr>
        <w:t xml:space="preserve"> union with a single currency bloc that represents a major actual or potential set of trade partners, if one exists, is far simpler</w:t>
      </w:r>
      <w:r w:rsidR="002D3882" w:rsidRPr="00E843C9">
        <w:rPr>
          <w:sz w:val="24"/>
          <w:szCs w:val="24"/>
        </w:rPr>
        <w:t>, stronger,</w:t>
      </w:r>
      <w:r w:rsidRPr="00E843C9">
        <w:rPr>
          <w:sz w:val="24"/>
          <w:szCs w:val="24"/>
        </w:rPr>
        <w:t xml:space="preserve"> and more credible.</w:t>
      </w:r>
      <w:r w:rsidR="002D3882" w:rsidRPr="00E843C9">
        <w:rPr>
          <w:sz w:val="24"/>
          <w:szCs w:val="24"/>
        </w:rPr>
        <w:t xml:space="preserve">  </w:t>
      </w:r>
    </w:p>
    <w:p w:rsidR="00D95209" w:rsidRPr="00E843C9" w:rsidRDefault="00D95209" w:rsidP="00B93F40">
      <w:pPr>
        <w:pStyle w:val="ListParagraph"/>
        <w:ind w:left="792"/>
        <w:rPr>
          <w:sz w:val="24"/>
          <w:szCs w:val="24"/>
        </w:rPr>
      </w:pPr>
    </w:p>
    <w:p w:rsidR="001A7F89" w:rsidRDefault="00070DC8" w:rsidP="001A7F89">
      <w:pPr>
        <w:pStyle w:val="ListParagraph"/>
        <w:numPr>
          <w:ilvl w:val="1"/>
          <w:numId w:val="3"/>
        </w:numPr>
        <w:rPr>
          <w:sz w:val="24"/>
          <w:szCs w:val="24"/>
        </w:rPr>
      </w:pPr>
      <w:r w:rsidRPr="00247596">
        <w:rPr>
          <w:sz w:val="24"/>
          <w:szCs w:val="24"/>
        </w:rPr>
        <w:t xml:space="preserve">Correlation or </w:t>
      </w:r>
      <w:r w:rsidR="002D3882">
        <w:rPr>
          <w:sz w:val="24"/>
          <w:szCs w:val="24"/>
        </w:rPr>
        <w:t>“</w:t>
      </w:r>
      <w:r w:rsidRPr="00247596">
        <w:rPr>
          <w:sz w:val="24"/>
          <w:szCs w:val="24"/>
        </w:rPr>
        <w:t>symmetry</w:t>
      </w:r>
      <w:r w:rsidR="002D3882">
        <w:rPr>
          <w:sz w:val="24"/>
          <w:szCs w:val="24"/>
        </w:rPr>
        <w:t>”</w:t>
      </w:r>
      <w:r w:rsidRPr="00247596">
        <w:rPr>
          <w:sz w:val="24"/>
          <w:szCs w:val="24"/>
        </w:rPr>
        <w:t xml:space="preserve"> of shocks</w:t>
      </w:r>
      <w:r w:rsidR="00677783" w:rsidRPr="00247596">
        <w:rPr>
          <w:sz w:val="24"/>
          <w:szCs w:val="24"/>
        </w:rPr>
        <w:t xml:space="preserve">     </w:t>
      </w:r>
    </w:p>
    <w:p w:rsidR="001A7F89" w:rsidRDefault="001A7F89" w:rsidP="002D3882">
      <w:pPr>
        <w:ind w:firstLine="360"/>
        <w:rPr>
          <w:sz w:val="24"/>
          <w:szCs w:val="24"/>
        </w:rPr>
      </w:pPr>
      <w:r w:rsidRPr="002D3882">
        <w:rPr>
          <w:sz w:val="24"/>
          <w:szCs w:val="24"/>
        </w:rPr>
        <w:t>Academic writing uses the term “symmetry</w:t>
      </w:r>
      <w:r w:rsidR="002D3882">
        <w:rPr>
          <w:sz w:val="24"/>
          <w:szCs w:val="24"/>
        </w:rPr>
        <w:t xml:space="preserve"> of shocks</w:t>
      </w:r>
      <w:r w:rsidRPr="002D3882">
        <w:rPr>
          <w:sz w:val="24"/>
          <w:szCs w:val="24"/>
        </w:rPr>
        <w:t xml:space="preserve">” to </w:t>
      </w:r>
      <w:r w:rsidR="00631342">
        <w:rPr>
          <w:sz w:val="24"/>
          <w:szCs w:val="24"/>
        </w:rPr>
        <w:t>refer</w:t>
      </w:r>
      <w:r w:rsidRPr="002D3882">
        <w:rPr>
          <w:sz w:val="24"/>
          <w:szCs w:val="24"/>
        </w:rPr>
        <w:t xml:space="preserve"> to high correlation of cyclical fluctuations between the home country and the country or countries with which a cu</w:t>
      </w:r>
      <w:r w:rsidR="00631342">
        <w:rPr>
          <w:sz w:val="24"/>
          <w:szCs w:val="24"/>
        </w:rPr>
        <w:t xml:space="preserve">rrency union is contemplated.  </w:t>
      </w:r>
      <w:r w:rsidRPr="002D3882">
        <w:rPr>
          <w:sz w:val="24"/>
          <w:szCs w:val="24"/>
        </w:rPr>
        <w:t xml:space="preserve">The condition is important because, if the domestic country is to give up the ability to follow its own monetary policy, it is better if the interest rates chosen by the </w:t>
      </w:r>
      <w:r w:rsidRPr="002D3882">
        <w:rPr>
          <w:sz w:val="24"/>
          <w:szCs w:val="24"/>
        </w:rPr>
        <w:lastRenderedPageBreak/>
        <w:t>monetary union as a whole are more often close to those that the domestic cou</w:t>
      </w:r>
      <w:r w:rsidR="002A04D1">
        <w:rPr>
          <w:sz w:val="24"/>
          <w:szCs w:val="24"/>
        </w:rPr>
        <w:t>ntry would have chosen anyway.</w:t>
      </w:r>
      <w:r w:rsidRPr="002D3882">
        <w:rPr>
          <w:rStyle w:val="FootnoteReference"/>
          <w:sz w:val="24"/>
          <w:szCs w:val="24"/>
        </w:rPr>
        <w:footnoteReference w:id="32"/>
      </w:r>
    </w:p>
    <w:p w:rsidR="00D95209" w:rsidRPr="00C87B45" w:rsidRDefault="004742C2" w:rsidP="00C87B45">
      <w:pPr>
        <w:tabs>
          <w:tab w:val="num" w:pos="720"/>
          <w:tab w:val="num" w:pos="1440"/>
          <w:tab w:val="num" w:pos="2160"/>
        </w:tabs>
        <w:ind w:firstLine="360"/>
        <w:rPr>
          <w:sz w:val="24"/>
          <w:szCs w:val="24"/>
        </w:rPr>
      </w:pPr>
      <w:r>
        <w:rPr>
          <w:sz w:val="24"/>
          <w:szCs w:val="24"/>
        </w:rPr>
        <w:t xml:space="preserve">One interpretation of where European EMU </w:t>
      </w:r>
      <w:r w:rsidR="002A04D1">
        <w:rPr>
          <w:sz w:val="24"/>
          <w:szCs w:val="24"/>
        </w:rPr>
        <w:t>“</w:t>
      </w:r>
      <w:r>
        <w:rPr>
          <w:sz w:val="24"/>
          <w:szCs w:val="24"/>
        </w:rPr>
        <w:t>went wrong</w:t>
      </w:r>
      <w:r w:rsidR="002A04D1">
        <w:rPr>
          <w:sz w:val="24"/>
          <w:szCs w:val="24"/>
        </w:rPr>
        <w:t>”</w:t>
      </w:r>
      <w:r>
        <w:rPr>
          <w:sz w:val="24"/>
          <w:szCs w:val="24"/>
        </w:rPr>
        <w:t xml:space="preserve"> is that it never satisfied th</w:t>
      </w:r>
      <w:r w:rsidR="00DB1C5A">
        <w:rPr>
          <w:sz w:val="24"/>
          <w:szCs w:val="24"/>
        </w:rPr>
        <w:t xml:space="preserve">e symmetry criterion for an </w:t>
      </w:r>
      <w:r>
        <w:rPr>
          <w:sz w:val="24"/>
          <w:szCs w:val="24"/>
        </w:rPr>
        <w:t xml:space="preserve">Optimum Currency Area.  Except </w:t>
      </w:r>
      <w:r w:rsidR="00DE5F71">
        <w:rPr>
          <w:sz w:val="24"/>
          <w:szCs w:val="24"/>
        </w:rPr>
        <w:t>for</w:t>
      </w:r>
      <w:r>
        <w:rPr>
          <w:sz w:val="24"/>
          <w:szCs w:val="24"/>
        </w:rPr>
        <w:t xml:space="preserve"> a narrow core</w:t>
      </w:r>
      <w:r w:rsidR="00DE5F71">
        <w:rPr>
          <w:sz w:val="24"/>
          <w:szCs w:val="24"/>
        </w:rPr>
        <w:t xml:space="preserve"> of countries</w:t>
      </w:r>
      <w:r>
        <w:rPr>
          <w:sz w:val="24"/>
          <w:szCs w:val="24"/>
        </w:rPr>
        <w:t xml:space="preserve">, many European </w:t>
      </w:r>
      <w:r w:rsidR="00DE5F71">
        <w:rPr>
          <w:sz w:val="24"/>
          <w:szCs w:val="24"/>
        </w:rPr>
        <w:t>economie</w:t>
      </w:r>
      <w:r>
        <w:rPr>
          <w:sz w:val="24"/>
          <w:szCs w:val="24"/>
        </w:rPr>
        <w:t>s tend to experience idiosyncratic shocks.  Norway’s economy is so tied to oil, for example, that it never contemplated joining the euro (or even the European Union, for that matter).  But others on the periphery did</w:t>
      </w:r>
      <w:r w:rsidR="00DE5F71">
        <w:rPr>
          <w:sz w:val="24"/>
          <w:szCs w:val="24"/>
        </w:rPr>
        <w:t xml:space="preserve"> join</w:t>
      </w:r>
      <w:r>
        <w:rPr>
          <w:sz w:val="24"/>
          <w:szCs w:val="24"/>
        </w:rPr>
        <w:t xml:space="preserve">.  </w:t>
      </w:r>
      <w:r w:rsidR="00C87B45">
        <w:rPr>
          <w:sz w:val="24"/>
          <w:szCs w:val="24"/>
        </w:rPr>
        <w:t xml:space="preserve"> The macroeconomic consequences for </w:t>
      </w:r>
      <w:r w:rsidR="00C87B45" w:rsidRPr="00C87B45">
        <w:rPr>
          <w:sz w:val="24"/>
          <w:szCs w:val="24"/>
        </w:rPr>
        <w:t>periphery countries</w:t>
      </w:r>
      <w:r w:rsidR="00C87B45">
        <w:rPr>
          <w:sz w:val="24"/>
          <w:szCs w:val="24"/>
        </w:rPr>
        <w:t xml:space="preserve"> </w:t>
      </w:r>
      <w:r w:rsidR="00C87B45" w:rsidRPr="00C87B45">
        <w:rPr>
          <w:sz w:val="24"/>
          <w:szCs w:val="24"/>
        </w:rPr>
        <w:t>of the loss of ability to set their own interest rates</w:t>
      </w:r>
      <w:r w:rsidR="00C87B45">
        <w:rPr>
          <w:sz w:val="24"/>
          <w:szCs w:val="24"/>
        </w:rPr>
        <w:t xml:space="preserve"> became clear not long after the birth of the euro in 1999.  </w:t>
      </w:r>
      <w:r w:rsidR="00C87B45" w:rsidRPr="00C87B45">
        <w:rPr>
          <w:sz w:val="24"/>
          <w:szCs w:val="24"/>
        </w:rPr>
        <w:t xml:space="preserve">In the years 2004-08, their economies needed </w:t>
      </w:r>
      <w:r w:rsidR="00C87B45">
        <w:rPr>
          <w:sz w:val="24"/>
          <w:szCs w:val="24"/>
        </w:rPr>
        <w:t xml:space="preserve">a higher interest rate than the one that was set </w:t>
      </w:r>
      <w:r w:rsidR="00C87B45" w:rsidRPr="00C87B45">
        <w:rPr>
          <w:sz w:val="24"/>
          <w:szCs w:val="24"/>
        </w:rPr>
        <w:t>in Frankfurt.</w:t>
      </w:r>
      <w:r w:rsidR="00C87B45">
        <w:rPr>
          <w:sz w:val="24"/>
          <w:szCs w:val="24"/>
        </w:rPr>
        <w:t xml:space="preserve">  </w:t>
      </w:r>
      <w:r w:rsidR="00A55163">
        <w:rPr>
          <w:sz w:val="24"/>
          <w:szCs w:val="24"/>
        </w:rPr>
        <w:t>For example, Ireland</w:t>
      </w:r>
      <w:r w:rsidR="00A55163" w:rsidRPr="00C87B45">
        <w:rPr>
          <w:sz w:val="24"/>
          <w:szCs w:val="24"/>
        </w:rPr>
        <w:t xml:space="preserve"> </w:t>
      </w:r>
      <w:r w:rsidR="00A55163">
        <w:rPr>
          <w:sz w:val="24"/>
          <w:szCs w:val="24"/>
        </w:rPr>
        <w:t>had an unsustainably strong boom,</w:t>
      </w:r>
      <w:r w:rsidR="00A55163" w:rsidRPr="00C87B45">
        <w:rPr>
          <w:sz w:val="24"/>
          <w:szCs w:val="24"/>
        </w:rPr>
        <w:t xml:space="preserve"> initially based fully on f</w:t>
      </w:r>
      <w:r w:rsidR="00A55163">
        <w:rPr>
          <w:sz w:val="24"/>
          <w:szCs w:val="24"/>
        </w:rPr>
        <w:t xml:space="preserve">undamentals </w:t>
      </w:r>
      <w:r w:rsidR="00A55163" w:rsidRPr="00C87B45">
        <w:rPr>
          <w:sz w:val="24"/>
          <w:szCs w:val="24"/>
        </w:rPr>
        <w:t xml:space="preserve">but then turning </w:t>
      </w:r>
      <w:r w:rsidR="00A55163">
        <w:rPr>
          <w:sz w:val="24"/>
          <w:szCs w:val="24"/>
        </w:rPr>
        <w:t>in</w:t>
      </w:r>
      <w:r w:rsidR="00A55163" w:rsidRPr="00C87B45">
        <w:rPr>
          <w:sz w:val="24"/>
          <w:szCs w:val="24"/>
        </w:rPr>
        <w:t xml:space="preserve">to </w:t>
      </w:r>
      <w:r w:rsidR="00A55163">
        <w:rPr>
          <w:sz w:val="24"/>
          <w:szCs w:val="24"/>
        </w:rPr>
        <w:t xml:space="preserve">a </w:t>
      </w:r>
      <w:r w:rsidR="00A55163" w:rsidRPr="00C87B45">
        <w:rPr>
          <w:sz w:val="24"/>
          <w:szCs w:val="24"/>
        </w:rPr>
        <w:t xml:space="preserve">bubble via </w:t>
      </w:r>
      <w:r w:rsidR="00A55163">
        <w:rPr>
          <w:sz w:val="24"/>
          <w:szCs w:val="24"/>
        </w:rPr>
        <w:t xml:space="preserve">escalating </w:t>
      </w:r>
      <w:r w:rsidR="00A55163" w:rsidRPr="00C87B45">
        <w:rPr>
          <w:sz w:val="24"/>
          <w:szCs w:val="24"/>
        </w:rPr>
        <w:t>bank l</w:t>
      </w:r>
      <w:r w:rsidR="00A55163">
        <w:rPr>
          <w:sz w:val="24"/>
          <w:szCs w:val="24"/>
        </w:rPr>
        <w:t>ending</w:t>
      </w:r>
      <w:r w:rsidR="00A55163" w:rsidRPr="00C87B45">
        <w:rPr>
          <w:sz w:val="24"/>
          <w:szCs w:val="24"/>
        </w:rPr>
        <w:t xml:space="preserve"> </w:t>
      </w:r>
      <w:r w:rsidR="00A55163">
        <w:rPr>
          <w:sz w:val="24"/>
          <w:szCs w:val="24"/>
        </w:rPr>
        <w:t>and soaring housing prices</w:t>
      </w:r>
      <w:r w:rsidR="00A55163" w:rsidRPr="00C87B45">
        <w:rPr>
          <w:sz w:val="24"/>
          <w:szCs w:val="24"/>
        </w:rPr>
        <w:t>.</w:t>
      </w:r>
      <w:r w:rsidR="00A55163">
        <w:rPr>
          <w:sz w:val="24"/>
          <w:szCs w:val="24"/>
        </w:rPr>
        <w:t xml:space="preserve">  </w:t>
      </w:r>
      <w:r w:rsidR="00522E49">
        <w:rPr>
          <w:sz w:val="24"/>
          <w:szCs w:val="24"/>
        </w:rPr>
        <w:t xml:space="preserve">The economy overheated and inflation rose, because there was no longer the possibility of tightening Irish money, raising the interest rate, or revaluing the currency. </w:t>
      </w:r>
      <w:r w:rsidR="00C87B45">
        <w:rPr>
          <w:sz w:val="24"/>
          <w:szCs w:val="24"/>
        </w:rPr>
        <w:t xml:space="preserve">  Then, i</w:t>
      </w:r>
      <w:r w:rsidR="00522E49">
        <w:rPr>
          <w:sz w:val="24"/>
          <w:szCs w:val="24"/>
        </w:rPr>
        <w:t>n the years after 2008, the periphery countries</w:t>
      </w:r>
      <w:r w:rsidR="00C87B45" w:rsidRPr="00C87B45">
        <w:rPr>
          <w:sz w:val="24"/>
          <w:szCs w:val="24"/>
        </w:rPr>
        <w:t xml:space="preserve"> needed </w:t>
      </w:r>
      <w:r w:rsidR="00C87B45">
        <w:rPr>
          <w:sz w:val="24"/>
          <w:szCs w:val="24"/>
        </w:rPr>
        <w:t xml:space="preserve">interest rates </w:t>
      </w:r>
      <w:r w:rsidR="00C87B45" w:rsidRPr="00C87B45">
        <w:rPr>
          <w:sz w:val="24"/>
          <w:szCs w:val="24"/>
        </w:rPr>
        <w:t xml:space="preserve">lower than </w:t>
      </w:r>
      <w:r w:rsidR="00C87B45">
        <w:rPr>
          <w:sz w:val="24"/>
          <w:szCs w:val="24"/>
        </w:rPr>
        <w:t xml:space="preserve">the one that was </w:t>
      </w:r>
      <w:r w:rsidR="00C87B45" w:rsidRPr="00C87B45">
        <w:rPr>
          <w:sz w:val="24"/>
          <w:szCs w:val="24"/>
        </w:rPr>
        <w:t>set in Frankfurt.</w:t>
      </w:r>
      <w:r w:rsidR="00C87B45">
        <w:rPr>
          <w:sz w:val="24"/>
          <w:szCs w:val="24"/>
        </w:rPr>
        <w:t xml:space="preserve">  But, again, they c</w:t>
      </w:r>
      <w:r w:rsidR="00C87B45" w:rsidRPr="00C87B45">
        <w:rPr>
          <w:sz w:val="24"/>
          <w:szCs w:val="24"/>
        </w:rPr>
        <w:t>ouldn’t have it</w:t>
      </w:r>
      <w:r w:rsidR="00C87B45">
        <w:rPr>
          <w:sz w:val="24"/>
          <w:szCs w:val="24"/>
        </w:rPr>
        <w:t xml:space="preserve">.  This exacerbated </w:t>
      </w:r>
      <w:r w:rsidR="00C87B45" w:rsidRPr="00C87B45">
        <w:rPr>
          <w:sz w:val="24"/>
          <w:szCs w:val="24"/>
        </w:rPr>
        <w:t>the rec</w:t>
      </w:r>
      <w:r w:rsidR="00522E49">
        <w:rPr>
          <w:sz w:val="24"/>
          <w:szCs w:val="24"/>
        </w:rPr>
        <w:t xml:space="preserve">essions in </w:t>
      </w:r>
      <w:r w:rsidR="00C87B45">
        <w:rPr>
          <w:sz w:val="24"/>
          <w:szCs w:val="24"/>
        </w:rPr>
        <w:t>Ireland</w:t>
      </w:r>
      <w:r w:rsidR="00522E49">
        <w:rPr>
          <w:sz w:val="24"/>
          <w:szCs w:val="24"/>
        </w:rPr>
        <w:t xml:space="preserve"> and other periphery countries</w:t>
      </w:r>
      <w:r w:rsidR="00C87B45" w:rsidRPr="00C87B45">
        <w:rPr>
          <w:sz w:val="24"/>
          <w:szCs w:val="24"/>
        </w:rPr>
        <w:t xml:space="preserve"> </w:t>
      </w:r>
      <w:r w:rsidR="00C87B45">
        <w:rPr>
          <w:sz w:val="24"/>
          <w:szCs w:val="24"/>
        </w:rPr>
        <w:t xml:space="preserve">during </w:t>
      </w:r>
      <w:r w:rsidR="00C87B45" w:rsidRPr="00C87B45">
        <w:rPr>
          <w:sz w:val="24"/>
          <w:szCs w:val="24"/>
        </w:rPr>
        <w:t>2010-14.</w:t>
      </w:r>
    </w:p>
    <w:p w:rsidR="00247596" w:rsidRPr="00677783" w:rsidRDefault="00247596" w:rsidP="00D95209">
      <w:pPr>
        <w:pStyle w:val="ListParagraph"/>
        <w:ind w:left="792"/>
        <w:rPr>
          <w:sz w:val="24"/>
          <w:szCs w:val="24"/>
        </w:rPr>
      </w:pPr>
    </w:p>
    <w:p w:rsidR="00EC529E" w:rsidRPr="00EC529E" w:rsidRDefault="00EC529E" w:rsidP="00EC529E">
      <w:pPr>
        <w:pStyle w:val="ListParagraph"/>
        <w:numPr>
          <w:ilvl w:val="1"/>
          <w:numId w:val="3"/>
        </w:numPr>
        <w:rPr>
          <w:sz w:val="24"/>
          <w:szCs w:val="24"/>
        </w:rPr>
      </w:pPr>
      <w:r>
        <w:rPr>
          <w:sz w:val="24"/>
          <w:szCs w:val="24"/>
        </w:rPr>
        <w:t>Flexibility of labor and goods markets</w:t>
      </w:r>
    </w:p>
    <w:p w:rsidR="00EC529E" w:rsidRDefault="00EC529E" w:rsidP="00EC529E">
      <w:pPr>
        <w:ind w:firstLine="360"/>
        <w:rPr>
          <w:sz w:val="24"/>
          <w:szCs w:val="24"/>
        </w:rPr>
      </w:pPr>
      <w:r>
        <w:rPr>
          <w:sz w:val="24"/>
          <w:szCs w:val="24"/>
        </w:rPr>
        <w:t xml:space="preserve"> Consider what happens when an asymmetric or idiosyncratic shock hits one country, but a tailored </w:t>
      </w:r>
      <w:r w:rsidRPr="00E4295D">
        <w:rPr>
          <w:sz w:val="24"/>
          <w:szCs w:val="24"/>
        </w:rPr>
        <w:t>monetary respo</w:t>
      </w:r>
      <w:r>
        <w:rPr>
          <w:sz w:val="24"/>
          <w:szCs w:val="24"/>
        </w:rPr>
        <w:t xml:space="preserve">nse </w:t>
      </w:r>
      <w:r w:rsidRPr="00E4295D">
        <w:rPr>
          <w:sz w:val="24"/>
          <w:szCs w:val="24"/>
        </w:rPr>
        <w:t>has been precluded</w:t>
      </w:r>
      <w:r>
        <w:rPr>
          <w:sz w:val="24"/>
          <w:szCs w:val="24"/>
        </w:rPr>
        <w:t xml:space="preserve"> by membership in a currency union. </w:t>
      </w:r>
      <w:r w:rsidR="00522E49">
        <w:rPr>
          <w:sz w:val="24"/>
          <w:szCs w:val="24"/>
        </w:rPr>
        <w:t xml:space="preserve">The likely result will be overheating and inflation, in the case of a positive demand shock, or unemployment and recession in the case of a negative demand shock. </w:t>
      </w:r>
      <w:r>
        <w:rPr>
          <w:sz w:val="24"/>
          <w:szCs w:val="24"/>
        </w:rPr>
        <w:t xml:space="preserve"> The classical mechanism of adjustment is that wages adjust to clear the domestic labor market and prices adjust to clear the goods markets.  It is only</w:t>
      </w:r>
      <w:r w:rsidR="00522E49">
        <w:rPr>
          <w:sz w:val="24"/>
          <w:szCs w:val="24"/>
        </w:rPr>
        <w:t xml:space="preserve"> when a country’s labor and goods markets suffer structural rigidities such as sticky wages and prices or regulations that </w:t>
      </w:r>
      <w:r w:rsidR="00F0741F">
        <w:rPr>
          <w:sz w:val="24"/>
          <w:szCs w:val="24"/>
        </w:rPr>
        <w:t xml:space="preserve">make it difficult for firms to hire and fire workers, </w:t>
      </w:r>
      <w:r w:rsidR="00522E49">
        <w:rPr>
          <w:sz w:val="24"/>
          <w:szCs w:val="24"/>
        </w:rPr>
        <w:t>that there is need for a monetary response</w:t>
      </w:r>
      <w:r w:rsidR="00D2075C">
        <w:rPr>
          <w:sz w:val="24"/>
          <w:szCs w:val="24"/>
        </w:rPr>
        <w:t xml:space="preserve">, </w:t>
      </w:r>
      <w:r w:rsidR="00BE5495">
        <w:rPr>
          <w:sz w:val="24"/>
          <w:szCs w:val="24"/>
        </w:rPr>
        <w:t xml:space="preserve">currency </w:t>
      </w:r>
      <w:r w:rsidR="00D2075C">
        <w:rPr>
          <w:sz w:val="24"/>
          <w:szCs w:val="24"/>
        </w:rPr>
        <w:t>depreciation,</w:t>
      </w:r>
      <w:r w:rsidR="00522E49">
        <w:rPr>
          <w:sz w:val="24"/>
          <w:szCs w:val="24"/>
        </w:rPr>
        <w:t xml:space="preserve"> or alternative means of adjustment.</w:t>
      </w:r>
    </w:p>
    <w:p w:rsidR="00522E49" w:rsidRPr="00FB3334" w:rsidRDefault="00522E49" w:rsidP="0033705D">
      <w:pPr>
        <w:ind w:firstLine="720"/>
        <w:rPr>
          <w:sz w:val="24"/>
          <w:szCs w:val="24"/>
        </w:rPr>
      </w:pPr>
      <w:r>
        <w:rPr>
          <w:sz w:val="24"/>
          <w:szCs w:val="24"/>
        </w:rPr>
        <w:t xml:space="preserve">Thus an economy that is characterized by highly flexible </w:t>
      </w:r>
      <w:r w:rsidR="00F0741F">
        <w:rPr>
          <w:sz w:val="24"/>
          <w:szCs w:val="24"/>
        </w:rPr>
        <w:t xml:space="preserve">labor and goods markets </w:t>
      </w:r>
      <w:r>
        <w:rPr>
          <w:sz w:val="24"/>
          <w:szCs w:val="24"/>
        </w:rPr>
        <w:t xml:space="preserve">has less need of an independent </w:t>
      </w:r>
      <w:r w:rsidR="00423DB4">
        <w:rPr>
          <w:sz w:val="24"/>
          <w:szCs w:val="24"/>
        </w:rPr>
        <w:t>currency</w:t>
      </w:r>
      <w:r>
        <w:rPr>
          <w:sz w:val="24"/>
          <w:szCs w:val="24"/>
        </w:rPr>
        <w:t xml:space="preserve"> policy.</w:t>
      </w:r>
      <w:r w:rsidR="00423DB4">
        <w:rPr>
          <w:rStyle w:val="FootnoteReference"/>
          <w:sz w:val="24"/>
          <w:szCs w:val="24"/>
        </w:rPr>
        <w:footnoteReference w:id="33"/>
      </w:r>
      <w:r>
        <w:rPr>
          <w:sz w:val="24"/>
          <w:szCs w:val="24"/>
        </w:rPr>
        <w:t xml:space="preserve">  Hong Kong is a good example.  An economy </w:t>
      </w:r>
      <w:r>
        <w:rPr>
          <w:sz w:val="24"/>
          <w:szCs w:val="24"/>
        </w:rPr>
        <w:lastRenderedPageBreak/>
        <w:t>with sticky wages and prices or other impediments to adjustment in labor and goods markets</w:t>
      </w:r>
      <w:r w:rsidR="00F0741F">
        <w:rPr>
          <w:sz w:val="24"/>
          <w:szCs w:val="24"/>
        </w:rPr>
        <w:t xml:space="preserve"> has more need of an independent monetary policy.  Greece is probably a good example.</w:t>
      </w:r>
    </w:p>
    <w:p w:rsidR="00EC529E" w:rsidRDefault="00EC529E" w:rsidP="00EC529E">
      <w:pPr>
        <w:pStyle w:val="ListParagraph"/>
        <w:ind w:left="792"/>
        <w:rPr>
          <w:sz w:val="24"/>
          <w:szCs w:val="24"/>
        </w:rPr>
      </w:pPr>
      <w:r>
        <w:rPr>
          <w:sz w:val="24"/>
          <w:szCs w:val="24"/>
        </w:rPr>
        <w:t xml:space="preserve"> </w:t>
      </w:r>
    </w:p>
    <w:p w:rsidR="00E4295D" w:rsidRPr="00E4295D" w:rsidRDefault="00070DC8" w:rsidP="00D95209">
      <w:pPr>
        <w:pStyle w:val="ListParagraph"/>
        <w:numPr>
          <w:ilvl w:val="1"/>
          <w:numId w:val="3"/>
        </w:numPr>
        <w:rPr>
          <w:sz w:val="24"/>
          <w:szCs w:val="24"/>
        </w:rPr>
      </w:pPr>
      <w:r w:rsidRPr="00E4295D">
        <w:rPr>
          <w:sz w:val="24"/>
          <w:szCs w:val="24"/>
        </w:rPr>
        <w:t>Labor mobility</w:t>
      </w:r>
      <w:r w:rsidR="00DE5F71">
        <w:rPr>
          <w:sz w:val="24"/>
          <w:szCs w:val="24"/>
        </w:rPr>
        <w:t xml:space="preserve"> across borders</w:t>
      </w:r>
    </w:p>
    <w:p w:rsidR="002A04D1" w:rsidRDefault="00E4295D" w:rsidP="0033705D">
      <w:pPr>
        <w:ind w:firstLine="720"/>
        <w:rPr>
          <w:sz w:val="24"/>
          <w:szCs w:val="24"/>
        </w:rPr>
      </w:pPr>
      <w:r>
        <w:rPr>
          <w:sz w:val="24"/>
          <w:szCs w:val="24"/>
        </w:rPr>
        <w:t xml:space="preserve">Consider </w:t>
      </w:r>
      <w:r w:rsidR="00EC529E">
        <w:rPr>
          <w:sz w:val="24"/>
          <w:szCs w:val="24"/>
        </w:rPr>
        <w:t xml:space="preserve">again </w:t>
      </w:r>
      <w:r>
        <w:rPr>
          <w:sz w:val="24"/>
          <w:szCs w:val="24"/>
        </w:rPr>
        <w:t>what happens when a</w:t>
      </w:r>
      <w:r w:rsidR="00EC529E">
        <w:rPr>
          <w:sz w:val="24"/>
          <w:szCs w:val="24"/>
        </w:rPr>
        <w:t xml:space="preserve"> </w:t>
      </w:r>
      <w:r>
        <w:rPr>
          <w:sz w:val="24"/>
          <w:szCs w:val="24"/>
        </w:rPr>
        <w:t xml:space="preserve">shock hits </w:t>
      </w:r>
      <w:r w:rsidR="00EC529E">
        <w:rPr>
          <w:sz w:val="24"/>
          <w:szCs w:val="24"/>
        </w:rPr>
        <w:t xml:space="preserve">a </w:t>
      </w:r>
      <w:r>
        <w:rPr>
          <w:sz w:val="24"/>
          <w:szCs w:val="24"/>
        </w:rPr>
        <w:t xml:space="preserve">country, but </w:t>
      </w:r>
      <w:r w:rsidR="00EC529E">
        <w:rPr>
          <w:sz w:val="24"/>
          <w:szCs w:val="24"/>
        </w:rPr>
        <w:t>wages and prices are</w:t>
      </w:r>
      <w:r w:rsidR="00522E49">
        <w:rPr>
          <w:sz w:val="24"/>
          <w:szCs w:val="24"/>
        </w:rPr>
        <w:t xml:space="preserve"> sticky and </w:t>
      </w:r>
      <w:r>
        <w:rPr>
          <w:sz w:val="24"/>
          <w:szCs w:val="24"/>
        </w:rPr>
        <w:t xml:space="preserve">a </w:t>
      </w:r>
      <w:r w:rsidRPr="00E4295D">
        <w:rPr>
          <w:sz w:val="24"/>
          <w:szCs w:val="24"/>
        </w:rPr>
        <w:t>monetary respo</w:t>
      </w:r>
      <w:r>
        <w:rPr>
          <w:sz w:val="24"/>
          <w:szCs w:val="24"/>
        </w:rPr>
        <w:t xml:space="preserve">nse </w:t>
      </w:r>
      <w:r w:rsidRPr="00E4295D">
        <w:rPr>
          <w:sz w:val="24"/>
          <w:szCs w:val="24"/>
        </w:rPr>
        <w:t>has been precluded</w:t>
      </w:r>
      <w:r>
        <w:rPr>
          <w:sz w:val="24"/>
          <w:szCs w:val="24"/>
        </w:rPr>
        <w:t xml:space="preserve"> by a currency union.  In that case i</w:t>
      </w:r>
      <w:r w:rsidRPr="00E4295D">
        <w:rPr>
          <w:sz w:val="24"/>
          <w:szCs w:val="24"/>
        </w:rPr>
        <w:t xml:space="preserve">t is </w:t>
      </w:r>
      <w:r>
        <w:rPr>
          <w:sz w:val="24"/>
          <w:szCs w:val="24"/>
        </w:rPr>
        <w:t xml:space="preserve">especially </w:t>
      </w:r>
      <w:r w:rsidRPr="00E4295D">
        <w:rPr>
          <w:sz w:val="24"/>
          <w:szCs w:val="24"/>
        </w:rPr>
        <w:t xml:space="preserve">useful if workers can move from the high-unemployment </w:t>
      </w:r>
      <w:r>
        <w:rPr>
          <w:sz w:val="24"/>
          <w:szCs w:val="24"/>
        </w:rPr>
        <w:t xml:space="preserve">country </w:t>
      </w:r>
      <w:r w:rsidRPr="00E4295D">
        <w:rPr>
          <w:sz w:val="24"/>
          <w:szCs w:val="24"/>
        </w:rPr>
        <w:t xml:space="preserve">to </w:t>
      </w:r>
      <w:r w:rsidR="00F0741F">
        <w:rPr>
          <w:sz w:val="24"/>
          <w:szCs w:val="24"/>
        </w:rPr>
        <w:t>a</w:t>
      </w:r>
      <w:r w:rsidRPr="00E4295D">
        <w:rPr>
          <w:sz w:val="24"/>
          <w:szCs w:val="24"/>
        </w:rPr>
        <w:t xml:space="preserve"> low-unemployment </w:t>
      </w:r>
      <w:r>
        <w:rPr>
          <w:sz w:val="24"/>
          <w:szCs w:val="24"/>
        </w:rPr>
        <w:t>country</w:t>
      </w:r>
      <w:r w:rsidRPr="00E4295D">
        <w:rPr>
          <w:sz w:val="24"/>
          <w:szCs w:val="24"/>
        </w:rPr>
        <w:t>.</w:t>
      </w:r>
      <w:r w:rsidRPr="00E4295D">
        <w:rPr>
          <w:rStyle w:val="FootnoteReference"/>
          <w:sz w:val="24"/>
          <w:szCs w:val="24"/>
        </w:rPr>
        <w:t xml:space="preserve"> </w:t>
      </w:r>
      <w:r w:rsidR="00F0741F">
        <w:rPr>
          <w:sz w:val="24"/>
          <w:szCs w:val="24"/>
        </w:rPr>
        <w:t xml:space="preserve"> If this avenue of adjustment works well, the separate geographic entities have less need for separate monetary policies.</w:t>
      </w:r>
      <w:r w:rsidR="001A6DBC">
        <w:rPr>
          <w:sz w:val="24"/>
          <w:szCs w:val="24"/>
        </w:rPr>
        <w:t xml:space="preserve"> </w:t>
      </w:r>
      <w:r w:rsidR="00F0741F">
        <w:rPr>
          <w:sz w:val="24"/>
          <w:szCs w:val="24"/>
        </w:rPr>
        <w:t xml:space="preserve"> Labor mobility</w:t>
      </w:r>
      <w:r>
        <w:rPr>
          <w:sz w:val="24"/>
          <w:szCs w:val="24"/>
        </w:rPr>
        <w:t xml:space="preserve"> has historically been</w:t>
      </w:r>
      <w:r w:rsidRPr="00E4295D">
        <w:rPr>
          <w:sz w:val="24"/>
          <w:szCs w:val="24"/>
        </w:rPr>
        <w:t xml:space="preserve"> the primary mechanism of adjustment</w:t>
      </w:r>
      <w:r>
        <w:rPr>
          <w:sz w:val="24"/>
          <w:szCs w:val="24"/>
        </w:rPr>
        <w:t>,</w:t>
      </w:r>
      <w:r w:rsidRPr="00E4295D">
        <w:rPr>
          <w:sz w:val="24"/>
          <w:szCs w:val="24"/>
        </w:rPr>
        <w:t xml:space="preserve"> </w:t>
      </w:r>
      <w:r>
        <w:rPr>
          <w:sz w:val="24"/>
          <w:szCs w:val="24"/>
        </w:rPr>
        <w:t>for example,</w:t>
      </w:r>
      <w:r w:rsidRPr="00E4295D">
        <w:rPr>
          <w:sz w:val="24"/>
          <w:szCs w:val="24"/>
        </w:rPr>
        <w:t xml:space="preserve"> across </w:t>
      </w:r>
      <w:r>
        <w:rPr>
          <w:sz w:val="24"/>
          <w:szCs w:val="24"/>
        </w:rPr>
        <w:t xml:space="preserve">the 50 </w:t>
      </w:r>
      <w:r w:rsidRPr="00E4295D">
        <w:rPr>
          <w:sz w:val="24"/>
          <w:szCs w:val="24"/>
        </w:rPr>
        <w:t>states within the monetary uni</w:t>
      </w:r>
      <w:r w:rsidR="002A04D1">
        <w:rPr>
          <w:sz w:val="24"/>
          <w:szCs w:val="24"/>
        </w:rPr>
        <w:t xml:space="preserve">on which is the United States. </w:t>
      </w:r>
      <w:r w:rsidR="00F0741F">
        <w:rPr>
          <w:sz w:val="24"/>
          <w:szCs w:val="24"/>
        </w:rPr>
        <w:t xml:space="preserve"> This is another reason why the US has traditionally been considered an optimum currency area and the European continent much less so.</w:t>
      </w:r>
    </w:p>
    <w:p w:rsidR="00173761" w:rsidRDefault="00E4295D" w:rsidP="0033705D">
      <w:pPr>
        <w:ind w:firstLine="720"/>
        <w:rPr>
          <w:sz w:val="24"/>
          <w:szCs w:val="24"/>
        </w:rPr>
      </w:pPr>
      <w:r w:rsidRPr="00E4295D">
        <w:rPr>
          <w:sz w:val="24"/>
          <w:szCs w:val="24"/>
        </w:rPr>
        <w:t>Mundell (1961) focused on labor mobility</w:t>
      </w:r>
      <w:r w:rsidR="002A04D1">
        <w:rPr>
          <w:sz w:val="24"/>
          <w:szCs w:val="24"/>
        </w:rPr>
        <w:t xml:space="preserve">.  </w:t>
      </w:r>
      <w:r w:rsidR="002A04D1" w:rsidRPr="002D3882">
        <w:rPr>
          <w:sz w:val="24"/>
          <w:szCs w:val="24"/>
        </w:rPr>
        <w:t xml:space="preserve">Indeed </w:t>
      </w:r>
      <w:r w:rsidR="002A04D1">
        <w:rPr>
          <w:sz w:val="24"/>
          <w:szCs w:val="24"/>
        </w:rPr>
        <w:t>his paper</w:t>
      </w:r>
      <w:r w:rsidR="002A04D1" w:rsidRPr="002D3882">
        <w:rPr>
          <w:sz w:val="24"/>
          <w:szCs w:val="24"/>
        </w:rPr>
        <w:t xml:space="preserve"> </w:t>
      </w:r>
      <w:r w:rsidR="009E3080">
        <w:rPr>
          <w:sz w:val="24"/>
          <w:szCs w:val="24"/>
        </w:rPr>
        <w:t>wa</w:t>
      </w:r>
      <w:r w:rsidR="002A04D1" w:rsidRPr="002D3882">
        <w:rPr>
          <w:sz w:val="24"/>
          <w:szCs w:val="24"/>
        </w:rPr>
        <w:t xml:space="preserve">s the original source of the phrase and concept of the </w:t>
      </w:r>
      <w:r w:rsidR="00F0741F">
        <w:rPr>
          <w:sz w:val="24"/>
          <w:szCs w:val="24"/>
        </w:rPr>
        <w:t>“</w:t>
      </w:r>
      <w:r w:rsidR="002A04D1" w:rsidRPr="002D3882">
        <w:rPr>
          <w:sz w:val="24"/>
          <w:szCs w:val="24"/>
        </w:rPr>
        <w:t>Optimum Currency Area</w:t>
      </w:r>
      <w:r w:rsidR="00F0741F">
        <w:rPr>
          <w:sz w:val="24"/>
          <w:szCs w:val="24"/>
        </w:rPr>
        <w:t>”</w:t>
      </w:r>
      <w:r w:rsidR="002A04D1" w:rsidRPr="002D3882">
        <w:rPr>
          <w:sz w:val="24"/>
          <w:szCs w:val="24"/>
        </w:rPr>
        <w:t xml:space="preserve">, </w:t>
      </w:r>
      <w:r w:rsidR="002A04D1">
        <w:rPr>
          <w:sz w:val="24"/>
          <w:szCs w:val="24"/>
        </w:rPr>
        <w:t>recognizing</w:t>
      </w:r>
      <w:r w:rsidR="002A04D1" w:rsidRPr="002D3882">
        <w:rPr>
          <w:sz w:val="24"/>
          <w:szCs w:val="24"/>
        </w:rPr>
        <w:t xml:space="preserve"> that it might be optimal to draw the geographic borders of a monetary union to encompass more than one country </w:t>
      </w:r>
      <w:r w:rsidR="009E3080">
        <w:rPr>
          <w:sz w:val="24"/>
          <w:szCs w:val="24"/>
        </w:rPr>
        <w:t xml:space="preserve">-- </w:t>
      </w:r>
      <w:r w:rsidR="002A04D1" w:rsidRPr="002D3882">
        <w:rPr>
          <w:sz w:val="24"/>
          <w:szCs w:val="24"/>
        </w:rPr>
        <w:t>or less than one country.</w:t>
      </w:r>
      <w:r w:rsidR="005E6322">
        <w:rPr>
          <w:rStyle w:val="FootnoteReference"/>
          <w:sz w:val="24"/>
          <w:szCs w:val="24"/>
        </w:rPr>
        <w:footnoteReference w:id="34"/>
      </w:r>
    </w:p>
    <w:p w:rsidR="00E4295D" w:rsidRPr="00173761" w:rsidRDefault="00E4295D" w:rsidP="00173761">
      <w:pPr>
        <w:pStyle w:val="ListParagraph"/>
        <w:ind w:left="1224"/>
        <w:rPr>
          <w:sz w:val="24"/>
          <w:szCs w:val="24"/>
        </w:rPr>
      </w:pPr>
    </w:p>
    <w:p w:rsidR="00C269BB" w:rsidRPr="00C269BB" w:rsidRDefault="0036443A" w:rsidP="00C269BB">
      <w:pPr>
        <w:pStyle w:val="ListParagraph"/>
        <w:numPr>
          <w:ilvl w:val="1"/>
          <w:numId w:val="3"/>
        </w:numPr>
        <w:rPr>
          <w:sz w:val="24"/>
          <w:szCs w:val="24"/>
        </w:rPr>
      </w:pPr>
      <w:r w:rsidRPr="00081ABB">
        <w:rPr>
          <w:sz w:val="24"/>
          <w:szCs w:val="24"/>
        </w:rPr>
        <w:t>Emigrants</w:t>
      </w:r>
      <w:r w:rsidR="00020C39">
        <w:rPr>
          <w:sz w:val="24"/>
          <w:szCs w:val="24"/>
        </w:rPr>
        <w:t>’</w:t>
      </w:r>
      <w:r w:rsidRPr="00081ABB">
        <w:rPr>
          <w:sz w:val="24"/>
          <w:szCs w:val="24"/>
        </w:rPr>
        <w:t xml:space="preserve"> remittances</w:t>
      </w:r>
      <w:r w:rsidR="00C269BB">
        <w:rPr>
          <w:sz w:val="24"/>
          <w:szCs w:val="24"/>
        </w:rPr>
        <w:t xml:space="preserve"> </w:t>
      </w:r>
    </w:p>
    <w:p w:rsidR="00FB3334" w:rsidRDefault="00FB3334" w:rsidP="0033705D">
      <w:pPr>
        <w:ind w:firstLine="720"/>
        <w:rPr>
          <w:sz w:val="24"/>
          <w:szCs w:val="24"/>
        </w:rPr>
      </w:pPr>
      <w:r>
        <w:rPr>
          <w:sz w:val="24"/>
          <w:szCs w:val="24"/>
        </w:rPr>
        <w:t xml:space="preserve">Emigrants remittances have been relatively neglected in the study of international macroeconomics in general and currency unions in particular.  Yet in some developing countries they are a very important component of national income and of the balance of payments. </w:t>
      </w:r>
    </w:p>
    <w:p w:rsidR="00E40039" w:rsidRDefault="00FB3334" w:rsidP="00FB3334">
      <w:pPr>
        <w:ind w:firstLine="360"/>
        <w:rPr>
          <w:sz w:val="24"/>
          <w:szCs w:val="24"/>
        </w:rPr>
      </w:pPr>
      <w:r>
        <w:rPr>
          <w:sz w:val="24"/>
          <w:szCs w:val="24"/>
        </w:rPr>
        <w:t xml:space="preserve">  </w:t>
      </w:r>
      <w:r w:rsidR="0033705D">
        <w:rPr>
          <w:sz w:val="24"/>
          <w:szCs w:val="24"/>
        </w:rPr>
        <w:tab/>
      </w:r>
      <w:r w:rsidR="0041193D">
        <w:rPr>
          <w:sz w:val="24"/>
          <w:szCs w:val="24"/>
        </w:rPr>
        <w:t>Remittances tend to be variable.  But there is evidence that they</w:t>
      </w:r>
      <w:r w:rsidR="009A6821">
        <w:rPr>
          <w:sz w:val="24"/>
          <w:szCs w:val="24"/>
        </w:rPr>
        <w:t xml:space="preserve"> also tend to be counter-cyclical.</w:t>
      </w:r>
      <w:r w:rsidR="00732409">
        <w:t xml:space="preserve"> </w:t>
      </w:r>
      <w:r w:rsidR="00117560" w:rsidRPr="00081ABB">
        <w:rPr>
          <w:sz w:val="24"/>
          <w:szCs w:val="24"/>
        </w:rPr>
        <w:t xml:space="preserve">If country </w:t>
      </w:r>
      <w:r w:rsidR="00117560" w:rsidRPr="00081ABB">
        <w:rPr>
          <w:i/>
          <w:iCs/>
          <w:sz w:val="24"/>
          <w:szCs w:val="24"/>
        </w:rPr>
        <w:t>S</w:t>
      </w:r>
      <w:r w:rsidR="00117560" w:rsidRPr="00081ABB">
        <w:rPr>
          <w:sz w:val="24"/>
          <w:szCs w:val="24"/>
        </w:rPr>
        <w:t xml:space="preserve"> has sent immigrants to host country </w:t>
      </w:r>
      <w:r w:rsidR="00117560" w:rsidRPr="00081ABB">
        <w:rPr>
          <w:i/>
          <w:iCs/>
          <w:sz w:val="24"/>
          <w:szCs w:val="24"/>
        </w:rPr>
        <w:t>H</w:t>
      </w:r>
      <w:r w:rsidR="00173761" w:rsidRPr="00081ABB">
        <w:rPr>
          <w:sz w:val="24"/>
          <w:szCs w:val="24"/>
        </w:rPr>
        <w:t xml:space="preserve">, </w:t>
      </w:r>
      <w:r w:rsidR="00117560" w:rsidRPr="00081ABB">
        <w:rPr>
          <w:sz w:val="24"/>
          <w:szCs w:val="24"/>
        </w:rPr>
        <w:t xml:space="preserve">their remittances </w:t>
      </w:r>
      <w:r w:rsidR="0041193D">
        <w:rPr>
          <w:sz w:val="24"/>
          <w:szCs w:val="24"/>
        </w:rPr>
        <w:t xml:space="preserve">back home </w:t>
      </w:r>
      <w:r>
        <w:rPr>
          <w:sz w:val="24"/>
          <w:szCs w:val="24"/>
        </w:rPr>
        <w:t>tend to be</w:t>
      </w:r>
      <w:r w:rsidR="00117560" w:rsidRPr="00081ABB">
        <w:rPr>
          <w:sz w:val="24"/>
          <w:szCs w:val="24"/>
        </w:rPr>
        <w:t xml:space="preserve"> correlated with the differential in growth or employment in </w:t>
      </w:r>
      <w:r w:rsidR="00117560" w:rsidRPr="00081ABB">
        <w:rPr>
          <w:i/>
          <w:iCs/>
          <w:sz w:val="24"/>
          <w:szCs w:val="24"/>
        </w:rPr>
        <w:t>S</w:t>
      </w:r>
      <w:r w:rsidR="00117560" w:rsidRPr="00081ABB">
        <w:rPr>
          <w:sz w:val="24"/>
          <w:szCs w:val="24"/>
        </w:rPr>
        <w:t xml:space="preserve"> versus </w:t>
      </w:r>
      <w:r w:rsidR="00117560" w:rsidRPr="00081ABB">
        <w:rPr>
          <w:i/>
          <w:iCs/>
          <w:sz w:val="24"/>
          <w:szCs w:val="24"/>
        </w:rPr>
        <w:t>H</w:t>
      </w:r>
      <w:r w:rsidR="009352B4" w:rsidRPr="00081ABB">
        <w:rPr>
          <w:sz w:val="24"/>
          <w:szCs w:val="24"/>
        </w:rPr>
        <w:t>.</w:t>
      </w:r>
      <w:r w:rsidR="009352B4" w:rsidRPr="00081ABB">
        <w:rPr>
          <w:rStyle w:val="FootnoteReference"/>
          <w:sz w:val="24"/>
          <w:szCs w:val="24"/>
        </w:rPr>
        <w:footnoteReference w:id="35"/>
      </w:r>
      <w:r w:rsidR="009352B4" w:rsidRPr="00081ABB">
        <w:rPr>
          <w:sz w:val="24"/>
          <w:szCs w:val="24"/>
        </w:rPr>
        <w:t xml:space="preserve"> </w:t>
      </w:r>
      <w:r w:rsidR="00117560" w:rsidRPr="00081ABB">
        <w:rPr>
          <w:sz w:val="24"/>
          <w:szCs w:val="24"/>
        </w:rPr>
        <w:t xml:space="preserve"> This strengthens the case for </w:t>
      </w:r>
      <w:r w:rsidR="00117560" w:rsidRPr="00081ABB">
        <w:rPr>
          <w:i/>
          <w:iCs/>
          <w:sz w:val="24"/>
          <w:szCs w:val="24"/>
        </w:rPr>
        <w:t xml:space="preserve">S </w:t>
      </w:r>
      <w:r w:rsidR="009A6821">
        <w:rPr>
          <w:sz w:val="24"/>
          <w:szCs w:val="24"/>
        </w:rPr>
        <w:t xml:space="preserve">joining a currency union with </w:t>
      </w:r>
      <w:r w:rsidR="00117560" w:rsidRPr="00081ABB">
        <w:rPr>
          <w:i/>
          <w:iCs/>
          <w:sz w:val="24"/>
          <w:szCs w:val="24"/>
        </w:rPr>
        <w:t>H</w:t>
      </w:r>
      <w:r w:rsidR="004267A1">
        <w:rPr>
          <w:sz w:val="24"/>
          <w:szCs w:val="24"/>
        </w:rPr>
        <w:t>.  Why?  Countercyclical remittances help</w:t>
      </w:r>
      <w:r w:rsidR="00117560" w:rsidRPr="00081ABB">
        <w:rPr>
          <w:sz w:val="24"/>
          <w:szCs w:val="24"/>
        </w:rPr>
        <w:t xml:space="preserve"> stabilize the current account </w:t>
      </w:r>
      <w:r w:rsidR="009A6821">
        <w:rPr>
          <w:sz w:val="24"/>
          <w:szCs w:val="24"/>
        </w:rPr>
        <w:t xml:space="preserve">and national income </w:t>
      </w:r>
      <w:r w:rsidR="00117560" w:rsidRPr="00081ABB">
        <w:rPr>
          <w:sz w:val="24"/>
          <w:szCs w:val="24"/>
        </w:rPr>
        <w:t xml:space="preserve">even when </w:t>
      </w:r>
      <w:r w:rsidR="00117560" w:rsidRPr="00081ABB">
        <w:rPr>
          <w:i/>
          <w:iCs/>
          <w:sz w:val="24"/>
          <w:szCs w:val="24"/>
        </w:rPr>
        <w:t>S</w:t>
      </w:r>
      <w:r w:rsidR="00117560" w:rsidRPr="00081ABB">
        <w:rPr>
          <w:sz w:val="24"/>
          <w:szCs w:val="24"/>
        </w:rPr>
        <w:t xml:space="preserve"> has given up ability to devalue.</w:t>
      </w:r>
    </w:p>
    <w:p w:rsidR="00FB3334" w:rsidRPr="00E4295D" w:rsidRDefault="00E40039" w:rsidP="00FB3334">
      <w:pPr>
        <w:ind w:firstLine="360"/>
        <w:rPr>
          <w:sz w:val="24"/>
          <w:szCs w:val="24"/>
        </w:rPr>
      </w:pPr>
      <w:r>
        <w:rPr>
          <w:sz w:val="24"/>
          <w:szCs w:val="24"/>
        </w:rPr>
        <w:lastRenderedPageBreak/>
        <w:tab/>
        <w:t>Countercyclical remittances help stabilize income and the balance of payments not just in the country that has sent the immigrants (S), but in the host country as well (H).   For example, South Africa hosts immigrants from the smaller countries on its borders.  The resulting remittances have the potential to narrow cyclical differences among these countries.</w:t>
      </w:r>
      <w:r>
        <w:rPr>
          <w:rStyle w:val="FootnoteReference"/>
          <w:sz w:val="24"/>
          <w:szCs w:val="24"/>
        </w:rPr>
        <w:footnoteReference w:id="36"/>
      </w:r>
      <w:r w:rsidR="00326099" w:rsidRPr="00173761">
        <w:rPr>
          <w:sz w:val="20"/>
          <w:szCs w:val="20"/>
        </w:rPr>
        <w:br/>
      </w:r>
    </w:p>
    <w:p w:rsidR="00C269BB" w:rsidRPr="00C269BB" w:rsidRDefault="00C8478E" w:rsidP="00C269BB">
      <w:pPr>
        <w:pStyle w:val="ListParagraph"/>
        <w:numPr>
          <w:ilvl w:val="1"/>
          <w:numId w:val="3"/>
        </w:numPr>
        <w:rPr>
          <w:sz w:val="24"/>
          <w:szCs w:val="24"/>
        </w:rPr>
      </w:pPr>
      <w:r w:rsidRPr="00C8478E">
        <w:rPr>
          <w:sz w:val="24"/>
          <w:szCs w:val="24"/>
        </w:rPr>
        <w:t xml:space="preserve">Countercyclical fiscal </w:t>
      </w:r>
      <w:r w:rsidR="00F66BC7">
        <w:rPr>
          <w:sz w:val="24"/>
          <w:szCs w:val="24"/>
        </w:rPr>
        <w:t xml:space="preserve">policy </w:t>
      </w:r>
    </w:p>
    <w:p w:rsidR="00C269BB" w:rsidRDefault="00C269BB" w:rsidP="0033705D">
      <w:pPr>
        <w:ind w:firstLine="720"/>
        <w:rPr>
          <w:sz w:val="24"/>
          <w:szCs w:val="24"/>
        </w:rPr>
      </w:pPr>
      <w:r>
        <w:rPr>
          <w:sz w:val="24"/>
          <w:szCs w:val="24"/>
        </w:rPr>
        <w:t>What happens if a country ha</w:t>
      </w:r>
      <w:r w:rsidRPr="00F66BC7">
        <w:rPr>
          <w:sz w:val="24"/>
          <w:szCs w:val="24"/>
        </w:rPr>
        <w:t xml:space="preserve">s been hit by an adverse shock; has lost the freedom to respond by expanding the money supply, lowering the interest rate, or devaluing; but does not enjoy flexible enough labor markets to adjust in that way?  The negative effects on the economy might </w:t>
      </w:r>
      <w:r>
        <w:rPr>
          <w:sz w:val="24"/>
          <w:szCs w:val="24"/>
        </w:rPr>
        <w:t xml:space="preserve">still </w:t>
      </w:r>
      <w:r w:rsidRPr="00F66BC7">
        <w:rPr>
          <w:sz w:val="24"/>
          <w:szCs w:val="24"/>
        </w:rPr>
        <w:t>be cushioned</w:t>
      </w:r>
      <w:r>
        <w:rPr>
          <w:sz w:val="24"/>
          <w:szCs w:val="24"/>
        </w:rPr>
        <w:t xml:space="preserve"> by inward fiscal transfers.  Thus countries or regions that are parts of some federal sort of fiscal system are better candidates for a currency union than otherwise.</w:t>
      </w:r>
      <w:r>
        <w:rPr>
          <w:rStyle w:val="FootnoteReference"/>
          <w:sz w:val="24"/>
          <w:szCs w:val="24"/>
        </w:rPr>
        <w:footnoteReference w:id="37"/>
      </w:r>
      <w:r w:rsidR="00F0741F">
        <w:rPr>
          <w:sz w:val="24"/>
          <w:szCs w:val="24"/>
        </w:rPr>
        <w:t xml:space="preserve">  But of course there needs to be a degree of political solidarity at the pan-regional level</w:t>
      </w:r>
      <w:r w:rsidR="002654F3">
        <w:rPr>
          <w:sz w:val="24"/>
          <w:szCs w:val="24"/>
        </w:rPr>
        <w:t xml:space="preserve"> to support transfers to negatively impacted regions from the others.</w:t>
      </w:r>
    </w:p>
    <w:p w:rsidR="00C269BB" w:rsidRPr="0033705D" w:rsidRDefault="00C269BB" w:rsidP="0033705D">
      <w:pPr>
        <w:ind w:firstLine="720"/>
        <w:rPr>
          <w:sz w:val="24"/>
          <w:szCs w:val="24"/>
        </w:rPr>
      </w:pPr>
      <w:r w:rsidRPr="0033705D">
        <w:rPr>
          <w:sz w:val="24"/>
          <w:szCs w:val="24"/>
        </w:rPr>
        <w:t>Within the United States, for example, if one region suffers an economic downturn, the federal fiscal system cushions it; one estimate is that for every dollar fall in the income of a stricken state, disposable income falls by only 70 cents.  Such fiscal cushions are mostly absent</w:t>
      </w:r>
      <w:r w:rsidR="002654F3" w:rsidRPr="0033705D">
        <w:rPr>
          <w:sz w:val="24"/>
          <w:szCs w:val="24"/>
        </w:rPr>
        <w:t xml:space="preserve"> at the international level.   </w:t>
      </w:r>
      <w:r w:rsidRPr="0033705D">
        <w:rPr>
          <w:sz w:val="24"/>
          <w:szCs w:val="24"/>
        </w:rPr>
        <w:t xml:space="preserve">Even where </w:t>
      </w:r>
      <w:r w:rsidR="002654F3" w:rsidRPr="0033705D">
        <w:rPr>
          <w:sz w:val="24"/>
          <w:szCs w:val="24"/>
        </w:rPr>
        <w:t xml:space="preserve">fairly </w:t>
      </w:r>
      <w:r w:rsidRPr="0033705D">
        <w:rPr>
          <w:sz w:val="24"/>
          <w:szCs w:val="24"/>
        </w:rPr>
        <w:t>substantial transfers exist, for example “the cohesion funds”</w:t>
      </w:r>
      <w:r w:rsidR="009E3080">
        <w:rPr>
          <w:sz w:val="24"/>
          <w:szCs w:val="24"/>
        </w:rPr>
        <w:t xml:space="preserve"> with</w:t>
      </w:r>
      <w:r w:rsidRPr="0033705D">
        <w:rPr>
          <w:sz w:val="24"/>
          <w:szCs w:val="24"/>
        </w:rPr>
        <w:t xml:space="preserve">in the European Union, they are often </w:t>
      </w:r>
      <w:r w:rsidR="002654F3" w:rsidRPr="0033705D">
        <w:rPr>
          <w:sz w:val="24"/>
          <w:szCs w:val="24"/>
        </w:rPr>
        <w:t>not especially countercyclical and thus do not provide a substitute for national monetary policies.</w:t>
      </w:r>
    </w:p>
    <w:p w:rsidR="00C269BB" w:rsidRPr="0033705D" w:rsidRDefault="00C269BB" w:rsidP="0033705D">
      <w:pPr>
        <w:ind w:firstLine="720"/>
        <w:rPr>
          <w:sz w:val="24"/>
          <w:szCs w:val="24"/>
        </w:rPr>
      </w:pPr>
      <w:r w:rsidRPr="0033705D">
        <w:rPr>
          <w:sz w:val="24"/>
          <w:szCs w:val="24"/>
        </w:rPr>
        <w:t xml:space="preserve">What about domestic fiscal policy?  </w:t>
      </w:r>
      <w:r w:rsidR="00F0741F" w:rsidRPr="0033705D">
        <w:rPr>
          <w:sz w:val="24"/>
          <w:szCs w:val="24"/>
        </w:rPr>
        <w:t>Many economists used to reason that if countries were to give up their independent monetary policy levers, it was all the more important tha</w:t>
      </w:r>
      <w:r w:rsidR="002654F3" w:rsidRPr="0033705D">
        <w:rPr>
          <w:sz w:val="24"/>
          <w:szCs w:val="24"/>
        </w:rPr>
        <w:t>t they be able to retain their independent fiscal policies</w:t>
      </w:r>
      <w:r w:rsidR="0033705D">
        <w:rPr>
          <w:sz w:val="24"/>
          <w:szCs w:val="24"/>
        </w:rPr>
        <w:t xml:space="preserve"> as an alternative instrument of macroeconomic management</w:t>
      </w:r>
      <w:r w:rsidR="002654F3" w:rsidRPr="0033705D">
        <w:rPr>
          <w:sz w:val="24"/>
          <w:szCs w:val="24"/>
        </w:rPr>
        <w:t xml:space="preserve">.  From this perspective, the fiscal criteria in the 1991 Maastricht Treaty </w:t>
      </w:r>
      <w:r w:rsidR="0033705D">
        <w:rPr>
          <w:sz w:val="24"/>
          <w:szCs w:val="24"/>
        </w:rPr>
        <w:t xml:space="preserve">limiting members’ budget deficits and debt levels </w:t>
      </w:r>
      <w:r w:rsidR="002654F3" w:rsidRPr="0033705D">
        <w:rPr>
          <w:sz w:val="24"/>
          <w:szCs w:val="24"/>
        </w:rPr>
        <w:t>were a surprise.</w:t>
      </w:r>
      <w:r w:rsidR="002654F3" w:rsidRPr="0033705D">
        <w:rPr>
          <w:rStyle w:val="FootnoteReference"/>
          <w:sz w:val="24"/>
          <w:szCs w:val="24"/>
        </w:rPr>
        <w:footnoteReference w:id="38"/>
      </w:r>
      <w:r w:rsidR="00F0741F" w:rsidRPr="0033705D">
        <w:rPr>
          <w:sz w:val="24"/>
          <w:szCs w:val="24"/>
        </w:rPr>
        <w:t xml:space="preserve">  </w:t>
      </w:r>
      <w:r w:rsidR="002654F3" w:rsidRPr="0033705D">
        <w:rPr>
          <w:sz w:val="24"/>
          <w:szCs w:val="24"/>
        </w:rPr>
        <w:t xml:space="preserve">But the architects of EMU had accurately diagnosed the problem of moral hazard in national fiscal policy; as it turned out the constraints they placed on national fiscal policy, rather than being excessive, were inadequate to the task.  The lesson seems to be that some countercyclical fiscal policy capacity must be </w:t>
      </w:r>
      <w:r w:rsidR="0033705D">
        <w:rPr>
          <w:sz w:val="24"/>
          <w:szCs w:val="24"/>
        </w:rPr>
        <w:t>moved to the pan-regional level</w:t>
      </w:r>
      <w:r w:rsidR="002654F3" w:rsidRPr="0033705D">
        <w:rPr>
          <w:sz w:val="24"/>
          <w:szCs w:val="24"/>
        </w:rPr>
        <w:t xml:space="preserve"> if a currency union is to run smoothly.</w:t>
      </w:r>
    </w:p>
    <w:p w:rsidR="00770653" w:rsidRPr="00D264D6" w:rsidRDefault="00770653" w:rsidP="00C269BB">
      <w:pPr>
        <w:pStyle w:val="ListParagraph"/>
        <w:numPr>
          <w:ilvl w:val="1"/>
          <w:numId w:val="3"/>
        </w:numPr>
        <w:rPr>
          <w:sz w:val="24"/>
          <w:szCs w:val="24"/>
        </w:rPr>
      </w:pPr>
      <w:r w:rsidRPr="00D264D6">
        <w:rPr>
          <w:sz w:val="24"/>
          <w:szCs w:val="24"/>
        </w:rPr>
        <w:lastRenderedPageBreak/>
        <w:t>Political willingness to give up</w:t>
      </w:r>
      <w:r w:rsidR="0033705D" w:rsidRPr="00D264D6">
        <w:rPr>
          <w:sz w:val="24"/>
          <w:szCs w:val="24"/>
        </w:rPr>
        <w:t xml:space="preserve"> some sovereignty</w:t>
      </w:r>
    </w:p>
    <w:p w:rsidR="00380D70" w:rsidRPr="00D264D6" w:rsidRDefault="00770653" w:rsidP="00D264D6">
      <w:pPr>
        <w:ind w:firstLine="720"/>
        <w:rPr>
          <w:sz w:val="24"/>
          <w:szCs w:val="24"/>
        </w:rPr>
      </w:pPr>
      <w:r w:rsidRPr="00D264D6">
        <w:rPr>
          <w:sz w:val="24"/>
          <w:szCs w:val="24"/>
        </w:rPr>
        <w:t xml:space="preserve">Some countries look on their currency with the same sense of patriotism with which they look on their flag.   It is not a good idea to force </w:t>
      </w:r>
      <w:r w:rsidR="00D264D6" w:rsidRPr="00D264D6">
        <w:rPr>
          <w:sz w:val="24"/>
          <w:szCs w:val="24"/>
        </w:rPr>
        <w:t xml:space="preserve">subordination to the US dollar </w:t>
      </w:r>
      <w:r w:rsidRPr="00D264D6">
        <w:rPr>
          <w:sz w:val="24"/>
          <w:szCs w:val="24"/>
        </w:rPr>
        <w:t>or the eu</w:t>
      </w:r>
      <w:r w:rsidR="00D264D6" w:rsidRPr="00D264D6">
        <w:rPr>
          <w:sz w:val="24"/>
          <w:szCs w:val="24"/>
        </w:rPr>
        <w:t xml:space="preserve">ro or the rand </w:t>
      </w:r>
      <w:r w:rsidRPr="00D264D6">
        <w:rPr>
          <w:sz w:val="24"/>
          <w:szCs w:val="24"/>
        </w:rPr>
        <w:t>down the th</w:t>
      </w:r>
      <w:r w:rsidR="00D264D6" w:rsidRPr="00D264D6">
        <w:rPr>
          <w:sz w:val="24"/>
          <w:szCs w:val="24"/>
        </w:rPr>
        <w:t xml:space="preserve">roats of an unwilling public.  </w:t>
      </w:r>
      <w:r w:rsidRPr="00D264D6">
        <w:rPr>
          <w:sz w:val="24"/>
          <w:szCs w:val="24"/>
        </w:rPr>
        <w:t xml:space="preserve"> Otherwise, in times of economic difficulty, the public is likely to blame </w:t>
      </w:r>
      <w:r w:rsidR="002654F3" w:rsidRPr="00D264D6">
        <w:rPr>
          <w:sz w:val="24"/>
          <w:szCs w:val="24"/>
        </w:rPr>
        <w:t>the monetary union, and th</w:t>
      </w:r>
      <w:r w:rsidR="00D264D6" w:rsidRPr="00D264D6">
        <w:rPr>
          <w:sz w:val="24"/>
          <w:szCs w:val="24"/>
        </w:rPr>
        <w:t xml:space="preserve">e country </w:t>
      </w:r>
      <w:r w:rsidR="002654F3" w:rsidRPr="00D264D6">
        <w:rPr>
          <w:sz w:val="24"/>
          <w:szCs w:val="24"/>
        </w:rPr>
        <w:t>that exercise</w:t>
      </w:r>
      <w:r w:rsidR="00D264D6" w:rsidRPr="00D264D6">
        <w:rPr>
          <w:sz w:val="24"/>
          <w:szCs w:val="24"/>
        </w:rPr>
        <w:t>s</w:t>
      </w:r>
      <w:r w:rsidR="002654F3" w:rsidRPr="00D264D6">
        <w:rPr>
          <w:sz w:val="24"/>
          <w:szCs w:val="24"/>
        </w:rPr>
        <w:t xml:space="preserve"> the most power within it</w:t>
      </w:r>
      <w:r w:rsidR="00AA2431" w:rsidRPr="00D264D6">
        <w:rPr>
          <w:sz w:val="24"/>
          <w:szCs w:val="24"/>
        </w:rPr>
        <w:t>, rather than accepting the need for painful domestic adjustment</w:t>
      </w:r>
      <w:r w:rsidR="002654F3" w:rsidRPr="00D264D6">
        <w:rPr>
          <w:sz w:val="24"/>
          <w:szCs w:val="24"/>
        </w:rPr>
        <w:t xml:space="preserve">.  </w:t>
      </w:r>
      <w:r w:rsidR="00AA2431" w:rsidRPr="00D264D6">
        <w:rPr>
          <w:sz w:val="24"/>
          <w:szCs w:val="24"/>
        </w:rPr>
        <w:t xml:space="preserve">After </w:t>
      </w:r>
      <w:r w:rsidR="002654F3" w:rsidRPr="00D264D6">
        <w:rPr>
          <w:sz w:val="24"/>
          <w:szCs w:val="24"/>
        </w:rPr>
        <w:t xml:space="preserve">the Global Financial Crisis, </w:t>
      </w:r>
      <w:r w:rsidR="00AA2431" w:rsidRPr="00D264D6">
        <w:rPr>
          <w:sz w:val="24"/>
          <w:szCs w:val="24"/>
        </w:rPr>
        <w:t xml:space="preserve">for example, the </w:t>
      </w:r>
      <w:r w:rsidR="00E70A9A" w:rsidRPr="00D264D6">
        <w:rPr>
          <w:sz w:val="24"/>
          <w:szCs w:val="24"/>
        </w:rPr>
        <w:t>Baltic</w:t>
      </w:r>
      <w:r w:rsidR="00AA2431" w:rsidRPr="00D264D6">
        <w:rPr>
          <w:sz w:val="24"/>
          <w:szCs w:val="24"/>
        </w:rPr>
        <w:t xml:space="preserve"> countries showed political willingness to suffer the sharpest recessions in the world, motivated largely by a strong desire to bind </w:t>
      </w:r>
      <w:proofErr w:type="gramStart"/>
      <w:r w:rsidR="00AA2431" w:rsidRPr="00D264D6">
        <w:rPr>
          <w:sz w:val="24"/>
          <w:szCs w:val="24"/>
        </w:rPr>
        <w:t>themselves</w:t>
      </w:r>
      <w:proofErr w:type="gramEnd"/>
      <w:r w:rsidR="00AA2431" w:rsidRPr="00D264D6">
        <w:rPr>
          <w:sz w:val="24"/>
          <w:szCs w:val="24"/>
        </w:rPr>
        <w:t xml:space="preserve"> to Western Europe via the euro.   </w:t>
      </w:r>
      <w:r w:rsidR="00D264D6" w:rsidRPr="00D264D6">
        <w:rPr>
          <w:sz w:val="24"/>
          <w:szCs w:val="24"/>
        </w:rPr>
        <w:t>The Greeks were less enthusiastic.</w:t>
      </w:r>
    </w:p>
    <w:p w:rsidR="00380D70" w:rsidRPr="00D264D6" w:rsidRDefault="00380D70" w:rsidP="00380D70">
      <w:pPr>
        <w:pStyle w:val="ListParagraph"/>
        <w:numPr>
          <w:ilvl w:val="1"/>
          <w:numId w:val="3"/>
        </w:numPr>
        <w:rPr>
          <w:sz w:val="24"/>
          <w:szCs w:val="24"/>
        </w:rPr>
      </w:pPr>
      <w:r w:rsidRPr="00D264D6">
        <w:rPr>
          <w:sz w:val="24"/>
          <w:szCs w:val="24"/>
        </w:rPr>
        <w:t>The endogeneity of the Optimum Currency Area criteria</w:t>
      </w:r>
    </w:p>
    <w:p w:rsidR="00E34DFA" w:rsidRDefault="00380D70" w:rsidP="00E34DFA">
      <w:pPr>
        <w:ind w:firstLine="720"/>
        <w:rPr>
          <w:sz w:val="24"/>
          <w:szCs w:val="24"/>
        </w:rPr>
      </w:pPr>
      <w:r w:rsidRPr="00380D70">
        <w:rPr>
          <w:sz w:val="24"/>
          <w:szCs w:val="24"/>
        </w:rPr>
        <w:t xml:space="preserve">Such </w:t>
      </w:r>
      <w:r w:rsidR="009E3080">
        <w:rPr>
          <w:sz w:val="24"/>
          <w:szCs w:val="24"/>
        </w:rPr>
        <w:t>characteristic</w:t>
      </w:r>
      <w:r w:rsidRPr="00380D70">
        <w:rPr>
          <w:sz w:val="24"/>
          <w:szCs w:val="24"/>
        </w:rPr>
        <w:t>s as openness to trade and cyclical correlations are not eternal unchanging constants.  They can evolve over time, including in response to the formation of a currency union</w:t>
      </w:r>
      <w:r w:rsidR="00574D63">
        <w:rPr>
          <w:sz w:val="24"/>
          <w:szCs w:val="24"/>
        </w:rPr>
        <w:t xml:space="preserve"> itself</w:t>
      </w:r>
      <w:r w:rsidRPr="00380D70">
        <w:rPr>
          <w:sz w:val="24"/>
          <w:szCs w:val="24"/>
        </w:rPr>
        <w:t>.</w:t>
      </w:r>
      <w:r>
        <w:rPr>
          <w:sz w:val="24"/>
          <w:szCs w:val="24"/>
        </w:rPr>
        <w:t xml:space="preserve">  </w:t>
      </w:r>
    </w:p>
    <w:p w:rsidR="00E32824" w:rsidRPr="00E34DFA" w:rsidRDefault="00380D70" w:rsidP="00E34DFA">
      <w:pPr>
        <w:ind w:firstLine="720"/>
        <w:rPr>
          <w:sz w:val="24"/>
          <w:szCs w:val="24"/>
        </w:rPr>
      </w:pPr>
      <w:r>
        <w:rPr>
          <w:sz w:val="24"/>
          <w:szCs w:val="24"/>
        </w:rPr>
        <w:t xml:space="preserve">Frankel and Rose (1998) pointed out the endogeneity of Optimum Currency Area criteria, particularly </w:t>
      </w:r>
      <w:r w:rsidR="00E32824">
        <w:rPr>
          <w:sz w:val="24"/>
          <w:szCs w:val="24"/>
        </w:rPr>
        <w:t>the endogeneity</w:t>
      </w:r>
      <w:r w:rsidR="00E32980">
        <w:rPr>
          <w:sz w:val="24"/>
          <w:szCs w:val="24"/>
        </w:rPr>
        <w:t xml:space="preserve"> of two parameters, </w:t>
      </w:r>
      <w:r>
        <w:rPr>
          <w:sz w:val="24"/>
          <w:szCs w:val="24"/>
        </w:rPr>
        <w:t xml:space="preserve">the </w:t>
      </w:r>
      <w:r w:rsidR="00E32824">
        <w:rPr>
          <w:sz w:val="24"/>
          <w:szCs w:val="24"/>
        </w:rPr>
        <w:t xml:space="preserve">intensity </w:t>
      </w:r>
      <w:r>
        <w:rPr>
          <w:sz w:val="24"/>
          <w:szCs w:val="24"/>
        </w:rPr>
        <w:t xml:space="preserve">of intra-regional trade </w:t>
      </w:r>
      <w:r w:rsidR="005765CA">
        <w:rPr>
          <w:sz w:val="24"/>
          <w:szCs w:val="24"/>
        </w:rPr>
        <w:t xml:space="preserve">(criterion 6.5) </w:t>
      </w:r>
      <w:r>
        <w:rPr>
          <w:sz w:val="24"/>
          <w:szCs w:val="24"/>
        </w:rPr>
        <w:t xml:space="preserve">and </w:t>
      </w:r>
      <w:r w:rsidR="00E32824">
        <w:rPr>
          <w:sz w:val="24"/>
          <w:szCs w:val="24"/>
        </w:rPr>
        <w:t xml:space="preserve">the </w:t>
      </w:r>
      <w:r>
        <w:rPr>
          <w:sz w:val="24"/>
          <w:szCs w:val="24"/>
        </w:rPr>
        <w:t>intra-regional correlation of shocks</w:t>
      </w:r>
      <w:r w:rsidR="005765CA">
        <w:rPr>
          <w:sz w:val="24"/>
          <w:szCs w:val="24"/>
        </w:rPr>
        <w:t xml:space="preserve"> (criterion 6.6)</w:t>
      </w:r>
      <w:r w:rsidR="00E32980">
        <w:rPr>
          <w:sz w:val="24"/>
          <w:szCs w:val="24"/>
        </w:rPr>
        <w:t>, with respect to the decision to enter a currency area</w:t>
      </w:r>
      <w:r>
        <w:rPr>
          <w:sz w:val="24"/>
          <w:szCs w:val="24"/>
        </w:rPr>
        <w:t>.  More specifically, they found that when a currency union promoted trade among members (as in Rose, 2000), the</w:t>
      </w:r>
      <w:r w:rsidR="005765CA">
        <w:rPr>
          <w:sz w:val="24"/>
          <w:szCs w:val="24"/>
        </w:rPr>
        <w:t xml:space="preserve">re usually followed </w:t>
      </w:r>
      <w:r>
        <w:rPr>
          <w:sz w:val="24"/>
          <w:szCs w:val="24"/>
        </w:rPr>
        <w:t xml:space="preserve">an increase in the correlation of </w:t>
      </w:r>
      <w:r w:rsidRPr="00E32824">
        <w:rPr>
          <w:sz w:val="24"/>
          <w:szCs w:val="24"/>
        </w:rPr>
        <w:t xml:space="preserve">shocks across members.  Thus a group of countries might satisfy </w:t>
      </w:r>
      <w:r w:rsidR="006E5831">
        <w:rPr>
          <w:sz w:val="24"/>
          <w:szCs w:val="24"/>
        </w:rPr>
        <w:t xml:space="preserve">these two </w:t>
      </w:r>
      <w:r w:rsidRPr="00E32824">
        <w:rPr>
          <w:sz w:val="24"/>
          <w:szCs w:val="24"/>
        </w:rPr>
        <w:t>criteria twenty years after forming a currency union, even if they did not satisfy them before forming the union.</w:t>
      </w:r>
      <w:r w:rsidR="00E32824" w:rsidRPr="00E32824">
        <w:rPr>
          <w:sz w:val="24"/>
          <w:szCs w:val="24"/>
        </w:rPr>
        <w:t xml:space="preserve"> </w:t>
      </w:r>
      <w:hyperlink r:id="rId9" w:anchor="!" w:history="1">
        <w:r w:rsidRPr="00E32824">
          <w:rPr>
            <w:rStyle w:val="text"/>
            <w:rFonts w:cs="Arial"/>
            <w:sz w:val="24"/>
            <w:szCs w:val="24"/>
          </w:rPr>
          <w:t xml:space="preserve">Calderón and </w:t>
        </w:r>
      </w:hyperlink>
      <w:hyperlink r:id="rId10" w:anchor="!" w:history="1">
        <w:r w:rsidRPr="00E32824">
          <w:rPr>
            <w:rStyle w:val="text"/>
            <w:rFonts w:cs="Arial"/>
            <w:sz w:val="24"/>
            <w:szCs w:val="24"/>
          </w:rPr>
          <w:t xml:space="preserve">Chong </w:t>
        </w:r>
        <w:r w:rsidR="00E32824" w:rsidRPr="00E32824">
          <w:rPr>
            <w:rStyle w:val="text"/>
            <w:rFonts w:cs="Arial"/>
            <w:sz w:val="24"/>
            <w:szCs w:val="24"/>
          </w:rPr>
          <w:t>(</w:t>
        </w:r>
        <w:r w:rsidRPr="00E32824">
          <w:rPr>
            <w:rStyle w:val="text"/>
            <w:rFonts w:cs="Arial"/>
            <w:sz w:val="24"/>
            <w:szCs w:val="24"/>
          </w:rPr>
          <w:t>2007</w:t>
        </w:r>
        <w:r w:rsidR="00E32824" w:rsidRPr="00E32824">
          <w:rPr>
            <w:rStyle w:val="text"/>
            <w:rFonts w:cs="Arial"/>
            <w:sz w:val="24"/>
            <w:szCs w:val="24"/>
          </w:rPr>
          <w:t>)</w:t>
        </w:r>
        <w:r w:rsidRPr="00380D70">
          <w:rPr>
            <w:rStyle w:val="text"/>
            <w:rFonts w:ascii="Arial" w:hAnsi="Arial" w:cs="Arial"/>
            <w:sz w:val="20"/>
            <w:szCs w:val="20"/>
          </w:rPr>
          <w:t xml:space="preserve"> </w:t>
        </w:r>
      </w:hyperlink>
      <w:r w:rsidR="00E32824" w:rsidRPr="00E32824">
        <w:rPr>
          <w:rFonts w:cs="Arial"/>
          <w:sz w:val="24"/>
          <w:szCs w:val="24"/>
        </w:rPr>
        <w:t xml:space="preserve">also found a significant effect on </w:t>
      </w:r>
      <w:r w:rsidR="00E32824" w:rsidRPr="00E32824">
        <w:rPr>
          <w:rFonts w:cs="Arial"/>
          <w:color w:val="505050"/>
          <w:sz w:val="24"/>
          <w:szCs w:val="24"/>
        </w:rPr>
        <w:t>cyclical</w:t>
      </w:r>
      <w:r w:rsidR="00E32824" w:rsidRPr="00E32824">
        <w:rPr>
          <w:rFonts w:cs="Arial"/>
          <w:b/>
          <w:color w:val="505050"/>
          <w:sz w:val="24"/>
          <w:szCs w:val="24"/>
        </w:rPr>
        <w:t xml:space="preserve"> </w:t>
      </w:r>
      <w:r w:rsidR="00E32824" w:rsidRPr="00E32824">
        <w:rPr>
          <w:rFonts w:cs="Arial"/>
          <w:sz w:val="24"/>
          <w:szCs w:val="24"/>
        </w:rPr>
        <w:t>correlation among developing countries, even though it was not quite as strong as among advanced countries</w:t>
      </w:r>
      <w:r w:rsidR="00E34DFA">
        <w:rPr>
          <w:rFonts w:cs="Arial"/>
          <w:sz w:val="24"/>
          <w:szCs w:val="24"/>
        </w:rPr>
        <w:t>.  The research that allows for the endogeneity of the criteria has been labelled the “new” theory of Optimum Currency Areas</w:t>
      </w:r>
      <w:r w:rsidR="00E32824" w:rsidRPr="00E32824">
        <w:rPr>
          <w:rFonts w:cs="Arial"/>
          <w:sz w:val="24"/>
          <w:szCs w:val="24"/>
        </w:rPr>
        <w:t>.</w:t>
      </w:r>
      <w:r w:rsidR="00E32824">
        <w:rPr>
          <w:rFonts w:ascii="Arial" w:hAnsi="Arial" w:cs="Arial"/>
          <w:color w:val="505050"/>
          <w:sz w:val="20"/>
          <w:szCs w:val="20"/>
        </w:rPr>
        <w:t xml:space="preserve"> </w:t>
      </w:r>
      <w:r w:rsidR="00E34DFA">
        <w:rPr>
          <w:rStyle w:val="FootnoteReference"/>
          <w:rFonts w:ascii="Arial" w:hAnsi="Arial" w:cs="Arial"/>
          <w:color w:val="505050"/>
          <w:sz w:val="20"/>
          <w:szCs w:val="20"/>
        </w:rPr>
        <w:footnoteReference w:id="39"/>
      </w:r>
    </w:p>
    <w:p w:rsidR="00770653" w:rsidRDefault="00E32824" w:rsidP="00D264D6">
      <w:pPr>
        <w:ind w:firstLine="720"/>
        <w:rPr>
          <w:sz w:val="24"/>
          <w:szCs w:val="24"/>
        </w:rPr>
      </w:pPr>
      <w:r>
        <w:rPr>
          <w:sz w:val="24"/>
          <w:szCs w:val="24"/>
        </w:rPr>
        <w:t xml:space="preserve">Some have hypothesized that </w:t>
      </w:r>
      <w:r w:rsidR="006E5831">
        <w:rPr>
          <w:sz w:val="24"/>
          <w:szCs w:val="24"/>
        </w:rPr>
        <w:t xml:space="preserve">other parameters, particularly </w:t>
      </w:r>
      <w:r>
        <w:rPr>
          <w:sz w:val="24"/>
          <w:szCs w:val="24"/>
        </w:rPr>
        <w:t>labor mobility and flexibility of labor and goods markets</w:t>
      </w:r>
      <w:r w:rsidR="006E5831">
        <w:rPr>
          <w:sz w:val="24"/>
          <w:szCs w:val="24"/>
        </w:rPr>
        <w:t>,</w:t>
      </w:r>
      <w:r>
        <w:rPr>
          <w:sz w:val="24"/>
          <w:szCs w:val="24"/>
        </w:rPr>
        <w:t xml:space="preserve"> might also be endogenous with respect to the decision to form a currency area.  Labor mobility did go up among the euro members for example.  </w:t>
      </w:r>
      <w:proofErr w:type="gramStart"/>
      <w:r w:rsidR="00343D93">
        <w:rPr>
          <w:sz w:val="24"/>
          <w:szCs w:val="24"/>
        </w:rPr>
        <w:t xml:space="preserve">But hopes that the loss of the monetary policy tool would force </w:t>
      </w:r>
      <w:r w:rsidR="006E5831">
        <w:rPr>
          <w:sz w:val="24"/>
          <w:szCs w:val="24"/>
        </w:rPr>
        <w:t xml:space="preserve">all </w:t>
      </w:r>
      <w:r w:rsidR="00343D93">
        <w:rPr>
          <w:sz w:val="24"/>
          <w:szCs w:val="24"/>
        </w:rPr>
        <w:t xml:space="preserve">member countries to reform their labor and goods markets proved unrealistic, at least until the extreme circumstances of </w:t>
      </w:r>
      <w:r w:rsidR="00CF4663">
        <w:rPr>
          <w:sz w:val="24"/>
          <w:szCs w:val="24"/>
        </w:rPr>
        <w:t xml:space="preserve">the aftermath of </w:t>
      </w:r>
      <w:r w:rsidR="00343D93">
        <w:rPr>
          <w:sz w:val="24"/>
          <w:szCs w:val="24"/>
        </w:rPr>
        <w:t>the 2010 crisis in the euro periphery.</w:t>
      </w:r>
      <w:proofErr w:type="gramEnd"/>
      <w:r w:rsidR="00770653" w:rsidRPr="00380D70">
        <w:rPr>
          <w:sz w:val="24"/>
          <w:szCs w:val="24"/>
        </w:rPr>
        <w:br/>
      </w:r>
    </w:p>
    <w:p w:rsidR="00E34DFA" w:rsidRPr="00380D70" w:rsidRDefault="00E34DFA" w:rsidP="00D264D6">
      <w:pPr>
        <w:ind w:firstLine="720"/>
        <w:rPr>
          <w:sz w:val="24"/>
          <w:szCs w:val="24"/>
        </w:rPr>
      </w:pPr>
    </w:p>
    <w:p w:rsidR="00C8478E" w:rsidRPr="00770653" w:rsidRDefault="00770653" w:rsidP="00770653">
      <w:pPr>
        <w:pStyle w:val="ListParagraph"/>
        <w:numPr>
          <w:ilvl w:val="0"/>
          <w:numId w:val="3"/>
        </w:numPr>
        <w:rPr>
          <w:sz w:val="24"/>
          <w:szCs w:val="24"/>
        </w:rPr>
      </w:pPr>
      <w:r>
        <w:rPr>
          <w:sz w:val="24"/>
          <w:szCs w:val="24"/>
        </w:rPr>
        <w:lastRenderedPageBreak/>
        <w:t>Con</w:t>
      </w:r>
      <w:bookmarkStart w:id="0" w:name="_GoBack"/>
      <w:bookmarkEnd w:id="0"/>
      <w:r>
        <w:rPr>
          <w:sz w:val="24"/>
          <w:szCs w:val="24"/>
        </w:rPr>
        <w:t>cluding note</w:t>
      </w:r>
    </w:p>
    <w:p w:rsidR="00555D03" w:rsidRDefault="00C8478E" w:rsidP="0010483B">
      <w:pPr>
        <w:ind w:firstLine="720"/>
        <w:rPr>
          <w:sz w:val="18"/>
          <w:szCs w:val="18"/>
        </w:rPr>
      </w:pPr>
      <w:r w:rsidRPr="00555D03">
        <w:rPr>
          <w:sz w:val="24"/>
          <w:szCs w:val="24"/>
        </w:rPr>
        <w:t xml:space="preserve">This memo has aimed, comprehensively but succinctly, to review the pros and cons for a generic developing country considering giving up its own independent currency and </w:t>
      </w:r>
      <w:r w:rsidR="00BC1D46">
        <w:rPr>
          <w:sz w:val="24"/>
          <w:szCs w:val="24"/>
        </w:rPr>
        <w:t xml:space="preserve">to </w:t>
      </w:r>
      <w:r w:rsidRPr="00555D03">
        <w:rPr>
          <w:sz w:val="24"/>
          <w:szCs w:val="24"/>
        </w:rPr>
        <w:t xml:space="preserve">list </w:t>
      </w:r>
      <w:r w:rsidR="00BC1D46">
        <w:rPr>
          <w:sz w:val="24"/>
          <w:szCs w:val="24"/>
        </w:rPr>
        <w:t>the</w:t>
      </w:r>
      <w:r w:rsidRPr="00555D03">
        <w:rPr>
          <w:sz w:val="24"/>
          <w:szCs w:val="24"/>
        </w:rPr>
        <w:t xml:space="preserve"> country characteristics that s</w:t>
      </w:r>
      <w:r w:rsidR="002E73AC">
        <w:rPr>
          <w:sz w:val="24"/>
          <w:szCs w:val="24"/>
        </w:rPr>
        <w:t xml:space="preserve">hould influence that decision. </w:t>
      </w:r>
      <w:r w:rsidR="00555D03" w:rsidRPr="00555D03">
        <w:rPr>
          <w:sz w:val="24"/>
          <w:szCs w:val="24"/>
        </w:rPr>
        <w:t xml:space="preserve"> To recapitulate, </w:t>
      </w:r>
      <w:r w:rsidR="00555D03">
        <w:rPr>
          <w:sz w:val="24"/>
          <w:szCs w:val="24"/>
        </w:rPr>
        <w:t>a country is</w:t>
      </w:r>
      <w:r w:rsidR="00555D03" w:rsidRPr="00555D03">
        <w:rPr>
          <w:sz w:val="24"/>
          <w:szCs w:val="24"/>
        </w:rPr>
        <w:t xml:space="preserve"> better suited to join a currency union </w:t>
      </w:r>
      <w:r w:rsidR="00555D03">
        <w:rPr>
          <w:sz w:val="24"/>
          <w:szCs w:val="24"/>
        </w:rPr>
        <w:t xml:space="preserve">if it: </w:t>
      </w:r>
      <w:r w:rsidR="00555D03" w:rsidRPr="00D9194C">
        <w:rPr>
          <w:sz w:val="24"/>
          <w:szCs w:val="24"/>
        </w:rPr>
        <w:t>has a need to import monetary stability</w:t>
      </w:r>
      <w:r w:rsidR="00815FBF">
        <w:rPr>
          <w:sz w:val="24"/>
          <w:szCs w:val="24"/>
        </w:rPr>
        <w:t>, experiences demand</w:t>
      </w:r>
      <w:r w:rsidR="00555D03" w:rsidRPr="00D9194C">
        <w:rPr>
          <w:sz w:val="24"/>
          <w:szCs w:val="24"/>
        </w:rPr>
        <w:t xml:space="preserve"> shocks more than </w:t>
      </w:r>
      <w:r w:rsidR="00815FBF">
        <w:rPr>
          <w:sz w:val="24"/>
          <w:szCs w:val="24"/>
        </w:rPr>
        <w:t>supply</w:t>
      </w:r>
      <w:r w:rsidR="00555D03" w:rsidRPr="00D9194C">
        <w:rPr>
          <w:sz w:val="24"/>
          <w:szCs w:val="24"/>
        </w:rPr>
        <w:t xml:space="preserve"> shocks</w:t>
      </w:r>
      <w:r w:rsidR="00815FBF">
        <w:rPr>
          <w:sz w:val="24"/>
          <w:szCs w:val="24"/>
        </w:rPr>
        <w:t xml:space="preserve"> or trade shocks</w:t>
      </w:r>
      <w:r w:rsidR="00555D03" w:rsidRPr="00D9194C">
        <w:rPr>
          <w:sz w:val="24"/>
          <w:szCs w:val="24"/>
        </w:rPr>
        <w:t>, is less devel</w:t>
      </w:r>
      <w:r w:rsidR="00C4250E">
        <w:rPr>
          <w:sz w:val="24"/>
          <w:szCs w:val="24"/>
        </w:rPr>
        <w:t xml:space="preserve">oped financially, is small and dependent on </w:t>
      </w:r>
      <w:r w:rsidR="00555D03" w:rsidRPr="00D9194C">
        <w:rPr>
          <w:sz w:val="24"/>
          <w:szCs w:val="24"/>
        </w:rPr>
        <w:t>trade, tends to experience shocks that are highly correlated with those of its prospective monetary partners, has flexib</w:t>
      </w:r>
      <w:r w:rsidR="002E73AC">
        <w:rPr>
          <w:sz w:val="24"/>
          <w:szCs w:val="24"/>
        </w:rPr>
        <w:t>le</w:t>
      </w:r>
      <w:r w:rsidR="00555D03" w:rsidRPr="00D9194C">
        <w:rPr>
          <w:sz w:val="24"/>
          <w:szCs w:val="24"/>
        </w:rPr>
        <w:t xml:space="preserve"> labor and goods markets, enjoys high labor mobility across its  borders, receives (or sends) emigrants’ remittances</w:t>
      </w:r>
      <w:r w:rsidR="00D9194C" w:rsidRPr="00D9194C">
        <w:rPr>
          <w:sz w:val="24"/>
          <w:szCs w:val="24"/>
        </w:rPr>
        <w:t>, enjoys countercyclical fiscal transfers from outside, and is p</w:t>
      </w:r>
      <w:r w:rsidR="00555D03" w:rsidRPr="00D9194C">
        <w:rPr>
          <w:sz w:val="24"/>
          <w:szCs w:val="24"/>
        </w:rPr>
        <w:t>olitical</w:t>
      </w:r>
      <w:r w:rsidR="00D9194C" w:rsidRPr="00D9194C">
        <w:rPr>
          <w:sz w:val="24"/>
          <w:szCs w:val="24"/>
        </w:rPr>
        <w:t>ly willing</w:t>
      </w:r>
      <w:r w:rsidR="00555D03" w:rsidRPr="00D9194C">
        <w:rPr>
          <w:sz w:val="24"/>
          <w:szCs w:val="24"/>
        </w:rPr>
        <w:t xml:space="preserve"> to give up some sovereignty</w:t>
      </w:r>
      <w:r w:rsidR="00D9194C" w:rsidRPr="00D9194C">
        <w:rPr>
          <w:sz w:val="24"/>
          <w:szCs w:val="24"/>
        </w:rPr>
        <w:t>.</w:t>
      </w:r>
    </w:p>
    <w:p w:rsidR="00E71EEE" w:rsidRDefault="00C8478E" w:rsidP="0010483B">
      <w:pPr>
        <w:ind w:firstLine="720"/>
        <w:rPr>
          <w:sz w:val="24"/>
          <w:szCs w:val="24"/>
        </w:rPr>
      </w:pPr>
      <w:r>
        <w:rPr>
          <w:sz w:val="24"/>
          <w:szCs w:val="24"/>
        </w:rPr>
        <w:t xml:space="preserve">Future memos will </w:t>
      </w:r>
      <w:r w:rsidR="0033218C">
        <w:rPr>
          <w:sz w:val="24"/>
          <w:szCs w:val="24"/>
        </w:rPr>
        <w:t>apply these ideas</w:t>
      </w:r>
      <w:r>
        <w:rPr>
          <w:sz w:val="24"/>
          <w:szCs w:val="24"/>
        </w:rPr>
        <w:t xml:space="preserve"> specifically </w:t>
      </w:r>
      <w:r w:rsidR="00BC1D46">
        <w:rPr>
          <w:sz w:val="24"/>
          <w:szCs w:val="24"/>
        </w:rPr>
        <w:t>to</w:t>
      </w:r>
      <w:r>
        <w:rPr>
          <w:sz w:val="24"/>
          <w:szCs w:val="24"/>
        </w:rPr>
        <w:t xml:space="preserve"> the actual and proposed monetary unions of Africa, particularly</w:t>
      </w:r>
      <w:r w:rsidR="000A110C">
        <w:rPr>
          <w:sz w:val="24"/>
          <w:szCs w:val="24"/>
        </w:rPr>
        <w:t xml:space="preserve"> the </w:t>
      </w:r>
      <w:r w:rsidR="00770653">
        <w:rPr>
          <w:sz w:val="24"/>
          <w:szCs w:val="24"/>
        </w:rPr>
        <w:t>(</w:t>
      </w:r>
      <w:r w:rsidR="000A110C">
        <w:rPr>
          <w:sz w:val="24"/>
          <w:szCs w:val="24"/>
        </w:rPr>
        <w:t>actual</w:t>
      </w:r>
      <w:r w:rsidR="00770653">
        <w:rPr>
          <w:sz w:val="24"/>
          <w:szCs w:val="24"/>
        </w:rPr>
        <w:t>)</w:t>
      </w:r>
      <w:r w:rsidR="000A110C">
        <w:rPr>
          <w:sz w:val="24"/>
          <w:szCs w:val="24"/>
        </w:rPr>
        <w:t xml:space="preserve"> CFA franc zone and the </w:t>
      </w:r>
      <w:r w:rsidR="00770653">
        <w:rPr>
          <w:sz w:val="24"/>
          <w:szCs w:val="24"/>
        </w:rPr>
        <w:t>(</w:t>
      </w:r>
      <w:r w:rsidR="000A110C">
        <w:rPr>
          <w:sz w:val="24"/>
          <w:szCs w:val="24"/>
        </w:rPr>
        <w:t>proposed</w:t>
      </w:r>
      <w:r w:rsidR="00770653">
        <w:rPr>
          <w:sz w:val="24"/>
          <w:szCs w:val="24"/>
        </w:rPr>
        <w:t>)</w:t>
      </w:r>
      <w:r w:rsidR="000A110C">
        <w:rPr>
          <w:sz w:val="24"/>
          <w:szCs w:val="24"/>
        </w:rPr>
        <w:t xml:space="preserve"> currency union among the ECOWAS countries.  </w:t>
      </w:r>
      <w:r w:rsidR="004637A9">
        <w:rPr>
          <w:sz w:val="24"/>
          <w:szCs w:val="24"/>
        </w:rPr>
        <w:t xml:space="preserve">The jumping-off point </w:t>
      </w:r>
      <w:r w:rsidR="00E71EEE">
        <w:rPr>
          <w:sz w:val="24"/>
          <w:szCs w:val="24"/>
        </w:rPr>
        <w:t>will be the relatively low level of trade</w:t>
      </w:r>
      <w:r w:rsidR="00343D93">
        <w:rPr>
          <w:sz w:val="24"/>
          <w:szCs w:val="24"/>
        </w:rPr>
        <w:t xml:space="preserve"> in Africa</w:t>
      </w:r>
      <w:r w:rsidR="004637A9">
        <w:rPr>
          <w:sz w:val="24"/>
          <w:szCs w:val="24"/>
        </w:rPr>
        <w:t>,</w:t>
      </w:r>
      <w:r w:rsidR="00343D93">
        <w:rPr>
          <w:sz w:val="24"/>
          <w:szCs w:val="24"/>
        </w:rPr>
        <w:t xml:space="preserve"> both intra-regional</w:t>
      </w:r>
      <w:r w:rsidR="00E71EEE">
        <w:rPr>
          <w:sz w:val="24"/>
          <w:szCs w:val="24"/>
        </w:rPr>
        <w:t>ly and more generally.  One motivation for expanding currency areas in Africa, as for free trade areas, is to promote trade and thereby promote economic growth.</w:t>
      </w:r>
      <w:r>
        <w:rPr>
          <w:sz w:val="24"/>
          <w:szCs w:val="24"/>
        </w:rPr>
        <w:t xml:space="preserve">  </w:t>
      </w:r>
    </w:p>
    <w:p w:rsidR="00E71EEE" w:rsidRDefault="00574D63" w:rsidP="00C8478E">
      <w:pPr>
        <w:ind w:firstLine="360"/>
        <w:rPr>
          <w:sz w:val="24"/>
          <w:szCs w:val="24"/>
        </w:rPr>
      </w:pPr>
      <w:r>
        <w:rPr>
          <w:sz w:val="24"/>
          <w:szCs w:val="24"/>
        </w:rPr>
        <w:t xml:space="preserve"> </w:t>
      </w:r>
      <w:r>
        <w:rPr>
          <w:sz w:val="24"/>
          <w:szCs w:val="24"/>
        </w:rPr>
        <w:tab/>
      </w:r>
      <w:r w:rsidR="000A110C">
        <w:rPr>
          <w:sz w:val="24"/>
          <w:szCs w:val="24"/>
        </w:rPr>
        <w:t xml:space="preserve">The analysis will include </w:t>
      </w:r>
      <w:r w:rsidR="00770653">
        <w:rPr>
          <w:sz w:val="24"/>
          <w:szCs w:val="24"/>
        </w:rPr>
        <w:t xml:space="preserve">relevant </w:t>
      </w:r>
      <w:r w:rsidR="000A110C">
        <w:rPr>
          <w:sz w:val="24"/>
          <w:szCs w:val="24"/>
        </w:rPr>
        <w:t>literature review, statistical and econometric</w:t>
      </w:r>
      <w:r w:rsidR="00C8478E">
        <w:rPr>
          <w:sz w:val="24"/>
          <w:szCs w:val="24"/>
        </w:rPr>
        <w:t xml:space="preserve"> evidence</w:t>
      </w:r>
      <w:r w:rsidR="000A110C">
        <w:rPr>
          <w:sz w:val="24"/>
          <w:szCs w:val="24"/>
        </w:rPr>
        <w:t xml:space="preserve"> for African countries,</w:t>
      </w:r>
      <w:r w:rsidR="00C8478E">
        <w:rPr>
          <w:sz w:val="24"/>
          <w:szCs w:val="24"/>
        </w:rPr>
        <w:t xml:space="preserve"> and the logic </w:t>
      </w:r>
      <w:r w:rsidR="000A110C">
        <w:rPr>
          <w:sz w:val="24"/>
          <w:szCs w:val="24"/>
        </w:rPr>
        <w:t xml:space="preserve">of the complicated variety of sequential paths that are possible options.  </w:t>
      </w:r>
      <w:r w:rsidR="00E71EEE">
        <w:rPr>
          <w:sz w:val="24"/>
          <w:szCs w:val="24"/>
        </w:rPr>
        <w:t xml:space="preserve">  </w:t>
      </w:r>
    </w:p>
    <w:p w:rsidR="002854FE" w:rsidRPr="00C8478E" w:rsidRDefault="00A55163" w:rsidP="00574D63">
      <w:pPr>
        <w:ind w:firstLine="720"/>
        <w:rPr>
          <w:sz w:val="24"/>
          <w:szCs w:val="24"/>
        </w:rPr>
      </w:pPr>
      <w:r>
        <w:rPr>
          <w:sz w:val="24"/>
          <w:szCs w:val="24"/>
        </w:rPr>
        <w:t xml:space="preserve">At each stage, the question whether a group of countries should form a currency union needs to be accompanied by the second question: what would or should be the monetary regime of the resulting union.  </w:t>
      </w:r>
      <w:r w:rsidR="007C5A14">
        <w:rPr>
          <w:sz w:val="24"/>
          <w:szCs w:val="24"/>
        </w:rPr>
        <w:t>F</w:t>
      </w:r>
      <w:r w:rsidR="00770653">
        <w:rPr>
          <w:sz w:val="24"/>
          <w:szCs w:val="24"/>
        </w:rPr>
        <w:t xml:space="preserve">or example, would </w:t>
      </w:r>
      <w:r w:rsidR="007C5A14">
        <w:rPr>
          <w:sz w:val="24"/>
          <w:szCs w:val="24"/>
        </w:rPr>
        <w:t xml:space="preserve">the eco </w:t>
      </w:r>
      <w:r w:rsidR="00BC1D46">
        <w:rPr>
          <w:sz w:val="24"/>
          <w:szCs w:val="24"/>
        </w:rPr>
        <w:t xml:space="preserve">(the proposed currency for ECOWAS) </w:t>
      </w:r>
      <w:r w:rsidR="00770653">
        <w:rPr>
          <w:sz w:val="24"/>
          <w:szCs w:val="24"/>
        </w:rPr>
        <w:t>peg to the euro?</w:t>
      </w:r>
      <w:r w:rsidR="005A37B6">
        <w:rPr>
          <w:sz w:val="24"/>
          <w:szCs w:val="24"/>
        </w:rPr>
        <w:t xml:space="preserve">  Thus the pros and cons of currency regimes that have been laid out in this memo will be applicable at both the level of the decision to join in a currency union and the level of the external policy to be followed by that union.</w:t>
      </w:r>
    </w:p>
    <w:p w:rsidR="00A93252" w:rsidRDefault="00A93252" w:rsidP="00E32824">
      <w:pPr>
        <w:rPr>
          <w:sz w:val="20"/>
          <w:szCs w:val="20"/>
        </w:rPr>
      </w:pPr>
    </w:p>
    <w:p w:rsidR="00E34DFA" w:rsidRDefault="00E34DFA">
      <w:pPr>
        <w:rPr>
          <w:sz w:val="20"/>
          <w:szCs w:val="20"/>
        </w:rPr>
      </w:pPr>
      <w:r>
        <w:rPr>
          <w:sz w:val="20"/>
          <w:szCs w:val="20"/>
        </w:rPr>
        <w:br w:type="page"/>
      </w:r>
    </w:p>
    <w:p w:rsidR="00E07851" w:rsidRPr="00E07851" w:rsidRDefault="00E07851" w:rsidP="00E07851">
      <w:pPr>
        <w:pStyle w:val="ListParagraph"/>
        <w:ind w:left="360"/>
        <w:jc w:val="center"/>
        <w:rPr>
          <w:b/>
          <w:i/>
          <w:u w:val="single"/>
        </w:rPr>
      </w:pPr>
      <w:r w:rsidRPr="00E07851">
        <w:rPr>
          <w:b/>
          <w:i/>
          <w:u w:val="single"/>
        </w:rPr>
        <w:lastRenderedPageBreak/>
        <w:t>References</w:t>
      </w:r>
    </w:p>
    <w:p w:rsidR="002609A3" w:rsidRPr="00173761" w:rsidRDefault="00173761" w:rsidP="00173761">
      <w:pPr>
        <w:textAlignment w:val="center"/>
        <w:rPr>
          <w:rFonts w:cs="Arial"/>
          <w:color w:val="505050"/>
        </w:rPr>
      </w:pPr>
      <w:r w:rsidRPr="00173761">
        <w:rPr>
          <w:rStyle w:val="title-text"/>
          <w:rFonts w:cs="Arial"/>
          <w:bCs/>
        </w:rPr>
        <w:t xml:space="preserve">Aghion, Philippe, </w:t>
      </w:r>
      <w:hyperlink r:id="rId11" w:anchor="!" w:history="1">
        <w:r w:rsidRPr="00173761">
          <w:rPr>
            <w:rStyle w:val="text"/>
            <w:rFonts w:cs="Arial"/>
          </w:rPr>
          <w:t>Philippe Bacchetta</w:t>
        </w:r>
        <w:r>
          <w:rPr>
            <w:rStyle w:val="text"/>
            <w:rFonts w:cs="Arial"/>
          </w:rPr>
          <w:t xml:space="preserve">, </w:t>
        </w:r>
      </w:hyperlink>
      <w:bookmarkStart w:id="1" w:name="baep-author-id5"/>
      <w:r w:rsidRPr="00173761">
        <w:rPr>
          <w:rFonts w:cs="Arial"/>
        </w:rPr>
        <w:fldChar w:fldCharType="begin"/>
      </w:r>
      <w:r w:rsidRPr="00173761">
        <w:rPr>
          <w:rFonts w:cs="Arial"/>
        </w:rPr>
        <w:instrText xml:space="preserve"> HYPERLINK "https://www-sciencedirect-com.ezp-prod1.hul.harvard.edu/science/article/pii/S030439320900035X" \l "!" </w:instrText>
      </w:r>
      <w:r w:rsidRPr="00173761">
        <w:rPr>
          <w:rFonts w:cs="Arial"/>
        </w:rPr>
        <w:fldChar w:fldCharType="separate"/>
      </w:r>
      <w:r w:rsidRPr="00173761">
        <w:rPr>
          <w:rStyle w:val="text"/>
          <w:rFonts w:cs="Arial"/>
        </w:rPr>
        <w:t>Romain Rancière</w:t>
      </w:r>
      <w:r>
        <w:rPr>
          <w:rStyle w:val="text"/>
          <w:rFonts w:cs="Arial"/>
        </w:rPr>
        <w:t xml:space="preserve">, </w:t>
      </w:r>
      <w:r w:rsidRPr="00173761">
        <w:rPr>
          <w:rFonts w:cs="Arial"/>
        </w:rPr>
        <w:fldChar w:fldCharType="end"/>
      </w:r>
      <w:bookmarkStart w:id="2" w:name="baep-author-id6"/>
      <w:bookmarkEnd w:id="1"/>
      <w:r w:rsidR="00C8478E">
        <w:rPr>
          <w:rFonts w:cs="Arial"/>
        </w:rPr>
        <w:t xml:space="preserve">and </w:t>
      </w:r>
      <w:hyperlink r:id="rId12" w:anchor="!" w:history="1">
        <w:r w:rsidRPr="00173761">
          <w:rPr>
            <w:rStyle w:val="text"/>
            <w:rFonts w:cs="Arial"/>
          </w:rPr>
          <w:t>Kenneth Rogoff</w:t>
        </w:r>
      </w:hyperlink>
      <w:bookmarkEnd w:id="2"/>
      <w:r w:rsidRPr="00173761">
        <w:rPr>
          <w:rFonts w:cs="Arial"/>
        </w:rPr>
        <w:t>,</w:t>
      </w:r>
      <w:r w:rsidRPr="00173761">
        <w:rPr>
          <w:rStyle w:val="title-text"/>
          <w:rFonts w:cs="Arial"/>
          <w:bCs/>
        </w:rPr>
        <w:t xml:space="preserve">   2009, “Exchange </w:t>
      </w:r>
      <w:r w:rsidR="00BC1D46">
        <w:rPr>
          <w:rStyle w:val="title-text"/>
          <w:rFonts w:cs="Arial"/>
          <w:bCs/>
        </w:rPr>
        <w:t>R</w:t>
      </w:r>
      <w:r w:rsidRPr="00173761">
        <w:rPr>
          <w:rStyle w:val="title-text"/>
          <w:rFonts w:cs="Arial"/>
          <w:bCs/>
        </w:rPr>
        <w:t xml:space="preserve">ate </w:t>
      </w:r>
      <w:r w:rsidR="00BC1D46">
        <w:rPr>
          <w:rStyle w:val="title-text"/>
          <w:rFonts w:cs="Arial"/>
          <w:bCs/>
        </w:rPr>
        <w:t>V</w:t>
      </w:r>
      <w:r w:rsidRPr="00173761">
        <w:rPr>
          <w:rStyle w:val="title-text"/>
          <w:rFonts w:cs="Arial"/>
          <w:bCs/>
        </w:rPr>
        <w:t xml:space="preserve">olatility and </w:t>
      </w:r>
      <w:r w:rsidR="00BC1D46">
        <w:rPr>
          <w:rStyle w:val="title-text"/>
          <w:rFonts w:cs="Arial"/>
          <w:bCs/>
        </w:rPr>
        <w:t>P</w:t>
      </w:r>
      <w:r w:rsidRPr="00173761">
        <w:rPr>
          <w:rStyle w:val="title-text"/>
          <w:rFonts w:cs="Arial"/>
          <w:bCs/>
        </w:rPr>
        <w:t xml:space="preserve">roductivity </w:t>
      </w:r>
      <w:r w:rsidR="00BC1D46">
        <w:rPr>
          <w:rStyle w:val="title-text"/>
          <w:rFonts w:cs="Arial"/>
          <w:bCs/>
        </w:rPr>
        <w:t>G</w:t>
      </w:r>
      <w:r w:rsidRPr="00173761">
        <w:rPr>
          <w:rStyle w:val="title-text"/>
          <w:rFonts w:cs="Arial"/>
          <w:bCs/>
        </w:rPr>
        <w:t xml:space="preserve">rowth: The </w:t>
      </w:r>
      <w:r w:rsidR="00BC1D46">
        <w:rPr>
          <w:rStyle w:val="title-text"/>
          <w:rFonts w:cs="Arial"/>
          <w:bCs/>
        </w:rPr>
        <w:t>R</w:t>
      </w:r>
      <w:r w:rsidRPr="00173761">
        <w:rPr>
          <w:rStyle w:val="title-text"/>
          <w:rFonts w:cs="Arial"/>
          <w:bCs/>
        </w:rPr>
        <w:t xml:space="preserve">ole of </w:t>
      </w:r>
      <w:r w:rsidR="00BC1D46">
        <w:rPr>
          <w:rStyle w:val="title-text"/>
          <w:rFonts w:cs="Arial"/>
          <w:bCs/>
        </w:rPr>
        <w:t>F</w:t>
      </w:r>
      <w:r w:rsidRPr="00173761">
        <w:rPr>
          <w:rStyle w:val="title-text"/>
          <w:rFonts w:cs="Arial"/>
          <w:bCs/>
        </w:rPr>
        <w:t xml:space="preserve">inancial </w:t>
      </w:r>
      <w:r w:rsidR="00BC1D46">
        <w:rPr>
          <w:rStyle w:val="title-text"/>
          <w:rFonts w:cs="Arial"/>
          <w:bCs/>
        </w:rPr>
        <w:t>D</w:t>
      </w:r>
      <w:r w:rsidRPr="00173761">
        <w:rPr>
          <w:rStyle w:val="title-text"/>
          <w:rFonts w:cs="Arial"/>
          <w:bCs/>
        </w:rPr>
        <w:t xml:space="preserve">evelopment,” </w:t>
      </w:r>
      <w:r w:rsidRPr="00173761">
        <w:rPr>
          <w:rStyle w:val="title-text"/>
          <w:rFonts w:cs="Arial"/>
          <w:bCs/>
          <w:i/>
        </w:rPr>
        <w:t>Journal of Monetary Economics</w:t>
      </w:r>
      <w:r w:rsidRPr="00173761">
        <w:rPr>
          <w:rStyle w:val="title-text"/>
          <w:rFonts w:cs="Arial"/>
          <w:bCs/>
        </w:rPr>
        <w:t xml:space="preserve">, </w:t>
      </w:r>
      <w:r w:rsidRPr="00173761">
        <w:rPr>
          <w:rStyle w:val="size-m"/>
          <w:rFonts w:cs="Arial"/>
        </w:rPr>
        <w:t>Volume 56, Issue 4, May, Pages 494-513.</w:t>
      </w:r>
    </w:p>
    <w:p w:rsidR="002609A3" w:rsidRPr="002609A3" w:rsidRDefault="002609A3" w:rsidP="002609A3">
      <w:pPr>
        <w:spacing w:line="240" w:lineRule="auto"/>
        <w:rPr>
          <w:rFonts w:cs="Arial"/>
          <w:color w:val="222222"/>
          <w:shd w:val="clear" w:color="auto" w:fill="FFFFFF"/>
        </w:rPr>
      </w:pPr>
      <w:r w:rsidRPr="002609A3">
        <w:rPr>
          <w:rFonts w:cs="Arial"/>
          <w:color w:val="222222"/>
          <w:shd w:val="clear" w:color="auto" w:fill="FFFFFF"/>
        </w:rPr>
        <w:t>Aizenman, Joshua, Menzie C</w:t>
      </w:r>
      <w:r w:rsidR="00595ACF">
        <w:rPr>
          <w:rFonts w:cs="Arial"/>
          <w:color w:val="222222"/>
          <w:shd w:val="clear" w:color="auto" w:fill="FFFFFF"/>
        </w:rPr>
        <w:t>hinn, and Hiro Ito, 2010, "The E</w:t>
      </w:r>
      <w:r w:rsidRPr="002609A3">
        <w:rPr>
          <w:rFonts w:cs="Arial"/>
          <w:color w:val="222222"/>
          <w:shd w:val="clear" w:color="auto" w:fill="FFFFFF"/>
        </w:rPr>
        <w:t xml:space="preserve">merging </w:t>
      </w:r>
      <w:r w:rsidR="00595ACF">
        <w:rPr>
          <w:rFonts w:cs="Arial"/>
          <w:color w:val="222222"/>
          <w:shd w:val="clear" w:color="auto" w:fill="FFFFFF"/>
        </w:rPr>
        <w:t>G</w:t>
      </w:r>
      <w:r w:rsidRPr="002609A3">
        <w:rPr>
          <w:rFonts w:cs="Arial"/>
          <w:color w:val="222222"/>
          <w:shd w:val="clear" w:color="auto" w:fill="FFFFFF"/>
        </w:rPr>
        <w:t xml:space="preserve">lobal </w:t>
      </w:r>
      <w:r w:rsidR="00595ACF">
        <w:rPr>
          <w:rFonts w:cs="Arial"/>
          <w:color w:val="222222"/>
          <w:shd w:val="clear" w:color="auto" w:fill="FFFFFF"/>
        </w:rPr>
        <w:t>F</w:t>
      </w:r>
      <w:r w:rsidRPr="002609A3">
        <w:rPr>
          <w:rFonts w:cs="Arial"/>
          <w:color w:val="222222"/>
          <w:shd w:val="clear" w:color="auto" w:fill="FFFFFF"/>
        </w:rPr>
        <w:t xml:space="preserve">inancial </w:t>
      </w:r>
      <w:r w:rsidR="00595ACF">
        <w:rPr>
          <w:rFonts w:cs="Arial"/>
          <w:color w:val="222222"/>
          <w:shd w:val="clear" w:color="auto" w:fill="FFFFFF"/>
        </w:rPr>
        <w:t>A</w:t>
      </w:r>
      <w:r w:rsidRPr="002609A3">
        <w:rPr>
          <w:rFonts w:cs="Arial"/>
          <w:color w:val="222222"/>
          <w:shd w:val="clear" w:color="auto" w:fill="FFFFFF"/>
        </w:rPr>
        <w:t xml:space="preserve">rchitecture: Tracing and </w:t>
      </w:r>
      <w:r w:rsidR="00595ACF">
        <w:rPr>
          <w:rFonts w:cs="Arial"/>
          <w:color w:val="222222"/>
          <w:shd w:val="clear" w:color="auto" w:fill="FFFFFF"/>
        </w:rPr>
        <w:t>E</w:t>
      </w:r>
      <w:r w:rsidRPr="002609A3">
        <w:rPr>
          <w:rFonts w:cs="Arial"/>
          <w:color w:val="222222"/>
          <w:shd w:val="clear" w:color="auto" w:fill="FFFFFF"/>
        </w:rPr>
        <w:t xml:space="preserve">valuating </w:t>
      </w:r>
      <w:r w:rsidR="00595ACF">
        <w:rPr>
          <w:rFonts w:cs="Arial"/>
          <w:color w:val="222222"/>
          <w:shd w:val="clear" w:color="auto" w:fill="FFFFFF"/>
        </w:rPr>
        <w:t>N</w:t>
      </w:r>
      <w:r w:rsidRPr="002609A3">
        <w:rPr>
          <w:rFonts w:cs="Arial"/>
          <w:color w:val="222222"/>
          <w:shd w:val="clear" w:color="auto" w:fill="FFFFFF"/>
        </w:rPr>
        <w:t xml:space="preserve">ew </w:t>
      </w:r>
      <w:r w:rsidR="00595ACF">
        <w:rPr>
          <w:rFonts w:cs="Arial"/>
          <w:color w:val="222222"/>
          <w:shd w:val="clear" w:color="auto" w:fill="FFFFFF"/>
        </w:rPr>
        <w:t>P</w:t>
      </w:r>
      <w:r w:rsidRPr="002609A3">
        <w:rPr>
          <w:rFonts w:cs="Arial"/>
          <w:color w:val="222222"/>
          <w:shd w:val="clear" w:color="auto" w:fill="FFFFFF"/>
        </w:rPr>
        <w:t xml:space="preserve">atterns of the </w:t>
      </w:r>
      <w:r w:rsidR="00595ACF">
        <w:rPr>
          <w:rFonts w:cs="Arial"/>
          <w:color w:val="222222"/>
          <w:shd w:val="clear" w:color="auto" w:fill="FFFFFF"/>
        </w:rPr>
        <w:t>T</w:t>
      </w:r>
      <w:r w:rsidRPr="002609A3">
        <w:rPr>
          <w:rFonts w:cs="Arial"/>
          <w:color w:val="222222"/>
          <w:shd w:val="clear" w:color="auto" w:fill="FFFFFF"/>
        </w:rPr>
        <w:t xml:space="preserve">rilemma </w:t>
      </w:r>
      <w:r w:rsidR="00595ACF">
        <w:rPr>
          <w:rFonts w:cs="Arial"/>
          <w:color w:val="222222"/>
          <w:shd w:val="clear" w:color="auto" w:fill="FFFFFF"/>
        </w:rPr>
        <w:t>C</w:t>
      </w:r>
      <w:r w:rsidRPr="002609A3">
        <w:rPr>
          <w:rFonts w:cs="Arial"/>
          <w:color w:val="222222"/>
          <w:shd w:val="clear" w:color="auto" w:fill="FFFFFF"/>
        </w:rPr>
        <w:t>onfiguration."</w:t>
      </w:r>
      <w:r w:rsidRPr="002609A3">
        <w:rPr>
          <w:rStyle w:val="apple-converted-space"/>
          <w:rFonts w:cs="Arial"/>
          <w:color w:val="222222"/>
          <w:shd w:val="clear" w:color="auto" w:fill="FFFFFF"/>
        </w:rPr>
        <w:t> </w:t>
      </w:r>
      <w:r w:rsidRPr="002609A3">
        <w:rPr>
          <w:rFonts w:cs="Arial"/>
          <w:i/>
          <w:iCs/>
          <w:color w:val="222222"/>
          <w:shd w:val="clear" w:color="auto" w:fill="FFFFFF"/>
        </w:rPr>
        <w:t>Journal of International Money and Finance</w:t>
      </w:r>
      <w:r w:rsidRPr="002609A3">
        <w:rPr>
          <w:rStyle w:val="apple-converted-space"/>
          <w:rFonts w:cs="Arial"/>
          <w:color w:val="222222"/>
          <w:shd w:val="clear" w:color="auto" w:fill="FFFFFF"/>
        </w:rPr>
        <w:t> </w:t>
      </w:r>
      <w:r w:rsidRPr="002609A3">
        <w:rPr>
          <w:rFonts w:cs="Arial"/>
          <w:color w:val="222222"/>
          <w:shd w:val="clear" w:color="auto" w:fill="FFFFFF"/>
        </w:rPr>
        <w:t>29.4: 615-641.</w:t>
      </w:r>
    </w:p>
    <w:p w:rsidR="002609A3" w:rsidRPr="002609A3" w:rsidRDefault="002609A3" w:rsidP="002609A3">
      <w:pPr>
        <w:spacing w:line="240" w:lineRule="auto"/>
        <w:rPr>
          <w:rFonts w:cs="Arial"/>
          <w:color w:val="222222"/>
          <w:shd w:val="clear" w:color="auto" w:fill="FFFFFF"/>
        </w:rPr>
      </w:pPr>
      <w:proofErr w:type="gramStart"/>
      <w:r w:rsidRPr="002609A3">
        <w:rPr>
          <w:rFonts w:cs="Arial"/>
          <w:color w:val="222222"/>
          <w:shd w:val="clear" w:color="auto" w:fill="FFFFFF"/>
        </w:rPr>
        <w:t>---  2011</w:t>
      </w:r>
      <w:proofErr w:type="gramEnd"/>
      <w:r w:rsidRPr="002609A3">
        <w:rPr>
          <w:rFonts w:cs="Arial"/>
          <w:color w:val="222222"/>
          <w:shd w:val="clear" w:color="auto" w:fill="FFFFFF"/>
        </w:rPr>
        <w:t xml:space="preserve">, "Surfing the </w:t>
      </w:r>
      <w:r w:rsidR="00595ACF">
        <w:rPr>
          <w:rFonts w:cs="Arial"/>
          <w:color w:val="222222"/>
          <w:shd w:val="clear" w:color="auto" w:fill="FFFFFF"/>
        </w:rPr>
        <w:t>W</w:t>
      </w:r>
      <w:r w:rsidRPr="002609A3">
        <w:rPr>
          <w:rFonts w:cs="Arial"/>
          <w:color w:val="222222"/>
          <w:shd w:val="clear" w:color="auto" w:fill="FFFFFF"/>
        </w:rPr>
        <w:t xml:space="preserve">aves of </w:t>
      </w:r>
      <w:r w:rsidR="00595ACF">
        <w:rPr>
          <w:rFonts w:cs="Arial"/>
          <w:color w:val="222222"/>
          <w:shd w:val="clear" w:color="auto" w:fill="FFFFFF"/>
        </w:rPr>
        <w:t>G</w:t>
      </w:r>
      <w:r w:rsidRPr="002609A3">
        <w:rPr>
          <w:rFonts w:cs="Arial"/>
          <w:color w:val="222222"/>
          <w:shd w:val="clear" w:color="auto" w:fill="FFFFFF"/>
        </w:rPr>
        <w:t xml:space="preserve">lobalization: Asia and </w:t>
      </w:r>
      <w:r w:rsidR="00595ACF">
        <w:rPr>
          <w:rFonts w:cs="Arial"/>
          <w:color w:val="222222"/>
          <w:shd w:val="clear" w:color="auto" w:fill="FFFFFF"/>
        </w:rPr>
        <w:t>F</w:t>
      </w:r>
      <w:r w:rsidRPr="002609A3">
        <w:rPr>
          <w:rFonts w:cs="Arial"/>
          <w:color w:val="222222"/>
          <w:shd w:val="clear" w:color="auto" w:fill="FFFFFF"/>
        </w:rPr>
        <w:t xml:space="preserve">inancial </w:t>
      </w:r>
      <w:r w:rsidR="00595ACF">
        <w:rPr>
          <w:rFonts w:cs="Arial"/>
          <w:color w:val="222222"/>
          <w:shd w:val="clear" w:color="auto" w:fill="FFFFFF"/>
        </w:rPr>
        <w:t>G</w:t>
      </w:r>
      <w:r w:rsidRPr="002609A3">
        <w:rPr>
          <w:rFonts w:cs="Arial"/>
          <w:color w:val="222222"/>
          <w:shd w:val="clear" w:color="auto" w:fill="FFFFFF"/>
        </w:rPr>
        <w:t xml:space="preserve">lobalization in the </w:t>
      </w:r>
      <w:r w:rsidR="00595ACF">
        <w:rPr>
          <w:rFonts w:cs="Arial"/>
          <w:color w:val="222222"/>
          <w:shd w:val="clear" w:color="auto" w:fill="FFFFFF"/>
        </w:rPr>
        <w:t>C</w:t>
      </w:r>
      <w:r w:rsidRPr="002609A3">
        <w:rPr>
          <w:rFonts w:cs="Arial"/>
          <w:color w:val="222222"/>
          <w:shd w:val="clear" w:color="auto" w:fill="FFFFFF"/>
        </w:rPr>
        <w:t xml:space="preserve">ontext of the </w:t>
      </w:r>
      <w:r w:rsidR="00595ACF">
        <w:rPr>
          <w:rFonts w:cs="Arial"/>
          <w:color w:val="222222"/>
          <w:shd w:val="clear" w:color="auto" w:fill="FFFFFF"/>
        </w:rPr>
        <w:t>T</w:t>
      </w:r>
      <w:r w:rsidRPr="002609A3">
        <w:rPr>
          <w:rFonts w:cs="Arial"/>
          <w:color w:val="222222"/>
          <w:shd w:val="clear" w:color="auto" w:fill="FFFFFF"/>
        </w:rPr>
        <w:t xml:space="preserve">rilemma," </w:t>
      </w:r>
      <w:r w:rsidRPr="002609A3">
        <w:rPr>
          <w:rFonts w:cs="Arial"/>
          <w:i/>
          <w:iCs/>
          <w:color w:val="222222"/>
          <w:shd w:val="clear" w:color="auto" w:fill="FFFFFF"/>
        </w:rPr>
        <w:t>Journal of the Japanese and International Economies</w:t>
      </w:r>
      <w:r w:rsidRPr="002609A3">
        <w:rPr>
          <w:rStyle w:val="apple-converted-space"/>
          <w:rFonts w:cs="Arial"/>
          <w:color w:val="222222"/>
          <w:shd w:val="clear" w:color="auto" w:fill="FFFFFF"/>
        </w:rPr>
        <w:t> </w:t>
      </w:r>
      <w:r w:rsidRPr="002609A3">
        <w:rPr>
          <w:rFonts w:cs="Arial"/>
          <w:color w:val="222222"/>
          <w:shd w:val="clear" w:color="auto" w:fill="FFFFFF"/>
        </w:rPr>
        <w:t>25.3: 290-320.</w:t>
      </w:r>
    </w:p>
    <w:p w:rsidR="00E07851" w:rsidRPr="004204E3" w:rsidRDefault="00124DD4" w:rsidP="004204E3">
      <w:pPr>
        <w:pStyle w:val="volume-issue"/>
        <w:shd w:val="clear" w:color="auto" w:fill="FFFFFF"/>
        <w:spacing w:before="75" w:beforeAutospacing="0" w:after="75" w:afterAutospacing="0" w:line="263" w:lineRule="atLeast"/>
        <w:rPr>
          <w:rFonts w:asciiTheme="minorHAnsi" w:hAnsiTheme="minorHAnsi" w:cs="Arial"/>
          <w:color w:val="767676"/>
          <w:sz w:val="22"/>
          <w:szCs w:val="22"/>
        </w:rPr>
      </w:pPr>
      <w:proofErr w:type="spellStart"/>
      <w:r w:rsidRPr="00124DD4">
        <w:rPr>
          <w:rFonts w:asciiTheme="minorHAnsi" w:eastAsiaTheme="majorEastAsia" w:hAnsiTheme="minorHAnsi" w:cs="Arial"/>
          <w:sz w:val="22"/>
          <w:szCs w:val="22"/>
        </w:rPr>
        <w:t>Asongu</w:t>
      </w:r>
      <w:proofErr w:type="spellEnd"/>
      <w:r w:rsidRPr="00124DD4">
        <w:rPr>
          <w:rFonts w:asciiTheme="minorHAnsi" w:hAnsiTheme="minorHAnsi" w:cs="Arial"/>
          <w:sz w:val="22"/>
          <w:szCs w:val="22"/>
        </w:rPr>
        <w:t xml:space="preserve">, </w:t>
      </w:r>
      <w:proofErr w:type="spellStart"/>
      <w:r w:rsidRPr="00124DD4">
        <w:rPr>
          <w:rFonts w:asciiTheme="minorHAnsi" w:eastAsiaTheme="majorEastAsia" w:hAnsiTheme="minorHAnsi" w:cs="Arial"/>
          <w:sz w:val="22"/>
          <w:szCs w:val="22"/>
        </w:rPr>
        <w:t>Simplice</w:t>
      </w:r>
      <w:proofErr w:type="spellEnd"/>
      <w:r w:rsidRPr="00124DD4">
        <w:rPr>
          <w:rFonts w:asciiTheme="minorHAnsi" w:hAnsiTheme="minorHAnsi" w:cs="Arial"/>
          <w:sz w:val="22"/>
          <w:szCs w:val="22"/>
        </w:rPr>
        <w:t xml:space="preserve">, </w:t>
      </w:r>
      <w:r w:rsidRPr="00124DD4">
        <w:rPr>
          <w:rFonts w:asciiTheme="minorHAnsi" w:eastAsiaTheme="majorEastAsia" w:hAnsiTheme="minorHAnsi" w:cs="Arial"/>
          <w:sz w:val="22"/>
          <w:szCs w:val="22"/>
        </w:rPr>
        <w:t xml:space="preserve">Jacinta </w:t>
      </w:r>
      <w:proofErr w:type="spellStart"/>
      <w:proofErr w:type="gramStart"/>
      <w:r w:rsidRPr="00124DD4">
        <w:rPr>
          <w:rFonts w:asciiTheme="minorHAnsi" w:eastAsiaTheme="majorEastAsia" w:hAnsiTheme="minorHAnsi" w:cs="Arial"/>
          <w:sz w:val="22"/>
          <w:szCs w:val="22"/>
        </w:rPr>
        <w:t>Nwachukwu</w:t>
      </w:r>
      <w:proofErr w:type="spellEnd"/>
      <w:r w:rsidRPr="00124DD4">
        <w:rPr>
          <w:rFonts w:asciiTheme="minorHAnsi" w:hAnsiTheme="minorHAnsi" w:cs="Arial"/>
          <w:sz w:val="22"/>
          <w:szCs w:val="22"/>
        </w:rPr>
        <w:t> ,</w:t>
      </w:r>
      <w:proofErr w:type="gramEnd"/>
      <w:r w:rsidR="00070DC8">
        <w:rPr>
          <w:rFonts w:asciiTheme="minorHAnsi" w:hAnsiTheme="minorHAnsi" w:cs="Arial"/>
          <w:sz w:val="22"/>
          <w:szCs w:val="22"/>
        </w:rPr>
        <w:t xml:space="preserve"> </w:t>
      </w:r>
      <w:r w:rsidRPr="00124DD4">
        <w:rPr>
          <w:rFonts w:asciiTheme="minorHAnsi" w:hAnsiTheme="minorHAnsi" w:cs="Arial"/>
          <w:sz w:val="22"/>
          <w:szCs w:val="22"/>
        </w:rPr>
        <w:t xml:space="preserve">and </w:t>
      </w:r>
      <w:r w:rsidRPr="00124DD4">
        <w:rPr>
          <w:rFonts w:asciiTheme="minorHAnsi" w:eastAsiaTheme="majorEastAsia" w:hAnsiTheme="minorHAnsi" w:cs="Arial"/>
          <w:sz w:val="22"/>
          <w:szCs w:val="22"/>
        </w:rPr>
        <w:t xml:space="preserve">Vanessa </w:t>
      </w:r>
      <w:proofErr w:type="spellStart"/>
      <w:r w:rsidRPr="00124DD4">
        <w:rPr>
          <w:rFonts w:asciiTheme="minorHAnsi" w:eastAsiaTheme="majorEastAsia" w:hAnsiTheme="minorHAnsi" w:cs="Arial"/>
          <w:sz w:val="22"/>
          <w:szCs w:val="22"/>
        </w:rPr>
        <w:t>Tchamyou</w:t>
      </w:r>
      <w:proofErr w:type="spellEnd"/>
      <w:r w:rsidRPr="00124DD4">
        <w:rPr>
          <w:rFonts w:asciiTheme="minorHAnsi" w:eastAsiaTheme="majorEastAsia" w:hAnsiTheme="minorHAnsi" w:cs="Arial"/>
          <w:sz w:val="22"/>
          <w:szCs w:val="22"/>
        </w:rPr>
        <w:t>, 2017</w:t>
      </w:r>
      <w:r>
        <w:rPr>
          <w:rFonts w:asciiTheme="minorHAnsi" w:eastAsiaTheme="majorEastAsia" w:hAnsiTheme="minorHAnsi" w:cs="Arial"/>
          <w:sz w:val="22"/>
          <w:szCs w:val="22"/>
        </w:rPr>
        <w:t>,</w:t>
      </w:r>
      <w:r w:rsidRPr="00124DD4">
        <w:rPr>
          <w:rFonts w:asciiTheme="minorHAnsi" w:eastAsiaTheme="majorEastAsia" w:hAnsiTheme="minorHAnsi" w:cs="Arial"/>
          <w:sz w:val="22"/>
          <w:szCs w:val="22"/>
        </w:rPr>
        <w:t xml:space="preserve"> “A Literature Survey on Proposed African Monetary Unions,”</w:t>
      </w:r>
      <w:r w:rsidRPr="00124DD4">
        <w:rPr>
          <w:rFonts w:asciiTheme="minorHAnsi" w:hAnsiTheme="minorHAnsi" w:cs="Arial"/>
          <w:sz w:val="22"/>
          <w:szCs w:val="22"/>
        </w:rPr>
        <w:t xml:space="preserve"> </w:t>
      </w:r>
      <w:r w:rsidRPr="00124DD4">
        <w:rPr>
          <w:rFonts w:asciiTheme="minorHAnsi" w:hAnsiTheme="minorHAnsi" w:cs="Arial"/>
          <w:i/>
          <w:sz w:val="22"/>
          <w:szCs w:val="22"/>
        </w:rPr>
        <w:t>Journal of Economic Surveys</w:t>
      </w:r>
      <w:r w:rsidRPr="00124DD4">
        <w:rPr>
          <w:rFonts w:asciiTheme="minorHAnsi" w:hAnsiTheme="minorHAnsi" w:cs="Arial"/>
          <w:sz w:val="22"/>
          <w:szCs w:val="22"/>
        </w:rPr>
        <w:t>, vol. 31, no.3, Jul</w:t>
      </w:r>
      <w:r w:rsidRPr="00124DD4">
        <w:rPr>
          <w:rFonts w:asciiTheme="minorHAnsi" w:hAnsiTheme="minorHAnsi" w:cs="Arial"/>
          <w:color w:val="1C1D1E"/>
          <w:sz w:val="22"/>
          <w:szCs w:val="22"/>
        </w:rPr>
        <w:t xml:space="preserve">y 2017, </w:t>
      </w:r>
      <w:r w:rsidRPr="00124DD4">
        <w:rPr>
          <w:rFonts w:asciiTheme="minorHAnsi" w:hAnsiTheme="minorHAnsi" w:cs="Arial"/>
          <w:sz w:val="22"/>
          <w:szCs w:val="22"/>
        </w:rPr>
        <w:t>878-902</w:t>
      </w:r>
      <w:r w:rsidR="00383502">
        <w:rPr>
          <w:rFonts w:asciiTheme="minorHAnsi" w:hAnsiTheme="minorHAnsi" w:cs="Arial"/>
          <w:sz w:val="22"/>
          <w:szCs w:val="22"/>
        </w:rPr>
        <w:t>.</w:t>
      </w:r>
    </w:p>
    <w:p w:rsidR="00932653" w:rsidRDefault="00932653" w:rsidP="004204E3">
      <w:pPr>
        <w:tabs>
          <w:tab w:val="left" w:pos="-720"/>
        </w:tabs>
        <w:suppressAutoHyphens/>
        <w:spacing w:line="240" w:lineRule="auto"/>
        <w:jc w:val="both"/>
        <w:rPr>
          <w:iCs/>
        </w:rPr>
      </w:pPr>
      <w:proofErr w:type="spellStart"/>
      <w:r w:rsidRPr="004158CA">
        <w:t>Bahmani-Oskooee</w:t>
      </w:r>
      <w:proofErr w:type="spellEnd"/>
      <w:r w:rsidRPr="004158CA">
        <w:t>, M</w:t>
      </w:r>
      <w:r w:rsidR="00070DC8">
        <w:t>.</w:t>
      </w:r>
      <w:r w:rsidRPr="004158CA">
        <w:rPr>
          <w:iCs/>
        </w:rPr>
        <w:t xml:space="preserve">, </w:t>
      </w:r>
      <w:proofErr w:type="spellStart"/>
      <w:r w:rsidRPr="004158CA">
        <w:rPr>
          <w:iCs/>
        </w:rPr>
        <w:t>S.Hegerty</w:t>
      </w:r>
      <w:proofErr w:type="spellEnd"/>
      <w:r w:rsidRPr="004158CA">
        <w:rPr>
          <w:iCs/>
        </w:rPr>
        <w:t xml:space="preserve"> and </w:t>
      </w:r>
      <w:proofErr w:type="spellStart"/>
      <w:r w:rsidRPr="004158CA">
        <w:rPr>
          <w:iCs/>
        </w:rPr>
        <w:t>A.Kutan</w:t>
      </w:r>
      <w:proofErr w:type="spellEnd"/>
      <w:r w:rsidRPr="004158CA">
        <w:rPr>
          <w:iCs/>
        </w:rPr>
        <w:t>, 2008,</w:t>
      </w:r>
      <w:r w:rsidRPr="004158CA">
        <w:rPr>
          <w:i/>
          <w:iCs/>
        </w:rPr>
        <w:t xml:space="preserve"> </w:t>
      </w:r>
      <w:r w:rsidRPr="004158CA">
        <w:rPr>
          <w:iCs/>
        </w:rPr>
        <w:t xml:space="preserve">"Do Nominal </w:t>
      </w:r>
      <w:r>
        <w:rPr>
          <w:iCs/>
        </w:rPr>
        <w:t>Devaluations Lead to Real Deval</w:t>
      </w:r>
      <w:r w:rsidRPr="004158CA">
        <w:rPr>
          <w:iCs/>
        </w:rPr>
        <w:t xml:space="preserve">uations? </w:t>
      </w:r>
      <w:proofErr w:type="gramStart"/>
      <w:r w:rsidRPr="004158CA">
        <w:rPr>
          <w:iCs/>
        </w:rPr>
        <w:t>Evidence from 89 Countries</w:t>
      </w:r>
      <w:r w:rsidR="008D1ED0">
        <w:rPr>
          <w:iCs/>
        </w:rPr>
        <w:t>,</w:t>
      </w:r>
      <w:r w:rsidRPr="004158CA">
        <w:rPr>
          <w:iCs/>
        </w:rPr>
        <w:t>"</w:t>
      </w:r>
      <w:r w:rsidRPr="004158CA">
        <w:rPr>
          <w:b/>
          <w:bCs/>
          <w:iCs/>
        </w:rPr>
        <w:t xml:space="preserve"> </w:t>
      </w:r>
      <w:r w:rsidRPr="004158CA">
        <w:rPr>
          <w:bCs/>
          <w:i/>
          <w:iCs/>
        </w:rPr>
        <w:t>International Review of Economics and Finance</w:t>
      </w:r>
      <w:r w:rsidRPr="004158CA">
        <w:rPr>
          <w:i/>
          <w:iCs/>
        </w:rPr>
        <w:t xml:space="preserve"> </w:t>
      </w:r>
      <w:r w:rsidRPr="004158CA">
        <w:rPr>
          <w:iCs/>
        </w:rPr>
        <w:t>17, 644–70.</w:t>
      </w:r>
      <w:proofErr w:type="gramEnd"/>
      <w:r>
        <w:rPr>
          <w:iCs/>
        </w:rPr>
        <w:t xml:space="preserve"> </w:t>
      </w:r>
    </w:p>
    <w:p w:rsidR="00383502" w:rsidRPr="003D7980" w:rsidRDefault="00383502" w:rsidP="004204E3">
      <w:pPr>
        <w:tabs>
          <w:tab w:val="left" w:pos="-720"/>
        </w:tabs>
        <w:suppressAutoHyphens/>
        <w:spacing w:line="240" w:lineRule="auto"/>
        <w:jc w:val="both"/>
        <w:rPr>
          <w:iCs/>
        </w:rPr>
      </w:pPr>
      <w:r w:rsidRPr="003D7980">
        <w:rPr>
          <w:shd w:val="clear" w:color="auto" w:fill="FFFFFF"/>
        </w:rPr>
        <w:t xml:space="preserve">Baldwin, Richard E., 2006, “The Euro's Trade Effects,” March, ECB Working Paper No. 594. </w:t>
      </w:r>
    </w:p>
    <w:p w:rsidR="00932653" w:rsidRDefault="00932653" w:rsidP="004204E3">
      <w:pPr>
        <w:spacing w:line="240" w:lineRule="auto"/>
        <w:jc w:val="both"/>
      </w:pPr>
      <w:proofErr w:type="gramStart"/>
      <w:r>
        <w:t>Barro, Robert, and David Gordon</w:t>
      </w:r>
      <w:r>
        <w:rPr>
          <w:rFonts w:ascii="Arial" w:hAnsi="Arial" w:cs="Arial"/>
          <w:color w:val="000000"/>
          <w:sz w:val="27"/>
          <w:szCs w:val="27"/>
        </w:rPr>
        <w:t xml:space="preserve">, </w:t>
      </w:r>
      <w:r w:rsidRPr="00932653">
        <w:rPr>
          <w:rStyle w:val="Emphasis"/>
          <w:i w:val="0"/>
          <w:color w:val="000000"/>
        </w:rPr>
        <w:t>1983</w:t>
      </w:r>
      <w:r w:rsidR="00BC1D46">
        <w:rPr>
          <w:rStyle w:val="Emphasis"/>
          <w:i w:val="0"/>
          <w:color w:val="000000"/>
        </w:rPr>
        <w:t>,</w:t>
      </w:r>
      <w:r w:rsidRPr="00C716CC">
        <w:rPr>
          <w:rStyle w:val="ft"/>
          <w:color w:val="000000"/>
        </w:rPr>
        <w:t xml:space="preserve"> "A Positive Theory of Monetary Policy</w:t>
      </w:r>
      <w:hyperlink r:id="rId13" w:history="1">
        <w:r w:rsidRPr="00383502">
          <w:rPr>
            <w:rStyle w:val="Hyperlink"/>
            <w:bCs/>
            <w:color w:val="auto"/>
            <w:u w:val="none"/>
          </w:rPr>
          <w:t xml:space="preserve"> in a Natural Rate Model</w:t>
        </w:r>
      </w:hyperlink>
      <w:r w:rsidRPr="00383502">
        <w:rPr>
          <w:i/>
          <w:sz w:val="20"/>
          <w:szCs w:val="20"/>
        </w:rPr>
        <w:t xml:space="preserve">," </w:t>
      </w:r>
      <w:hyperlink r:id="rId14" w:history="1">
        <w:r w:rsidRPr="00383502">
          <w:rPr>
            <w:rStyle w:val="Hyperlink"/>
            <w:i/>
            <w:color w:val="auto"/>
            <w:u w:val="none"/>
          </w:rPr>
          <w:t>Journal of Political Economy</w:t>
        </w:r>
      </w:hyperlink>
      <w:r w:rsidR="00383502">
        <w:t>, vol. 91(4), pp.</w:t>
      </w:r>
      <w:r w:rsidRPr="00C716CC">
        <w:t xml:space="preserve"> 589-610, August.</w:t>
      </w:r>
      <w:proofErr w:type="gramEnd"/>
    </w:p>
    <w:p w:rsidR="002D3882" w:rsidRDefault="002D3882" w:rsidP="004204E3">
      <w:pPr>
        <w:spacing w:line="240" w:lineRule="auto"/>
        <w:jc w:val="both"/>
      </w:pPr>
      <w:proofErr w:type="spellStart"/>
      <w:proofErr w:type="gramStart"/>
      <w:r w:rsidRPr="001C1A26">
        <w:t>Bayoumi</w:t>
      </w:r>
      <w:proofErr w:type="spellEnd"/>
      <w:r w:rsidRPr="001C1A26">
        <w:t xml:space="preserve">, </w:t>
      </w:r>
      <w:proofErr w:type="spellStart"/>
      <w:r w:rsidRPr="001C1A26">
        <w:t>Tamim</w:t>
      </w:r>
      <w:proofErr w:type="spellEnd"/>
      <w:r w:rsidRPr="001C1A26">
        <w:t>, and Barry Eichengreen.</w:t>
      </w:r>
      <w:proofErr w:type="gramEnd"/>
      <w:r w:rsidRPr="001C1A26">
        <w:t xml:space="preserve"> 1994. </w:t>
      </w:r>
      <w:r>
        <w:t>“</w:t>
      </w:r>
      <w:proofErr w:type="gramStart"/>
      <w:r w:rsidRPr="001C1A26">
        <w:t>One Money</w:t>
      </w:r>
      <w:proofErr w:type="gramEnd"/>
      <w:r w:rsidRPr="001C1A26">
        <w:t xml:space="preserve"> or Many? Analyzing the Prospects for Monetary Unification in Various Parts of the World</w:t>
      </w:r>
      <w:r>
        <w:t>,”</w:t>
      </w:r>
      <w:r w:rsidRPr="001C1A26">
        <w:rPr>
          <w:i/>
        </w:rPr>
        <w:t xml:space="preserve"> Studies in International Finance</w:t>
      </w:r>
      <w:r w:rsidRPr="001C1A26">
        <w:t xml:space="preserve"> 76. </w:t>
      </w:r>
      <w:proofErr w:type="gramStart"/>
      <w:r w:rsidRPr="001C1A26">
        <w:t>Princeton University Press.</w:t>
      </w:r>
      <w:proofErr w:type="gramEnd"/>
    </w:p>
    <w:p w:rsidR="006D276C" w:rsidRPr="001C1A26" w:rsidRDefault="006D276C" w:rsidP="004204E3">
      <w:pPr>
        <w:spacing w:line="240" w:lineRule="auto"/>
        <w:jc w:val="both"/>
      </w:pPr>
      <w:r>
        <w:t>Berg, Andrew, Carlos Goncalves, and Rafael Portillo, 2018, “How Do Floating Exchange Rates Attenuate the Cycle?</w:t>
      </w:r>
      <w:r w:rsidR="00A71E16">
        <w:t>”</w:t>
      </w:r>
      <w:r>
        <w:t xml:space="preserve">  International Monetary Fund, April 28.</w:t>
      </w:r>
    </w:p>
    <w:p w:rsidR="00932653" w:rsidRDefault="00932653" w:rsidP="00362E5C">
      <w:pPr>
        <w:spacing w:line="240" w:lineRule="auto"/>
        <w:jc w:val="both"/>
      </w:pPr>
      <w:proofErr w:type="spellStart"/>
      <w:r w:rsidRPr="00395593">
        <w:t>Broda</w:t>
      </w:r>
      <w:proofErr w:type="spellEnd"/>
      <w:r w:rsidRPr="00395593">
        <w:t xml:space="preserve">, Christian, 2004, "Terms of Trade and Exchange Rate Regimes in Developing Countries," </w:t>
      </w:r>
      <w:r w:rsidRPr="0089612C">
        <w:rPr>
          <w:i/>
        </w:rPr>
        <w:t>Journal of International Economics</w:t>
      </w:r>
      <w:r w:rsidRPr="00395593">
        <w:t xml:space="preserve">, 63(1), pp. 31-58.  </w:t>
      </w:r>
    </w:p>
    <w:p w:rsidR="00CE4E65" w:rsidRDefault="00CE4E65" w:rsidP="002654F3">
      <w:pPr>
        <w:spacing w:line="240" w:lineRule="auto"/>
        <w:jc w:val="both"/>
        <w:rPr>
          <w:rFonts w:cs="Arial"/>
          <w:color w:val="222222"/>
          <w:shd w:val="clear" w:color="auto" w:fill="FFFFFF"/>
        </w:rPr>
      </w:pPr>
      <w:r w:rsidRPr="00BF51EA">
        <w:rPr>
          <w:rFonts w:cs="Arial"/>
          <w:color w:val="222222"/>
          <w:shd w:val="clear" w:color="auto" w:fill="FFFFFF"/>
        </w:rPr>
        <w:t>Buiter, Willem, Giancarlo Corsetti, and Nouriel Roubini, 1993, "Excessive deficits: sense and nonsense in the Treaty of Maastricht." </w:t>
      </w:r>
      <w:r w:rsidRPr="00BF51EA">
        <w:rPr>
          <w:rFonts w:cs="Arial"/>
          <w:i/>
          <w:iCs/>
          <w:color w:val="222222"/>
          <w:shd w:val="clear" w:color="auto" w:fill="FFFFFF"/>
        </w:rPr>
        <w:t>Economic Policy</w:t>
      </w:r>
      <w:r w:rsidRPr="00BF51EA">
        <w:rPr>
          <w:rFonts w:cs="Arial"/>
          <w:color w:val="222222"/>
          <w:shd w:val="clear" w:color="auto" w:fill="FFFFFF"/>
        </w:rPr>
        <w:t> 8.16, pp. 57-100.</w:t>
      </w:r>
    </w:p>
    <w:p w:rsidR="00380D70" w:rsidRPr="002E2AD0" w:rsidRDefault="000773BD" w:rsidP="002654F3">
      <w:pPr>
        <w:spacing w:line="240" w:lineRule="auto"/>
        <w:jc w:val="both"/>
        <w:rPr>
          <w:rFonts w:cs="Arial"/>
          <w:color w:val="222222"/>
          <w:shd w:val="clear" w:color="auto" w:fill="FFFFFF"/>
        </w:rPr>
      </w:pPr>
      <w:hyperlink r:id="rId15" w:anchor="!" w:history="1">
        <w:r w:rsidR="00380D70" w:rsidRPr="003E02B6">
          <w:rPr>
            <w:rStyle w:val="text"/>
            <w:rFonts w:cs="Arial"/>
          </w:rPr>
          <w:t xml:space="preserve">Calderón, César, and </w:t>
        </w:r>
      </w:hyperlink>
      <w:bookmarkStart w:id="3" w:name="baep-author-id3"/>
      <w:r w:rsidR="00380D70" w:rsidRPr="003E02B6">
        <w:rPr>
          <w:rFonts w:cs="Arial"/>
        </w:rPr>
        <w:fldChar w:fldCharType="begin"/>
      </w:r>
      <w:r w:rsidR="00380D70" w:rsidRPr="003E02B6">
        <w:rPr>
          <w:rFonts w:cs="Arial"/>
        </w:rPr>
        <w:instrText xml:space="preserve"> HYPERLINK "https://www.sciencedirect.com/science/article/pii/S0022199606000833" \l "!" </w:instrText>
      </w:r>
      <w:r w:rsidR="00380D70" w:rsidRPr="003E02B6">
        <w:rPr>
          <w:rFonts w:cs="Arial"/>
        </w:rPr>
        <w:fldChar w:fldCharType="separate"/>
      </w:r>
      <w:r w:rsidR="00380D70" w:rsidRPr="003E02B6">
        <w:rPr>
          <w:rStyle w:val="text"/>
          <w:rFonts w:cs="Arial"/>
        </w:rPr>
        <w:t xml:space="preserve">Alberto Chong, 2007, </w:t>
      </w:r>
      <w:r w:rsidR="00380D70" w:rsidRPr="003E02B6">
        <w:rPr>
          <w:rFonts w:cs="Arial"/>
        </w:rPr>
        <w:fldChar w:fldCharType="end"/>
      </w:r>
      <w:bookmarkStart w:id="4" w:name="baep-author-id4"/>
      <w:bookmarkEnd w:id="3"/>
      <w:r w:rsidR="00380D70" w:rsidRPr="003E02B6">
        <w:rPr>
          <w:rFonts w:cs="Arial"/>
        </w:rPr>
        <w:t xml:space="preserve">“Trade Intensity and Business Cycle Synchronization: Are Developing Countries any Different?” </w:t>
      </w:r>
      <w:hyperlink r:id="rId16" w:anchor="!" w:history="1"/>
      <w:bookmarkEnd w:id="4"/>
      <w:r w:rsidR="00380D70" w:rsidRPr="003E02B6">
        <w:fldChar w:fldCharType="begin"/>
      </w:r>
      <w:r w:rsidR="00380D70" w:rsidRPr="003E02B6">
        <w:rPr>
          <w:i/>
        </w:rPr>
        <w:instrText xml:space="preserve"> HYPERLINK "https://www.sciencedirect.com/science/journal/00221996" \o "Go to Journal of International Economics on ScienceDirect" </w:instrText>
      </w:r>
      <w:r w:rsidR="00380D70" w:rsidRPr="003E02B6">
        <w:fldChar w:fldCharType="separate"/>
      </w:r>
      <w:r w:rsidR="00380D70" w:rsidRPr="003E02B6">
        <w:rPr>
          <w:rStyle w:val="Hyperlink"/>
          <w:rFonts w:cs="Arial"/>
          <w:i/>
          <w:color w:val="auto"/>
          <w:u w:val="none"/>
        </w:rPr>
        <w:t>Journal of International Economics</w:t>
      </w:r>
      <w:r w:rsidR="00380D70" w:rsidRPr="003E02B6">
        <w:rPr>
          <w:rStyle w:val="Hyperlink"/>
          <w:rFonts w:cs="Arial"/>
          <w:i/>
          <w:color w:val="auto"/>
          <w:u w:val="none"/>
        </w:rPr>
        <w:fldChar w:fldCharType="end"/>
      </w:r>
      <w:r w:rsidR="00380D70" w:rsidRPr="003E02B6">
        <w:rPr>
          <w:rStyle w:val="size-xl"/>
          <w:rFonts w:cs="Arial"/>
        </w:rPr>
        <w:t xml:space="preserve">, </w:t>
      </w:r>
      <w:hyperlink r:id="rId17" w:tooltip="Go to table of contents for this volume/issue" w:history="1">
        <w:r w:rsidR="00380D70" w:rsidRPr="003E02B6">
          <w:rPr>
            <w:rStyle w:val="Hyperlink"/>
            <w:rFonts w:cs="Arial"/>
            <w:color w:val="auto"/>
            <w:u w:val="none"/>
          </w:rPr>
          <w:t>Vol</w:t>
        </w:r>
        <w:r w:rsidR="002E2AD0">
          <w:rPr>
            <w:rStyle w:val="Hyperlink"/>
            <w:rFonts w:cs="Arial"/>
            <w:color w:val="auto"/>
            <w:u w:val="none"/>
          </w:rPr>
          <w:t>.</w:t>
        </w:r>
        <w:r w:rsidR="00380D70" w:rsidRPr="003E02B6">
          <w:rPr>
            <w:rStyle w:val="Hyperlink"/>
            <w:rFonts w:cs="Arial"/>
            <w:color w:val="auto"/>
            <w:u w:val="none"/>
          </w:rPr>
          <w:t xml:space="preserve"> 71, Issue 1</w:t>
        </w:r>
      </w:hyperlink>
      <w:r w:rsidR="00380D70" w:rsidRPr="003E02B6">
        <w:rPr>
          <w:rStyle w:val="size-m"/>
          <w:rFonts w:cs="Arial"/>
        </w:rPr>
        <w:t>,</w:t>
      </w:r>
      <w:proofErr w:type="gramStart"/>
      <w:r w:rsidR="00380D70" w:rsidRPr="003E02B6">
        <w:rPr>
          <w:rStyle w:val="size-m"/>
          <w:rFonts w:cs="Arial"/>
        </w:rPr>
        <w:t>  March</w:t>
      </w:r>
      <w:proofErr w:type="gramEnd"/>
      <w:r w:rsidR="00380D70" w:rsidRPr="003E02B6">
        <w:rPr>
          <w:rStyle w:val="size-m"/>
          <w:rFonts w:cs="Arial"/>
        </w:rPr>
        <w:t>, 2-21.</w:t>
      </w:r>
    </w:p>
    <w:p w:rsidR="00DF4D21" w:rsidRDefault="00DF4D21" w:rsidP="00DF4D21">
      <w:pPr>
        <w:spacing w:after="0" w:line="480" w:lineRule="auto"/>
        <w:ind w:left="720" w:hanging="720"/>
        <w:jc w:val="both"/>
      </w:pPr>
      <w:r w:rsidRPr="001C1A26">
        <w:t xml:space="preserve">Calvo, Guillermo, and Carmen Reinhart, 2002, “Fear of Floating,” </w:t>
      </w:r>
      <w:r w:rsidRPr="001C1A26">
        <w:rPr>
          <w:i/>
          <w:iCs/>
        </w:rPr>
        <w:t>Quarterly J</w:t>
      </w:r>
      <w:r>
        <w:rPr>
          <w:i/>
          <w:iCs/>
        </w:rPr>
        <w:t>ournal</w:t>
      </w:r>
      <w:r w:rsidRPr="001C1A26">
        <w:rPr>
          <w:i/>
          <w:iCs/>
        </w:rPr>
        <w:t xml:space="preserve"> of Economics</w:t>
      </w:r>
      <w:r>
        <w:t>, May.</w:t>
      </w:r>
    </w:p>
    <w:p w:rsidR="003E7577" w:rsidRDefault="00932653" w:rsidP="00DF4D21">
      <w:pPr>
        <w:spacing w:after="0" w:line="240" w:lineRule="auto"/>
        <w:jc w:val="both"/>
      </w:pPr>
      <w:proofErr w:type="gramStart"/>
      <w:r w:rsidRPr="001C1A26">
        <w:t xml:space="preserve">Calvo, Guillermo, and Carlos Vegh, 1994, “Inflation Stabilization and Nominal Anchors,” </w:t>
      </w:r>
      <w:r w:rsidRPr="001C1A26">
        <w:rPr>
          <w:i/>
          <w:iCs/>
        </w:rPr>
        <w:t>Contemporary Economic Policy</w:t>
      </w:r>
      <w:r w:rsidRPr="001C1A26">
        <w:t>, 12</w:t>
      </w:r>
      <w:r w:rsidR="00DF4D21">
        <w:t>, April</w:t>
      </w:r>
      <w:r w:rsidRPr="001C1A26">
        <w:t>.</w:t>
      </w:r>
      <w:proofErr w:type="gramEnd"/>
    </w:p>
    <w:p w:rsidR="007B03E9" w:rsidRPr="007B03E9" w:rsidRDefault="007B03E9" w:rsidP="007B03E9">
      <w:pPr>
        <w:spacing w:before="120" w:after="120" w:line="23" w:lineRule="atLeast"/>
        <w:rPr>
          <w:rFonts w:cs="Times New Roman"/>
          <w:shd w:val="clear" w:color="auto" w:fill="FFFFFF"/>
        </w:rPr>
      </w:pPr>
      <w:proofErr w:type="spellStart"/>
      <w:r w:rsidRPr="007B03E9">
        <w:rPr>
          <w:rFonts w:cs="Times New Roman"/>
          <w:shd w:val="clear" w:color="auto" w:fill="FFFFFF"/>
        </w:rPr>
        <w:t>Cashin</w:t>
      </w:r>
      <w:proofErr w:type="spellEnd"/>
      <w:r w:rsidRPr="007B03E9">
        <w:rPr>
          <w:rFonts w:cs="Times New Roman"/>
          <w:shd w:val="clear" w:color="auto" w:fill="FFFFFF"/>
        </w:rPr>
        <w:t xml:space="preserve">, Paul, Luis F. Céspedes, and </w:t>
      </w:r>
      <w:proofErr w:type="spellStart"/>
      <w:r w:rsidRPr="007B03E9">
        <w:rPr>
          <w:rFonts w:cs="Times New Roman"/>
          <w:shd w:val="clear" w:color="auto" w:fill="FFFFFF"/>
        </w:rPr>
        <w:t>Ratna</w:t>
      </w:r>
      <w:proofErr w:type="spellEnd"/>
      <w:r w:rsidRPr="007B03E9">
        <w:rPr>
          <w:rFonts w:cs="Times New Roman"/>
          <w:shd w:val="clear" w:color="auto" w:fill="FFFFFF"/>
        </w:rPr>
        <w:t xml:space="preserve"> Sahay, 2004, "Commodity Currencies and the Real Exchange Rate,"</w:t>
      </w:r>
      <w:r w:rsidRPr="007B03E9">
        <w:rPr>
          <w:rStyle w:val="apple-converted-space"/>
          <w:rFonts w:cs="Times New Roman"/>
          <w:shd w:val="clear" w:color="auto" w:fill="FFFFFF"/>
        </w:rPr>
        <w:t> </w:t>
      </w:r>
      <w:r w:rsidRPr="007B03E9">
        <w:rPr>
          <w:rFonts w:cs="Times New Roman"/>
          <w:i/>
          <w:iCs/>
          <w:shd w:val="clear" w:color="auto" w:fill="FFFFFF"/>
        </w:rPr>
        <w:t>Journal of Development Economics</w:t>
      </w:r>
      <w:r w:rsidRPr="007B03E9">
        <w:rPr>
          <w:rStyle w:val="apple-converted-space"/>
          <w:rFonts w:cs="Times New Roman"/>
          <w:shd w:val="clear" w:color="auto" w:fill="FFFFFF"/>
        </w:rPr>
        <w:t> </w:t>
      </w:r>
      <w:r w:rsidRPr="007B03E9">
        <w:rPr>
          <w:rFonts w:cs="Times New Roman"/>
          <w:shd w:val="clear" w:color="auto" w:fill="FFFFFF"/>
        </w:rPr>
        <w:t>75, no.1: 239-268.</w:t>
      </w:r>
    </w:p>
    <w:p w:rsidR="007B03E9" w:rsidRPr="007B03E9" w:rsidRDefault="007B03E9" w:rsidP="007B03E9">
      <w:pPr>
        <w:spacing w:before="120" w:after="120" w:line="23" w:lineRule="atLeast"/>
        <w:rPr>
          <w:rFonts w:cs="Times New Roman"/>
        </w:rPr>
      </w:pPr>
      <w:r w:rsidRPr="007B03E9">
        <w:rPr>
          <w:rFonts w:cs="Times New Roman"/>
          <w:shd w:val="clear" w:color="auto" w:fill="FFFFFF"/>
        </w:rPr>
        <w:t>Céspedes, Luis Felipe, and Andrés Velasco, 2012,"Macroeconomic Performance during Commodity Price Booms and Busts,"</w:t>
      </w:r>
      <w:r w:rsidRPr="007B03E9">
        <w:rPr>
          <w:rStyle w:val="apple-converted-space"/>
          <w:rFonts w:cs="Times New Roman"/>
          <w:shd w:val="clear" w:color="auto" w:fill="FFFFFF"/>
        </w:rPr>
        <w:t> </w:t>
      </w:r>
      <w:r w:rsidRPr="007B03E9">
        <w:rPr>
          <w:rFonts w:cs="Times New Roman"/>
          <w:i/>
          <w:iCs/>
          <w:shd w:val="clear" w:color="auto" w:fill="FFFFFF"/>
        </w:rPr>
        <w:t>IMF Economic Review</w:t>
      </w:r>
      <w:r w:rsidRPr="007B03E9">
        <w:rPr>
          <w:rStyle w:val="apple-converted-space"/>
          <w:rFonts w:cs="Times New Roman"/>
          <w:shd w:val="clear" w:color="auto" w:fill="FFFFFF"/>
        </w:rPr>
        <w:t> </w:t>
      </w:r>
      <w:r w:rsidRPr="007B03E9">
        <w:rPr>
          <w:rFonts w:cs="Times New Roman"/>
          <w:shd w:val="clear" w:color="auto" w:fill="FFFFFF"/>
        </w:rPr>
        <w:t>60, no.4: 570-599.</w:t>
      </w:r>
    </w:p>
    <w:p w:rsidR="002609A3" w:rsidRDefault="007B03E9" w:rsidP="007B03E9">
      <w:pPr>
        <w:spacing w:before="120" w:after="120" w:line="23" w:lineRule="atLeast"/>
        <w:rPr>
          <w:rFonts w:cs="Times New Roman"/>
          <w:shd w:val="clear" w:color="auto" w:fill="FFFFFF"/>
        </w:rPr>
      </w:pPr>
      <w:r w:rsidRPr="007B03E9">
        <w:rPr>
          <w:rFonts w:cs="Times New Roman"/>
          <w:shd w:val="clear" w:color="auto" w:fill="FFFFFF"/>
        </w:rPr>
        <w:lastRenderedPageBreak/>
        <w:t>Chen, Yu-chin, and Kenneth Rogoff, 2003, "Commodity Currencies,"</w:t>
      </w:r>
      <w:r w:rsidRPr="007B03E9">
        <w:rPr>
          <w:rStyle w:val="apple-converted-space"/>
          <w:rFonts w:cs="Times New Roman"/>
          <w:shd w:val="clear" w:color="auto" w:fill="FFFFFF"/>
        </w:rPr>
        <w:t> </w:t>
      </w:r>
      <w:r w:rsidRPr="007B03E9">
        <w:rPr>
          <w:rFonts w:cs="Times New Roman"/>
          <w:i/>
          <w:iCs/>
          <w:shd w:val="clear" w:color="auto" w:fill="FFFFFF"/>
        </w:rPr>
        <w:t>Journal of International Economics</w:t>
      </w:r>
      <w:r w:rsidRPr="007B03E9">
        <w:rPr>
          <w:rStyle w:val="apple-converted-space"/>
          <w:rFonts w:cs="Times New Roman"/>
          <w:shd w:val="clear" w:color="auto" w:fill="FFFFFF"/>
        </w:rPr>
        <w:t> </w:t>
      </w:r>
      <w:r w:rsidRPr="007B03E9">
        <w:rPr>
          <w:rFonts w:cs="Times New Roman"/>
          <w:shd w:val="clear" w:color="auto" w:fill="FFFFFF"/>
        </w:rPr>
        <w:t>60, no.1: 133-160.</w:t>
      </w:r>
    </w:p>
    <w:p w:rsidR="005955DC" w:rsidRDefault="005955DC" w:rsidP="005955DC">
      <w:pPr>
        <w:tabs>
          <w:tab w:val="left" w:pos="3705"/>
        </w:tabs>
        <w:spacing w:before="120" w:after="120" w:line="23" w:lineRule="atLeast"/>
        <w:rPr>
          <w:rFonts w:cs="Times New Roman"/>
          <w:shd w:val="clear" w:color="auto" w:fill="FFFFFF"/>
        </w:rPr>
      </w:pPr>
      <w:proofErr w:type="spellStart"/>
      <w:r>
        <w:rPr>
          <w:rFonts w:cs="Times New Roman"/>
          <w:shd w:val="clear" w:color="auto" w:fill="FFFFFF"/>
        </w:rPr>
        <w:t>Corden</w:t>
      </w:r>
      <w:proofErr w:type="spellEnd"/>
      <w:r>
        <w:rPr>
          <w:rFonts w:cs="Times New Roman"/>
          <w:shd w:val="clear" w:color="auto" w:fill="FFFFFF"/>
        </w:rPr>
        <w:t>, W. Maxwell, 1972</w:t>
      </w:r>
      <w:r w:rsidR="00A55163">
        <w:rPr>
          <w:rFonts w:cs="Times New Roman"/>
          <w:shd w:val="clear" w:color="auto" w:fill="FFFFFF"/>
        </w:rPr>
        <w:t xml:space="preserve">, </w:t>
      </w:r>
      <w:r w:rsidR="00A55163">
        <w:t>“</w:t>
      </w:r>
      <w:r>
        <w:t>Monetary Integration, Essays in International Finance," International Finance Section No. 93, Princeton University, Department of Economics</w:t>
      </w:r>
      <w:r>
        <w:rPr>
          <w:rFonts w:cs="Times New Roman"/>
          <w:shd w:val="clear" w:color="auto" w:fill="FFFFFF"/>
        </w:rPr>
        <w:t>.</w:t>
      </w:r>
    </w:p>
    <w:p w:rsidR="00FC16D7" w:rsidRDefault="00FC16D7" w:rsidP="00FC16D7">
      <w:pPr>
        <w:rPr>
          <w:rFonts w:cs="Arial"/>
          <w:shd w:val="clear" w:color="auto" w:fill="FFFFFF"/>
        </w:rPr>
      </w:pPr>
      <w:r w:rsidRPr="00FC16D7">
        <w:rPr>
          <w:rStyle w:val="addmd"/>
          <w:rFonts w:cs="Arial"/>
          <w:color w:val="333333"/>
          <w:shd w:val="clear" w:color="auto" w:fill="FFFFFF"/>
        </w:rPr>
        <w:t>Cossé</w:t>
      </w:r>
      <w:proofErr w:type="gramStart"/>
      <w:r w:rsidRPr="00FC16D7">
        <w:rPr>
          <w:rStyle w:val="addmd"/>
          <w:rFonts w:cs="Arial"/>
          <w:color w:val="333333"/>
          <w:shd w:val="clear" w:color="auto" w:fill="FFFFFF"/>
        </w:rPr>
        <w:t>,  Stéphane</w:t>
      </w:r>
      <w:proofErr w:type="gramEnd"/>
      <w:r>
        <w:rPr>
          <w:rStyle w:val="addmd"/>
          <w:rFonts w:cs="Arial"/>
          <w:color w:val="333333"/>
          <w:shd w:val="clear" w:color="auto" w:fill="FFFFFF"/>
        </w:rPr>
        <w:t>,</w:t>
      </w:r>
      <w:r w:rsidRPr="00FC16D7">
        <w:rPr>
          <w:rStyle w:val="addmd"/>
          <w:rFonts w:cs="Arial"/>
          <w:color w:val="333333"/>
          <w:shd w:val="clear" w:color="auto" w:fill="FFFFFF"/>
        </w:rPr>
        <w:t xml:space="preserve"> </w:t>
      </w:r>
      <w:r>
        <w:rPr>
          <w:rStyle w:val="addmd"/>
          <w:rFonts w:cs="Arial"/>
          <w:color w:val="333333"/>
          <w:shd w:val="clear" w:color="auto" w:fill="FFFFFF"/>
        </w:rPr>
        <w:t xml:space="preserve"> </w:t>
      </w:r>
      <w:r w:rsidRPr="00FC16D7">
        <w:rPr>
          <w:rStyle w:val="addmd"/>
          <w:rFonts w:cs="Arial"/>
          <w:color w:val="333333"/>
          <w:shd w:val="clear" w:color="auto" w:fill="FFFFFF"/>
        </w:rPr>
        <w:t xml:space="preserve"> Johannes Mueller, Jean Le Dem, </w:t>
      </w:r>
      <w:r>
        <w:rPr>
          <w:rStyle w:val="addmd"/>
          <w:rFonts w:cs="Arial"/>
          <w:color w:val="333333"/>
          <w:shd w:val="clear" w:color="auto" w:fill="FFFFFF"/>
        </w:rPr>
        <w:t xml:space="preserve">and </w:t>
      </w:r>
      <w:r w:rsidRPr="00FC16D7">
        <w:rPr>
          <w:rStyle w:val="addmd"/>
          <w:rFonts w:cs="Arial"/>
          <w:color w:val="333333"/>
          <w:shd w:val="clear" w:color="auto" w:fill="FFFFFF"/>
        </w:rPr>
        <w:t xml:space="preserve"> Jean A. P. Clément</w:t>
      </w:r>
      <w:r>
        <w:rPr>
          <w:rStyle w:val="addmd"/>
          <w:rFonts w:cs="Arial"/>
          <w:color w:val="333333"/>
          <w:shd w:val="clear" w:color="auto" w:fill="FFFFFF"/>
        </w:rPr>
        <w:t>, 1996</w:t>
      </w:r>
      <w:r>
        <w:rPr>
          <w:rFonts w:ascii="Arial" w:hAnsi="Arial" w:cs="Arial"/>
          <w:color w:val="333333"/>
          <w:sz w:val="18"/>
          <w:szCs w:val="18"/>
        </w:rPr>
        <w:t>,”  Aftermath of the CFA Franc Devaluation,”</w:t>
      </w:r>
      <w:r w:rsidRPr="00FC16D7">
        <w:rPr>
          <w:rFonts w:ascii="Arial" w:hAnsi="Arial" w:cs="Arial"/>
          <w:color w:val="333333"/>
          <w:shd w:val="clear" w:color="auto" w:fill="FFFFFF"/>
        </w:rPr>
        <w:t xml:space="preserve"> </w:t>
      </w:r>
      <w:r>
        <w:rPr>
          <w:rFonts w:ascii="Arial" w:hAnsi="Arial" w:cs="Arial"/>
          <w:color w:val="333333"/>
          <w:shd w:val="clear" w:color="auto" w:fill="FFFFFF"/>
        </w:rPr>
        <w:t> </w:t>
      </w:r>
      <w:hyperlink r:id="rId18" w:history="1">
        <w:r w:rsidRPr="00FC16D7">
          <w:rPr>
            <w:rStyle w:val="Hyperlink"/>
            <w:rFonts w:cs="Arial"/>
            <w:i/>
            <w:color w:val="auto"/>
            <w:u w:val="none"/>
          </w:rPr>
          <w:t>IMF Occasional Papers</w:t>
        </w:r>
      </w:hyperlink>
      <w:r>
        <w:rPr>
          <w:rFonts w:cs="Arial"/>
          <w:shd w:val="clear" w:color="auto" w:fill="FFFFFF"/>
        </w:rPr>
        <w:t> 138 (</w:t>
      </w:r>
      <w:r w:rsidRPr="00FC16D7">
        <w:rPr>
          <w:rFonts w:cs="Arial"/>
          <w:shd w:val="clear" w:color="auto" w:fill="FFFFFF"/>
        </w:rPr>
        <w:t>International Monetary Fund</w:t>
      </w:r>
      <w:r>
        <w:rPr>
          <w:rFonts w:cs="Arial"/>
          <w:shd w:val="clear" w:color="auto" w:fill="FFFFFF"/>
        </w:rPr>
        <w:t>)</w:t>
      </w:r>
      <w:r w:rsidRPr="00FC16D7">
        <w:rPr>
          <w:rFonts w:cs="Arial"/>
          <w:shd w:val="clear" w:color="auto" w:fill="FFFFFF"/>
        </w:rPr>
        <w:t>.</w:t>
      </w:r>
    </w:p>
    <w:p w:rsidR="004279C2" w:rsidRPr="004279C2" w:rsidRDefault="004279C2" w:rsidP="004279C2">
      <w:pPr>
        <w:pStyle w:val="volume-issue"/>
        <w:shd w:val="clear" w:color="auto" w:fill="FFFFFF"/>
        <w:spacing w:before="75" w:beforeAutospacing="0" w:after="75" w:afterAutospacing="0" w:line="263" w:lineRule="atLeast"/>
        <w:rPr>
          <w:rFonts w:asciiTheme="minorHAnsi" w:hAnsiTheme="minorHAnsi" w:cs="Arial"/>
          <w:sz w:val="22"/>
          <w:szCs w:val="22"/>
          <w:shd w:val="clear" w:color="auto" w:fill="FFFFFF"/>
        </w:rPr>
      </w:pPr>
      <w:r w:rsidRPr="004279C2">
        <w:rPr>
          <w:rFonts w:asciiTheme="minorHAnsi" w:hAnsiTheme="minorHAnsi" w:cs="Arial"/>
          <w:sz w:val="22"/>
          <w:szCs w:val="22"/>
          <w:shd w:val="clear" w:color="auto" w:fill="FFFFFF"/>
        </w:rPr>
        <w:t>Debrun, Xavier, Paul Masson, and Catherine Pattillo, 2005, “</w:t>
      </w:r>
      <w:r w:rsidRPr="004279C2">
        <w:rPr>
          <w:rFonts w:asciiTheme="minorHAnsi" w:hAnsiTheme="minorHAnsi" w:cs="Arial"/>
          <w:sz w:val="22"/>
          <w:szCs w:val="22"/>
        </w:rPr>
        <w:t xml:space="preserve">Monetary </w:t>
      </w:r>
      <w:r w:rsidR="00733ECF">
        <w:rPr>
          <w:rFonts w:asciiTheme="minorHAnsi" w:hAnsiTheme="minorHAnsi" w:cs="Arial"/>
          <w:sz w:val="22"/>
          <w:szCs w:val="22"/>
        </w:rPr>
        <w:t>U</w:t>
      </w:r>
      <w:r w:rsidRPr="004279C2">
        <w:rPr>
          <w:rFonts w:asciiTheme="minorHAnsi" w:hAnsiTheme="minorHAnsi" w:cs="Arial"/>
          <w:sz w:val="22"/>
          <w:szCs w:val="22"/>
        </w:rPr>
        <w:t xml:space="preserve">nion in West Africa: </w:t>
      </w:r>
      <w:r w:rsidR="00733ECF">
        <w:rPr>
          <w:rFonts w:asciiTheme="minorHAnsi" w:hAnsiTheme="minorHAnsi" w:cs="Arial"/>
          <w:sz w:val="22"/>
          <w:szCs w:val="22"/>
        </w:rPr>
        <w:t>W</w:t>
      </w:r>
      <w:r w:rsidRPr="004279C2">
        <w:rPr>
          <w:rFonts w:asciiTheme="minorHAnsi" w:hAnsiTheme="minorHAnsi" w:cs="Arial"/>
          <w:sz w:val="22"/>
          <w:szCs w:val="22"/>
        </w:rPr>
        <w:t xml:space="preserve">ho </w:t>
      </w:r>
      <w:r w:rsidR="00733ECF">
        <w:rPr>
          <w:rFonts w:asciiTheme="minorHAnsi" w:hAnsiTheme="minorHAnsi" w:cs="Arial"/>
          <w:sz w:val="22"/>
          <w:szCs w:val="22"/>
        </w:rPr>
        <w:t>M</w:t>
      </w:r>
      <w:r w:rsidRPr="004279C2">
        <w:rPr>
          <w:rFonts w:asciiTheme="minorHAnsi" w:hAnsiTheme="minorHAnsi" w:cs="Arial"/>
          <w:sz w:val="22"/>
          <w:szCs w:val="22"/>
        </w:rPr>
        <w:t xml:space="preserve">ight </w:t>
      </w:r>
      <w:r w:rsidR="00733ECF">
        <w:rPr>
          <w:rFonts w:asciiTheme="minorHAnsi" w:hAnsiTheme="minorHAnsi" w:cs="Arial"/>
          <w:sz w:val="22"/>
          <w:szCs w:val="22"/>
        </w:rPr>
        <w:t>G</w:t>
      </w:r>
      <w:r w:rsidRPr="004279C2">
        <w:rPr>
          <w:rFonts w:asciiTheme="minorHAnsi" w:hAnsiTheme="minorHAnsi" w:cs="Arial"/>
          <w:sz w:val="22"/>
          <w:szCs w:val="22"/>
        </w:rPr>
        <w:t xml:space="preserve">ain, </w:t>
      </w:r>
      <w:r w:rsidR="00733ECF">
        <w:rPr>
          <w:rFonts w:asciiTheme="minorHAnsi" w:hAnsiTheme="minorHAnsi" w:cs="Arial"/>
          <w:sz w:val="22"/>
          <w:szCs w:val="22"/>
        </w:rPr>
        <w:t>W</w:t>
      </w:r>
      <w:r w:rsidRPr="004279C2">
        <w:rPr>
          <w:rFonts w:asciiTheme="minorHAnsi" w:hAnsiTheme="minorHAnsi" w:cs="Arial"/>
          <w:sz w:val="22"/>
          <w:szCs w:val="22"/>
        </w:rPr>
        <w:t xml:space="preserve">ho </w:t>
      </w:r>
      <w:r w:rsidR="00733ECF">
        <w:rPr>
          <w:rFonts w:asciiTheme="minorHAnsi" w:hAnsiTheme="minorHAnsi" w:cs="Arial"/>
          <w:sz w:val="22"/>
          <w:szCs w:val="22"/>
        </w:rPr>
        <w:t>M</w:t>
      </w:r>
      <w:r w:rsidRPr="004279C2">
        <w:rPr>
          <w:rFonts w:asciiTheme="minorHAnsi" w:hAnsiTheme="minorHAnsi" w:cs="Arial"/>
          <w:sz w:val="22"/>
          <w:szCs w:val="22"/>
        </w:rPr>
        <w:t xml:space="preserve">ight </w:t>
      </w:r>
      <w:r w:rsidR="00733ECF">
        <w:rPr>
          <w:rFonts w:asciiTheme="minorHAnsi" w:hAnsiTheme="minorHAnsi" w:cs="Arial"/>
          <w:sz w:val="22"/>
          <w:szCs w:val="22"/>
        </w:rPr>
        <w:t>L</w:t>
      </w:r>
      <w:r w:rsidRPr="004279C2">
        <w:rPr>
          <w:rFonts w:asciiTheme="minorHAnsi" w:hAnsiTheme="minorHAnsi" w:cs="Arial"/>
          <w:sz w:val="22"/>
          <w:szCs w:val="22"/>
        </w:rPr>
        <w:t xml:space="preserve">ose, and </w:t>
      </w:r>
      <w:r w:rsidR="00733ECF">
        <w:rPr>
          <w:rFonts w:asciiTheme="minorHAnsi" w:hAnsiTheme="minorHAnsi" w:cs="Arial"/>
          <w:sz w:val="22"/>
          <w:szCs w:val="22"/>
        </w:rPr>
        <w:t>W</w:t>
      </w:r>
      <w:r w:rsidRPr="004279C2">
        <w:rPr>
          <w:rFonts w:asciiTheme="minorHAnsi" w:hAnsiTheme="minorHAnsi" w:cs="Arial"/>
          <w:sz w:val="22"/>
          <w:szCs w:val="22"/>
        </w:rPr>
        <w:t>hy</w:t>
      </w:r>
      <w:proofErr w:type="gramStart"/>
      <w:r w:rsidRPr="004279C2">
        <w:rPr>
          <w:rFonts w:asciiTheme="minorHAnsi" w:hAnsiTheme="minorHAnsi" w:cs="Arial"/>
          <w:sz w:val="22"/>
          <w:szCs w:val="22"/>
        </w:rPr>
        <w:t>?,</w:t>
      </w:r>
      <w:proofErr w:type="gramEnd"/>
      <w:r w:rsidRPr="004279C2">
        <w:rPr>
          <w:rFonts w:asciiTheme="minorHAnsi" w:hAnsiTheme="minorHAnsi" w:cs="Arial"/>
          <w:sz w:val="22"/>
          <w:szCs w:val="22"/>
        </w:rPr>
        <w:t xml:space="preserve">” </w:t>
      </w:r>
      <w:r w:rsidRPr="004279C2">
        <w:rPr>
          <w:rFonts w:asciiTheme="minorHAnsi" w:eastAsiaTheme="majorEastAsia" w:hAnsiTheme="minorHAnsi" w:cs="Arial"/>
          <w:bCs/>
          <w:sz w:val="22"/>
          <w:szCs w:val="22"/>
        </w:rPr>
        <w:t xml:space="preserve">Volume 38, </w:t>
      </w:r>
      <w:r w:rsidR="00733ECF">
        <w:rPr>
          <w:rFonts w:asciiTheme="minorHAnsi" w:eastAsiaTheme="majorEastAsia" w:hAnsiTheme="minorHAnsi" w:cs="Arial"/>
          <w:bCs/>
          <w:sz w:val="22"/>
          <w:szCs w:val="22"/>
        </w:rPr>
        <w:t>n</w:t>
      </w:r>
      <w:r w:rsidRPr="004279C2">
        <w:rPr>
          <w:rFonts w:asciiTheme="minorHAnsi" w:eastAsiaTheme="majorEastAsia" w:hAnsiTheme="minorHAnsi" w:cs="Arial"/>
          <w:bCs/>
          <w:sz w:val="22"/>
          <w:szCs w:val="22"/>
        </w:rPr>
        <w:t>o. 2</w:t>
      </w:r>
      <w:r w:rsidRPr="004279C2">
        <w:rPr>
          <w:rFonts w:asciiTheme="minorHAnsi" w:hAnsiTheme="minorHAnsi" w:cs="Arial"/>
          <w:bCs/>
          <w:sz w:val="22"/>
          <w:szCs w:val="22"/>
        </w:rPr>
        <w:t xml:space="preserve">, </w:t>
      </w:r>
      <w:r w:rsidRPr="004279C2">
        <w:rPr>
          <w:rFonts w:asciiTheme="minorHAnsi" w:hAnsiTheme="minorHAnsi" w:cs="Arial"/>
          <w:sz w:val="22"/>
          <w:szCs w:val="22"/>
        </w:rPr>
        <w:t>May, 454-481.</w:t>
      </w:r>
    </w:p>
    <w:p w:rsidR="00FC16D7" w:rsidRPr="004279C2" w:rsidRDefault="00A55163" w:rsidP="00FC16D7">
      <w:pPr>
        <w:pStyle w:val="Heading1"/>
        <w:shd w:val="clear" w:color="auto" w:fill="FFFFFF"/>
        <w:spacing w:before="0" w:after="263" w:line="300" w:lineRule="atLeast"/>
        <w:rPr>
          <w:rFonts w:asciiTheme="minorHAnsi" w:hAnsiTheme="minorHAnsi" w:cs="Arial"/>
          <w:b w:val="0"/>
          <w:color w:val="333333"/>
          <w:sz w:val="22"/>
          <w:szCs w:val="22"/>
        </w:rPr>
      </w:pPr>
      <w:r w:rsidRPr="004279C2">
        <w:rPr>
          <w:rFonts w:asciiTheme="minorHAnsi" w:hAnsiTheme="minorHAnsi" w:cs="Arial"/>
          <w:b w:val="0"/>
          <w:color w:val="333333"/>
          <w:sz w:val="22"/>
          <w:szCs w:val="22"/>
        </w:rPr>
        <w:t>Devarajan, Santayana</w:t>
      </w:r>
      <w:r>
        <w:rPr>
          <w:rFonts w:asciiTheme="minorHAnsi" w:hAnsiTheme="minorHAnsi" w:cs="Arial"/>
          <w:b w:val="0"/>
          <w:color w:val="333333"/>
          <w:sz w:val="22"/>
          <w:szCs w:val="22"/>
        </w:rPr>
        <w:t>,</w:t>
      </w:r>
      <w:r w:rsidRPr="004279C2">
        <w:rPr>
          <w:rFonts w:asciiTheme="minorHAnsi" w:hAnsiTheme="minorHAnsi" w:cs="Arial"/>
          <w:b w:val="0"/>
          <w:color w:val="333333"/>
          <w:sz w:val="22"/>
          <w:szCs w:val="22"/>
        </w:rPr>
        <w:t xml:space="preserve"> and Lawrence E. Hinkle, 1994, “The CFA Franc Parity Change: An Opportunity to Restore Growth and Reduce Poverty</w:t>
      </w:r>
      <w:r>
        <w:rPr>
          <w:rFonts w:asciiTheme="minorHAnsi" w:hAnsiTheme="minorHAnsi" w:cs="Arial"/>
          <w:b w:val="0"/>
          <w:color w:val="333333"/>
          <w:sz w:val="22"/>
          <w:szCs w:val="22"/>
        </w:rPr>
        <w:t>,</w:t>
      </w:r>
      <w:r w:rsidRPr="004279C2">
        <w:rPr>
          <w:rFonts w:asciiTheme="minorHAnsi" w:hAnsiTheme="minorHAnsi" w:cs="Arial"/>
          <w:color w:val="333333"/>
          <w:sz w:val="22"/>
          <w:szCs w:val="22"/>
        </w:rPr>
        <w:t xml:space="preserve">” </w:t>
      </w:r>
      <w:r w:rsidRPr="004279C2">
        <w:rPr>
          <w:rStyle w:val="HTMLCite"/>
          <w:rFonts w:asciiTheme="minorHAnsi" w:hAnsiTheme="minorHAnsi" w:cs="Arial"/>
          <w:b w:val="0"/>
          <w:color w:val="333333"/>
          <w:sz w:val="22"/>
          <w:szCs w:val="22"/>
        </w:rPr>
        <w:t xml:space="preserve">Africa Spectrum, </w:t>
      </w:r>
      <w:r w:rsidRPr="004279C2">
        <w:rPr>
          <w:rFonts w:asciiTheme="minorHAnsi" w:hAnsiTheme="minorHAnsi" w:cs="Arial"/>
          <w:b w:val="0"/>
          <w:color w:val="333333"/>
          <w:sz w:val="22"/>
          <w:szCs w:val="22"/>
        </w:rPr>
        <w:t>Vol. 29, No. 2; 131-151.</w:t>
      </w:r>
    </w:p>
    <w:p w:rsidR="002609A3" w:rsidRPr="002609A3" w:rsidRDefault="002609A3" w:rsidP="002609A3">
      <w:pPr>
        <w:spacing w:line="240" w:lineRule="auto"/>
      </w:pPr>
      <w:r w:rsidRPr="002609A3">
        <w:rPr>
          <w:rFonts w:cs="Arial"/>
        </w:rPr>
        <w:t>Di Giovanni, Julian, and Jay Shambaugh, 2008</w:t>
      </w:r>
      <w:r w:rsidR="00BB00C4">
        <w:rPr>
          <w:rFonts w:cs="Arial"/>
        </w:rPr>
        <w:t>,</w:t>
      </w:r>
      <w:r w:rsidRPr="002609A3">
        <w:rPr>
          <w:rFonts w:cs="Arial"/>
        </w:rPr>
        <w:t xml:space="preserve"> "The impact of foreign interest rates on the economy: The role of the exchange rate regime," </w:t>
      </w:r>
      <w:r w:rsidRPr="002609A3">
        <w:rPr>
          <w:rFonts w:cs="Arial"/>
          <w:i/>
          <w:iCs/>
        </w:rPr>
        <w:t>Journal of International Economics</w:t>
      </w:r>
      <w:r w:rsidRPr="002609A3">
        <w:rPr>
          <w:rFonts w:cs="Arial"/>
        </w:rPr>
        <w:t>.</w:t>
      </w:r>
    </w:p>
    <w:p w:rsidR="007B03E9" w:rsidRDefault="007B03E9" w:rsidP="007B03E9">
      <w:r w:rsidRPr="00395593">
        <w:t xml:space="preserve">Edwards, Sebastian, </w:t>
      </w:r>
      <w:r>
        <w:t xml:space="preserve">and Eduardo Levy Yeyati, 2005, </w:t>
      </w:r>
      <w:r w:rsidRPr="00395593">
        <w:t xml:space="preserve">“Flexible Exchange Rates as Shock Absorbers,”   </w:t>
      </w:r>
      <w:r w:rsidRPr="00395593">
        <w:rPr>
          <w:i/>
        </w:rPr>
        <w:t>European Economic Review</w:t>
      </w:r>
      <w:r w:rsidRPr="00395593">
        <w:t>, Vol. 49, Issue 8, November, pp. 2079-</w:t>
      </w:r>
      <w:r>
        <w:t>3</w:t>
      </w:r>
      <w:r w:rsidRPr="00395593">
        <w:t>0</w:t>
      </w:r>
      <w:r>
        <w:t>05</w:t>
      </w:r>
      <w:r w:rsidRPr="00395593">
        <w:t xml:space="preserve">.  </w:t>
      </w:r>
    </w:p>
    <w:p w:rsidR="00E07851" w:rsidRDefault="00E07851" w:rsidP="008C155B">
      <w:pPr>
        <w:spacing w:line="240" w:lineRule="auto"/>
        <w:rPr>
          <w:rFonts w:cs="Helvetica"/>
          <w:color w:val="333333"/>
          <w:spacing w:val="4"/>
          <w:shd w:val="clear" w:color="auto" w:fill="FCFCFC"/>
        </w:rPr>
      </w:pPr>
      <w:r w:rsidRPr="00BF51EA">
        <w:rPr>
          <w:rFonts w:cs="Helvetica"/>
          <w:color w:val="333333"/>
          <w:spacing w:val="4"/>
          <w:shd w:val="clear" w:color="auto" w:fill="FCFCFC"/>
        </w:rPr>
        <w:t xml:space="preserve">Eichengreen, Barry, 1992, “Is Europe an Optimum Currency Area?’ in: Silvio </w:t>
      </w:r>
      <w:proofErr w:type="spellStart"/>
      <w:r w:rsidRPr="00BF51EA">
        <w:rPr>
          <w:rFonts w:cs="Helvetica"/>
          <w:color w:val="333333"/>
          <w:spacing w:val="4"/>
          <w:shd w:val="clear" w:color="auto" w:fill="FCFCFC"/>
        </w:rPr>
        <w:t>Borner</w:t>
      </w:r>
      <w:proofErr w:type="spellEnd"/>
      <w:r w:rsidRPr="00BF51EA">
        <w:rPr>
          <w:rFonts w:cs="Helvetica"/>
          <w:color w:val="333333"/>
          <w:spacing w:val="4"/>
          <w:shd w:val="clear" w:color="auto" w:fill="FCFCFC"/>
        </w:rPr>
        <w:t xml:space="preserve"> and Herbert Grubel (eds.) </w:t>
      </w:r>
      <w:proofErr w:type="gramStart"/>
      <w:r w:rsidRPr="00BF51EA">
        <w:rPr>
          <w:rFonts w:cs="Helvetica"/>
          <w:i/>
          <w:color w:val="333333"/>
          <w:spacing w:val="4"/>
          <w:shd w:val="clear" w:color="auto" w:fill="FCFCFC"/>
        </w:rPr>
        <w:t>The</w:t>
      </w:r>
      <w:proofErr w:type="gramEnd"/>
      <w:r w:rsidRPr="00BF51EA">
        <w:rPr>
          <w:rFonts w:cs="Helvetica"/>
          <w:i/>
          <w:color w:val="333333"/>
          <w:spacing w:val="4"/>
          <w:shd w:val="clear" w:color="auto" w:fill="FCFCFC"/>
        </w:rPr>
        <w:t xml:space="preserve"> European Community after 1992</w:t>
      </w:r>
      <w:r w:rsidRPr="00BF51EA">
        <w:rPr>
          <w:rFonts w:cs="Helvetica"/>
          <w:color w:val="333333"/>
          <w:spacing w:val="4"/>
          <w:shd w:val="clear" w:color="auto" w:fill="FCFCFC"/>
        </w:rPr>
        <w:t xml:space="preserve"> (Palgrave Macmillan, London).</w:t>
      </w:r>
    </w:p>
    <w:p w:rsidR="00A06BC3" w:rsidRDefault="00840E7B" w:rsidP="00840E7B">
      <w:pPr>
        <w:spacing w:after="120" w:line="240" w:lineRule="auto"/>
        <w:jc w:val="both"/>
      </w:pPr>
      <w:r w:rsidRPr="001C1A26">
        <w:t>Frankel, Jeffrey</w:t>
      </w:r>
      <w:r>
        <w:t xml:space="preserve">, </w:t>
      </w:r>
      <w:r w:rsidRPr="001C1A26">
        <w:t>1999</w:t>
      </w:r>
      <w:r>
        <w:t>,</w:t>
      </w:r>
      <w:r w:rsidRPr="001C1A26">
        <w:t xml:space="preserve"> </w:t>
      </w:r>
      <w:r>
        <w:t>“</w:t>
      </w:r>
      <w:r w:rsidRPr="001C1A26">
        <w:t>No Single Exchange Rate Regime is Right for All Countries or at All Times.</w:t>
      </w:r>
      <w:r>
        <w:t xml:space="preserve">” </w:t>
      </w:r>
      <w:r>
        <w:rPr>
          <w:i/>
        </w:rPr>
        <w:t xml:space="preserve">Essays </w:t>
      </w:r>
      <w:r w:rsidRPr="001C1A26">
        <w:rPr>
          <w:i/>
        </w:rPr>
        <w:t>in International Finance,</w:t>
      </w:r>
      <w:r w:rsidRPr="001C1A26">
        <w:t xml:space="preserve"> Princeton: Princeton University Press, 215.</w:t>
      </w:r>
    </w:p>
    <w:p w:rsidR="00241376" w:rsidRDefault="00241376" w:rsidP="007B03E9">
      <w:pPr>
        <w:spacing w:after="120" w:line="240" w:lineRule="auto"/>
      </w:pPr>
      <w:r w:rsidRPr="007B03E9">
        <w:rPr>
          <w:bCs/>
          <w:spacing w:val="-3"/>
        </w:rPr>
        <w:t xml:space="preserve">Frankel, Jeffrey, </w:t>
      </w:r>
      <w:r w:rsidR="00DF1079" w:rsidRPr="007B03E9">
        <w:t xml:space="preserve">2005, </w:t>
      </w:r>
      <w:r w:rsidRPr="007B03E9">
        <w:t xml:space="preserve">“Contractionary Currency Crashes in Developing Countries,” </w:t>
      </w:r>
      <w:r w:rsidRPr="007B03E9">
        <w:rPr>
          <w:i/>
        </w:rPr>
        <w:t>IMF Staff Papers</w:t>
      </w:r>
      <w:r w:rsidRPr="007B03E9">
        <w:t>, 52, no. 2, 149-192</w:t>
      </w:r>
      <w:r w:rsidR="007B03E9">
        <w:t>.</w:t>
      </w:r>
    </w:p>
    <w:p w:rsidR="007B03E9" w:rsidRPr="007B03E9" w:rsidRDefault="007B03E9" w:rsidP="007B03E9">
      <w:pPr>
        <w:spacing w:before="120" w:after="120" w:line="23" w:lineRule="atLeast"/>
        <w:rPr>
          <w:rFonts w:ascii="Times New Roman" w:hAnsi="Times New Roman" w:cs="Times New Roman"/>
        </w:rPr>
      </w:pPr>
      <w:bookmarkStart w:id="5" w:name="OLE_LINK3"/>
      <w:r w:rsidRPr="007B03E9">
        <w:rPr>
          <w:bCs/>
          <w:spacing w:val="-3"/>
        </w:rPr>
        <w:t>Frankel, Jeffrey</w:t>
      </w:r>
      <w:r w:rsidRPr="00894890">
        <w:rPr>
          <w:rFonts w:ascii="Times New Roman" w:hAnsi="Times New Roman" w:cs="Times New Roman"/>
        </w:rPr>
        <w:t xml:space="preserve">, </w:t>
      </w:r>
      <w:r w:rsidRPr="007B03E9">
        <w:rPr>
          <w:rFonts w:cs="Times New Roman"/>
        </w:rPr>
        <w:t>2007, “</w:t>
      </w:r>
      <w:bookmarkEnd w:id="5"/>
      <w:r w:rsidRPr="007B03E9">
        <w:rPr>
          <w:rFonts w:cs="Times New Roman"/>
        </w:rPr>
        <w:t xml:space="preserve">On the Rand: Determinants of the South African Exchange Rate,” </w:t>
      </w:r>
      <w:r w:rsidRPr="007B03E9">
        <w:rPr>
          <w:rFonts w:cs="Times New Roman"/>
          <w:i/>
        </w:rPr>
        <w:t>South African Journal of Economics</w:t>
      </w:r>
      <w:r w:rsidRPr="007B03E9">
        <w:rPr>
          <w:rFonts w:cs="Times New Roman"/>
        </w:rPr>
        <w:t>, vol.75, no.3, September, pp. 425-441.</w:t>
      </w:r>
      <w:r w:rsidRPr="00894890">
        <w:rPr>
          <w:rFonts w:ascii="Times New Roman" w:hAnsi="Times New Roman" w:cs="Times New Roman"/>
        </w:rPr>
        <w:t xml:space="preserve">  </w:t>
      </w:r>
    </w:p>
    <w:p w:rsidR="003E02B6" w:rsidRPr="003E02B6" w:rsidRDefault="00A06BC3" w:rsidP="003E02B6">
      <w:pPr>
        <w:spacing w:after="0" w:line="240" w:lineRule="auto"/>
        <w:rPr>
          <w:sz w:val="16"/>
          <w:szCs w:val="16"/>
        </w:rPr>
      </w:pPr>
      <w:r>
        <w:rPr>
          <w:bCs/>
          <w:spacing w:val="-3"/>
        </w:rPr>
        <w:t>Frankel, Jeffrey</w:t>
      </w:r>
      <w:proofErr w:type="gramStart"/>
      <w:r>
        <w:rPr>
          <w:bCs/>
          <w:spacing w:val="-3"/>
        </w:rPr>
        <w:t xml:space="preserve">, </w:t>
      </w:r>
      <w:r w:rsidR="00595ACF">
        <w:rPr>
          <w:bCs/>
          <w:spacing w:val="-3"/>
        </w:rPr>
        <w:t xml:space="preserve"> </w:t>
      </w:r>
      <w:r>
        <w:rPr>
          <w:bCs/>
          <w:spacing w:val="-3"/>
        </w:rPr>
        <w:t>2010</w:t>
      </w:r>
      <w:proofErr w:type="gramEnd"/>
      <w:r>
        <w:rPr>
          <w:bCs/>
          <w:spacing w:val="-3"/>
        </w:rPr>
        <w:t xml:space="preserve">, </w:t>
      </w:r>
      <w:r w:rsidRPr="00B73BC1">
        <w:rPr>
          <w:bCs/>
        </w:rPr>
        <w:t xml:space="preserve">“The </w:t>
      </w:r>
      <w:r>
        <w:rPr>
          <w:bCs/>
        </w:rPr>
        <w:t>E</w:t>
      </w:r>
      <w:r w:rsidRPr="00B73BC1">
        <w:rPr>
          <w:bCs/>
        </w:rPr>
        <w:t xml:space="preserve">stimated </w:t>
      </w:r>
      <w:r>
        <w:rPr>
          <w:bCs/>
        </w:rPr>
        <w:t>E</w:t>
      </w:r>
      <w:r w:rsidRPr="00B73BC1">
        <w:rPr>
          <w:bCs/>
        </w:rPr>
        <w:t xml:space="preserve">ffects of the </w:t>
      </w:r>
      <w:r>
        <w:rPr>
          <w:bCs/>
        </w:rPr>
        <w:t>E</w:t>
      </w:r>
      <w:r w:rsidRPr="00B73BC1">
        <w:rPr>
          <w:bCs/>
        </w:rPr>
        <w:t xml:space="preserve">uro on </w:t>
      </w:r>
      <w:r>
        <w:rPr>
          <w:bCs/>
        </w:rPr>
        <w:t xml:space="preserve">Trade: </w:t>
      </w:r>
      <w:r w:rsidRPr="00B73BC1">
        <w:rPr>
          <w:bCs/>
        </w:rPr>
        <w:t xml:space="preserve">Why </w:t>
      </w:r>
      <w:r>
        <w:rPr>
          <w:bCs/>
        </w:rPr>
        <w:t>A</w:t>
      </w:r>
      <w:r w:rsidRPr="00B73BC1">
        <w:rPr>
          <w:bCs/>
        </w:rPr>
        <w:t xml:space="preserve">re </w:t>
      </w:r>
      <w:r>
        <w:rPr>
          <w:bCs/>
        </w:rPr>
        <w:t>T</w:t>
      </w:r>
      <w:r w:rsidRPr="00B73BC1">
        <w:rPr>
          <w:bCs/>
        </w:rPr>
        <w:t xml:space="preserve">hey </w:t>
      </w:r>
      <w:r>
        <w:rPr>
          <w:bCs/>
        </w:rPr>
        <w:t>B</w:t>
      </w:r>
      <w:r w:rsidRPr="00B73BC1">
        <w:rPr>
          <w:bCs/>
        </w:rPr>
        <w:t xml:space="preserve">elow </w:t>
      </w:r>
      <w:r>
        <w:rPr>
          <w:bCs/>
        </w:rPr>
        <w:t>H</w:t>
      </w:r>
      <w:r w:rsidRPr="00B73BC1">
        <w:rPr>
          <w:bCs/>
        </w:rPr>
        <w:t xml:space="preserve">istorical </w:t>
      </w:r>
      <w:r>
        <w:rPr>
          <w:bCs/>
        </w:rPr>
        <w:t>E</w:t>
      </w:r>
      <w:r w:rsidRPr="00B73BC1">
        <w:rPr>
          <w:bCs/>
        </w:rPr>
        <w:t xml:space="preserve">ffects of </w:t>
      </w:r>
      <w:r>
        <w:rPr>
          <w:bCs/>
        </w:rPr>
        <w:t>M</w:t>
      </w:r>
      <w:r w:rsidRPr="00B73BC1">
        <w:rPr>
          <w:bCs/>
        </w:rPr>
        <w:t xml:space="preserve">onetary </w:t>
      </w:r>
      <w:r>
        <w:rPr>
          <w:bCs/>
        </w:rPr>
        <w:t>U</w:t>
      </w:r>
      <w:r w:rsidRPr="00B73BC1">
        <w:rPr>
          <w:bCs/>
        </w:rPr>
        <w:t xml:space="preserve">nions </w:t>
      </w:r>
      <w:r>
        <w:rPr>
          <w:bCs/>
        </w:rPr>
        <w:t>A</w:t>
      </w:r>
      <w:r w:rsidRPr="00B73BC1">
        <w:rPr>
          <w:bCs/>
        </w:rPr>
        <w:t xml:space="preserve">mong </w:t>
      </w:r>
      <w:r>
        <w:rPr>
          <w:bCs/>
        </w:rPr>
        <w:t>S</w:t>
      </w:r>
      <w:r w:rsidRPr="00B73BC1">
        <w:rPr>
          <w:bCs/>
        </w:rPr>
        <w:t xml:space="preserve">maller </w:t>
      </w:r>
      <w:r>
        <w:rPr>
          <w:bCs/>
        </w:rPr>
        <w:t>C</w:t>
      </w:r>
      <w:r w:rsidRPr="00B73BC1">
        <w:rPr>
          <w:bCs/>
        </w:rPr>
        <w:t>ountries?”</w:t>
      </w:r>
      <w:r w:rsidRPr="00B73BC1">
        <w:t xml:space="preserve"> </w:t>
      </w:r>
      <w:r>
        <w:t xml:space="preserve">in </w:t>
      </w:r>
      <w:r w:rsidRPr="00B73BC1">
        <w:rPr>
          <w:i/>
          <w:iCs/>
        </w:rPr>
        <w:t xml:space="preserve">Europe and the Euro, </w:t>
      </w:r>
      <w:r w:rsidRPr="00B73BC1">
        <w:t>Alberto</w:t>
      </w:r>
      <w:r>
        <w:t xml:space="preserve"> Alesina and Francesco Giavazzi, eds. (Univ. of Chicago Press)</w:t>
      </w:r>
      <w:r w:rsidR="003E02B6">
        <w:t>,</w:t>
      </w:r>
      <w:r w:rsidRPr="00F7796E">
        <w:t xml:space="preserve"> </w:t>
      </w:r>
      <w:r>
        <w:t>169-218</w:t>
      </w:r>
      <w:r w:rsidRPr="003E02B6">
        <w:rPr>
          <w:sz w:val="16"/>
          <w:szCs w:val="16"/>
        </w:rPr>
        <w:t xml:space="preserve">.   </w:t>
      </w:r>
    </w:p>
    <w:p w:rsidR="00B77A64" w:rsidRPr="003E02B6" w:rsidRDefault="003E02B6" w:rsidP="003E02B6">
      <w:pPr>
        <w:spacing w:after="0" w:line="240" w:lineRule="auto"/>
        <w:rPr>
          <w:sz w:val="16"/>
          <w:szCs w:val="16"/>
        </w:rPr>
      </w:pPr>
      <w:r w:rsidRPr="003E02B6">
        <w:rPr>
          <w:sz w:val="16"/>
          <w:szCs w:val="16"/>
        </w:rPr>
        <w:br/>
      </w:r>
      <w:r w:rsidR="00B77A64" w:rsidRPr="00B77A64">
        <w:rPr>
          <w:bCs/>
          <w:spacing w:val="-3"/>
        </w:rPr>
        <w:t xml:space="preserve">Frankel, </w:t>
      </w:r>
      <w:r w:rsidR="009352B4">
        <w:rPr>
          <w:bCs/>
          <w:spacing w:val="-3"/>
        </w:rPr>
        <w:t xml:space="preserve">Jeffrey, 2011, </w:t>
      </w:r>
      <w:r w:rsidR="00B77A64" w:rsidRPr="00B77A64">
        <w:rPr>
          <w:bCs/>
          <w:spacing w:val="-3"/>
        </w:rPr>
        <w:t>“Are Bilateral Rem</w:t>
      </w:r>
      <w:r w:rsidR="009352B4">
        <w:rPr>
          <w:bCs/>
          <w:spacing w:val="-3"/>
        </w:rPr>
        <w:t xml:space="preserve">ittances Countercyclical?”  </w:t>
      </w:r>
      <w:r w:rsidR="009352B4" w:rsidRPr="009352B4">
        <w:rPr>
          <w:bCs/>
          <w:i/>
          <w:spacing w:val="-3"/>
        </w:rPr>
        <w:t>Open Economies Review</w:t>
      </w:r>
      <w:r w:rsidR="00E843C9">
        <w:rPr>
          <w:bCs/>
          <w:i/>
          <w:spacing w:val="-3"/>
        </w:rPr>
        <w:t xml:space="preserve">, </w:t>
      </w:r>
      <w:r w:rsidR="00E843C9" w:rsidRPr="00E843C9">
        <w:rPr>
          <w:bCs/>
          <w:spacing w:val="-3"/>
        </w:rPr>
        <w:t>22, 1, 1-16</w:t>
      </w:r>
      <w:r w:rsidR="009352B4" w:rsidRPr="00E843C9">
        <w:rPr>
          <w:bCs/>
          <w:spacing w:val="-3"/>
        </w:rPr>
        <w:t>.</w:t>
      </w:r>
    </w:p>
    <w:p w:rsidR="00380D70" w:rsidRPr="00380D70" w:rsidRDefault="003E02B6" w:rsidP="003E02B6">
      <w:pPr>
        <w:spacing w:line="240" w:lineRule="auto"/>
        <w:jc w:val="both"/>
        <w:rPr>
          <w:b/>
          <w:bCs/>
        </w:rPr>
      </w:pPr>
      <w:r w:rsidRPr="003E02B6">
        <w:rPr>
          <w:sz w:val="16"/>
          <w:szCs w:val="16"/>
        </w:rPr>
        <w:br/>
      </w:r>
      <w:proofErr w:type="gramStart"/>
      <w:r w:rsidR="00380D70" w:rsidRPr="001C1A26">
        <w:t>Frankel, Jeffrey, and Andr</w:t>
      </w:r>
      <w:r w:rsidR="00595ACF">
        <w:t xml:space="preserve">ew Rose, 1998, </w:t>
      </w:r>
      <w:r w:rsidR="00380D70">
        <w:t xml:space="preserve">“The Endogeneity </w:t>
      </w:r>
      <w:r w:rsidR="00380D70" w:rsidRPr="001C1A26">
        <w:t xml:space="preserve">of the Optimum Currency Area Criterion,” </w:t>
      </w:r>
      <w:r w:rsidR="00BD4BD8" w:rsidRPr="001E63BE">
        <w:rPr>
          <w:i/>
          <w:iCs/>
        </w:rPr>
        <w:t>The Economic Journal</w:t>
      </w:r>
      <w:r w:rsidR="00BD4BD8" w:rsidRPr="001E63BE">
        <w:t xml:space="preserve">, </w:t>
      </w:r>
      <w:hyperlink r:id="rId19" w:history="1">
        <w:r w:rsidR="00BD4BD8" w:rsidRPr="00BD4BD8">
          <w:rPr>
            <w:rStyle w:val="Hyperlink"/>
            <w:rFonts w:cs="Arial"/>
            <w:bCs/>
            <w:color w:val="auto"/>
            <w:u w:val="none"/>
          </w:rPr>
          <w:t>Volume</w:t>
        </w:r>
        <w:r w:rsidR="00BD4BD8" w:rsidRPr="00BD4BD8">
          <w:rPr>
            <w:rStyle w:val="Hyperlink"/>
            <w:rFonts w:eastAsiaTheme="majorEastAsia" w:cs="Arial"/>
            <w:bCs/>
            <w:color w:val="auto"/>
            <w:u w:val="none"/>
          </w:rPr>
          <w:t xml:space="preserve"> </w:t>
        </w:r>
        <w:r w:rsidR="00BD4BD8" w:rsidRPr="00BD4BD8">
          <w:rPr>
            <w:rStyle w:val="val"/>
            <w:rFonts w:cs="Arial"/>
            <w:bCs/>
          </w:rPr>
          <w:t>108</w:t>
        </w:r>
        <w:r w:rsidR="00BD4BD8" w:rsidRPr="00BD4BD8">
          <w:rPr>
            <w:rStyle w:val="Hyperlink"/>
            <w:rFonts w:cs="Arial"/>
            <w:bCs/>
            <w:color w:val="auto"/>
          </w:rPr>
          <w:t>,</w:t>
        </w:r>
        <w:r w:rsidR="00BD4BD8" w:rsidRPr="00BD4BD8">
          <w:rPr>
            <w:rStyle w:val="Hyperlink"/>
            <w:rFonts w:cs="Arial"/>
            <w:bCs/>
            <w:color w:val="auto"/>
            <w:u w:val="none"/>
          </w:rPr>
          <w:t> Issue</w:t>
        </w:r>
        <w:r w:rsidR="00BD4BD8" w:rsidRPr="00BD4BD8">
          <w:rPr>
            <w:rStyle w:val="Hyperlink"/>
            <w:rFonts w:eastAsiaTheme="majorEastAsia" w:cs="Arial"/>
            <w:bCs/>
            <w:color w:val="auto"/>
            <w:u w:val="none"/>
          </w:rPr>
          <w:t xml:space="preserve"> </w:t>
        </w:r>
        <w:r w:rsidR="00BD4BD8" w:rsidRPr="00BD4BD8">
          <w:rPr>
            <w:rStyle w:val="val"/>
            <w:rFonts w:cs="Arial"/>
            <w:bCs/>
          </w:rPr>
          <w:t>449</w:t>
        </w:r>
      </w:hyperlink>
      <w:r w:rsidR="00BD4BD8" w:rsidRPr="00BD4BD8">
        <w:rPr>
          <w:rFonts w:cs="Arial"/>
          <w:bCs/>
        </w:rPr>
        <w:t xml:space="preserve">, </w:t>
      </w:r>
      <w:r w:rsidR="00BD4BD8" w:rsidRPr="00BD4BD8">
        <w:rPr>
          <w:rFonts w:cs="Arial"/>
        </w:rPr>
        <w:t>July, 1009-1025</w:t>
      </w:r>
      <w:r w:rsidR="00BD4BD8">
        <w:rPr>
          <w:rFonts w:cs="Arial"/>
        </w:rPr>
        <w:t>.</w:t>
      </w:r>
      <w:proofErr w:type="gramEnd"/>
    </w:p>
    <w:p w:rsidR="00A06BC3" w:rsidRPr="001C1A26" w:rsidRDefault="00A06BC3" w:rsidP="0014100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rPr>
      </w:pPr>
      <w:r w:rsidRPr="001C1A26">
        <w:t>Frankel, Jeffrey, and Andrew Rose, 2002, “</w:t>
      </w:r>
      <w:r w:rsidRPr="001C1A26">
        <w:rPr>
          <w:snapToGrid w:val="0"/>
          <w:color w:val="000000"/>
        </w:rPr>
        <w:t xml:space="preserve">An Estimate of the Effect of Common Currencies on Trade and Income,” </w:t>
      </w:r>
      <w:r w:rsidRPr="001C1A26">
        <w:rPr>
          <w:i/>
          <w:snapToGrid w:val="0"/>
          <w:color w:val="000000"/>
        </w:rPr>
        <w:t>Quarterly Journal of Economics</w:t>
      </w:r>
      <w:r w:rsidRPr="001C1A26">
        <w:rPr>
          <w:snapToGrid w:val="0"/>
          <w:color w:val="000000"/>
        </w:rPr>
        <w:t>, Vol. 117</w:t>
      </w:r>
      <w:r w:rsidR="00380D70">
        <w:rPr>
          <w:snapToGrid w:val="0"/>
          <w:color w:val="000000"/>
        </w:rPr>
        <w:t>,</w:t>
      </w:r>
      <w:r w:rsidRPr="001C1A26">
        <w:rPr>
          <w:snapToGrid w:val="0"/>
          <w:color w:val="000000"/>
        </w:rPr>
        <w:t xml:space="preserve"> May, 437-466.</w:t>
      </w:r>
    </w:p>
    <w:p w:rsidR="003D7980" w:rsidRPr="003D7980" w:rsidRDefault="003D7980" w:rsidP="003D7980">
      <w:pPr>
        <w:spacing w:line="240" w:lineRule="auto"/>
        <w:rPr>
          <w:color w:val="000000"/>
        </w:rPr>
      </w:pPr>
      <w:r w:rsidRPr="003D7980">
        <w:rPr>
          <w:color w:val="000000"/>
        </w:rPr>
        <w:t xml:space="preserve">Frieden, Jeffry, 2014, </w:t>
      </w:r>
      <w:r w:rsidRPr="003D7980">
        <w:rPr>
          <w:rFonts w:cs="Arial"/>
          <w:i/>
          <w:color w:val="000000"/>
        </w:rPr>
        <w:t xml:space="preserve">Currency Politics: The Political Economy of Exchange Rate </w:t>
      </w:r>
      <w:proofErr w:type="gramStart"/>
      <w:r w:rsidRPr="003D7980">
        <w:rPr>
          <w:rFonts w:cs="Arial"/>
          <w:i/>
          <w:color w:val="000000"/>
        </w:rPr>
        <w:t>Policy</w:t>
      </w:r>
      <w:r w:rsidRPr="003D7980">
        <w:rPr>
          <w:rFonts w:cs="Arial"/>
          <w:b/>
          <w:i/>
          <w:color w:val="000000"/>
        </w:rPr>
        <w:t xml:space="preserve"> </w:t>
      </w:r>
      <w:r w:rsidRPr="003D7980">
        <w:rPr>
          <w:color w:val="000000"/>
        </w:rPr>
        <w:t xml:space="preserve"> (</w:t>
      </w:r>
      <w:proofErr w:type="gramEnd"/>
      <w:r w:rsidRPr="003D7980">
        <w:rPr>
          <w:color w:val="000000"/>
        </w:rPr>
        <w:t>Princeton University Press).</w:t>
      </w:r>
      <w:r w:rsidR="00056F7B">
        <w:rPr>
          <w:color w:val="000000"/>
        </w:rPr>
        <w:t xml:space="preserve">  </w:t>
      </w:r>
    </w:p>
    <w:p w:rsidR="006151B0" w:rsidRPr="006049E9" w:rsidRDefault="00BF5878" w:rsidP="006151B0">
      <w:pPr>
        <w:spacing w:line="240" w:lineRule="auto"/>
        <w:jc w:val="both"/>
        <w:rPr>
          <w:spacing w:val="-3"/>
        </w:rPr>
      </w:pPr>
      <w:r>
        <w:rPr>
          <w:spacing w:val="-3"/>
        </w:rPr>
        <w:t>Friedman, Milton, 1953,</w:t>
      </w:r>
      <w:r w:rsidR="006151B0" w:rsidRPr="001C1A26">
        <w:rPr>
          <w:spacing w:val="-3"/>
        </w:rPr>
        <w:t xml:space="preserve"> </w:t>
      </w:r>
      <w:r w:rsidR="006151B0">
        <w:rPr>
          <w:spacing w:val="-3"/>
        </w:rPr>
        <w:t>“</w:t>
      </w:r>
      <w:r w:rsidR="006151B0" w:rsidRPr="001C1A26">
        <w:rPr>
          <w:spacing w:val="-3"/>
        </w:rPr>
        <w:t>The Case for Flexible Exchange Rates</w:t>
      </w:r>
      <w:r w:rsidR="006151B0">
        <w:rPr>
          <w:spacing w:val="-3"/>
        </w:rPr>
        <w:t>”</w:t>
      </w:r>
      <w:r w:rsidR="006151B0" w:rsidRPr="001C1A26">
        <w:rPr>
          <w:spacing w:val="-3"/>
        </w:rPr>
        <w:t xml:space="preserve">. In </w:t>
      </w:r>
      <w:r w:rsidR="006E17AC" w:rsidRPr="001C1A26">
        <w:rPr>
          <w:spacing w:val="-3"/>
        </w:rPr>
        <w:t>M. Friedman</w:t>
      </w:r>
      <w:r w:rsidR="006151B0" w:rsidRPr="001C1A26">
        <w:rPr>
          <w:spacing w:val="-3"/>
        </w:rPr>
        <w:t xml:space="preserve">, </w:t>
      </w:r>
      <w:r w:rsidR="006151B0" w:rsidRPr="001C1A26">
        <w:rPr>
          <w:i/>
          <w:spacing w:val="-3"/>
        </w:rPr>
        <w:t>Essays in Positive Economics</w:t>
      </w:r>
      <w:r>
        <w:rPr>
          <w:spacing w:val="-3"/>
        </w:rPr>
        <w:t xml:space="preserve"> </w:t>
      </w:r>
      <w:r w:rsidR="006151B0">
        <w:rPr>
          <w:spacing w:val="-3"/>
        </w:rPr>
        <w:t>(</w:t>
      </w:r>
      <w:r w:rsidR="006151B0" w:rsidRPr="001C1A26">
        <w:rPr>
          <w:spacing w:val="-3"/>
        </w:rPr>
        <w:t>Chicago: University of Chicago Press</w:t>
      </w:r>
      <w:r w:rsidR="006151B0">
        <w:rPr>
          <w:spacing w:val="-3"/>
        </w:rPr>
        <w:t>)</w:t>
      </w:r>
      <w:r w:rsidR="006151B0" w:rsidRPr="001C1A26">
        <w:rPr>
          <w:spacing w:val="-3"/>
        </w:rPr>
        <w:t>, 157-203.</w:t>
      </w:r>
    </w:p>
    <w:p w:rsidR="006151B0" w:rsidRDefault="006151B0" w:rsidP="006151B0">
      <w:pPr>
        <w:spacing w:line="240" w:lineRule="auto"/>
        <w:jc w:val="both"/>
        <w:rPr>
          <w:b/>
        </w:rPr>
      </w:pPr>
      <w:r w:rsidRPr="001C1A26">
        <w:t xml:space="preserve">Glick, Reuven, and Andrew Rose, 2002, “Does a Currency Union Affect Trade? The Time Series Evidence,” </w:t>
      </w:r>
      <w:r w:rsidRPr="001C1A26">
        <w:rPr>
          <w:i/>
          <w:noProof/>
        </w:rPr>
        <w:t>European Economic Review</w:t>
      </w:r>
      <w:r w:rsidR="00380D70">
        <w:rPr>
          <w:noProof/>
        </w:rPr>
        <w:t>, Vol. 46, June</w:t>
      </w:r>
      <w:r w:rsidRPr="001C1A26">
        <w:rPr>
          <w:noProof/>
        </w:rPr>
        <w:t>, pp. 1125–51.</w:t>
      </w:r>
      <w:r w:rsidRPr="001C1A26">
        <w:rPr>
          <w:b/>
        </w:rPr>
        <w:t xml:space="preserve"> </w:t>
      </w:r>
    </w:p>
    <w:p w:rsidR="00E023C5" w:rsidRDefault="00E023C5" w:rsidP="00E023C5">
      <w:pPr>
        <w:autoSpaceDE w:val="0"/>
        <w:autoSpaceDN w:val="0"/>
        <w:adjustRightInd w:val="0"/>
      </w:pPr>
      <w:r>
        <w:lastRenderedPageBreak/>
        <w:t>Glick, Reuven, and Andrew</w:t>
      </w:r>
      <w:proofErr w:type="gramStart"/>
      <w:r>
        <w:t>  Rose</w:t>
      </w:r>
      <w:proofErr w:type="gramEnd"/>
      <w:r>
        <w:t xml:space="preserve">, 2016, “Currency Unions and Trade:  A Post‐EMU Reassessment,” </w:t>
      </w:r>
      <w:r w:rsidRPr="00076D96">
        <w:rPr>
          <w:rStyle w:val="HTMLCite"/>
          <w:shd w:val="clear" w:color="auto" w:fill="FFFFFF"/>
        </w:rPr>
        <w:t>European Economic Review</w:t>
      </w:r>
      <w:r w:rsidRPr="00076D96">
        <w:rPr>
          <w:shd w:val="clear" w:color="auto" w:fill="FFFFFF"/>
        </w:rPr>
        <w:t> 87, August, 78-91</w:t>
      </w:r>
      <w:r>
        <w:t xml:space="preserve">  </w:t>
      </w:r>
    </w:p>
    <w:p w:rsidR="007B03E9" w:rsidRPr="007B03E9" w:rsidRDefault="007B03E9" w:rsidP="007B03E9">
      <w:pPr>
        <w:spacing w:before="120" w:after="120" w:line="23" w:lineRule="atLeast"/>
        <w:rPr>
          <w:rFonts w:cs="Times New Roman"/>
          <w:color w:val="222222"/>
          <w:shd w:val="clear" w:color="auto" w:fill="FFFFFF"/>
        </w:rPr>
      </w:pPr>
      <w:r w:rsidRPr="007B03E9">
        <w:rPr>
          <w:rFonts w:cs="Times New Roman"/>
          <w:color w:val="222222"/>
          <w:shd w:val="clear" w:color="auto" w:fill="FFFFFF"/>
        </w:rPr>
        <w:t xml:space="preserve">Habib, Maurizio Michael, and Margarita M. </w:t>
      </w:r>
      <w:proofErr w:type="spellStart"/>
      <w:r w:rsidRPr="007B03E9">
        <w:rPr>
          <w:rFonts w:cs="Times New Roman"/>
          <w:color w:val="222222"/>
          <w:shd w:val="clear" w:color="auto" w:fill="FFFFFF"/>
        </w:rPr>
        <w:t>Kalamova</w:t>
      </w:r>
      <w:proofErr w:type="spellEnd"/>
      <w:r w:rsidRPr="007B03E9">
        <w:rPr>
          <w:rFonts w:cs="Times New Roman"/>
          <w:color w:val="222222"/>
          <w:shd w:val="clear" w:color="auto" w:fill="FFFFFF"/>
        </w:rPr>
        <w:t>, 2007, "Are There Oil Currencies? The Real Exchange Rate of Oil Exporting Countries," BIS Working Paper 839, December.</w:t>
      </w:r>
    </w:p>
    <w:p w:rsidR="006151B0" w:rsidRDefault="006151B0" w:rsidP="006151B0">
      <w:pPr>
        <w:spacing w:line="240" w:lineRule="auto"/>
        <w:outlineLvl w:val="3"/>
      </w:pPr>
      <w:r w:rsidRPr="001F48D8">
        <w:t xml:space="preserve">Hanke, Steven H. and Kurt Schuler, 1994, </w:t>
      </w:r>
      <w:hyperlink r:id="rId20" w:history="1">
        <w:r w:rsidRPr="00D66AA8">
          <w:rPr>
            <w:rStyle w:val="Hyperlink"/>
            <w:bCs/>
            <w:i/>
            <w:color w:val="auto"/>
            <w:u w:val="none"/>
          </w:rPr>
          <w:t xml:space="preserve">Currency Boards </w:t>
        </w:r>
        <w:r w:rsidRPr="00D66AA8">
          <w:rPr>
            <w:rStyle w:val="Hyperlink"/>
            <w:i/>
            <w:color w:val="auto"/>
            <w:u w:val="none"/>
          </w:rPr>
          <w:t>for Developing Countries: A Handbook</w:t>
        </w:r>
      </w:hyperlink>
      <w:r>
        <w:rPr>
          <w:i/>
        </w:rPr>
        <w:t xml:space="preserve"> </w:t>
      </w:r>
      <w:r w:rsidRPr="001F48D8">
        <w:t>(</w:t>
      </w:r>
      <w:r>
        <w:rPr>
          <w:color w:val="000000"/>
        </w:rPr>
        <w:t>ICS Press, San Francisco</w:t>
      </w:r>
      <w:r w:rsidRPr="001F48D8">
        <w:t>)</w:t>
      </w:r>
      <w:r>
        <w:t>.</w:t>
      </w:r>
    </w:p>
    <w:p w:rsidR="00A47ABE" w:rsidRPr="00A47ABE" w:rsidRDefault="00A47ABE" w:rsidP="00A47ABE">
      <w:pPr>
        <w:jc w:val="both"/>
      </w:pPr>
      <w:r w:rsidRPr="001C1A26">
        <w:t>Husain, Asim, Ashoka Mody</w:t>
      </w:r>
      <w:r>
        <w:t>, and</w:t>
      </w:r>
      <w:r w:rsidRPr="001C1A26">
        <w:t xml:space="preserve"> Kenneth Rogoff, 2005, “Exchange Rate Regime Durability and Performance in Developing Vs. Advanced Economies” </w:t>
      </w:r>
      <w:r w:rsidRPr="001C1A26">
        <w:rPr>
          <w:i/>
          <w:iCs/>
        </w:rPr>
        <w:t>J</w:t>
      </w:r>
      <w:r>
        <w:rPr>
          <w:i/>
          <w:iCs/>
        </w:rPr>
        <w:t xml:space="preserve">ournal of Monetary </w:t>
      </w:r>
      <w:r w:rsidR="00A55163">
        <w:rPr>
          <w:i/>
          <w:iCs/>
        </w:rPr>
        <w:t xml:space="preserve">Economics </w:t>
      </w:r>
      <w:r w:rsidR="00A55163" w:rsidRPr="00A55163">
        <w:rPr>
          <w:iCs/>
        </w:rPr>
        <w:t>52</w:t>
      </w:r>
      <w:r w:rsidRPr="00A55163">
        <w:t>,</w:t>
      </w:r>
      <w:r w:rsidRPr="001C1A26">
        <w:t xml:space="preserve"> Jan., 35-64</w:t>
      </w:r>
      <w:r>
        <w:t>.</w:t>
      </w:r>
    </w:p>
    <w:p w:rsidR="004D5095" w:rsidRDefault="00E07851" w:rsidP="00E07851">
      <w:pPr>
        <w:spacing w:line="240" w:lineRule="auto"/>
        <w:rPr>
          <w:rFonts w:cs="Arial"/>
          <w:color w:val="222222"/>
          <w:shd w:val="clear" w:color="auto" w:fill="FFFFFF"/>
        </w:rPr>
      </w:pPr>
      <w:r w:rsidRPr="00BF51EA">
        <w:rPr>
          <w:rFonts w:cs="Arial"/>
          <w:color w:val="222222"/>
          <w:shd w:val="clear" w:color="auto" w:fill="FFFFFF"/>
        </w:rPr>
        <w:t>Jonung, Lars, and Eoin Drea, 2009, “</w:t>
      </w:r>
      <w:r w:rsidRPr="00BF51EA">
        <w:rPr>
          <w:rFonts w:cs="Arial"/>
          <w:iCs/>
          <w:color w:val="222222"/>
          <w:shd w:val="clear" w:color="auto" w:fill="FFFFFF"/>
        </w:rPr>
        <w:t xml:space="preserve">The </w:t>
      </w:r>
      <w:r w:rsidR="00595ACF">
        <w:rPr>
          <w:rFonts w:cs="Arial"/>
          <w:iCs/>
          <w:color w:val="222222"/>
          <w:shd w:val="clear" w:color="auto" w:fill="FFFFFF"/>
        </w:rPr>
        <w:t>E</w:t>
      </w:r>
      <w:r w:rsidRPr="00BF51EA">
        <w:rPr>
          <w:rFonts w:cs="Arial"/>
          <w:iCs/>
          <w:color w:val="222222"/>
          <w:shd w:val="clear" w:color="auto" w:fill="FFFFFF"/>
        </w:rPr>
        <w:t xml:space="preserve">uro: It </w:t>
      </w:r>
      <w:r w:rsidR="00595ACF">
        <w:rPr>
          <w:rFonts w:cs="Arial"/>
          <w:iCs/>
          <w:color w:val="222222"/>
          <w:shd w:val="clear" w:color="auto" w:fill="FFFFFF"/>
        </w:rPr>
        <w:t>Can't H</w:t>
      </w:r>
      <w:r w:rsidRPr="00BF51EA">
        <w:rPr>
          <w:rFonts w:cs="Arial"/>
          <w:iCs/>
          <w:color w:val="222222"/>
          <w:shd w:val="clear" w:color="auto" w:fill="FFFFFF"/>
        </w:rPr>
        <w:t xml:space="preserve">appen, It's a </w:t>
      </w:r>
      <w:r w:rsidR="00595ACF">
        <w:rPr>
          <w:rFonts w:cs="Arial"/>
          <w:iCs/>
          <w:color w:val="222222"/>
          <w:shd w:val="clear" w:color="auto" w:fill="FFFFFF"/>
        </w:rPr>
        <w:t>B</w:t>
      </w:r>
      <w:r w:rsidRPr="00BF51EA">
        <w:rPr>
          <w:rFonts w:cs="Arial"/>
          <w:iCs/>
          <w:color w:val="222222"/>
          <w:shd w:val="clear" w:color="auto" w:fill="FFFFFF"/>
        </w:rPr>
        <w:t xml:space="preserve">ad </w:t>
      </w:r>
      <w:r w:rsidR="00595ACF">
        <w:rPr>
          <w:rFonts w:cs="Arial"/>
          <w:iCs/>
          <w:color w:val="222222"/>
          <w:shd w:val="clear" w:color="auto" w:fill="FFFFFF"/>
        </w:rPr>
        <w:t xml:space="preserve">Idea, </w:t>
      </w:r>
      <w:proofErr w:type="gramStart"/>
      <w:r w:rsidR="00595ACF">
        <w:rPr>
          <w:rFonts w:cs="Arial"/>
          <w:iCs/>
          <w:color w:val="222222"/>
          <w:shd w:val="clear" w:color="auto" w:fill="FFFFFF"/>
        </w:rPr>
        <w:t>It</w:t>
      </w:r>
      <w:proofErr w:type="gramEnd"/>
      <w:r w:rsidR="00595ACF">
        <w:rPr>
          <w:rFonts w:cs="Arial"/>
          <w:iCs/>
          <w:color w:val="222222"/>
          <w:shd w:val="clear" w:color="auto" w:fill="FFFFFF"/>
        </w:rPr>
        <w:t xml:space="preserve"> W</w:t>
      </w:r>
      <w:r w:rsidRPr="00BF51EA">
        <w:rPr>
          <w:rFonts w:cs="Arial"/>
          <w:iCs/>
          <w:color w:val="222222"/>
          <w:shd w:val="clear" w:color="auto" w:fill="FFFFFF"/>
        </w:rPr>
        <w:t xml:space="preserve">on't </w:t>
      </w:r>
      <w:r w:rsidR="00595ACF">
        <w:rPr>
          <w:rFonts w:cs="Arial"/>
          <w:iCs/>
          <w:color w:val="222222"/>
          <w:shd w:val="clear" w:color="auto" w:fill="FFFFFF"/>
        </w:rPr>
        <w:t>L</w:t>
      </w:r>
      <w:r w:rsidRPr="00BF51EA">
        <w:rPr>
          <w:rFonts w:cs="Arial"/>
          <w:iCs/>
          <w:color w:val="222222"/>
          <w:shd w:val="clear" w:color="auto" w:fill="FFFFFF"/>
        </w:rPr>
        <w:t xml:space="preserve">ast. </w:t>
      </w:r>
      <w:proofErr w:type="gramStart"/>
      <w:r w:rsidRPr="00BF51EA">
        <w:rPr>
          <w:rFonts w:cs="Arial"/>
          <w:iCs/>
          <w:color w:val="222222"/>
          <w:shd w:val="clear" w:color="auto" w:fill="FFFFFF"/>
        </w:rPr>
        <w:t xml:space="preserve">US </w:t>
      </w:r>
      <w:r w:rsidR="00595ACF">
        <w:rPr>
          <w:rFonts w:cs="Arial"/>
          <w:iCs/>
          <w:color w:val="222222"/>
          <w:shd w:val="clear" w:color="auto" w:fill="FFFFFF"/>
        </w:rPr>
        <w:t>E</w:t>
      </w:r>
      <w:r w:rsidRPr="00BF51EA">
        <w:rPr>
          <w:rFonts w:cs="Arial"/>
          <w:iCs/>
          <w:color w:val="222222"/>
          <w:shd w:val="clear" w:color="auto" w:fill="FFFFFF"/>
        </w:rPr>
        <w:t>conomists on the EMU, 1989-2002</w:t>
      </w:r>
      <w:r w:rsidRPr="00BF51EA">
        <w:rPr>
          <w:rFonts w:cs="Arial"/>
          <w:color w:val="222222"/>
          <w:shd w:val="clear" w:color="auto" w:fill="FFFFFF"/>
        </w:rPr>
        <w:t>,” No. 395.</w:t>
      </w:r>
      <w:proofErr w:type="gramEnd"/>
      <w:r w:rsidRPr="00BF51EA">
        <w:rPr>
          <w:rFonts w:cs="Arial"/>
          <w:color w:val="222222"/>
          <w:shd w:val="clear" w:color="auto" w:fill="FFFFFF"/>
        </w:rPr>
        <w:t xml:space="preserve"> </w:t>
      </w:r>
      <w:proofErr w:type="gramStart"/>
      <w:r w:rsidRPr="00BF51EA">
        <w:rPr>
          <w:rFonts w:cs="Arial"/>
          <w:color w:val="222222"/>
          <w:shd w:val="clear" w:color="auto" w:fill="FFFFFF"/>
        </w:rPr>
        <w:t>Directorate General Economic and Financial Affairs (DG ECFIN), European Commission.</w:t>
      </w:r>
      <w:proofErr w:type="gramEnd"/>
    </w:p>
    <w:p w:rsidR="004D5095" w:rsidRPr="00E843C9" w:rsidRDefault="004D5095" w:rsidP="00595ACF">
      <w:pPr>
        <w:shd w:val="clear" w:color="auto" w:fill="FFFFFF"/>
        <w:rPr>
          <w:rFonts w:cs="Arial"/>
          <w:color w:val="000000"/>
        </w:rPr>
      </w:pPr>
      <w:r w:rsidRPr="00E843C9">
        <w:rPr>
          <w:rFonts w:cs="Arial"/>
          <w:color w:val="222222"/>
          <w:shd w:val="clear" w:color="auto" w:fill="FFFFFF"/>
        </w:rPr>
        <w:t xml:space="preserve">Kaminsky, Graciela, Carmen Reinhart, and </w:t>
      </w:r>
      <w:r w:rsidRPr="00E843C9">
        <w:rPr>
          <w:rStyle w:val="entryauthor"/>
          <w:rFonts w:cs="Arial"/>
          <w:bCs/>
          <w:color w:val="000000"/>
        </w:rPr>
        <w:t>Carlos A. Végh</w:t>
      </w:r>
      <w:r w:rsidRPr="00E843C9">
        <w:rPr>
          <w:rFonts w:cs="Arial"/>
          <w:color w:val="222222"/>
          <w:shd w:val="clear" w:color="auto" w:fill="FFFFFF"/>
        </w:rPr>
        <w:t>,</w:t>
      </w:r>
      <w:r w:rsidR="00BD081E">
        <w:rPr>
          <w:rFonts w:cs="Arial"/>
          <w:color w:val="222222"/>
          <w:shd w:val="clear" w:color="auto" w:fill="FFFFFF"/>
        </w:rPr>
        <w:t xml:space="preserve"> 2004, </w:t>
      </w:r>
      <w:r w:rsidRPr="00E843C9">
        <w:rPr>
          <w:rFonts w:cs="Arial"/>
          <w:color w:val="222222"/>
          <w:shd w:val="clear" w:color="auto" w:fill="FFFFFF"/>
        </w:rPr>
        <w:t>“</w:t>
      </w:r>
      <w:r w:rsidRPr="00E843C9">
        <w:rPr>
          <w:rFonts w:cs="Arial"/>
          <w:color w:val="000000"/>
        </w:rPr>
        <w:t>When It Rains, It Pours: Procyclical Capital Flows and Macroeconomic Policies,</w:t>
      </w:r>
      <w:r w:rsidR="00A55163" w:rsidRPr="00E843C9">
        <w:rPr>
          <w:rFonts w:cs="Arial"/>
          <w:color w:val="000000"/>
        </w:rPr>
        <w:t xml:space="preserve">” </w:t>
      </w:r>
      <w:r w:rsidR="00A55163" w:rsidRPr="00A55163">
        <w:rPr>
          <w:rFonts w:cs="Arial"/>
          <w:i/>
          <w:color w:val="000000"/>
        </w:rPr>
        <w:t>NBER</w:t>
      </w:r>
      <w:r w:rsidR="00E843C9" w:rsidRPr="00A55163">
        <w:rPr>
          <w:rFonts w:cs="Arial"/>
          <w:i/>
          <w:iCs/>
          <w:color w:val="000000"/>
          <w:shd w:val="clear" w:color="auto" w:fill="FFFFFF"/>
        </w:rPr>
        <w:t xml:space="preserve"> Macroeconomics</w:t>
      </w:r>
      <w:r w:rsidR="00E843C9" w:rsidRPr="00E843C9">
        <w:rPr>
          <w:rFonts w:cs="Arial"/>
          <w:i/>
          <w:iCs/>
          <w:color w:val="000000"/>
          <w:shd w:val="clear" w:color="auto" w:fill="FFFFFF"/>
        </w:rPr>
        <w:t xml:space="preserve"> Annual</w:t>
      </w:r>
      <w:r w:rsidR="00E843C9" w:rsidRPr="00E843C9">
        <w:rPr>
          <w:rFonts w:cs="Arial"/>
          <w:color w:val="000000"/>
          <w:shd w:val="clear" w:color="auto" w:fill="FFFFFF"/>
        </w:rPr>
        <w:t> </w:t>
      </w:r>
      <w:proofErr w:type="gramStart"/>
      <w:r w:rsidR="00E843C9" w:rsidRPr="00E843C9">
        <w:rPr>
          <w:rFonts w:cs="Arial"/>
          <w:color w:val="000000"/>
          <w:shd w:val="clear" w:color="auto" w:fill="FFFFFF"/>
        </w:rPr>
        <w:t>19 :</w:t>
      </w:r>
      <w:proofErr w:type="gramEnd"/>
      <w:r w:rsidR="00E843C9" w:rsidRPr="00E843C9">
        <w:rPr>
          <w:rFonts w:cs="Arial"/>
          <w:color w:val="000000"/>
          <w:shd w:val="clear" w:color="auto" w:fill="FFFFFF"/>
        </w:rPr>
        <w:t xml:space="preserve"> 11-53</w:t>
      </w:r>
      <w:r w:rsidR="00E843C9" w:rsidRPr="00E843C9">
        <w:rPr>
          <w:rFonts w:cs="Arial"/>
          <w:color w:val="000000"/>
          <w:sz w:val="21"/>
          <w:szCs w:val="21"/>
          <w:shd w:val="clear" w:color="auto" w:fill="FFFFFF"/>
        </w:rPr>
        <w:t>.</w:t>
      </w:r>
    </w:p>
    <w:p w:rsidR="00C269BB" w:rsidRPr="00C269BB" w:rsidRDefault="00C269BB" w:rsidP="00C269BB">
      <w:pPr>
        <w:pStyle w:val="Heading3"/>
        <w:shd w:val="clear" w:color="auto" w:fill="FFFFFF"/>
        <w:spacing w:before="0" w:after="30" w:line="285" w:lineRule="atLeast"/>
        <w:rPr>
          <w:rFonts w:asciiTheme="minorHAnsi" w:hAnsiTheme="minorHAnsi" w:cs="Arial"/>
          <w:b w:val="0"/>
          <w:bCs w:val="0"/>
          <w:color w:val="222222"/>
        </w:rPr>
      </w:pPr>
      <w:r w:rsidRPr="00C269BB">
        <w:rPr>
          <w:rFonts w:asciiTheme="minorHAnsi" w:hAnsiTheme="minorHAnsi" w:cs="Arial"/>
          <w:b w:val="0"/>
          <w:color w:val="222222"/>
          <w:shd w:val="clear" w:color="auto" w:fill="FFFFFF"/>
        </w:rPr>
        <w:t xml:space="preserve">Kenen, Peter, 1969, </w:t>
      </w:r>
      <w:r>
        <w:rPr>
          <w:rFonts w:asciiTheme="minorHAnsi" w:hAnsiTheme="minorHAnsi" w:cs="Arial"/>
          <w:b w:val="0"/>
          <w:color w:val="222222"/>
          <w:shd w:val="clear" w:color="auto" w:fill="FFFFFF"/>
        </w:rPr>
        <w:t>“</w:t>
      </w:r>
      <w:r w:rsidRPr="00C269BB">
        <w:rPr>
          <w:rFonts w:asciiTheme="minorHAnsi" w:hAnsiTheme="minorHAnsi" w:cs="Arial"/>
          <w:b w:val="0"/>
          <w:bCs w:val="0"/>
          <w:color w:val="222222"/>
        </w:rPr>
        <w:t>The </w:t>
      </w:r>
      <w:r w:rsidRPr="00C269BB">
        <w:rPr>
          <w:rFonts w:asciiTheme="minorHAnsi" w:hAnsiTheme="minorHAnsi" w:cs="Arial"/>
          <w:b w:val="0"/>
          <w:color w:val="000000"/>
        </w:rPr>
        <w:t>Optimum Currency Area</w:t>
      </w:r>
      <w:r w:rsidRPr="00C269BB">
        <w:rPr>
          <w:rFonts w:asciiTheme="minorHAnsi" w:hAnsiTheme="minorHAnsi" w:cs="Arial"/>
          <w:b w:val="0"/>
          <w:bCs w:val="0"/>
          <w:color w:val="222222"/>
        </w:rPr>
        <w:t>: An Eclectic View</w:t>
      </w:r>
      <w:r>
        <w:rPr>
          <w:rFonts w:asciiTheme="minorHAnsi" w:hAnsiTheme="minorHAnsi" w:cs="Arial"/>
          <w:b w:val="0"/>
          <w:bCs w:val="0"/>
          <w:color w:val="222222"/>
        </w:rPr>
        <w:t>,”</w:t>
      </w:r>
      <w:r w:rsidRPr="00C269BB">
        <w:rPr>
          <w:rFonts w:asciiTheme="minorHAnsi" w:hAnsiTheme="minorHAnsi" w:cs="Arial"/>
          <w:b w:val="0"/>
          <w:bCs w:val="0"/>
          <w:color w:val="222222"/>
        </w:rPr>
        <w:t xml:space="preserve"> in Robert Mundell and Alexandre Swoboda, editors, </w:t>
      </w:r>
      <w:r w:rsidRPr="00C269BB">
        <w:rPr>
          <w:rFonts w:asciiTheme="minorHAnsi" w:hAnsiTheme="minorHAnsi" w:cs="Arial"/>
          <w:b w:val="0"/>
          <w:bCs w:val="0"/>
          <w:i/>
          <w:color w:val="222222"/>
        </w:rPr>
        <w:t xml:space="preserve">Monetary Problems of the International Economy </w:t>
      </w:r>
      <w:r w:rsidRPr="00C269BB">
        <w:rPr>
          <w:rFonts w:asciiTheme="minorHAnsi" w:hAnsiTheme="minorHAnsi" w:cs="Arial"/>
          <w:b w:val="0"/>
          <w:color w:val="222222"/>
          <w:shd w:val="clear" w:color="auto" w:fill="FFFFFF"/>
        </w:rPr>
        <w:t>(University of Chicago Press: Chicago).</w:t>
      </w:r>
      <w:r w:rsidRPr="00C269BB">
        <w:rPr>
          <w:rFonts w:asciiTheme="minorHAnsi" w:hAnsiTheme="minorHAnsi" w:cs="Arial"/>
          <w:b w:val="0"/>
          <w:color w:val="222222"/>
          <w:shd w:val="clear" w:color="auto" w:fill="FFFFFF"/>
        </w:rPr>
        <w:br/>
      </w:r>
    </w:p>
    <w:p w:rsidR="00912474" w:rsidRPr="00912474" w:rsidRDefault="00912474" w:rsidP="00912474">
      <w:pPr>
        <w:spacing w:line="240" w:lineRule="auto"/>
        <w:jc w:val="both"/>
      </w:pPr>
      <w:proofErr w:type="gramStart"/>
      <w:r w:rsidRPr="001C1A26">
        <w:t>Klein, Michael, and Nancy Marion.</w:t>
      </w:r>
      <w:proofErr w:type="gramEnd"/>
      <w:r w:rsidRPr="001C1A26">
        <w:t xml:space="preserve"> 1997</w:t>
      </w:r>
      <w:r>
        <w:t>, “</w:t>
      </w:r>
      <w:r w:rsidRPr="001C1A26">
        <w:t>Explaining the Duration of Exchange-Rate Pegs</w:t>
      </w:r>
      <w:r>
        <w:t>,”</w:t>
      </w:r>
      <w:r w:rsidRPr="001C1A26">
        <w:t xml:space="preserve"> </w:t>
      </w:r>
      <w:r w:rsidRPr="001C1A26">
        <w:rPr>
          <w:i/>
        </w:rPr>
        <w:t>Journal of Development Economics</w:t>
      </w:r>
      <w:r w:rsidRPr="001C1A26">
        <w:t xml:space="preserve"> 54(2):387-404.</w:t>
      </w:r>
    </w:p>
    <w:p w:rsidR="00D06782" w:rsidRDefault="00D06782" w:rsidP="00912474">
      <w:pPr>
        <w:spacing w:line="240" w:lineRule="auto"/>
        <w:jc w:val="both"/>
      </w:pPr>
      <w:r w:rsidRPr="00551FF7">
        <w:t>Klein, Michael</w:t>
      </w:r>
      <w:r>
        <w:t xml:space="preserve">, and Jay </w:t>
      </w:r>
      <w:r w:rsidRPr="00551FF7">
        <w:t>Shambaugh, 2006, “Fixed Exchange Rates</w:t>
      </w:r>
      <w:r>
        <w:t xml:space="preserve"> and </w:t>
      </w:r>
      <w:r w:rsidRPr="00551FF7">
        <w:t>Trade</w:t>
      </w:r>
      <w:r w:rsidR="00D66AA8">
        <w:t>,</w:t>
      </w:r>
      <w:r w:rsidRPr="00551FF7">
        <w:t xml:space="preserve">” </w:t>
      </w:r>
      <w:r w:rsidRPr="00551FF7">
        <w:rPr>
          <w:i/>
        </w:rPr>
        <w:t>Journal of International Economics</w:t>
      </w:r>
      <w:r w:rsidRPr="00551FF7">
        <w:t>, 70 (2), 359-383.</w:t>
      </w:r>
    </w:p>
    <w:p w:rsidR="00BB00C4" w:rsidRPr="00BB00C4" w:rsidRDefault="00BB00C4" w:rsidP="00BB00C4">
      <w:pPr>
        <w:shd w:val="clear" w:color="auto" w:fill="FFFFFF"/>
        <w:textAlignment w:val="baseline"/>
        <w:rPr>
          <w:rFonts w:ascii="inherit" w:hAnsi="inherit"/>
          <w:color w:val="6F3035"/>
          <w:sz w:val="30"/>
          <w:szCs w:val="30"/>
          <w:bdr w:val="none" w:sz="0" w:space="0" w:color="auto" w:frame="1"/>
        </w:rPr>
      </w:pPr>
      <w:r w:rsidRPr="00BB00C4">
        <w:rPr>
          <w:rFonts w:cs="Arial"/>
          <w:shd w:val="clear" w:color="auto" w:fill="FFFFFF"/>
        </w:rPr>
        <w:t>Klein, Michael, and Jay Shambaugh,</w:t>
      </w:r>
      <w:r>
        <w:rPr>
          <w:rFonts w:cs="Arial"/>
          <w:shd w:val="clear" w:color="auto" w:fill="FFFFFF"/>
        </w:rPr>
        <w:t xml:space="preserve"> 2012, </w:t>
      </w:r>
      <w:r w:rsidRPr="00BB00C4">
        <w:rPr>
          <w:rFonts w:cs="Arial"/>
          <w:i/>
          <w:shd w:val="clear" w:color="auto" w:fill="FFFFFF"/>
        </w:rPr>
        <w:t>Exchange Rate Regimes in the Modern Era</w:t>
      </w:r>
      <w:r>
        <w:rPr>
          <w:rFonts w:cs="Arial"/>
          <w:shd w:val="clear" w:color="auto" w:fill="FFFFFF"/>
        </w:rPr>
        <w:t xml:space="preserve"> (MIT Press: Cambridge).</w:t>
      </w:r>
    </w:p>
    <w:p w:rsidR="00BB00C4" w:rsidRDefault="00BB00C4" w:rsidP="00BB00C4">
      <w:pPr>
        <w:shd w:val="clear" w:color="auto" w:fill="FFFFFF"/>
        <w:textAlignment w:val="baseline"/>
        <w:rPr>
          <w:rFonts w:cs="Arial"/>
          <w:shd w:val="clear" w:color="auto" w:fill="FFFFFF"/>
        </w:rPr>
      </w:pPr>
      <w:r w:rsidRPr="00BB00C4">
        <w:rPr>
          <w:rFonts w:cs="Arial"/>
          <w:shd w:val="clear" w:color="auto" w:fill="FFFFFF"/>
        </w:rPr>
        <w:t>Klein, Michael, and Jay Shambaugh, 201</w:t>
      </w:r>
      <w:r>
        <w:rPr>
          <w:rFonts w:cs="Arial"/>
          <w:shd w:val="clear" w:color="auto" w:fill="FFFFFF"/>
        </w:rPr>
        <w:t xml:space="preserve">6, </w:t>
      </w:r>
      <w:r w:rsidRPr="00BB00C4">
        <w:rPr>
          <w:rFonts w:cs="Arial"/>
          <w:shd w:val="clear" w:color="auto" w:fill="FFFFFF"/>
        </w:rPr>
        <w:t>“</w:t>
      </w:r>
      <w:r w:rsidRPr="00BB00C4">
        <w:t xml:space="preserve">Rounding the Corners of the Policy Trilemma: Sources of Monetary Policy Autonomy,” </w:t>
      </w:r>
      <w:r>
        <w:t xml:space="preserve">  </w:t>
      </w:r>
      <w:r w:rsidRPr="00BB00C4">
        <w:rPr>
          <w:i/>
        </w:rPr>
        <w:t xml:space="preserve">American Economic </w:t>
      </w:r>
      <w:proofErr w:type="gramStart"/>
      <w:r w:rsidRPr="00BB00C4">
        <w:rPr>
          <w:i/>
        </w:rPr>
        <w:t>Journal</w:t>
      </w:r>
      <w:r>
        <w:t xml:space="preserve"> ,</w:t>
      </w:r>
      <w:proofErr w:type="gramEnd"/>
      <w:r>
        <w:t xml:space="preserve"> vol. 7, no. 4, Oct. </w:t>
      </w:r>
      <w:hyperlink r:id="rId21" w:history="1">
        <w:r w:rsidRPr="00BB00C4">
          <w:rPr>
            <w:rStyle w:val="Hyperlink"/>
            <w:color w:val="6F3035"/>
            <w:u w:val="none"/>
            <w:bdr w:val="none" w:sz="0" w:space="0" w:color="auto" w:frame="1"/>
          </w:rPr>
          <w:t>,</w:t>
        </w:r>
      </w:hyperlink>
      <w:r w:rsidRPr="00BB00C4">
        <w:rPr>
          <w:color w:val="353C3F"/>
        </w:rPr>
        <w:t xml:space="preserve"> 33-66.</w:t>
      </w:r>
      <w:r>
        <w:rPr>
          <w:rFonts w:ascii="inherit" w:hAnsi="inherit"/>
          <w:color w:val="6F3035"/>
          <w:sz w:val="30"/>
          <w:szCs w:val="30"/>
          <w:bdr w:val="none" w:sz="0" w:space="0" w:color="auto" w:frame="1"/>
        </w:rPr>
        <w:t xml:space="preserve"> </w:t>
      </w:r>
    </w:p>
    <w:p w:rsidR="00D06782" w:rsidRPr="00974455" w:rsidRDefault="000773BD" w:rsidP="004204E3">
      <w:pPr>
        <w:spacing w:line="240" w:lineRule="auto"/>
        <w:jc w:val="both"/>
        <w:rPr>
          <w:snapToGrid w:val="0"/>
          <w:color w:val="000000"/>
        </w:rPr>
      </w:pPr>
      <w:proofErr w:type="gramStart"/>
      <w:r>
        <w:rPr>
          <w:snapToGrid w:val="0"/>
          <w:color w:val="000000"/>
        </w:rPr>
        <w:t xml:space="preserve">Larrain, Felipe, </w:t>
      </w:r>
      <w:r w:rsidR="00D06782" w:rsidRPr="001C1A26">
        <w:rPr>
          <w:snapToGrid w:val="0"/>
          <w:color w:val="000000"/>
        </w:rPr>
        <w:t>and Andres Velasco.</w:t>
      </w:r>
      <w:proofErr w:type="gramEnd"/>
      <w:r w:rsidR="00D06782" w:rsidRPr="001C1A26">
        <w:rPr>
          <w:snapToGrid w:val="0"/>
          <w:color w:val="000000"/>
        </w:rPr>
        <w:t xml:space="preserve"> 2001. Exchange Rate Policy in Emerging Markets: The Case for Floating. </w:t>
      </w:r>
      <w:r w:rsidR="00D06782" w:rsidRPr="001C1A26">
        <w:rPr>
          <w:i/>
          <w:snapToGrid w:val="0"/>
          <w:color w:val="000000"/>
        </w:rPr>
        <w:t xml:space="preserve">Studies in International Economics no. </w:t>
      </w:r>
      <w:r w:rsidR="00D06782">
        <w:rPr>
          <w:snapToGrid w:val="0"/>
          <w:color w:val="000000"/>
        </w:rPr>
        <w:t>224</w:t>
      </w:r>
      <w:r w:rsidR="00D06782" w:rsidRPr="001C1A26">
        <w:rPr>
          <w:snapToGrid w:val="0"/>
          <w:color w:val="000000"/>
        </w:rPr>
        <w:t xml:space="preserve"> </w:t>
      </w:r>
      <w:r w:rsidR="00D06782">
        <w:rPr>
          <w:snapToGrid w:val="0"/>
          <w:color w:val="000000"/>
        </w:rPr>
        <w:t>(</w:t>
      </w:r>
      <w:r w:rsidR="00D06782" w:rsidRPr="001C1A26">
        <w:rPr>
          <w:snapToGrid w:val="0"/>
          <w:color w:val="000000"/>
        </w:rPr>
        <w:t>Princeton NJ: Princeton University Press</w:t>
      </w:r>
      <w:r w:rsidR="00D06782">
        <w:rPr>
          <w:snapToGrid w:val="0"/>
          <w:color w:val="000000"/>
        </w:rPr>
        <w:t>)</w:t>
      </w:r>
      <w:r w:rsidR="00D06782" w:rsidRPr="001C1A26">
        <w:rPr>
          <w:snapToGrid w:val="0"/>
          <w:color w:val="000000"/>
        </w:rPr>
        <w:t xml:space="preserve">. </w:t>
      </w:r>
    </w:p>
    <w:p w:rsidR="00D06782" w:rsidRPr="00974455" w:rsidRDefault="00D06782" w:rsidP="00912474">
      <w:pPr>
        <w:spacing w:line="240" w:lineRule="auto"/>
      </w:pPr>
      <w:proofErr w:type="gramStart"/>
      <w:r w:rsidRPr="00974455">
        <w:t xml:space="preserve">Levy Yeyati, Eduardo, and Federico Sturzenegger, 2001, “Exchange Rate Regimes and Economic Performance,” </w:t>
      </w:r>
      <w:r w:rsidRPr="00974455">
        <w:rPr>
          <w:i/>
        </w:rPr>
        <w:t>IMF Staff Papers</w:t>
      </w:r>
      <w:r w:rsidR="00D66AA8">
        <w:rPr>
          <w:i/>
        </w:rPr>
        <w:t>,</w:t>
      </w:r>
      <w:r w:rsidR="00D66AA8">
        <w:t xml:space="preserve"> February</w:t>
      </w:r>
      <w:r w:rsidRPr="00974455">
        <w:t>.</w:t>
      </w:r>
      <w:proofErr w:type="gramEnd"/>
      <w:r w:rsidRPr="00974455">
        <w:t xml:space="preserve"> </w:t>
      </w:r>
    </w:p>
    <w:p w:rsidR="00D06782" w:rsidRDefault="00D06782" w:rsidP="00912474">
      <w:pPr>
        <w:spacing w:line="240" w:lineRule="auto"/>
      </w:pPr>
      <w:r w:rsidRPr="00974455">
        <w:t xml:space="preserve">Levy-Yeyati, Eduardo, and Federico Sturzenegger, 2003, “To Float or to Trail: Evidence on the Impact of Exchange Rate Regimes on Growth,” </w:t>
      </w:r>
      <w:r w:rsidRPr="00974455">
        <w:rPr>
          <w:i/>
          <w:iCs/>
        </w:rPr>
        <w:t>American Economic Review, </w:t>
      </w:r>
      <w:r w:rsidRPr="00974455">
        <w:t>93(4), Sept. 1173–1193.</w:t>
      </w:r>
    </w:p>
    <w:p w:rsidR="00273AA4" w:rsidRPr="00A06BC3" w:rsidRDefault="00273AA4" w:rsidP="00912474">
      <w:pPr>
        <w:spacing w:line="240" w:lineRule="auto"/>
      </w:pPr>
      <w:r>
        <w:rPr>
          <w:color w:val="333333"/>
        </w:rPr>
        <w:t xml:space="preserve">Mangeni, Francis, </w:t>
      </w:r>
      <w:r w:rsidRPr="001708F8">
        <w:rPr>
          <w:color w:val="333333"/>
        </w:rPr>
        <w:t>2018</w:t>
      </w:r>
      <w:r>
        <w:rPr>
          <w:color w:val="333333"/>
        </w:rPr>
        <w:t>,</w:t>
      </w:r>
      <w:r w:rsidRPr="001708F8">
        <w:rPr>
          <w:color w:val="333333"/>
          <w:shd w:val="clear" w:color="auto" w:fill="FCFCFC"/>
        </w:rPr>
        <w:t xml:space="preserve"> “Making African Trade Work,” </w:t>
      </w:r>
      <w:r w:rsidRPr="003E02B6">
        <w:rPr>
          <w:i/>
          <w:color w:val="333333"/>
          <w:shd w:val="clear" w:color="auto" w:fill="FCFCFC"/>
        </w:rPr>
        <w:t>Project Syndicate</w:t>
      </w:r>
      <w:r>
        <w:rPr>
          <w:color w:val="333333"/>
          <w:shd w:val="clear" w:color="auto" w:fill="FCFCFC"/>
        </w:rPr>
        <w:t xml:space="preserve">, </w:t>
      </w:r>
      <w:r w:rsidRPr="001708F8">
        <w:rPr>
          <w:color w:val="333333"/>
        </w:rPr>
        <w:t>May 11</w:t>
      </w:r>
      <w:r>
        <w:rPr>
          <w:color w:val="333333"/>
        </w:rPr>
        <w:t>.</w:t>
      </w:r>
    </w:p>
    <w:p w:rsidR="00D06782" w:rsidRPr="006049E9" w:rsidRDefault="00D06782" w:rsidP="00B93F40">
      <w:pPr>
        <w:spacing w:line="240" w:lineRule="auto"/>
        <w:jc w:val="both"/>
        <w:rPr>
          <w:spacing w:val="-3"/>
        </w:rPr>
      </w:pPr>
      <w:proofErr w:type="gramStart"/>
      <w:r w:rsidRPr="001C1A26">
        <w:rPr>
          <w:spacing w:val="-3"/>
        </w:rPr>
        <w:t xml:space="preserve">McKinnon, Ronald, 1963, “Optimum Currency Areas,” </w:t>
      </w:r>
      <w:r w:rsidRPr="001C1A26">
        <w:rPr>
          <w:i/>
          <w:iCs/>
          <w:spacing w:val="-3"/>
        </w:rPr>
        <w:t>American Economic Review,</w:t>
      </w:r>
      <w:r w:rsidRPr="001C1A26">
        <w:rPr>
          <w:spacing w:val="-3"/>
        </w:rPr>
        <w:t xml:space="preserve"> </w:t>
      </w:r>
      <w:r>
        <w:rPr>
          <w:spacing w:val="-3"/>
        </w:rPr>
        <w:t>53.</w:t>
      </w:r>
      <w:proofErr w:type="gramEnd"/>
      <w:r>
        <w:rPr>
          <w:spacing w:val="-3"/>
        </w:rPr>
        <w:t xml:space="preserve"> </w:t>
      </w:r>
      <w:r w:rsidRPr="001C1A26">
        <w:rPr>
          <w:spacing w:val="-3"/>
        </w:rPr>
        <w:t>Sept., pp. 717-24</w:t>
      </w:r>
    </w:p>
    <w:p w:rsidR="008F26F2" w:rsidRPr="008F26F2" w:rsidRDefault="008F26F2" w:rsidP="008F26F2">
      <w:pPr>
        <w:pStyle w:val="BodyTextIndent2"/>
        <w:spacing w:line="240" w:lineRule="auto"/>
        <w:ind w:left="0"/>
        <w:rPr>
          <w:rFonts w:asciiTheme="minorHAnsi" w:hAnsiTheme="minorHAnsi"/>
          <w:sz w:val="22"/>
          <w:szCs w:val="22"/>
        </w:rPr>
      </w:pPr>
      <w:r w:rsidRPr="008F26F2">
        <w:rPr>
          <w:rFonts w:asciiTheme="minorHAnsi" w:hAnsiTheme="minorHAnsi"/>
          <w:sz w:val="22"/>
          <w:szCs w:val="22"/>
          <w:shd w:val="clear" w:color="auto" w:fill="FFFFFF"/>
        </w:rPr>
        <w:t xml:space="preserve">Mongelli, Francesco Paolo, 2002, </w:t>
      </w:r>
      <w:proofErr w:type="gramStart"/>
      <w:r w:rsidRPr="008F26F2">
        <w:rPr>
          <w:rFonts w:asciiTheme="minorHAnsi" w:hAnsiTheme="minorHAnsi"/>
          <w:sz w:val="22"/>
          <w:szCs w:val="22"/>
          <w:shd w:val="clear" w:color="auto" w:fill="FFFFFF"/>
        </w:rPr>
        <w:t>“ 'New'</w:t>
      </w:r>
      <w:proofErr w:type="gramEnd"/>
      <w:r w:rsidRPr="008F26F2">
        <w:rPr>
          <w:rFonts w:asciiTheme="minorHAnsi" w:hAnsiTheme="minorHAnsi"/>
          <w:sz w:val="22"/>
          <w:szCs w:val="22"/>
          <w:shd w:val="clear" w:color="auto" w:fill="FFFFFF"/>
        </w:rPr>
        <w:t xml:space="preserve"> Views on the Optimum Currency Area Theory: What is Emu Telling Us?” April, ECB Working Paper No. 138. </w:t>
      </w:r>
    </w:p>
    <w:p w:rsidR="00E07851" w:rsidRDefault="00A55163" w:rsidP="003E02B6">
      <w:pPr>
        <w:spacing w:after="0" w:line="240" w:lineRule="auto"/>
        <w:jc w:val="both"/>
        <w:rPr>
          <w:rFonts w:cs="Arial"/>
          <w:color w:val="222222"/>
          <w:shd w:val="clear" w:color="auto" w:fill="FFFFFF"/>
        </w:rPr>
      </w:pPr>
      <w:r w:rsidRPr="001C1A26">
        <w:lastRenderedPageBreak/>
        <w:t>Mundell, Robert</w:t>
      </w:r>
      <w:r>
        <w:t>,</w:t>
      </w:r>
      <w:r w:rsidRPr="001C1A26">
        <w:t xml:space="preserve"> 1961</w:t>
      </w:r>
      <w:r>
        <w:t>,</w:t>
      </w:r>
      <w:r w:rsidRPr="001C1A26">
        <w:t xml:space="preserve"> </w:t>
      </w:r>
      <w:r>
        <w:t>"</w:t>
      </w:r>
      <w:r w:rsidRPr="001C1A26">
        <w:t>A Theory of Optimum Currency Areas</w:t>
      </w:r>
      <w:r>
        <w:t>,"</w:t>
      </w:r>
      <w:r w:rsidRPr="001C1A26">
        <w:t xml:space="preserve"> </w:t>
      </w:r>
      <w:r w:rsidR="00D06782" w:rsidRPr="001C1A26">
        <w:rPr>
          <w:i/>
        </w:rPr>
        <w:t xml:space="preserve">American Economic Review </w:t>
      </w:r>
      <w:r w:rsidR="00D06782" w:rsidRPr="001C1A26">
        <w:t>vol. 51</w:t>
      </w:r>
      <w:r w:rsidR="00D06782" w:rsidRPr="001C1A26">
        <w:rPr>
          <w:i/>
        </w:rPr>
        <w:t xml:space="preserve"> </w:t>
      </w:r>
      <w:r w:rsidR="00D06782" w:rsidRPr="001C1A26">
        <w:t>(November):509-517.</w:t>
      </w:r>
      <w:r w:rsidR="00BB2EB3">
        <w:t xml:space="preserve"> </w:t>
      </w:r>
      <w:r w:rsidR="00E07851" w:rsidRPr="00BF51EA">
        <w:rPr>
          <w:rFonts w:cs="Arial"/>
          <w:color w:val="222222"/>
          <w:shd w:val="clear" w:color="auto" w:fill="FFFFFF"/>
        </w:rPr>
        <w:t>(4), pp.657-665.</w:t>
      </w:r>
    </w:p>
    <w:p w:rsidR="00051635" w:rsidRDefault="00051635" w:rsidP="003E02B6">
      <w:pPr>
        <w:spacing w:after="0" w:line="240" w:lineRule="auto"/>
        <w:jc w:val="both"/>
        <w:rPr>
          <w:rFonts w:cs="Arial"/>
          <w:color w:val="222222"/>
          <w:shd w:val="clear" w:color="auto" w:fill="FFFFFF"/>
        </w:rPr>
      </w:pPr>
    </w:p>
    <w:p w:rsidR="00FA4155" w:rsidRPr="003E02B6" w:rsidRDefault="00FA4155" w:rsidP="003E02B6">
      <w:pPr>
        <w:pStyle w:val="Heading2"/>
        <w:shd w:val="clear" w:color="auto" w:fill="FFFFFF"/>
        <w:spacing w:before="0" w:line="240" w:lineRule="auto"/>
        <w:rPr>
          <w:rFonts w:asciiTheme="minorHAnsi" w:hAnsiTheme="minorHAnsi" w:cs="Arial"/>
          <w:b w:val="0"/>
          <w:color w:val="1C1D1E"/>
          <w:sz w:val="22"/>
          <w:szCs w:val="22"/>
        </w:rPr>
      </w:pPr>
      <w:r w:rsidRPr="003E02B6">
        <w:rPr>
          <w:rFonts w:asciiTheme="minorHAnsi" w:hAnsiTheme="minorHAnsi" w:cs="Arial"/>
          <w:b w:val="0"/>
          <w:color w:val="222222"/>
          <w:sz w:val="22"/>
          <w:szCs w:val="22"/>
          <w:shd w:val="clear" w:color="auto" w:fill="FFFFFF"/>
        </w:rPr>
        <w:t>Nitsch</w:t>
      </w:r>
      <w:r w:rsidR="002152A5" w:rsidRPr="003E02B6">
        <w:rPr>
          <w:rFonts w:asciiTheme="minorHAnsi" w:hAnsiTheme="minorHAnsi" w:cs="Arial"/>
          <w:b w:val="0"/>
          <w:color w:val="222222"/>
          <w:sz w:val="22"/>
          <w:szCs w:val="22"/>
          <w:shd w:val="clear" w:color="auto" w:fill="FFFFFF"/>
        </w:rPr>
        <w:t xml:space="preserve">, Volker, </w:t>
      </w:r>
      <w:r w:rsidRPr="003E02B6">
        <w:rPr>
          <w:rFonts w:asciiTheme="minorHAnsi" w:hAnsiTheme="minorHAnsi" w:cs="Arial"/>
          <w:b w:val="0"/>
          <w:color w:val="222222"/>
          <w:sz w:val="22"/>
          <w:szCs w:val="22"/>
          <w:shd w:val="clear" w:color="auto" w:fill="FFFFFF"/>
        </w:rPr>
        <w:t>2002</w:t>
      </w:r>
      <w:r w:rsidR="002152A5" w:rsidRPr="003E02B6">
        <w:rPr>
          <w:rFonts w:asciiTheme="minorHAnsi" w:hAnsiTheme="minorHAnsi" w:cs="Arial"/>
          <w:b w:val="0"/>
          <w:color w:val="222222"/>
          <w:sz w:val="22"/>
          <w:szCs w:val="22"/>
          <w:shd w:val="clear" w:color="auto" w:fill="FFFFFF"/>
        </w:rPr>
        <w:t>, “</w:t>
      </w:r>
      <w:r w:rsidR="002152A5" w:rsidRPr="003E02B6">
        <w:rPr>
          <w:rFonts w:asciiTheme="minorHAnsi" w:hAnsiTheme="minorHAnsi" w:cs="Arial"/>
          <w:b w:val="0"/>
          <w:color w:val="1C1D1E"/>
          <w:sz w:val="22"/>
          <w:szCs w:val="22"/>
        </w:rPr>
        <w:t>Honey, I Shrunk the Currency Union Effect on Trade</w:t>
      </w:r>
      <w:r w:rsidR="004117FA">
        <w:rPr>
          <w:rFonts w:asciiTheme="minorHAnsi" w:hAnsiTheme="minorHAnsi" w:cs="Arial"/>
          <w:b w:val="0"/>
          <w:color w:val="1C1D1E"/>
          <w:sz w:val="22"/>
          <w:szCs w:val="22"/>
        </w:rPr>
        <w:t>,</w:t>
      </w:r>
      <w:r w:rsidR="002152A5" w:rsidRPr="003E02B6">
        <w:rPr>
          <w:rFonts w:asciiTheme="minorHAnsi" w:hAnsiTheme="minorHAnsi" w:cs="Arial"/>
          <w:b w:val="0"/>
          <w:color w:val="1C1D1E"/>
          <w:sz w:val="22"/>
          <w:szCs w:val="22"/>
        </w:rPr>
        <w:t>”</w:t>
      </w:r>
      <w:r w:rsidR="002152A5" w:rsidRPr="003E02B6">
        <w:rPr>
          <w:rFonts w:asciiTheme="minorHAnsi" w:hAnsiTheme="minorHAnsi" w:cs="Arial"/>
          <w:b w:val="0"/>
          <w:color w:val="8B8B8B"/>
          <w:sz w:val="22"/>
          <w:szCs w:val="22"/>
        </w:rPr>
        <w:t xml:space="preserve"> </w:t>
      </w:r>
      <w:r w:rsidR="002152A5" w:rsidRPr="003E02B6">
        <w:rPr>
          <w:rFonts w:asciiTheme="minorHAnsi" w:hAnsiTheme="minorHAnsi" w:cs="Arial"/>
          <w:b w:val="0"/>
          <w:i/>
          <w:color w:val="000000" w:themeColor="text1"/>
          <w:sz w:val="22"/>
          <w:szCs w:val="22"/>
        </w:rPr>
        <w:t>The World Economy</w:t>
      </w:r>
      <w:r w:rsidR="00051635">
        <w:rPr>
          <w:rFonts w:asciiTheme="minorHAnsi" w:hAnsiTheme="minorHAnsi" w:cs="Arial"/>
          <w:b w:val="0"/>
          <w:i/>
          <w:color w:val="000000" w:themeColor="text1"/>
          <w:sz w:val="22"/>
          <w:szCs w:val="22"/>
        </w:rPr>
        <w:t xml:space="preserve">, </w:t>
      </w:r>
      <w:r w:rsidR="00051635" w:rsidRPr="003E02B6">
        <w:rPr>
          <w:rFonts w:asciiTheme="minorHAnsi" w:hAnsiTheme="minorHAnsi" w:cs="Arial"/>
          <w:b w:val="0"/>
          <w:color w:val="000000" w:themeColor="text1"/>
          <w:sz w:val="22"/>
          <w:szCs w:val="22"/>
        </w:rPr>
        <w:t>25, no.4, April.</w:t>
      </w:r>
    </w:p>
    <w:p w:rsidR="002609A3" w:rsidRDefault="004117FA" w:rsidP="003E02B6">
      <w:pPr>
        <w:spacing w:after="0" w:line="240" w:lineRule="auto"/>
        <w:rPr>
          <w:rFonts w:cs="Arial"/>
          <w:shd w:val="clear" w:color="auto" w:fill="FFFFFF"/>
        </w:rPr>
      </w:pPr>
      <w:r>
        <w:rPr>
          <w:rFonts w:cs="Arial"/>
          <w:shd w:val="clear" w:color="auto" w:fill="FFFFFF"/>
        </w:rPr>
        <w:br/>
      </w:r>
      <w:r w:rsidR="002609A3" w:rsidRPr="002609A3">
        <w:rPr>
          <w:rFonts w:cs="Arial"/>
          <w:shd w:val="clear" w:color="auto" w:fill="FFFFFF"/>
        </w:rPr>
        <w:t xml:space="preserve">Obstfeld, Maurice, 2015, “Trilemmas and Tradeoffs: Living with Financial Globalization,” in Claudio Raddatz, Diego Saravia and Jaume Ventura, eds. </w:t>
      </w:r>
      <w:r w:rsidR="006A3552">
        <w:rPr>
          <w:rFonts w:cs="Arial"/>
          <w:shd w:val="clear" w:color="auto" w:fill="FFFFFF"/>
        </w:rPr>
        <w:t xml:space="preserve">, </w:t>
      </w:r>
      <w:r w:rsidR="002609A3" w:rsidRPr="006A3552">
        <w:rPr>
          <w:rFonts w:cs="Arial"/>
          <w:i/>
          <w:shd w:val="clear" w:color="auto" w:fill="FFFFFF"/>
        </w:rPr>
        <w:t>Global Liquidity, Spillovers to Emerging Markets and Policy Responses</w:t>
      </w:r>
      <w:r w:rsidR="002609A3" w:rsidRPr="002609A3">
        <w:rPr>
          <w:rFonts w:cs="Arial"/>
          <w:shd w:val="clear" w:color="auto" w:fill="FFFFFF"/>
        </w:rPr>
        <w:t xml:space="preserve"> (Central Bank of Chile</w:t>
      </w:r>
      <w:r w:rsidR="006A3552">
        <w:rPr>
          <w:rFonts w:cs="Arial"/>
          <w:shd w:val="clear" w:color="auto" w:fill="FFFFFF"/>
        </w:rPr>
        <w:t>: Santiago</w:t>
      </w:r>
      <w:r w:rsidR="002609A3" w:rsidRPr="002609A3">
        <w:rPr>
          <w:rFonts w:cs="Arial"/>
          <w:shd w:val="clear" w:color="auto" w:fill="FFFFFF"/>
        </w:rPr>
        <w:t>), Central Banking, Analysis and Economic Policies, vol. 20, chapter 2: pp 13-78.</w:t>
      </w:r>
    </w:p>
    <w:p w:rsidR="002152A8" w:rsidRDefault="002152A8" w:rsidP="003E02B6">
      <w:pPr>
        <w:spacing w:after="0" w:line="240" w:lineRule="auto"/>
        <w:rPr>
          <w:rFonts w:cs="Arial"/>
          <w:shd w:val="clear" w:color="auto" w:fill="FFFFFF"/>
        </w:rPr>
      </w:pPr>
    </w:p>
    <w:p w:rsidR="002152A8" w:rsidRPr="003E02B6" w:rsidRDefault="002152A8" w:rsidP="003E02B6">
      <w:pPr>
        <w:pStyle w:val="References"/>
        <w:ind w:left="0" w:firstLine="0"/>
        <w:rPr>
          <w:rFonts w:asciiTheme="minorHAnsi" w:hAnsiTheme="minorHAnsi"/>
          <w:sz w:val="22"/>
          <w:szCs w:val="22"/>
        </w:rPr>
      </w:pPr>
      <w:r w:rsidRPr="003E02B6">
        <w:rPr>
          <w:rFonts w:asciiTheme="minorHAnsi" w:hAnsiTheme="minorHAnsi"/>
          <w:sz w:val="22"/>
          <w:szCs w:val="22"/>
        </w:rPr>
        <w:t>Persson, Torsten</w:t>
      </w:r>
      <w:r>
        <w:rPr>
          <w:rFonts w:asciiTheme="minorHAnsi" w:hAnsiTheme="minorHAnsi"/>
          <w:sz w:val="22"/>
          <w:szCs w:val="22"/>
        </w:rPr>
        <w:t>,</w:t>
      </w:r>
      <w:r w:rsidRPr="00BC1D46">
        <w:rPr>
          <w:rFonts w:asciiTheme="minorHAnsi" w:hAnsiTheme="minorHAnsi"/>
          <w:sz w:val="22"/>
          <w:szCs w:val="22"/>
        </w:rPr>
        <w:t xml:space="preserve"> </w:t>
      </w:r>
      <w:r w:rsidRPr="003E02B6">
        <w:rPr>
          <w:rFonts w:asciiTheme="minorHAnsi" w:hAnsiTheme="minorHAnsi"/>
          <w:sz w:val="22"/>
          <w:szCs w:val="22"/>
        </w:rPr>
        <w:t>2001</w:t>
      </w:r>
      <w:r>
        <w:rPr>
          <w:rFonts w:asciiTheme="minorHAnsi" w:hAnsiTheme="minorHAnsi"/>
          <w:sz w:val="22"/>
          <w:szCs w:val="22"/>
        </w:rPr>
        <w:t>,</w:t>
      </w:r>
      <w:r w:rsidRPr="003E02B6">
        <w:rPr>
          <w:rFonts w:asciiTheme="minorHAnsi" w:hAnsiTheme="minorHAnsi"/>
          <w:sz w:val="22"/>
          <w:szCs w:val="22"/>
        </w:rPr>
        <w:t xml:space="preserve"> “Currency Unions and Trade: How Large is the Treatment Effect?</w:t>
      </w:r>
      <w:proofErr w:type="gramStart"/>
      <w:r w:rsidRPr="003E02B6">
        <w:rPr>
          <w:rFonts w:asciiTheme="minorHAnsi" w:hAnsiTheme="minorHAnsi"/>
          <w:sz w:val="22"/>
          <w:szCs w:val="22"/>
        </w:rPr>
        <w:t>”,</w:t>
      </w:r>
      <w:proofErr w:type="gramEnd"/>
      <w:r w:rsidRPr="003E02B6">
        <w:rPr>
          <w:rFonts w:asciiTheme="minorHAnsi" w:hAnsiTheme="minorHAnsi"/>
          <w:sz w:val="22"/>
          <w:szCs w:val="22"/>
        </w:rPr>
        <w:t xml:space="preserve"> </w:t>
      </w:r>
      <w:r w:rsidRPr="003E02B6">
        <w:rPr>
          <w:rFonts w:asciiTheme="minorHAnsi" w:hAnsiTheme="minorHAnsi"/>
          <w:i/>
          <w:sz w:val="22"/>
          <w:szCs w:val="22"/>
        </w:rPr>
        <w:t>Eco</w:t>
      </w:r>
      <w:r w:rsidRPr="003E02B6">
        <w:rPr>
          <w:rFonts w:asciiTheme="minorHAnsi" w:hAnsiTheme="minorHAnsi"/>
          <w:i/>
          <w:sz w:val="22"/>
          <w:szCs w:val="22"/>
        </w:rPr>
        <w:softHyphen/>
        <w:t>nomic Policy</w:t>
      </w:r>
      <w:r w:rsidRPr="003E02B6">
        <w:rPr>
          <w:rFonts w:asciiTheme="minorHAnsi" w:hAnsiTheme="minorHAnsi"/>
          <w:sz w:val="22"/>
          <w:szCs w:val="22"/>
        </w:rPr>
        <w:t xml:space="preserve"> 33, 435-448.</w:t>
      </w:r>
    </w:p>
    <w:p w:rsidR="007903D2" w:rsidRPr="00655EDD" w:rsidRDefault="007903D2" w:rsidP="007903D2">
      <w:pPr>
        <w:spacing w:before="120" w:after="120" w:line="23" w:lineRule="atLeast"/>
        <w:rPr>
          <w:rFonts w:cs="Times New Roman"/>
          <w:shd w:val="clear" w:color="auto" w:fill="FFFFFF"/>
        </w:rPr>
      </w:pPr>
      <w:r w:rsidRPr="00655EDD">
        <w:rPr>
          <w:rFonts w:cs="Times New Roman"/>
          <w:shd w:val="clear" w:color="auto" w:fill="FFFFFF"/>
        </w:rPr>
        <w:t>Rafiq, M. Sohrab, 2011, "Sources of Economic Fluctuations in Oil‐exporting Economies: Implications for Choice of Exchange Rate Regimes,"</w:t>
      </w:r>
      <w:r w:rsidRPr="00655EDD">
        <w:rPr>
          <w:rStyle w:val="apple-converted-space"/>
          <w:rFonts w:cs="Times New Roman"/>
          <w:shd w:val="clear" w:color="auto" w:fill="FFFFFF"/>
        </w:rPr>
        <w:t> </w:t>
      </w:r>
      <w:r w:rsidRPr="00655EDD">
        <w:rPr>
          <w:rFonts w:cs="Times New Roman"/>
          <w:i/>
          <w:iCs/>
          <w:shd w:val="clear" w:color="auto" w:fill="FFFFFF"/>
        </w:rPr>
        <w:t>International Journal of Finance &amp; Economics</w:t>
      </w:r>
      <w:r w:rsidRPr="00655EDD">
        <w:rPr>
          <w:rStyle w:val="apple-converted-space"/>
          <w:rFonts w:cs="Times New Roman"/>
          <w:shd w:val="clear" w:color="auto" w:fill="FFFFFF"/>
        </w:rPr>
        <w:t> </w:t>
      </w:r>
      <w:r w:rsidRPr="00655EDD">
        <w:rPr>
          <w:rFonts w:cs="Times New Roman"/>
          <w:shd w:val="clear" w:color="auto" w:fill="FFFFFF"/>
        </w:rPr>
        <w:t xml:space="preserve">16, no.1: 70-91.  </w:t>
      </w:r>
    </w:p>
    <w:p w:rsidR="00E07851" w:rsidRDefault="00D06782" w:rsidP="00883D9F">
      <w:pPr>
        <w:spacing w:line="240" w:lineRule="auto"/>
      </w:pPr>
      <w:r w:rsidRPr="00974455">
        <w:t xml:space="preserve">Ramcharan, Rodney, 2007, “Does the Exchange Rate Regime Matter for Real Shocks? Evidence from Windstorms and Earthquakes,” </w:t>
      </w:r>
      <w:hyperlink r:id="rId22" w:history="1">
        <w:r w:rsidRPr="004D5095">
          <w:rPr>
            <w:rStyle w:val="Hyperlink"/>
            <w:bCs/>
            <w:i/>
            <w:color w:val="auto"/>
            <w:u w:val="none"/>
          </w:rPr>
          <w:t>Journal of International Economics</w:t>
        </w:r>
      </w:hyperlink>
      <w:r w:rsidRPr="004D5095">
        <w:t xml:space="preserve"> </w:t>
      </w:r>
      <w:hyperlink r:id="rId23" w:history="1">
        <w:r w:rsidRPr="004D5095">
          <w:rPr>
            <w:rStyle w:val="Hyperlink"/>
            <w:color w:val="auto"/>
            <w:u w:val="none"/>
          </w:rPr>
          <w:t>73</w:t>
        </w:r>
        <w:r w:rsidR="004D5095">
          <w:rPr>
            <w:rStyle w:val="Hyperlink"/>
            <w:color w:val="auto"/>
            <w:u w:val="none"/>
          </w:rPr>
          <w:t xml:space="preserve"> </w:t>
        </w:r>
        <w:r w:rsidRPr="004D5095">
          <w:rPr>
            <w:rStyle w:val="Hyperlink"/>
            <w:color w:val="auto"/>
            <w:u w:val="none"/>
          </w:rPr>
          <w:t>(1</w:t>
        </w:r>
      </w:hyperlink>
      <w:r w:rsidRPr="004D5095">
        <w:t>),</w:t>
      </w:r>
      <w:r w:rsidRPr="00974455">
        <w:t xml:space="preserve"> 31–47.</w:t>
      </w:r>
    </w:p>
    <w:p w:rsidR="004D5095" w:rsidRPr="004D5095" w:rsidRDefault="004D5095" w:rsidP="004D5095">
      <w:pPr>
        <w:pStyle w:val="Heading1"/>
        <w:shd w:val="clear" w:color="auto" w:fill="FFFFFF"/>
        <w:spacing w:before="0"/>
        <w:textAlignment w:val="baseline"/>
        <w:rPr>
          <w:rFonts w:asciiTheme="minorHAnsi" w:hAnsiTheme="minorHAnsi" w:cs="Arial"/>
          <w:b w:val="0"/>
          <w:color w:val="2A2A2A"/>
          <w:sz w:val="22"/>
          <w:szCs w:val="22"/>
        </w:rPr>
      </w:pPr>
      <w:r w:rsidRPr="004D5095">
        <w:rPr>
          <w:rFonts w:asciiTheme="minorHAnsi" w:hAnsiTheme="minorHAnsi"/>
          <w:b w:val="0"/>
          <w:color w:val="2A2A2A"/>
          <w:sz w:val="22"/>
          <w:szCs w:val="22"/>
        </w:rPr>
        <w:t>Reinhar</w:t>
      </w:r>
      <w:r>
        <w:rPr>
          <w:rFonts w:asciiTheme="minorHAnsi" w:hAnsiTheme="minorHAnsi"/>
          <w:b w:val="0"/>
          <w:color w:val="2A2A2A"/>
          <w:sz w:val="22"/>
          <w:szCs w:val="22"/>
        </w:rPr>
        <w:t>t</w:t>
      </w:r>
      <w:r w:rsidRPr="004D5095">
        <w:rPr>
          <w:rFonts w:asciiTheme="minorHAnsi" w:hAnsiTheme="minorHAnsi"/>
          <w:b w:val="0"/>
          <w:color w:val="2A2A2A"/>
          <w:sz w:val="22"/>
          <w:szCs w:val="22"/>
        </w:rPr>
        <w:t>, Carmen, and Kenneth Ro</w:t>
      </w:r>
      <w:r w:rsidR="00595ACF">
        <w:rPr>
          <w:rFonts w:asciiTheme="minorHAnsi" w:hAnsiTheme="minorHAnsi"/>
          <w:b w:val="0"/>
          <w:color w:val="2A2A2A"/>
          <w:sz w:val="22"/>
          <w:szCs w:val="22"/>
        </w:rPr>
        <w:t>g</w:t>
      </w:r>
      <w:r w:rsidRPr="004D5095">
        <w:rPr>
          <w:rFonts w:asciiTheme="minorHAnsi" w:hAnsiTheme="minorHAnsi"/>
          <w:b w:val="0"/>
          <w:color w:val="2A2A2A"/>
          <w:sz w:val="22"/>
          <w:szCs w:val="22"/>
        </w:rPr>
        <w:t>off, 2004, “The Modern History of Exchange Rate Arrangements: A Reinterpretation,”</w:t>
      </w:r>
      <w:r w:rsidRPr="004D5095">
        <w:rPr>
          <w:rStyle w:val="Emphasis"/>
          <w:rFonts w:asciiTheme="minorHAnsi" w:hAnsiTheme="minorHAnsi" w:cs="Arial"/>
          <w:b w:val="0"/>
          <w:color w:val="2A2A2A"/>
          <w:sz w:val="22"/>
          <w:szCs w:val="22"/>
          <w:bdr w:val="none" w:sz="0" w:space="0" w:color="auto" w:frame="1"/>
        </w:rPr>
        <w:t xml:space="preserve"> Quarterly Journal of Economics</w:t>
      </w:r>
      <w:r w:rsidRPr="004D5095">
        <w:rPr>
          <w:rFonts w:asciiTheme="minorHAnsi" w:hAnsiTheme="minorHAnsi" w:cs="Arial"/>
          <w:b w:val="0"/>
          <w:color w:val="2A2A2A"/>
          <w:sz w:val="22"/>
          <w:szCs w:val="22"/>
        </w:rPr>
        <w:t>, Volume 119, Issue 1, 1 February</w:t>
      </w:r>
      <w:r w:rsidR="00A55163">
        <w:rPr>
          <w:rFonts w:asciiTheme="minorHAnsi" w:hAnsiTheme="minorHAnsi" w:cs="Arial"/>
          <w:b w:val="0"/>
          <w:color w:val="2A2A2A"/>
          <w:sz w:val="22"/>
          <w:szCs w:val="22"/>
        </w:rPr>
        <w:t xml:space="preserve">, </w:t>
      </w:r>
      <w:r w:rsidR="00A55163" w:rsidRPr="004D5095">
        <w:rPr>
          <w:rFonts w:asciiTheme="minorHAnsi" w:hAnsiTheme="minorHAnsi" w:cs="Arial"/>
          <w:b w:val="0"/>
          <w:color w:val="2A2A2A"/>
          <w:sz w:val="22"/>
          <w:szCs w:val="22"/>
        </w:rPr>
        <w:t>1</w:t>
      </w:r>
      <w:r w:rsidRPr="004D5095">
        <w:rPr>
          <w:rFonts w:asciiTheme="minorHAnsi" w:hAnsiTheme="minorHAnsi" w:cs="Arial"/>
          <w:b w:val="0"/>
          <w:color w:val="2A2A2A"/>
          <w:sz w:val="22"/>
          <w:szCs w:val="22"/>
        </w:rPr>
        <w:t>–48,</w:t>
      </w:r>
      <w:r>
        <w:rPr>
          <w:rFonts w:asciiTheme="minorHAnsi" w:hAnsiTheme="minorHAnsi" w:cs="Arial"/>
          <w:b w:val="0"/>
          <w:color w:val="2A2A2A"/>
          <w:sz w:val="22"/>
          <w:szCs w:val="22"/>
        </w:rPr>
        <w:br/>
      </w:r>
    </w:p>
    <w:p w:rsidR="002609A3" w:rsidRPr="00883D9F" w:rsidRDefault="00A55163" w:rsidP="002609A3">
      <w:pPr>
        <w:spacing w:line="240" w:lineRule="auto"/>
        <w:rPr>
          <w:rStyle w:val="Emphasis"/>
          <w:rFonts w:cs="Tahoma"/>
          <w:color w:val="000000"/>
        </w:rPr>
      </w:pPr>
      <w:r w:rsidRPr="00883D9F">
        <w:rPr>
          <w:rFonts w:cs="Arial"/>
          <w:color w:val="222222"/>
          <w:shd w:val="clear" w:color="auto" w:fill="FFFFFF"/>
        </w:rPr>
        <w:t>Rey, Hélène, 2015,</w:t>
      </w:r>
      <w:r w:rsidRPr="00883D9F">
        <w:rPr>
          <w:rStyle w:val="apple-converted-space"/>
          <w:rFonts w:cs="Arial"/>
          <w:color w:val="222222"/>
          <w:shd w:val="clear" w:color="auto" w:fill="FFFFFF"/>
        </w:rPr>
        <w:t> “</w:t>
      </w:r>
      <w:r w:rsidRPr="00883D9F">
        <w:rPr>
          <w:rFonts w:cs="Arial"/>
          <w:iCs/>
          <w:color w:val="222222"/>
          <w:shd w:val="clear" w:color="auto" w:fill="FFFFFF"/>
        </w:rPr>
        <w:t>Dilemma not trilemma: the global financial cycle and monetary policy independence,”</w:t>
      </w:r>
      <w:r w:rsidRPr="00883D9F">
        <w:rPr>
          <w:rFonts w:cs="Arial"/>
          <w:color w:val="222222"/>
          <w:shd w:val="clear" w:color="auto" w:fill="FFFFFF"/>
        </w:rPr>
        <w:t xml:space="preserve"> </w:t>
      </w:r>
      <w:r w:rsidR="002609A3" w:rsidRPr="00883D9F">
        <w:rPr>
          <w:rFonts w:cs="Arial"/>
          <w:color w:val="222222"/>
          <w:shd w:val="clear" w:color="auto" w:fill="FFFFFF"/>
        </w:rPr>
        <w:t xml:space="preserve">WP No. 21162. </w:t>
      </w:r>
      <w:proofErr w:type="gramStart"/>
      <w:r w:rsidR="002609A3" w:rsidRPr="00883D9F">
        <w:rPr>
          <w:rFonts w:cs="Arial"/>
          <w:color w:val="222222"/>
          <w:shd w:val="clear" w:color="auto" w:fill="FFFFFF"/>
        </w:rPr>
        <w:t>National Bureau of Economic Research.</w:t>
      </w:r>
      <w:proofErr w:type="gramEnd"/>
      <w:r w:rsidR="002609A3" w:rsidRPr="00883D9F">
        <w:rPr>
          <w:rFonts w:cs="Arial"/>
          <w:color w:val="222222"/>
          <w:shd w:val="clear" w:color="auto" w:fill="FFFFFF"/>
        </w:rPr>
        <w:t xml:space="preserve">   </w:t>
      </w:r>
      <w:proofErr w:type="gramStart"/>
      <w:r w:rsidR="002609A3" w:rsidRPr="00883D9F">
        <w:rPr>
          <w:rStyle w:val="Emphasis"/>
          <w:rFonts w:cs="Tahoma"/>
          <w:color w:val="000000"/>
        </w:rPr>
        <w:t>Presented at Jackson Hole Economic Symposium 2013, Federal Reserve Bank of Kansas City.</w:t>
      </w:r>
      <w:proofErr w:type="gramEnd"/>
    </w:p>
    <w:p w:rsidR="00E61549" w:rsidRDefault="002609A3" w:rsidP="00247596">
      <w:pPr>
        <w:spacing w:after="0" w:line="240" w:lineRule="auto"/>
        <w:jc w:val="both"/>
      </w:pPr>
      <w:r w:rsidRPr="001C1A26">
        <w:t xml:space="preserve">Rogoff, Kenneth. 1985.  “The Optimal Degree of Commitment to an Intermediate Monetary Target,” </w:t>
      </w:r>
      <w:r w:rsidRPr="001C1A26">
        <w:rPr>
          <w:i/>
        </w:rPr>
        <w:t>Quarterly Journal of Economics</w:t>
      </w:r>
      <w:r w:rsidRPr="001C1A26">
        <w:t xml:space="preserve"> 100, November, 1169-89.</w:t>
      </w:r>
    </w:p>
    <w:p w:rsidR="00247596" w:rsidRDefault="00247596" w:rsidP="00247596">
      <w:pPr>
        <w:spacing w:after="0" w:line="240" w:lineRule="auto"/>
        <w:jc w:val="both"/>
      </w:pPr>
    </w:p>
    <w:p w:rsidR="002609A3" w:rsidRPr="00247596" w:rsidRDefault="00E61549" w:rsidP="00247596">
      <w:pPr>
        <w:shd w:val="clear" w:color="auto" w:fill="FFFFFF"/>
        <w:textAlignment w:val="baseline"/>
        <w:rPr>
          <w:rFonts w:cs="Arial"/>
        </w:rPr>
      </w:pPr>
      <w:r w:rsidRPr="00E61549">
        <w:rPr>
          <w:rStyle w:val="Emphasis"/>
          <w:rFonts w:cs="Arial"/>
          <w:i w:val="0"/>
          <w:bdr w:val="none" w:sz="0" w:space="0" w:color="auto" w:frame="1"/>
        </w:rPr>
        <w:t xml:space="preserve">Romer, David, 1993, “Openness and Inflation: Theory and Evidence,” </w:t>
      </w:r>
      <w:r w:rsidRPr="00E61549">
        <w:rPr>
          <w:rStyle w:val="Emphasis"/>
          <w:rFonts w:cs="Arial"/>
          <w:bdr w:val="none" w:sz="0" w:space="0" w:color="auto" w:frame="1"/>
        </w:rPr>
        <w:t>Quarterly Journal of Economics</w:t>
      </w:r>
      <w:r w:rsidRPr="00E61549">
        <w:rPr>
          <w:rFonts w:cs="Arial"/>
        </w:rPr>
        <w:t>, Volume 108, Issue 4, November</w:t>
      </w:r>
      <w:proofErr w:type="gramStart"/>
      <w:r w:rsidRPr="00E61549">
        <w:rPr>
          <w:rFonts w:cs="Arial"/>
        </w:rPr>
        <w:t>,  869</w:t>
      </w:r>
      <w:proofErr w:type="gramEnd"/>
      <w:r w:rsidRPr="00E61549">
        <w:rPr>
          <w:rFonts w:cs="Arial"/>
        </w:rPr>
        <w:t>–903.</w:t>
      </w:r>
    </w:p>
    <w:p w:rsidR="008C39F8" w:rsidRPr="00584D3B" w:rsidRDefault="008C39F8" w:rsidP="004204E3">
      <w:pPr>
        <w:pStyle w:val="BodyTextIndent2"/>
        <w:tabs>
          <w:tab w:val="left" w:pos="3240"/>
        </w:tabs>
        <w:spacing w:line="240" w:lineRule="auto"/>
        <w:ind w:left="0"/>
        <w:rPr>
          <w:rFonts w:asciiTheme="minorHAnsi" w:hAnsiTheme="minorHAnsi"/>
          <w:sz w:val="22"/>
          <w:szCs w:val="22"/>
        </w:rPr>
      </w:pPr>
      <w:r w:rsidRPr="00584D3B">
        <w:rPr>
          <w:rFonts w:asciiTheme="minorHAnsi" w:hAnsiTheme="minorHAnsi"/>
          <w:sz w:val="22"/>
          <w:szCs w:val="22"/>
        </w:rPr>
        <w:t xml:space="preserve">Rose, Andrew, 2000, “One Money, One Market: Estimating </w:t>
      </w:r>
      <w:proofErr w:type="gramStart"/>
      <w:r w:rsidRPr="00584D3B">
        <w:rPr>
          <w:rFonts w:asciiTheme="minorHAnsi" w:hAnsiTheme="minorHAnsi"/>
          <w:sz w:val="22"/>
          <w:szCs w:val="22"/>
        </w:rPr>
        <w:t>The</w:t>
      </w:r>
      <w:proofErr w:type="gramEnd"/>
      <w:r w:rsidRPr="00584D3B">
        <w:rPr>
          <w:rFonts w:asciiTheme="minorHAnsi" w:hAnsiTheme="minorHAnsi"/>
          <w:sz w:val="22"/>
          <w:szCs w:val="22"/>
        </w:rPr>
        <w:t xml:space="preserve"> Effect of Common Currencies on Trade,” </w:t>
      </w:r>
      <w:r w:rsidRPr="00584D3B">
        <w:rPr>
          <w:rFonts w:asciiTheme="minorHAnsi" w:hAnsiTheme="minorHAnsi"/>
          <w:i/>
          <w:sz w:val="22"/>
          <w:szCs w:val="22"/>
        </w:rPr>
        <w:t>Economic Policy</w:t>
      </w:r>
      <w:r w:rsidRPr="00584D3B">
        <w:rPr>
          <w:rFonts w:asciiTheme="minorHAnsi" w:hAnsiTheme="minorHAnsi"/>
          <w:sz w:val="22"/>
          <w:szCs w:val="22"/>
        </w:rPr>
        <w:t>, Vol. 15, no. 30 (April), 9-44</w:t>
      </w:r>
      <w:r w:rsidRPr="00584D3B">
        <w:rPr>
          <w:rFonts w:asciiTheme="minorHAnsi" w:hAnsiTheme="minorHAnsi"/>
          <w:b/>
          <w:sz w:val="22"/>
          <w:szCs w:val="22"/>
        </w:rPr>
        <w:t>.</w:t>
      </w:r>
    </w:p>
    <w:p w:rsidR="008C39F8" w:rsidRDefault="00584D3B" w:rsidP="00584D3B">
      <w:pPr>
        <w:spacing w:line="240" w:lineRule="auto"/>
      </w:pPr>
      <w:r w:rsidRPr="00584D3B">
        <w:t>Rose, Andrew,</w:t>
      </w:r>
      <w:r w:rsidR="008C39F8" w:rsidRPr="00584D3B">
        <w:t xml:space="preserve"> 2001, “Currency Unions and Trade: The Effect Is Large,” </w:t>
      </w:r>
      <w:r w:rsidR="008C39F8" w:rsidRPr="00584D3B">
        <w:rPr>
          <w:i/>
        </w:rPr>
        <w:t>Economic Policy</w:t>
      </w:r>
      <w:r w:rsidR="007903D2" w:rsidRPr="00584D3B">
        <w:t xml:space="preserve">, </w:t>
      </w:r>
      <w:r w:rsidR="008C39F8" w:rsidRPr="00584D3B">
        <w:t>October</w:t>
      </w:r>
      <w:r w:rsidR="007903D2" w:rsidRPr="00584D3B">
        <w:t>,</w:t>
      </w:r>
      <w:r w:rsidR="008C39F8" w:rsidRPr="00584D3B">
        <w:t xml:space="preserve"> 33, 449-461.</w:t>
      </w:r>
    </w:p>
    <w:p w:rsidR="00FA3D67" w:rsidRDefault="00FF2720" w:rsidP="00FF2720">
      <w:pPr>
        <w:pStyle w:val="Heading3"/>
        <w:shd w:val="clear" w:color="auto" w:fill="FFFFFF"/>
        <w:spacing w:before="0" w:after="30" w:line="285" w:lineRule="atLeast"/>
        <w:rPr>
          <w:rFonts w:ascii="Arial" w:hAnsi="Arial" w:cs="Arial"/>
          <w:b w:val="0"/>
          <w:i/>
          <w:color w:val="auto"/>
          <w:sz w:val="20"/>
          <w:szCs w:val="20"/>
        </w:rPr>
      </w:pPr>
      <w:r w:rsidRPr="00FF2720">
        <w:rPr>
          <w:rFonts w:asciiTheme="minorHAnsi" w:hAnsiTheme="minorHAnsi"/>
          <w:b w:val="0"/>
          <w:color w:val="auto"/>
        </w:rPr>
        <w:t>Rose, Andrew, 2011, “</w:t>
      </w:r>
      <w:hyperlink r:id="rId24" w:history="1">
        <w:r w:rsidRPr="00FF2720">
          <w:rPr>
            <w:rStyle w:val="Hyperlink"/>
            <w:rFonts w:asciiTheme="minorHAnsi" w:hAnsiTheme="minorHAnsi" w:cs="Arial"/>
            <w:b w:val="0"/>
            <w:bCs w:val="0"/>
            <w:iCs/>
            <w:color w:val="auto"/>
            <w:u w:val="none"/>
          </w:rPr>
          <w:t>Exchange Rate Regimes in the Modern Era</w:t>
        </w:r>
        <w:r w:rsidRPr="00FF2720">
          <w:rPr>
            <w:rStyle w:val="Hyperlink"/>
            <w:rFonts w:asciiTheme="minorHAnsi" w:hAnsiTheme="minorHAnsi" w:cs="Arial"/>
            <w:b w:val="0"/>
            <w:bCs w:val="0"/>
            <w:color w:val="auto"/>
            <w:u w:val="none"/>
          </w:rPr>
          <w:t>: </w:t>
        </w:r>
        <w:r w:rsidRPr="00FF2720">
          <w:rPr>
            <w:rStyle w:val="Hyperlink"/>
            <w:rFonts w:asciiTheme="minorHAnsi" w:hAnsiTheme="minorHAnsi" w:cs="Arial"/>
            <w:b w:val="0"/>
            <w:color w:val="auto"/>
            <w:u w:val="none"/>
          </w:rPr>
          <w:t>Fixed</w:t>
        </w:r>
        <w:r w:rsidRPr="00FF2720">
          <w:rPr>
            <w:rStyle w:val="Hyperlink"/>
            <w:rFonts w:asciiTheme="minorHAnsi" w:hAnsiTheme="minorHAnsi" w:cs="Arial"/>
            <w:b w:val="0"/>
            <w:bCs w:val="0"/>
            <w:color w:val="auto"/>
            <w:u w:val="none"/>
          </w:rPr>
          <w:t>, Floating, and </w:t>
        </w:r>
        <w:r w:rsidRPr="00FF2720">
          <w:rPr>
            <w:rStyle w:val="Hyperlink"/>
            <w:rFonts w:asciiTheme="minorHAnsi" w:hAnsiTheme="minorHAnsi" w:cs="Arial"/>
            <w:b w:val="0"/>
            <w:color w:val="auto"/>
            <w:u w:val="none"/>
          </w:rPr>
          <w:t>Flaky</w:t>
        </w:r>
      </w:hyperlink>
      <w:r w:rsidRPr="00FF2720">
        <w:rPr>
          <w:rFonts w:asciiTheme="minorHAnsi" w:hAnsiTheme="minorHAnsi" w:cs="Arial"/>
          <w:b w:val="0"/>
          <w:bCs w:val="0"/>
          <w:color w:val="auto"/>
          <w:sz w:val="26"/>
          <w:szCs w:val="26"/>
        </w:rPr>
        <w:t>,”</w:t>
      </w:r>
      <w:r>
        <w:rPr>
          <w:rFonts w:ascii="Arial" w:eastAsiaTheme="minorHAnsi" w:hAnsi="Arial" w:cs="Arial"/>
          <w:b w:val="0"/>
          <w:bCs w:val="0"/>
          <w:color w:val="006621"/>
          <w:sz w:val="20"/>
          <w:szCs w:val="20"/>
        </w:rPr>
        <w:t xml:space="preserve"> </w:t>
      </w:r>
      <w:r w:rsidRPr="00FF2720">
        <w:rPr>
          <w:rFonts w:ascii="Arial" w:eastAsiaTheme="minorHAnsi" w:hAnsi="Arial" w:cs="Arial"/>
          <w:b w:val="0"/>
          <w:bCs w:val="0"/>
          <w:i/>
          <w:color w:val="auto"/>
          <w:sz w:val="20"/>
          <w:szCs w:val="20"/>
        </w:rPr>
        <w:t>J</w:t>
      </w:r>
      <w:r w:rsidRPr="00FF2720">
        <w:rPr>
          <w:rFonts w:ascii="Arial" w:hAnsi="Arial" w:cs="Arial"/>
          <w:b w:val="0"/>
          <w:i/>
          <w:color w:val="auto"/>
          <w:sz w:val="20"/>
          <w:szCs w:val="20"/>
        </w:rPr>
        <w:t>ournal of Economic Literature</w:t>
      </w:r>
      <w:r>
        <w:rPr>
          <w:rFonts w:ascii="Arial" w:hAnsi="Arial" w:cs="Arial"/>
          <w:b w:val="0"/>
          <w:i/>
          <w:color w:val="auto"/>
          <w:sz w:val="20"/>
          <w:szCs w:val="20"/>
        </w:rPr>
        <w:t>.</w:t>
      </w:r>
      <w:r w:rsidR="00FA3D67">
        <w:rPr>
          <w:rFonts w:ascii="Arial" w:hAnsi="Arial" w:cs="Arial"/>
          <w:b w:val="0"/>
          <w:i/>
          <w:color w:val="auto"/>
          <w:sz w:val="20"/>
          <w:szCs w:val="20"/>
        </w:rPr>
        <w:br/>
      </w:r>
    </w:p>
    <w:p w:rsidR="00FF2720" w:rsidRPr="00FF2720" w:rsidRDefault="00FA3D67" w:rsidP="00FA3D67">
      <w:pPr>
        <w:rPr>
          <w:rFonts w:ascii="Arial" w:hAnsi="Arial" w:cs="Arial"/>
          <w:b/>
          <w:bCs/>
          <w:color w:val="006621"/>
          <w:sz w:val="20"/>
          <w:szCs w:val="20"/>
        </w:rPr>
      </w:pPr>
      <w:r>
        <w:t xml:space="preserve">Rose, Andrew, </w:t>
      </w:r>
      <w:r>
        <w:rPr>
          <w:rFonts w:ascii="Tahoma" w:hAnsi="Tahoma" w:cs="Tahoma"/>
          <w:color w:val="000000"/>
          <w:sz w:val="20"/>
          <w:szCs w:val="20"/>
        </w:rPr>
        <w:t>2017, "</w:t>
      </w:r>
      <w:r w:rsidRPr="00FA3D67">
        <w:rPr>
          <w:rFonts w:ascii="Tahoma" w:hAnsi="Tahoma" w:cs="Tahoma"/>
          <w:sz w:val="20"/>
          <w:szCs w:val="20"/>
        </w:rPr>
        <w:t>Why do Estimates of the EMU Effect on Trade Vary so Much</w:t>
      </w:r>
      <w:proofErr w:type="gramStart"/>
      <w:r w:rsidRPr="00FA3D67">
        <w:rPr>
          <w:rFonts w:ascii="Tahoma" w:hAnsi="Tahoma" w:cs="Tahoma"/>
          <w:sz w:val="20"/>
          <w:szCs w:val="20"/>
        </w:rPr>
        <w:t>?,</w:t>
      </w:r>
      <w:proofErr w:type="gramEnd"/>
      <w:r>
        <w:rPr>
          <w:rFonts w:ascii="Tahoma" w:hAnsi="Tahoma" w:cs="Tahoma"/>
          <w:color w:val="000000"/>
          <w:sz w:val="20"/>
          <w:szCs w:val="20"/>
        </w:rPr>
        <w:t xml:space="preserve">" </w:t>
      </w:r>
      <w:r w:rsidRPr="00FA3D67">
        <w:rPr>
          <w:rFonts w:ascii="Tahoma" w:hAnsi="Tahoma" w:cs="Tahoma"/>
          <w:i/>
          <w:color w:val="000000"/>
          <w:sz w:val="20"/>
          <w:szCs w:val="20"/>
        </w:rPr>
        <w:t>Open Economies Review</w:t>
      </w:r>
      <w:r>
        <w:rPr>
          <w:rFonts w:ascii="Tahoma" w:hAnsi="Tahoma" w:cs="Tahoma"/>
          <w:color w:val="000000"/>
          <w:sz w:val="20"/>
          <w:szCs w:val="20"/>
        </w:rPr>
        <w:t>, Springer, vol. 28(1), pages 1-18, February.</w:t>
      </w:r>
    </w:p>
    <w:p w:rsidR="008834C3" w:rsidRDefault="0001400B" w:rsidP="008F26F2">
      <w:pPr>
        <w:pStyle w:val="References"/>
        <w:ind w:left="0" w:firstLine="0"/>
        <w:rPr>
          <w:rFonts w:asciiTheme="minorHAnsi" w:hAnsiTheme="minorHAnsi"/>
          <w:sz w:val="22"/>
          <w:szCs w:val="22"/>
        </w:rPr>
      </w:pPr>
      <w:r w:rsidRPr="00584D3B">
        <w:rPr>
          <w:rFonts w:asciiTheme="minorHAnsi" w:hAnsiTheme="minorHAnsi"/>
          <w:sz w:val="22"/>
          <w:szCs w:val="22"/>
        </w:rPr>
        <w:t>Rose</w:t>
      </w:r>
      <w:r w:rsidR="008F26F2">
        <w:rPr>
          <w:rFonts w:asciiTheme="minorHAnsi" w:hAnsiTheme="minorHAnsi"/>
          <w:sz w:val="22"/>
          <w:szCs w:val="22"/>
        </w:rPr>
        <w:t xml:space="preserve">, Andrew, and Eric van Wincoop, </w:t>
      </w:r>
      <w:r w:rsidRPr="00584D3B">
        <w:rPr>
          <w:rFonts w:asciiTheme="minorHAnsi" w:hAnsiTheme="minorHAnsi"/>
          <w:sz w:val="22"/>
          <w:szCs w:val="22"/>
        </w:rPr>
        <w:t>2001</w:t>
      </w:r>
      <w:r w:rsidR="008F26F2">
        <w:rPr>
          <w:rFonts w:asciiTheme="minorHAnsi" w:hAnsiTheme="minorHAnsi"/>
          <w:sz w:val="22"/>
          <w:szCs w:val="22"/>
        </w:rPr>
        <w:t>,</w:t>
      </w:r>
      <w:r w:rsidRPr="00584D3B">
        <w:rPr>
          <w:rFonts w:asciiTheme="minorHAnsi" w:hAnsiTheme="minorHAnsi"/>
          <w:sz w:val="22"/>
          <w:szCs w:val="22"/>
        </w:rPr>
        <w:t xml:space="preserve"> “National Money as a Barr</w:t>
      </w:r>
      <w:r w:rsidR="00584D3B">
        <w:rPr>
          <w:rFonts w:asciiTheme="minorHAnsi" w:hAnsiTheme="minorHAnsi"/>
          <w:sz w:val="22"/>
          <w:szCs w:val="22"/>
        </w:rPr>
        <w:t xml:space="preserve">ier to Trade: The Real Case for </w:t>
      </w:r>
      <w:r w:rsidRPr="00584D3B">
        <w:rPr>
          <w:rFonts w:asciiTheme="minorHAnsi" w:hAnsiTheme="minorHAnsi"/>
          <w:sz w:val="22"/>
          <w:szCs w:val="22"/>
        </w:rPr>
        <w:t xml:space="preserve">Monetary Union,” </w:t>
      </w:r>
      <w:r w:rsidRPr="00584D3B">
        <w:rPr>
          <w:rFonts w:asciiTheme="minorHAnsi" w:hAnsiTheme="minorHAnsi"/>
          <w:i/>
          <w:sz w:val="22"/>
          <w:szCs w:val="22"/>
        </w:rPr>
        <w:t>American Economic Review</w:t>
      </w:r>
      <w:r w:rsidRPr="00584D3B">
        <w:rPr>
          <w:rFonts w:asciiTheme="minorHAnsi" w:hAnsiTheme="minorHAnsi"/>
          <w:sz w:val="22"/>
          <w:szCs w:val="22"/>
        </w:rPr>
        <w:t xml:space="preserve"> 91-2, 386-390.</w:t>
      </w:r>
    </w:p>
    <w:p w:rsidR="008834C3" w:rsidRDefault="008834C3" w:rsidP="00BD3DB9">
      <w:pPr>
        <w:pStyle w:val="volume-issue"/>
        <w:shd w:val="clear" w:color="auto" w:fill="FFFFFF"/>
        <w:spacing w:before="75" w:beforeAutospacing="0" w:after="75" w:afterAutospacing="0" w:line="263" w:lineRule="atLeast"/>
        <w:rPr>
          <w:rFonts w:asciiTheme="minorHAnsi" w:hAnsiTheme="minorHAnsi"/>
          <w:sz w:val="22"/>
          <w:szCs w:val="22"/>
        </w:rPr>
      </w:pPr>
      <w:r>
        <w:rPr>
          <w:rFonts w:asciiTheme="minorHAnsi" w:hAnsiTheme="minorHAnsi"/>
          <w:sz w:val="22"/>
          <w:szCs w:val="22"/>
        </w:rPr>
        <w:lastRenderedPageBreak/>
        <w:br/>
      </w:r>
      <w:proofErr w:type="spellStart"/>
      <w:r w:rsidR="002A69EA">
        <w:rPr>
          <w:rFonts w:asciiTheme="minorHAnsi" w:hAnsiTheme="minorHAnsi"/>
          <w:sz w:val="22"/>
          <w:szCs w:val="22"/>
        </w:rPr>
        <w:t>Tavlas</w:t>
      </w:r>
      <w:proofErr w:type="spellEnd"/>
      <w:r w:rsidR="002A69EA">
        <w:rPr>
          <w:rFonts w:asciiTheme="minorHAnsi" w:hAnsiTheme="minorHAnsi"/>
          <w:sz w:val="22"/>
          <w:szCs w:val="22"/>
        </w:rPr>
        <w:t>, George,</w:t>
      </w:r>
      <w:r w:rsidRPr="008834C3">
        <w:rPr>
          <w:rFonts w:asciiTheme="minorHAnsi" w:hAnsiTheme="minorHAnsi"/>
          <w:sz w:val="22"/>
          <w:szCs w:val="22"/>
        </w:rPr>
        <w:t xml:space="preserve"> 1993, “The ‘New’ Theory of Optimum Currency Areas”, </w:t>
      </w:r>
      <w:r w:rsidRPr="008834C3">
        <w:rPr>
          <w:rFonts w:asciiTheme="minorHAnsi" w:hAnsiTheme="minorHAnsi"/>
          <w:i/>
          <w:sz w:val="22"/>
          <w:szCs w:val="22"/>
        </w:rPr>
        <w:t>The World Economy</w:t>
      </w:r>
      <w:proofErr w:type="gramStart"/>
      <w:r w:rsidRPr="008834C3">
        <w:rPr>
          <w:rFonts w:asciiTheme="minorHAnsi" w:hAnsiTheme="minorHAnsi"/>
          <w:sz w:val="22"/>
          <w:szCs w:val="22"/>
        </w:rPr>
        <w:t xml:space="preserve">, </w:t>
      </w:r>
      <w:r w:rsidR="00BD3DB9">
        <w:rPr>
          <w:rFonts w:asciiTheme="minorHAnsi" w:hAnsiTheme="minorHAnsi"/>
          <w:sz w:val="22"/>
          <w:szCs w:val="22"/>
        </w:rPr>
        <w:t xml:space="preserve"> vol</w:t>
      </w:r>
      <w:proofErr w:type="gramEnd"/>
      <w:r w:rsidR="00BD3DB9">
        <w:rPr>
          <w:rFonts w:asciiTheme="minorHAnsi" w:hAnsiTheme="minorHAnsi"/>
          <w:sz w:val="22"/>
          <w:szCs w:val="22"/>
        </w:rPr>
        <w:t xml:space="preserve">. 16, no. 6, November, </w:t>
      </w:r>
      <w:r w:rsidRPr="008834C3">
        <w:rPr>
          <w:rFonts w:asciiTheme="minorHAnsi" w:hAnsiTheme="minorHAnsi"/>
          <w:sz w:val="22"/>
          <w:szCs w:val="22"/>
        </w:rPr>
        <w:t>663-685.</w:t>
      </w:r>
    </w:p>
    <w:p w:rsidR="00E34DFA" w:rsidRPr="00E34DFA" w:rsidRDefault="00E34DFA" w:rsidP="00BD3DB9">
      <w:pPr>
        <w:pStyle w:val="volume-issue"/>
        <w:shd w:val="clear" w:color="auto" w:fill="FFFFFF"/>
        <w:spacing w:before="75" w:beforeAutospacing="0" w:after="75" w:afterAutospacing="0" w:line="263" w:lineRule="atLeast"/>
        <w:rPr>
          <w:rFonts w:asciiTheme="minorHAnsi" w:hAnsiTheme="minorHAnsi"/>
          <w:sz w:val="22"/>
          <w:szCs w:val="22"/>
        </w:rPr>
      </w:pPr>
      <w:r>
        <w:rPr>
          <w:rFonts w:asciiTheme="minorHAnsi" w:hAnsiTheme="minorHAnsi"/>
          <w:sz w:val="22"/>
          <w:szCs w:val="22"/>
        </w:rPr>
        <w:br/>
      </w:r>
      <w:proofErr w:type="spellStart"/>
      <w:r>
        <w:rPr>
          <w:rFonts w:asciiTheme="minorHAnsi" w:hAnsiTheme="minorHAnsi"/>
          <w:sz w:val="22"/>
          <w:szCs w:val="22"/>
        </w:rPr>
        <w:t>Tavlas</w:t>
      </w:r>
      <w:proofErr w:type="spellEnd"/>
      <w:r>
        <w:rPr>
          <w:rFonts w:asciiTheme="minorHAnsi" w:hAnsiTheme="minorHAnsi"/>
          <w:sz w:val="22"/>
          <w:szCs w:val="22"/>
        </w:rPr>
        <w:t xml:space="preserve">, George, </w:t>
      </w:r>
      <w:r w:rsidRPr="00E34DFA">
        <w:rPr>
          <w:rFonts w:asciiTheme="minorHAnsi" w:hAnsiTheme="minorHAnsi"/>
          <w:sz w:val="22"/>
          <w:szCs w:val="22"/>
        </w:rPr>
        <w:t>2008</w:t>
      </w:r>
      <w:r>
        <w:rPr>
          <w:rFonts w:asciiTheme="minorHAnsi" w:hAnsiTheme="minorHAnsi"/>
          <w:sz w:val="22"/>
          <w:szCs w:val="22"/>
        </w:rPr>
        <w:t>,</w:t>
      </w:r>
      <w:r w:rsidRPr="00E34DFA">
        <w:rPr>
          <w:rFonts w:asciiTheme="minorHAnsi" w:hAnsiTheme="minorHAnsi"/>
          <w:b/>
          <w:sz w:val="22"/>
          <w:szCs w:val="22"/>
        </w:rPr>
        <w:t xml:space="preserve"> “</w:t>
      </w:r>
      <w:r w:rsidRPr="00E34DFA">
        <w:rPr>
          <w:rFonts w:asciiTheme="minorHAnsi" w:hAnsiTheme="minorHAnsi"/>
          <w:sz w:val="22"/>
          <w:szCs w:val="22"/>
        </w:rPr>
        <w:t xml:space="preserve">The Benefits and Costs of Monetary Union in Southern Africa: A Critical Survey of the Literature,” </w:t>
      </w:r>
      <w:r w:rsidRPr="00E34DFA">
        <w:rPr>
          <w:rFonts w:asciiTheme="minorHAnsi" w:hAnsiTheme="minorHAnsi"/>
          <w:i/>
          <w:sz w:val="22"/>
          <w:szCs w:val="22"/>
        </w:rPr>
        <w:t>Journal of Economic Surveys</w:t>
      </w:r>
      <w:r w:rsidRPr="00E34DFA">
        <w:rPr>
          <w:rFonts w:asciiTheme="minorHAnsi" w:hAnsiTheme="minorHAnsi"/>
          <w:sz w:val="22"/>
          <w:szCs w:val="22"/>
        </w:rPr>
        <w:t>, vol. 23, no. 1, 1-43.</w:t>
      </w:r>
    </w:p>
    <w:p w:rsidR="00050D52" w:rsidRDefault="00050D52" w:rsidP="00584D3B">
      <w:pPr>
        <w:spacing w:before="100" w:beforeAutospacing="1" w:after="100" w:afterAutospacing="1" w:line="240" w:lineRule="auto"/>
      </w:pPr>
      <w:proofErr w:type="spellStart"/>
      <w:r>
        <w:t>Tavlas</w:t>
      </w:r>
      <w:proofErr w:type="spellEnd"/>
      <w:r>
        <w:t xml:space="preserve">, George, </w:t>
      </w:r>
      <w:r w:rsidR="008F26F2">
        <w:t xml:space="preserve">Harris </w:t>
      </w:r>
      <w:proofErr w:type="spellStart"/>
      <w:r w:rsidRPr="00BD7EFC">
        <w:t>De</w:t>
      </w:r>
      <w:r>
        <w:t>llas</w:t>
      </w:r>
      <w:proofErr w:type="spellEnd"/>
      <w:r>
        <w:t xml:space="preserve">, and </w:t>
      </w:r>
      <w:r w:rsidR="008F26F2">
        <w:t>Alan Stockman</w:t>
      </w:r>
      <w:r w:rsidR="00595ACF">
        <w:t>, 2008,</w:t>
      </w:r>
      <w:r>
        <w:t xml:space="preserve"> </w:t>
      </w:r>
      <w:r w:rsidRPr="00BD7EFC">
        <w:t>"</w:t>
      </w:r>
      <w:hyperlink r:id="rId25" w:history="1">
        <w:r>
          <w:t>The C</w:t>
        </w:r>
        <w:r w:rsidRPr="00BD7EFC">
          <w:t xml:space="preserve">lassification and </w:t>
        </w:r>
        <w:r>
          <w:t>Performance of Alternative Exchange-Rate S</w:t>
        </w:r>
        <w:r w:rsidRPr="00BD7EFC">
          <w:t>ystems</w:t>
        </w:r>
      </w:hyperlink>
      <w:r w:rsidRPr="00BD7EFC">
        <w:t xml:space="preserve">," </w:t>
      </w:r>
      <w:hyperlink r:id="rId26" w:history="1">
        <w:r w:rsidRPr="00BD7EFC">
          <w:rPr>
            <w:i/>
          </w:rPr>
          <w:t>European Economic Review</w:t>
        </w:r>
      </w:hyperlink>
      <w:r>
        <w:t xml:space="preserve">, </w:t>
      </w:r>
      <w:r w:rsidRPr="00BD7EFC">
        <w:t>52(6)</w:t>
      </w:r>
      <w:r>
        <w:t>: 941-</w:t>
      </w:r>
      <w:r w:rsidRPr="00BD7EFC">
        <w:t xml:space="preserve">63, August. </w:t>
      </w:r>
    </w:p>
    <w:p w:rsidR="00595ACF" w:rsidRDefault="00050D52" w:rsidP="00BD38D5">
      <w:pPr>
        <w:spacing w:line="240" w:lineRule="auto"/>
        <w:jc w:val="both"/>
      </w:pPr>
      <w:r w:rsidRPr="001C1A26">
        <w:t>Williamson, John</w:t>
      </w:r>
      <w:r w:rsidR="00665B96">
        <w:t>,</w:t>
      </w:r>
      <w:r w:rsidRPr="001C1A26">
        <w:t xml:space="preserve"> </w:t>
      </w:r>
      <w:r>
        <w:t xml:space="preserve">2000, “Exchange Rate Regimes for Emerging Markets: Reviving the Intermediate Option” </w:t>
      </w:r>
      <w:r w:rsidR="00AE38FE" w:rsidRPr="00AE38FE">
        <w:rPr>
          <w:rFonts w:cs="Arial"/>
          <w:i/>
        </w:rPr>
        <w:t>Policy Analyses in International Economics</w:t>
      </w:r>
      <w:r w:rsidR="00AE38FE">
        <w:t xml:space="preserve"> no. 60 </w:t>
      </w:r>
      <w:r>
        <w:t>(Peterson Institute for Internat</w:t>
      </w:r>
      <w:r w:rsidR="00BD38D5">
        <w:t>ional Economics: Washington DC)</w:t>
      </w:r>
      <w:r w:rsidR="00AE38FE">
        <w:t>, April.</w:t>
      </w:r>
    </w:p>
    <w:p w:rsidR="00A52512" w:rsidRPr="00E15C83" w:rsidRDefault="00E16AB9" w:rsidP="00595ACF">
      <w:pPr>
        <w:spacing w:line="240" w:lineRule="auto"/>
        <w:jc w:val="center"/>
      </w:pPr>
      <w:r>
        <w:t>=====================</w:t>
      </w:r>
    </w:p>
    <w:sectPr w:rsidR="00A52512" w:rsidRPr="00E15C83" w:rsidSect="00D5526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657" w:rsidRDefault="00834657" w:rsidP="0010171A">
      <w:pPr>
        <w:spacing w:after="0" w:line="240" w:lineRule="auto"/>
      </w:pPr>
      <w:r>
        <w:separator/>
      </w:r>
    </w:p>
  </w:endnote>
  <w:endnote w:type="continuationSeparator" w:id="0">
    <w:p w:rsidR="00834657" w:rsidRDefault="00834657" w:rsidP="001017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542411"/>
      <w:docPartObj>
        <w:docPartGallery w:val="Page Numbers (Bottom of Page)"/>
        <w:docPartUnique/>
      </w:docPartObj>
    </w:sdtPr>
    <w:sdtEndPr>
      <w:rPr>
        <w:noProof/>
      </w:rPr>
    </w:sdtEndPr>
    <w:sdtContent>
      <w:p w:rsidR="00BE5495" w:rsidRDefault="00BE5495">
        <w:pPr>
          <w:pStyle w:val="Footer"/>
          <w:jc w:val="right"/>
        </w:pPr>
        <w:r>
          <w:fldChar w:fldCharType="begin"/>
        </w:r>
        <w:r>
          <w:instrText xml:space="preserve"> PAGE   \* MERGEFORMAT </w:instrText>
        </w:r>
        <w:r>
          <w:fldChar w:fldCharType="separate"/>
        </w:r>
        <w:r w:rsidR="000773BD">
          <w:rPr>
            <w:noProof/>
          </w:rPr>
          <w:t>20</w:t>
        </w:r>
        <w:r>
          <w:rPr>
            <w:noProof/>
          </w:rPr>
          <w:fldChar w:fldCharType="end"/>
        </w:r>
      </w:p>
    </w:sdtContent>
  </w:sdt>
  <w:p w:rsidR="00BE5495" w:rsidRDefault="00BE54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657" w:rsidRDefault="00834657" w:rsidP="0010171A">
      <w:pPr>
        <w:spacing w:after="0" w:line="240" w:lineRule="auto"/>
      </w:pPr>
      <w:r>
        <w:separator/>
      </w:r>
    </w:p>
  </w:footnote>
  <w:footnote w:type="continuationSeparator" w:id="0">
    <w:p w:rsidR="00834657" w:rsidRDefault="00834657" w:rsidP="0010171A">
      <w:pPr>
        <w:spacing w:after="0" w:line="240" w:lineRule="auto"/>
      </w:pPr>
      <w:r>
        <w:continuationSeparator/>
      </w:r>
    </w:p>
  </w:footnote>
  <w:footnote w:id="1">
    <w:p w:rsidR="00BE5495" w:rsidRPr="000726C7" w:rsidRDefault="00BE5495">
      <w:pPr>
        <w:pStyle w:val="FootnoteText"/>
        <w:rPr>
          <w:sz w:val="22"/>
          <w:szCs w:val="22"/>
        </w:rPr>
      </w:pPr>
      <w:r w:rsidRPr="000726C7">
        <w:rPr>
          <w:rStyle w:val="FootnoteReference"/>
          <w:sz w:val="22"/>
          <w:szCs w:val="22"/>
        </w:rPr>
        <w:footnoteRef/>
      </w:r>
      <w:r w:rsidRPr="000726C7">
        <w:rPr>
          <w:sz w:val="22"/>
          <w:szCs w:val="22"/>
        </w:rPr>
        <w:t xml:space="preserve"> </w:t>
      </w:r>
      <w:r w:rsidRPr="000726C7">
        <w:rPr>
          <w:rFonts w:ascii="Calibri" w:eastAsia="Times New Roman" w:hAnsi="Calibri" w:cs="Times New Roman"/>
          <w:bCs/>
          <w:kern w:val="36"/>
          <w:sz w:val="22"/>
          <w:szCs w:val="22"/>
        </w:rPr>
        <w:t>American economists tended to be skeptical of the euro project from the beginning</w:t>
      </w:r>
      <w:r>
        <w:rPr>
          <w:rFonts w:ascii="Calibri" w:eastAsia="Times New Roman" w:hAnsi="Calibri" w:cs="Times New Roman"/>
          <w:bCs/>
          <w:kern w:val="36"/>
          <w:sz w:val="22"/>
          <w:szCs w:val="22"/>
        </w:rPr>
        <w:t xml:space="preserve"> (</w:t>
      </w:r>
      <w:r w:rsidRPr="000726C7">
        <w:rPr>
          <w:rFonts w:ascii="Calibri" w:eastAsia="Times New Roman" w:hAnsi="Calibri" w:cs="Times New Roman"/>
          <w:bCs/>
          <w:kern w:val="36"/>
          <w:sz w:val="22"/>
          <w:szCs w:val="22"/>
        </w:rPr>
        <w:t>a</w:t>
      </w:r>
      <w:r w:rsidRPr="000726C7">
        <w:rPr>
          <w:sz w:val="22"/>
          <w:szCs w:val="22"/>
        </w:rPr>
        <w:t>s catalogued in the ill-timed paper by Jonung and Drea</w:t>
      </w:r>
      <w:r>
        <w:rPr>
          <w:sz w:val="22"/>
          <w:szCs w:val="22"/>
        </w:rPr>
        <w:t xml:space="preserve">, </w:t>
      </w:r>
      <w:r w:rsidRPr="000726C7">
        <w:rPr>
          <w:sz w:val="22"/>
          <w:szCs w:val="22"/>
        </w:rPr>
        <w:t>2009). </w:t>
      </w:r>
      <w:r w:rsidRPr="000726C7">
        <w:rPr>
          <w:rFonts w:ascii="Calibri" w:eastAsia="Times New Roman" w:hAnsi="Calibri" w:cs="Times New Roman"/>
          <w:bCs/>
          <w:kern w:val="36"/>
          <w:sz w:val="22"/>
          <w:szCs w:val="22"/>
        </w:rPr>
        <w:t xml:space="preserve"> Many of their concerns have been borne out, particularly concerns that European countries did not const</w:t>
      </w:r>
      <w:r>
        <w:rPr>
          <w:rFonts w:ascii="Calibri" w:eastAsia="Times New Roman" w:hAnsi="Calibri" w:cs="Times New Roman"/>
          <w:bCs/>
          <w:kern w:val="36"/>
          <w:sz w:val="22"/>
          <w:szCs w:val="22"/>
        </w:rPr>
        <w:t>itute an optimum currency area (especially</w:t>
      </w:r>
      <w:r w:rsidRPr="000726C7">
        <w:rPr>
          <w:rFonts w:ascii="Calibri" w:eastAsia="Times New Roman" w:hAnsi="Calibri" w:cs="Times New Roman"/>
          <w:bCs/>
          <w:kern w:val="36"/>
          <w:sz w:val="22"/>
          <w:szCs w:val="22"/>
        </w:rPr>
        <w:t xml:space="preserve"> not to the extent that American states do</w:t>
      </w:r>
      <w:r>
        <w:rPr>
          <w:rFonts w:ascii="Calibri" w:eastAsia="Times New Roman" w:hAnsi="Calibri" w:cs="Times New Roman"/>
          <w:bCs/>
          <w:kern w:val="36"/>
          <w:sz w:val="22"/>
          <w:szCs w:val="22"/>
        </w:rPr>
        <w:t xml:space="preserve">). </w:t>
      </w:r>
      <w:proofErr w:type="gramStart"/>
      <w:r w:rsidRPr="000726C7">
        <w:rPr>
          <w:sz w:val="22"/>
          <w:szCs w:val="22"/>
        </w:rPr>
        <w:t>Eichengreen</w:t>
      </w:r>
      <w:r>
        <w:rPr>
          <w:sz w:val="22"/>
          <w:szCs w:val="22"/>
        </w:rPr>
        <w:t xml:space="preserve">, </w:t>
      </w:r>
      <w:r w:rsidRPr="000726C7">
        <w:rPr>
          <w:sz w:val="22"/>
          <w:szCs w:val="22"/>
        </w:rPr>
        <w:t>1992</w:t>
      </w:r>
      <w:r>
        <w:rPr>
          <w:sz w:val="22"/>
          <w:szCs w:val="22"/>
        </w:rPr>
        <w:t>)</w:t>
      </w:r>
      <w:r w:rsidRPr="000726C7">
        <w:rPr>
          <w:sz w:val="22"/>
          <w:szCs w:val="22"/>
        </w:rPr>
        <w:t>.</w:t>
      </w:r>
      <w:proofErr w:type="gramEnd"/>
      <w:r>
        <w:rPr>
          <w:rFonts w:ascii="Calibri" w:eastAsia="Times New Roman" w:hAnsi="Calibri" w:cs="Times New Roman"/>
          <w:bCs/>
          <w:kern w:val="36"/>
          <w:sz w:val="22"/>
          <w:szCs w:val="22"/>
        </w:rPr>
        <w:br/>
      </w:r>
    </w:p>
  </w:footnote>
  <w:footnote w:id="2">
    <w:p w:rsidR="00BE5495" w:rsidRPr="009C7DFD" w:rsidRDefault="00BE5495">
      <w:pPr>
        <w:pStyle w:val="FootnoteText"/>
        <w:rPr>
          <w:color w:val="333333"/>
          <w:sz w:val="22"/>
          <w:szCs w:val="22"/>
          <w:shd w:val="clear" w:color="auto" w:fill="FCFCFC"/>
        </w:rPr>
      </w:pPr>
      <w:r w:rsidRPr="009C7DFD">
        <w:rPr>
          <w:rStyle w:val="FootnoteReference"/>
        </w:rPr>
        <w:footnoteRef/>
      </w:r>
      <w:r w:rsidRPr="009C7DFD">
        <w:t xml:space="preserve"> </w:t>
      </w:r>
      <w:proofErr w:type="gramStart"/>
      <w:r w:rsidRPr="009C7DFD">
        <w:rPr>
          <w:color w:val="333333"/>
          <w:sz w:val="22"/>
          <w:szCs w:val="22"/>
        </w:rPr>
        <w:t>Mangeni (2018</w:t>
      </w:r>
      <w:r w:rsidRPr="009C7DFD">
        <w:rPr>
          <w:color w:val="333333"/>
          <w:sz w:val="22"/>
          <w:szCs w:val="22"/>
          <w:shd w:val="clear" w:color="auto" w:fill="FCFCFC"/>
        </w:rPr>
        <w:t>).</w:t>
      </w:r>
      <w:proofErr w:type="gramEnd"/>
    </w:p>
    <w:p w:rsidR="00BE5495" w:rsidRDefault="00BE5495">
      <w:pPr>
        <w:pStyle w:val="FootnoteText"/>
      </w:pPr>
    </w:p>
  </w:footnote>
  <w:footnote w:id="3">
    <w:p w:rsidR="00BE5495" w:rsidRDefault="00BE5495" w:rsidP="003E02B6">
      <w:pPr>
        <w:pStyle w:val="ListParagraph"/>
        <w:spacing w:line="240" w:lineRule="auto"/>
        <w:ind w:left="0"/>
      </w:pPr>
      <w:r w:rsidRPr="008C155B">
        <w:rPr>
          <w:rStyle w:val="FootnoteReference"/>
        </w:rPr>
        <w:footnoteRef/>
      </w:r>
      <w:r w:rsidRPr="008C155B">
        <w:t xml:space="preserve"> The literature on actual and proposed monetary unions in Africa has been surveyed by </w:t>
      </w:r>
      <w:proofErr w:type="spellStart"/>
      <w:r>
        <w:rPr>
          <w:rFonts w:cs="Arial"/>
        </w:rPr>
        <w:t>Asongu</w:t>
      </w:r>
      <w:proofErr w:type="spellEnd"/>
      <w:r>
        <w:rPr>
          <w:rFonts w:cs="Arial"/>
        </w:rPr>
        <w:t xml:space="preserve">, </w:t>
      </w:r>
      <w:proofErr w:type="spellStart"/>
      <w:r>
        <w:rPr>
          <w:rFonts w:cs="Arial"/>
        </w:rPr>
        <w:t>Nwachukwu</w:t>
      </w:r>
      <w:proofErr w:type="spellEnd"/>
      <w:r w:rsidRPr="008C155B">
        <w:rPr>
          <w:rFonts w:cs="Arial"/>
        </w:rPr>
        <w:t xml:space="preserve">, and </w:t>
      </w:r>
      <w:proofErr w:type="spellStart"/>
      <w:r w:rsidRPr="008C155B">
        <w:rPr>
          <w:rFonts w:cs="Arial"/>
        </w:rPr>
        <w:t>Tchamyou</w:t>
      </w:r>
      <w:proofErr w:type="spellEnd"/>
      <w:r w:rsidRPr="008C155B">
        <w:rPr>
          <w:rFonts w:cs="Arial"/>
        </w:rPr>
        <w:t xml:space="preserve"> (</w:t>
      </w:r>
      <w:r w:rsidRPr="008C155B">
        <w:rPr>
          <w:rFonts w:eastAsiaTheme="majorEastAsia" w:cs="Arial"/>
        </w:rPr>
        <w:t>2017).</w:t>
      </w:r>
    </w:p>
  </w:footnote>
  <w:footnote w:id="4">
    <w:p w:rsidR="00BE5495" w:rsidRPr="000726C7" w:rsidRDefault="00BE5495" w:rsidP="000726C7">
      <w:pPr>
        <w:spacing w:line="240" w:lineRule="auto"/>
        <w:jc w:val="both"/>
        <w:rPr>
          <w:snapToGrid w:val="0"/>
          <w:color w:val="000000"/>
        </w:rPr>
      </w:pPr>
      <w:r>
        <w:rPr>
          <w:rStyle w:val="FootnoteReference"/>
        </w:rPr>
        <w:footnoteRef/>
      </w:r>
      <w:r>
        <w:t xml:space="preserve"> An example from each of the three schools:  </w:t>
      </w:r>
      <w:r w:rsidRPr="001F48D8">
        <w:rPr>
          <w:snapToGrid w:val="0"/>
          <w:color w:val="000000"/>
        </w:rPr>
        <w:t>Hanke and Schuler (</w:t>
      </w:r>
      <w:r>
        <w:rPr>
          <w:snapToGrid w:val="0"/>
          <w:color w:val="000000"/>
        </w:rPr>
        <w:t xml:space="preserve">1994) on currency boards, Larrain and </w:t>
      </w:r>
      <w:r w:rsidRPr="001F48D8">
        <w:rPr>
          <w:snapToGrid w:val="0"/>
          <w:color w:val="000000"/>
        </w:rPr>
        <w:t>Velasco (2001)</w:t>
      </w:r>
      <w:r>
        <w:rPr>
          <w:snapToGrid w:val="0"/>
          <w:color w:val="000000"/>
        </w:rPr>
        <w:t xml:space="preserve"> on floating</w:t>
      </w:r>
      <w:r w:rsidRPr="001F48D8">
        <w:rPr>
          <w:snapToGrid w:val="0"/>
          <w:color w:val="000000"/>
        </w:rPr>
        <w:t xml:space="preserve">, </w:t>
      </w:r>
      <w:r>
        <w:rPr>
          <w:snapToGrid w:val="0"/>
          <w:color w:val="000000"/>
        </w:rPr>
        <w:t>and Williamson (2000</w:t>
      </w:r>
      <w:r w:rsidRPr="001F48D8">
        <w:rPr>
          <w:snapToGrid w:val="0"/>
          <w:color w:val="000000"/>
        </w:rPr>
        <w:t>)</w:t>
      </w:r>
      <w:r>
        <w:rPr>
          <w:snapToGrid w:val="0"/>
          <w:color w:val="000000"/>
        </w:rPr>
        <w:t xml:space="preserve"> on target zones.   </w:t>
      </w:r>
    </w:p>
  </w:footnote>
  <w:footnote w:id="5">
    <w:p w:rsidR="00BE5495" w:rsidRPr="000F7F9B" w:rsidRDefault="00BE5495">
      <w:pPr>
        <w:pStyle w:val="FootnoteText"/>
        <w:rPr>
          <w:sz w:val="22"/>
          <w:szCs w:val="22"/>
        </w:rPr>
      </w:pPr>
      <w:r w:rsidRPr="000F7F9B">
        <w:rPr>
          <w:rStyle w:val="FootnoteReference"/>
          <w:sz w:val="22"/>
          <w:szCs w:val="22"/>
        </w:rPr>
        <w:footnoteRef/>
      </w:r>
      <w:r w:rsidRPr="000F7F9B">
        <w:rPr>
          <w:sz w:val="22"/>
          <w:szCs w:val="22"/>
        </w:rPr>
        <w:t xml:space="preserve"> </w:t>
      </w:r>
      <w:proofErr w:type="gramStart"/>
      <w:r w:rsidRPr="000F7F9B">
        <w:rPr>
          <w:sz w:val="22"/>
          <w:szCs w:val="22"/>
        </w:rPr>
        <w:t>Frankel (1999).</w:t>
      </w:r>
      <w:proofErr w:type="gramEnd"/>
      <w:r>
        <w:rPr>
          <w:sz w:val="22"/>
          <w:szCs w:val="22"/>
        </w:rPr>
        <w:br/>
      </w:r>
    </w:p>
  </w:footnote>
  <w:footnote w:id="6">
    <w:p w:rsidR="00BE5495" w:rsidRPr="008F26F2" w:rsidRDefault="00BE5495">
      <w:pPr>
        <w:pStyle w:val="FootnoteText"/>
        <w:rPr>
          <w:sz w:val="22"/>
          <w:szCs w:val="22"/>
        </w:rPr>
      </w:pPr>
      <w:r w:rsidRPr="008F26F2">
        <w:rPr>
          <w:rStyle w:val="FootnoteReference"/>
          <w:sz w:val="22"/>
          <w:szCs w:val="22"/>
        </w:rPr>
        <w:footnoteRef/>
      </w:r>
      <w:r w:rsidRPr="008F26F2">
        <w:rPr>
          <w:sz w:val="22"/>
          <w:szCs w:val="22"/>
        </w:rPr>
        <w:t xml:space="preserve"> </w:t>
      </w:r>
      <w:proofErr w:type="spellStart"/>
      <w:r>
        <w:rPr>
          <w:sz w:val="22"/>
          <w:szCs w:val="22"/>
        </w:rPr>
        <w:t>Tavlas</w:t>
      </w:r>
      <w:proofErr w:type="spellEnd"/>
      <w:r>
        <w:rPr>
          <w:sz w:val="22"/>
          <w:szCs w:val="22"/>
        </w:rPr>
        <w:t xml:space="preserve"> (1993) and </w:t>
      </w:r>
      <w:r w:rsidRPr="008F26F2">
        <w:rPr>
          <w:sz w:val="22"/>
          <w:szCs w:val="22"/>
        </w:rPr>
        <w:t>Mongelli (2002) survey</w:t>
      </w:r>
      <w:r>
        <w:rPr>
          <w:sz w:val="22"/>
          <w:szCs w:val="22"/>
        </w:rPr>
        <w:t>ed</w:t>
      </w:r>
      <w:r w:rsidRPr="008F26F2">
        <w:rPr>
          <w:sz w:val="22"/>
          <w:szCs w:val="22"/>
        </w:rPr>
        <w:t xml:space="preserve"> the optimum currency area literature.</w:t>
      </w:r>
      <w:r w:rsidRPr="008F26F2">
        <w:rPr>
          <w:sz w:val="22"/>
          <w:szCs w:val="22"/>
        </w:rPr>
        <w:br/>
      </w:r>
    </w:p>
  </w:footnote>
  <w:footnote w:id="7">
    <w:p w:rsidR="00BE5495" w:rsidRPr="005A28F3" w:rsidRDefault="00BE5495">
      <w:pPr>
        <w:pStyle w:val="FootnoteText"/>
        <w:rPr>
          <w:sz w:val="22"/>
          <w:szCs w:val="22"/>
        </w:rPr>
      </w:pPr>
      <w:r w:rsidRPr="005A28F3">
        <w:rPr>
          <w:rStyle w:val="FootnoteReference"/>
          <w:sz w:val="22"/>
          <w:szCs w:val="22"/>
        </w:rPr>
        <w:footnoteRef/>
      </w:r>
      <w:r w:rsidRPr="005A28F3">
        <w:rPr>
          <w:sz w:val="22"/>
          <w:szCs w:val="22"/>
        </w:rPr>
        <w:t xml:space="preserve"> </w:t>
      </w:r>
      <w:proofErr w:type="gramStart"/>
      <w:r w:rsidRPr="005A28F3">
        <w:rPr>
          <w:sz w:val="22"/>
          <w:szCs w:val="22"/>
        </w:rPr>
        <w:t>Frieden (2014).</w:t>
      </w:r>
      <w:proofErr w:type="gramEnd"/>
      <w:r>
        <w:rPr>
          <w:sz w:val="22"/>
          <w:szCs w:val="22"/>
        </w:rPr>
        <w:br/>
      </w:r>
    </w:p>
  </w:footnote>
  <w:footnote w:id="8">
    <w:p w:rsidR="00BE5495" w:rsidRPr="000F7F9B" w:rsidRDefault="00BE5495" w:rsidP="00BB2EB3">
      <w:pPr>
        <w:pStyle w:val="FootnoteText"/>
        <w:rPr>
          <w:sz w:val="22"/>
          <w:szCs w:val="22"/>
        </w:rPr>
      </w:pPr>
      <w:r w:rsidRPr="005A28F3">
        <w:rPr>
          <w:rStyle w:val="FootnoteReference"/>
          <w:sz w:val="22"/>
          <w:szCs w:val="22"/>
        </w:rPr>
        <w:footnoteRef/>
      </w:r>
      <w:r w:rsidRPr="005A28F3">
        <w:rPr>
          <w:sz w:val="22"/>
          <w:szCs w:val="22"/>
        </w:rPr>
        <w:t xml:space="preserve"> This is the classic model of dynamically consistent monetary policy, due to Barro and Gordon (1983).  </w:t>
      </w:r>
      <w:proofErr w:type="gramStart"/>
      <w:r w:rsidRPr="005A28F3">
        <w:rPr>
          <w:sz w:val="22"/>
          <w:szCs w:val="22"/>
        </w:rPr>
        <w:t>Also Rogoff (1985) and Calvo and Vegh (1994).</w:t>
      </w:r>
      <w:proofErr w:type="gramEnd"/>
      <w:r>
        <w:rPr>
          <w:sz w:val="22"/>
          <w:szCs w:val="22"/>
        </w:rPr>
        <w:br/>
      </w:r>
    </w:p>
  </w:footnote>
  <w:footnote w:id="9">
    <w:p w:rsidR="00BE5495" w:rsidRDefault="00BE5495">
      <w:pPr>
        <w:pStyle w:val="FootnoteText"/>
      </w:pPr>
      <w:r w:rsidRPr="000F7F9B">
        <w:rPr>
          <w:rStyle w:val="FootnoteReference"/>
          <w:sz w:val="22"/>
          <w:szCs w:val="22"/>
        </w:rPr>
        <w:footnoteRef/>
      </w:r>
      <w:r w:rsidRPr="000F7F9B">
        <w:rPr>
          <w:sz w:val="22"/>
          <w:szCs w:val="22"/>
        </w:rPr>
        <w:t xml:space="preserve"> The question of what will be the monetary policy of the foreign or larger currency unit is an important one to which a later memo will return </w:t>
      </w:r>
      <w:r>
        <w:rPr>
          <w:sz w:val="22"/>
          <w:szCs w:val="22"/>
        </w:rPr>
        <w:t>(</w:t>
      </w:r>
      <w:r w:rsidRPr="000F7F9B">
        <w:rPr>
          <w:sz w:val="22"/>
          <w:szCs w:val="22"/>
        </w:rPr>
        <w:t>when considering the CFA peg to the French franc in the past, the euro in the present, and other options for the future</w:t>
      </w:r>
      <w:r>
        <w:rPr>
          <w:sz w:val="22"/>
          <w:szCs w:val="22"/>
        </w:rPr>
        <w:t>)</w:t>
      </w:r>
      <w:r w:rsidRPr="000F7F9B">
        <w:rPr>
          <w:sz w:val="22"/>
          <w:szCs w:val="22"/>
        </w:rPr>
        <w:t>.</w:t>
      </w:r>
    </w:p>
  </w:footnote>
  <w:footnote w:id="10">
    <w:p w:rsidR="00BE5495" w:rsidRPr="00BF5878" w:rsidRDefault="00BE5495">
      <w:pPr>
        <w:pStyle w:val="FootnoteText"/>
        <w:rPr>
          <w:sz w:val="22"/>
          <w:szCs w:val="22"/>
        </w:rPr>
      </w:pPr>
      <w:r w:rsidRPr="00BF5878">
        <w:rPr>
          <w:rStyle w:val="FootnoteReference"/>
          <w:sz w:val="22"/>
          <w:szCs w:val="22"/>
        </w:rPr>
        <w:footnoteRef/>
      </w:r>
      <w:r w:rsidRPr="00BF5878">
        <w:rPr>
          <w:sz w:val="22"/>
          <w:szCs w:val="22"/>
        </w:rPr>
        <w:t xml:space="preserve"> </w:t>
      </w:r>
      <w:proofErr w:type="gramStart"/>
      <w:r w:rsidRPr="00BF5878">
        <w:rPr>
          <w:sz w:val="22"/>
          <w:szCs w:val="22"/>
        </w:rPr>
        <w:t>Going</w:t>
      </w:r>
      <w:r>
        <w:rPr>
          <w:sz w:val="22"/>
          <w:szCs w:val="22"/>
        </w:rPr>
        <w:t xml:space="preserve"> back to the original proponent</w:t>
      </w:r>
      <w:r w:rsidRPr="00BF5878">
        <w:rPr>
          <w:sz w:val="22"/>
          <w:szCs w:val="22"/>
        </w:rPr>
        <w:t xml:space="preserve"> of floating exchange rates</w:t>
      </w:r>
      <w:r>
        <w:rPr>
          <w:sz w:val="22"/>
          <w:szCs w:val="22"/>
        </w:rPr>
        <w:t xml:space="preserve">: </w:t>
      </w:r>
      <w:r w:rsidRPr="00BF5878">
        <w:rPr>
          <w:sz w:val="22"/>
          <w:szCs w:val="22"/>
        </w:rPr>
        <w:t xml:space="preserve"> Friedman (1953).</w:t>
      </w:r>
      <w:proofErr w:type="gramEnd"/>
      <w:r w:rsidRPr="00BF5878">
        <w:rPr>
          <w:sz w:val="22"/>
          <w:szCs w:val="22"/>
        </w:rPr>
        <w:br/>
      </w:r>
    </w:p>
  </w:footnote>
  <w:footnote w:id="11">
    <w:p w:rsidR="00BE5495" w:rsidRPr="00BF5878" w:rsidRDefault="00BE5495" w:rsidP="00BF5878">
      <w:pPr>
        <w:tabs>
          <w:tab w:val="left" w:pos="-720"/>
        </w:tabs>
        <w:suppressAutoHyphens/>
        <w:spacing w:line="240" w:lineRule="auto"/>
        <w:rPr>
          <w:iCs/>
        </w:rPr>
      </w:pPr>
      <w:r w:rsidRPr="002A414E">
        <w:rPr>
          <w:rStyle w:val="FootnoteReference"/>
        </w:rPr>
        <w:footnoteRef/>
      </w:r>
      <w:r w:rsidRPr="002A414E">
        <w:t xml:space="preserve"> One piece of evidence is that nominal changes in the exchange rate are seen to cause real changes in the exchange rate.  </w:t>
      </w:r>
      <w:proofErr w:type="gramStart"/>
      <w:r w:rsidRPr="002A414E">
        <w:t xml:space="preserve">E.g., </w:t>
      </w:r>
      <w:proofErr w:type="spellStart"/>
      <w:r w:rsidRPr="002A414E">
        <w:t>Bahmani-Oskooee</w:t>
      </w:r>
      <w:proofErr w:type="spellEnd"/>
      <w:r w:rsidRPr="002A414E">
        <w:t xml:space="preserve">, </w:t>
      </w:r>
      <w:proofErr w:type="spellStart"/>
      <w:r w:rsidRPr="002A414E">
        <w:rPr>
          <w:iCs/>
        </w:rPr>
        <w:t>Hegerty</w:t>
      </w:r>
      <w:proofErr w:type="spellEnd"/>
      <w:r w:rsidRPr="002A414E">
        <w:rPr>
          <w:iCs/>
        </w:rPr>
        <w:t xml:space="preserve">, and </w:t>
      </w:r>
      <w:proofErr w:type="spellStart"/>
      <w:r w:rsidRPr="002A414E">
        <w:rPr>
          <w:iCs/>
        </w:rPr>
        <w:t>Kutan</w:t>
      </w:r>
      <w:proofErr w:type="spellEnd"/>
      <w:r w:rsidRPr="002A414E">
        <w:rPr>
          <w:iCs/>
        </w:rPr>
        <w:t xml:space="preserve"> (2008).</w:t>
      </w:r>
      <w:proofErr w:type="gramEnd"/>
    </w:p>
  </w:footnote>
  <w:footnote w:id="12">
    <w:p w:rsidR="00BE5495" w:rsidRPr="00383502" w:rsidRDefault="00BE5495" w:rsidP="00383502">
      <w:pPr>
        <w:tabs>
          <w:tab w:val="left" w:pos="-720"/>
        </w:tabs>
        <w:suppressAutoHyphens/>
        <w:spacing w:line="240" w:lineRule="auto"/>
        <w:jc w:val="both"/>
        <w:rPr>
          <w:iCs/>
        </w:rPr>
      </w:pPr>
      <w:r>
        <w:rPr>
          <w:rStyle w:val="FootnoteReference"/>
        </w:rPr>
        <w:footnoteRef/>
      </w:r>
      <w:r>
        <w:t xml:space="preserve"> </w:t>
      </w:r>
      <w:proofErr w:type="gramStart"/>
      <w:r>
        <w:t xml:space="preserve">Surveyed by </w:t>
      </w:r>
      <w:r w:rsidRPr="005637C7">
        <w:rPr>
          <w:shd w:val="clear" w:color="auto" w:fill="FFFFFF"/>
        </w:rPr>
        <w:t>Baldwin (2006).</w:t>
      </w:r>
      <w:proofErr w:type="gramEnd"/>
      <w:r w:rsidRPr="00383502">
        <w:rPr>
          <w:color w:val="505050"/>
          <w:shd w:val="clear" w:color="auto" w:fill="FFFFFF"/>
        </w:rPr>
        <w:t xml:space="preserve"> </w:t>
      </w:r>
    </w:p>
  </w:footnote>
  <w:footnote w:id="13">
    <w:p w:rsidR="00BE5495" w:rsidRPr="002A414E" w:rsidRDefault="00BE5495">
      <w:pPr>
        <w:pStyle w:val="FootnoteText"/>
        <w:rPr>
          <w:sz w:val="22"/>
          <w:szCs w:val="22"/>
        </w:rPr>
      </w:pPr>
      <w:r w:rsidRPr="002A414E">
        <w:rPr>
          <w:rStyle w:val="FootnoteReference"/>
          <w:sz w:val="22"/>
          <w:szCs w:val="22"/>
        </w:rPr>
        <w:footnoteRef/>
      </w:r>
      <w:r w:rsidRPr="002A414E">
        <w:rPr>
          <w:sz w:val="22"/>
          <w:szCs w:val="22"/>
        </w:rPr>
        <w:t xml:space="preserve"> Rose and van Wincoop (2001) find that taking multilateral resistance into account should knock the predicted effect of the euro on bilateral trade among the original members down from tripling to 58%.</w:t>
      </w:r>
      <w:r>
        <w:rPr>
          <w:sz w:val="22"/>
          <w:szCs w:val="22"/>
        </w:rPr>
        <w:br/>
      </w:r>
    </w:p>
  </w:footnote>
  <w:footnote w:id="14">
    <w:p w:rsidR="002152A5" w:rsidRDefault="002152A5">
      <w:pPr>
        <w:pStyle w:val="FootnoteText"/>
      </w:pPr>
      <w:r>
        <w:rPr>
          <w:rStyle w:val="FootnoteReference"/>
        </w:rPr>
        <w:footnoteRef/>
      </w:r>
      <w:r>
        <w:t xml:space="preserve"> </w:t>
      </w:r>
      <w:proofErr w:type="gramStart"/>
      <w:r>
        <w:rPr>
          <w:sz w:val="22"/>
          <w:szCs w:val="22"/>
        </w:rPr>
        <w:t>Nitsch</w:t>
      </w:r>
      <w:r w:rsidRPr="00367E8B">
        <w:rPr>
          <w:sz w:val="22"/>
          <w:szCs w:val="22"/>
        </w:rPr>
        <w:t xml:space="preserve"> (200</w:t>
      </w:r>
      <w:r>
        <w:rPr>
          <w:sz w:val="22"/>
          <w:szCs w:val="22"/>
        </w:rPr>
        <w:t>2</w:t>
      </w:r>
      <w:r>
        <w:t>).</w:t>
      </w:r>
      <w:proofErr w:type="gramEnd"/>
      <w:r w:rsidR="002152A8">
        <w:br/>
      </w:r>
    </w:p>
  </w:footnote>
  <w:footnote w:id="15">
    <w:p w:rsidR="002152A8" w:rsidRPr="003E02B6" w:rsidRDefault="002152A8" w:rsidP="003E02B6">
      <w:pPr>
        <w:pStyle w:val="References"/>
        <w:ind w:left="158" w:hanging="158"/>
        <w:rPr>
          <w:rFonts w:asciiTheme="minorHAnsi" w:hAnsiTheme="minorHAnsi"/>
          <w:sz w:val="22"/>
          <w:szCs w:val="22"/>
        </w:rPr>
      </w:pPr>
      <w:r w:rsidRPr="003E02B6">
        <w:rPr>
          <w:rStyle w:val="FootnoteReference"/>
          <w:rFonts w:asciiTheme="minorHAnsi" w:hAnsiTheme="minorHAnsi"/>
          <w:sz w:val="22"/>
          <w:szCs w:val="22"/>
        </w:rPr>
        <w:footnoteRef/>
      </w:r>
      <w:r w:rsidRPr="003E02B6">
        <w:rPr>
          <w:rFonts w:asciiTheme="minorHAnsi" w:hAnsiTheme="minorHAnsi"/>
          <w:sz w:val="22"/>
          <w:szCs w:val="22"/>
        </w:rPr>
        <w:t xml:space="preserve"> </w:t>
      </w:r>
      <w:proofErr w:type="gramStart"/>
      <w:r w:rsidRPr="003E02B6">
        <w:rPr>
          <w:rFonts w:asciiTheme="minorHAnsi" w:hAnsiTheme="minorHAnsi"/>
          <w:sz w:val="22"/>
          <w:szCs w:val="22"/>
        </w:rPr>
        <w:t>Persson (2001)</w:t>
      </w:r>
      <w:r>
        <w:rPr>
          <w:rFonts w:asciiTheme="minorHAnsi" w:hAnsiTheme="minorHAnsi"/>
          <w:sz w:val="22"/>
          <w:szCs w:val="22"/>
        </w:rPr>
        <w:t>.</w:t>
      </w:r>
      <w:proofErr w:type="gramEnd"/>
    </w:p>
  </w:footnote>
  <w:footnote w:id="16">
    <w:p w:rsidR="00BE5495" w:rsidRDefault="00BE5495">
      <w:pPr>
        <w:pStyle w:val="FootnoteText"/>
      </w:pPr>
      <w:r w:rsidRPr="002A414E">
        <w:rPr>
          <w:rStyle w:val="FootnoteReference"/>
          <w:sz w:val="22"/>
          <w:szCs w:val="22"/>
        </w:rPr>
        <w:footnoteRef/>
      </w:r>
      <w:r w:rsidRPr="002A414E">
        <w:rPr>
          <w:sz w:val="22"/>
          <w:szCs w:val="22"/>
        </w:rPr>
        <w:t xml:space="preserve"> </w:t>
      </w:r>
      <w:proofErr w:type="gramStart"/>
      <w:r w:rsidRPr="002A414E">
        <w:rPr>
          <w:sz w:val="22"/>
          <w:szCs w:val="22"/>
        </w:rPr>
        <w:t>Frankel (2010).</w:t>
      </w:r>
      <w:proofErr w:type="gramEnd"/>
      <w:r>
        <w:rPr>
          <w:sz w:val="22"/>
          <w:szCs w:val="22"/>
        </w:rPr>
        <w:br/>
      </w:r>
    </w:p>
  </w:footnote>
  <w:footnote w:id="17">
    <w:p w:rsidR="00BE5495" w:rsidRDefault="00BE5495">
      <w:pPr>
        <w:pStyle w:val="FootnoteText"/>
      </w:pPr>
      <w:r>
        <w:rPr>
          <w:rStyle w:val="FootnoteReference"/>
        </w:rPr>
        <w:footnoteRef/>
      </w:r>
      <w:r>
        <w:t xml:space="preserve"> </w:t>
      </w:r>
      <w:proofErr w:type="gramStart"/>
      <w:r w:rsidRPr="00141005">
        <w:rPr>
          <w:sz w:val="22"/>
          <w:szCs w:val="22"/>
        </w:rPr>
        <w:t>Rose (2017)</w:t>
      </w:r>
      <w:r>
        <w:rPr>
          <w:sz w:val="22"/>
          <w:szCs w:val="22"/>
        </w:rPr>
        <w:t xml:space="preserve"> and Frankel (2010)</w:t>
      </w:r>
      <w:r w:rsidRPr="00141005">
        <w:rPr>
          <w:sz w:val="22"/>
          <w:szCs w:val="22"/>
        </w:rPr>
        <w:t>.</w:t>
      </w:r>
      <w:proofErr w:type="gramEnd"/>
      <w:r>
        <w:rPr>
          <w:sz w:val="22"/>
          <w:szCs w:val="22"/>
        </w:rPr>
        <w:br/>
      </w:r>
    </w:p>
  </w:footnote>
  <w:footnote w:id="18">
    <w:p w:rsidR="00BE5495" w:rsidRDefault="00BE5495">
      <w:pPr>
        <w:pStyle w:val="FootnoteText"/>
      </w:pPr>
      <w:r>
        <w:rPr>
          <w:rStyle w:val="FootnoteReference"/>
        </w:rPr>
        <w:footnoteRef/>
      </w:r>
      <w:r>
        <w:t xml:space="preserve"> </w:t>
      </w:r>
      <w:r w:rsidRPr="00996966">
        <w:rPr>
          <w:sz w:val="24"/>
          <w:szCs w:val="24"/>
        </w:rPr>
        <w:t xml:space="preserve">The argument goes back </w:t>
      </w:r>
      <w:r>
        <w:rPr>
          <w:sz w:val="24"/>
          <w:szCs w:val="24"/>
        </w:rPr>
        <w:t xml:space="preserve">to </w:t>
      </w:r>
      <w:r w:rsidRPr="00996966">
        <w:rPr>
          <w:sz w:val="24"/>
          <w:szCs w:val="24"/>
        </w:rPr>
        <w:t>Friedman (1953).</w:t>
      </w:r>
      <w:r>
        <w:rPr>
          <w:sz w:val="24"/>
          <w:szCs w:val="24"/>
        </w:rPr>
        <w:t xml:space="preserve"> The normal textbook assumption is that depreciation stimulates net exports and thereby helps moderate a fall in national output.  But sometimes depreciation is contractionary (e.g., Frankel, 2005).  This particularly applies to a country that has a lot of debt denominated in foreign currency.  </w:t>
      </w:r>
      <w:proofErr w:type="gramStart"/>
      <w:r>
        <w:rPr>
          <w:sz w:val="24"/>
          <w:szCs w:val="24"/>
        </w:rPr>
        <w:t>Currency mismatch plus devaluation results in a negative balance sheet effect.</w:t>
      </w:r>
      <w:proofErr w:type="gramEnd"/>
      <w:r>
        <w:rPr>
          <w:sz w:val="24"/>
          <w:szCs w:val="24"/>
        </w:rPr>
        <w:t xml:space="preserve">  This is one explanation for the observed “fear of floating” (Calvo and Reinhart, 2002).</w:t>
      </w:r>
    </w:p>
  </w:footnote>
  <w:footnote w:id="19">
    <w:p w:rsidR="00BE5495" w:rsidRPr="00FC16D7" w:rsidRDefault="00BE5495" w:rsidP="00912474">
      <w:pPr>
        <w:pStyle w:val="FootnoteText"/>
        <w:rPr>
          <w:sz w:val="22"/>
          <w:szCs w:val="22"/>
        </w:rPr>
      </w:pPr>
      <w:r w:rsidRPr="00FC16D7">
        <w:rPr>
          <w:rStyle w:val="FootnoteReference"/>
          <w:sz w:val="22"/>
          <w:szCs w:val="22"/>
        </w:rPr>
        <w:footnoteRef/>
      </w:r>
      <w:r w:rsidRPr="00FC16D7">
        <w:rPr>
          <w:sz w:val="22"/>
          <w:szCs w:val="22"/>
        </w:rPr>
        <w:t xml:space="preserve"> Obstfeld and Rogoff (1995) and Klein and Marion (1997) document that most declared pegs do not last very long [absent an institutional elimination of the possibility of devaluation, for example through a currency union].</w:t>
      </w:r>
    </w:p>
    <w:p w:rsidR="00BE5495" w:rsidRPr="00FC16D7" w:rsidRDefault="00BE5495">
      <w:pPr>
        <w:pStyle w:val="FootnoteText"/>
        <w:rPr>
          <w:sz w:val="22"/>
          <w:szCs w:val="22"/>
        </w:rPr>
      </w:pPr>
    </w:p>
  </w:footnote>
  <w:footnote w:id="20">
    <w:p w:rsidR="00BE5495" w:rsidRPr="00FC16D7" w:rsidRDefault="00BE5495" w:rsidP="00FC16D7">
      <w:pPr>
        <w:rPr>
          <w:rFonts w:cs="Arial"/>
          <w:color w:val="333333"/>
        </w:rPr>
      </w:pPr>
      <w:r w:rsidRPr="00FC16D7">
        <w:rPr>
          <w:rStyle w:val="FootnoteReference"/>
        </w:rPr>
        <w:footnoteRef/>
      </w:r>
      <w:r w:rsidRPr="00FC16D7">
        <w:t xml:space="preserve"> </w:t>
      </w:r>
      <w:r w:rsidRPr="00FC16D7">
        <w:rPr>
          <w:rStyle w:val="addmd"/>
          <w:rFonts w:cs="Arial"/>
          <w:color w:val="333333"/>
          <w:shd w:val="clear" w:color="auto" w:fill="FFFFFF"/>
        </w:rPr>
        <w:t>Cossé</w:t>
      </w:r>
      <w:proofErr w:type="gramStart"/>
      <w:r w:rsidRPr="00FC16D7">
        <w:rPr>
          <w:rStyle w:val="addmd"/>
          <w:rFonts w:cs="Arial"/>
          <w:color w:val="333333"/>
          <w:shd w:val="clear" w:color="auto" w:fill="FFFFFF"/>
        </w:rPr>
        <w:t>,  et</w:t>
      </w:r>
      <w:proofErr w:type="gramEnd"/>
      <w:r w:rsidRPr="00FC16D7">
        <w:rPr>
          <w:rStyle w:val="addmd"/>
          <w:rFonts w:cs="Arial"/>
          <w:color w:val="333333"/>
          <w:shd w:val="clear" w:color="auto" w:fill="FFFFFF"/>
        </w:rPr>
        <w:t xml:space="preserve"> al (1996</w:t>
      </w:r>
      <w:r w:rsidRPr="00FC16D7">
        <w:rPr>
          <w:rFonts w:ascii="Arial" w:hAnsi="Arial" w:cs="Arial"/>
          <w:color w:val="333333"/>
        </w:rPr>
        <w:t xml:space="preserve">) and </w:t>
      </w:r>
      <w:r w:rsidRPr="00FC16D7">
        <w:rPr>
          <w:rFonts w:cs="Arial"/>
          <w:color w:val="333333"/>
        </w:rPr>
        <w:t>Devarajan and Hinkle (1994).</w:t>
      </w:r>
    </w:p>
  </w:footnote>
  <w:footnote w:id="21">
    <w:p w:rsidR="00BE5495" w:rsidRPr="00912474" w:rsidRDefault="00BE5495">
      <w:pPr>
        <w:pStyle w:val="FootnoteText"/>
        <w:rPr>
          <w:sz w:val="22"/>
          <w:szCs w:val="22"/>
        </w:rPr>
      </w:pPr>
      <w:r w:rsidRPr="00912474">
        <w:rPr>
          <w:rStyle w:val="FootnoteReference"/>
          <w:sz w:val="22"/>
          <w:szCs w:val="22"/>
        </w:rPr>
        <w:footnoteRef/>
      </w:r>
      <w:r w:rsidRPr="00912474">
        <w:rPr>
          <w:sz w:val="22"/>
          <w:szCs w:val="22"/>
        </w:rPr>
        <w:t xml:space="preserve"> </w:t>
      </w:r>
      <w:proofErr w:type="gramStart"/>
      <w:r w:rsidRPr="00912474">
        <w:rPr>
          <w:sz w:val="22"/>
          <w:szCs w:val="22"/>
        </w:rPr>
        <w:t>Klein and Shambaugh (2006).</w:t>
      </w:r>
      <w:proofErr w:type="gramEnd"/>
    </w:p>
    <w:p w:rsidR="00BE5495" w:rsidRPr="00912474" w:rsidRDefault="00BE5495">
      <w:pPr>
        <w:pStyle w:val="FootnoteText"/>
        <w:rPr>
          <w:sz w:val="22"/>
          <w:szCs w:val="22"/>
        </w:rPr>
      </w:pPr>
    </w:p>
  </w:footnote>
  <w:footnote w:id="22">
    <w:p w:rsidR="00BE5495" w:rsidRDefault="00BE5495">
      <w:pPr>
        <w:pStyle w:val="FootnoteText"/>
      </w:pPr>
      <w:r w:rsidRPr="00912474">
        <w:rPr>
          <w:rStyle w:val="FootnoteReference"/>
          <w:sz w:val="22"/>
          <w:szCs w:val="22"/>
        </w:rPr>
        <w:footnoteRef/>
      </w:r>
      <w:r>
        <w:rPr>
          <w:sz w:val="22"/>
          <w:szCs w:val="22"/>
        </w:rPr>
        <w:t xml:space="preserve"> Rose </w:t>
      </w:r>
      <w:r w:rsidRPr="00912474">
        <w:rPr>
          <w:sz w:val="22"/>
          <w:szCs w:val="22"/>
        </w:rPr>
        <w:t>(2000</w:t>
      </w:r>
      <w:r>
        <w:rPr>
          <w:sz w:val="22"/>
          <w:szCs w:val="22"/>
        </w:rPr>
        <w:t>, 2001</w:t>
      </w:r>
      <w:r w:rsidRPr="00912474">
        <w:rPr>
          <w:sz w:val="22"/>
          <w:szCs w:val="22"/>
        </w:rPr>
        <w:t>).</w:t>
      </w:r>
      <w:r>
        <w:rPr>
          <w:sz w:val="22"/>
          <w:szCs w:val="22"/>
        </w:rPr>
        <w:br/>
      </w:r>
    </w:p>
  </w:footnote>
  <w:footnote w:id="23">
    <w:p w:rsidR="00BE5495" w:rsidRDefault="00BE5495">
      <w:pPr>
        <w:pStyle w:val="FootnoteText"/>
      </w:pPr>
      <w:r>
        <w:rPr>
          <w:rStyle w:val="FootnoteReference"/>
        </w:rPr>
        <w:footnoteRef/>
      </w:r>
      <w:r>
        <w:t xml:space="preserve"> </w:t>
      </w:r>
      <w:r>
        <w:rPr>
          <w:rFonts w:cs="Arial"/>
          <w:sz w:val="22"/>
          <w:szCs w:val="22"/>
          <w:shd w:val="clear" w:color="auto" w:fill="FFFFFF"/>
        </w:rPr>
        <w:t>Debrun, Masson, and Pattillo</w:t>
      </w:r>
      <w:r w:rsidRPr="004279C2">
        <w:rPr>
          <w:rFonts w:cs="Arial"/>
          <w:sz w:val="22"/>
          <w:szCs w:val="22"/>
          <w:shd w:val="clear" w:color="auto" w:fill="FFFFFF"/>
        </w:rPr>
        <w:t xml:space="preserve"> </w:t>
      </w:r>
      <w:r>
        <w:rPr>
          <w:rFonts w:cs="Arial"/>
          <w:sz w:val="22"/>
          <w:szCs w:val="22"/>
          <w:shd w:val="clear" w:color="auto" w:fill="FFFFFF"/>
        </w:rPr>
        <w:t>(</w:t>
      </w:r>
      <w:r w:rsidRPr="004279C2">
        <w:rPr>
          <w:rFonts w:cs="Arial"/>
          <w:sz w:val="22"/>
          <w:szCs w:val="22"/>
          <w:shd w:val="clear" w:color="auto" w:fill="FFFFFF"/>
        </w:rPr>
        <w:t>2005</w:t>
      </w:r>
      <w:r>
        <w:rPr>
          <w:rFonts w:cs="Arial"/>
          <w:sz w:val="22"/>
          <w:szCs w:val="22"/>
          <w:shd w:val="clear" w:color="auto" w:fill="FFFFFF"/>
        </w:rPr>
        <w:t>)</w:t>
      </w:r>
      <w:r>
        <w:rPr>
          <w:rFonts w:cs="Arial"/>
          <w:sz w:val="22"/>
          <w:szCs w:val="22"/>
          <w:shd w:val="clear" w:color="auto" w:fill="FFFFFF"/>
        </w:rPr>
        <w:br/>
      </w:r>
    </w:p>
  </w:footnote>
  <w:footnote w:id="24">
    <w:p w:rsidR="00BE5495" w:rsidRPr="00B5032D" w:rsidRDefault="00BE5495">
      <w:pPr>
        <w:pStyle w:val="FootnoteText"/>
        <w:rPr>
          <w:sz w:val="22"/>
          <w:szCs w:val="22"/>
        </w:rPr>
      </w:pPr>
      <w:r w:rsidRPr="00B5032D">
        <w:rPr>
          <w:rStyle w:val="FootnoteReference"/>
          <w:sz w:val="22"/>
          <w:szCs w:val="22"/>
        </w:rPr>
        <w:footnoteRef/>
      </w:r>
      <w:r w:rsidRPr="00B5032D">
        <w:rPr>
          <w:sz w:val="22"/>
          <w:szCs w:val="22"/>
        </w:rPr>
        <w:t xml:space="preserve"> </w:t>
      </w:r>
      <w:r w:rsidRPr="00B5032D">
        <w:rPr>
          <w:bCs/>
          <w:sz w:val="22"/>
          <w:szCs w:val="22"/>
        </w:rPr>
        <w:t>Examples include</w:t>
      </w:r>
      <w:r w:rsidRPr="00B5032D">
        <w:rPr>
          <w:sz w:val="22"/>
          <w:szCs w:val="22"/>
        </w:rPr>
        <w:t xml:space="preserve"> Ghosh, </w:t>
      </w:r>
      <w:proofErr w:type="spellStart"/>
      <w:r w:rsidRPr="00B5032D">
        <w:rPr>
          <w:sz w:val="22"/>
          <w:szCs w:val="22"/>
        </w:rPr>
        <w:t>Gulde</w:t>
      </w:r>
      <w:proofErr w:type="spellEnd"/>
      <w:r w:rsidRPr="00B5032D">
        <w:rPr>
          <w:sz w:val="22"/>
          <w:szCs w:val="22"/>
        </w:rPr>
        <w:t xml:space="preserve"> and Wolf (2000), Sturzenegger an</w:t>
      </w:r>
      <w:r>
        <w:rPr>
          <w:sz w:val="22"/>
          <w:szCs w:val="22"/>
        </w:rPr>
        <w:t xml:space="preserve">d Levy-Yeyati (2001, 2003), </w:t>
      </w:r>
      <w:r w:rsidRPr="00B5032D">
        <w:rPr>
          <w:sz w:val="22"/>
          <w:szCs w:val="22"/>
        </w:rPr>
        <w:t xml:space="preserve">Reinhart and Rogoff (2004), </w:t>
      </w:r>
      <w:proofErr w:type="spellStart"/>
      <w:r w:rsidRPr="00B5032D">
        <w:rPr>
          <w:sz w:val="22"/>
          <w:szCs w:val="22"/>
        </w:rPr>
        <w:t>Tavlas</w:t>
      </w:r>
      <w:proofErr w:type="spellEnd"/>
      <w:r w:rsidRPr="00B5032D">
        <w:rPr>
          <w:sz w:val="22"/>
          <w:szCs w:val="22"/>
        </w:rPr>
        <w:t xml:space="preserve">, </w:t>
      </w:r>
      <w:proofErr w:type="spellStart"/>
      <w:r w:rsidRPr="00B5032D">
        <w:rPr>
          <w:sz w:val="22"/>
          <w:szCs w:val="22"/>
        </w:rPr>
        <w:t>Dellas</w:t>
      </w:r>
      <w:proofErr w:type="spellEnd"/>
      <w:r w:rsidRPr="00B5032D">
        <w:rPr>
          <w:sz w:val="22"/>
          <w:szCs w:val="22"/>
        </w:rPr>
        <w:t>, and Stockman (2008)</w:t>
      </w:r>
      <w:r>
        <w:rPr>
          <w:sz w:val="22"/>
          <w:szCs w:val="22"/>
        </w:rPr>
        <w:t>, and Klein and Shambaugh (2012).</w:t>
      </w:r>
      <w:r w:rsidRPr="00B5032D">
        <w:rPr>
          <w:sz w:val="22"/>
          <w:szCs w:val="22"/>
        </w:rPr>
        <w:br/>
      </w:r>
    </w:p>
  </w:footnote>
  <w:footnote w:id="25">
    <w:p w:rsidR="00BE5495" w:rsidRPr="00222E9A" w:rsidRDefault="00BE5495" w:rsidP="00B5032D">
      <w:pPr>
        <w:jc w:val="both"/>
        <w:rPr>
          <w:snapToGrid w:val="0"/>
          <w:color w:val="000000"/>
        </w:rPr>
      </w:pPr>
      <w:r w:rsidRPr="00F71347">
        <w:rPr>
          <w:rStyle w:val="FootnoteReference"/>
        </w:rPr>
        <w:footnoteRef/>
      </w:r>
      <w:r>
        <w:t xml:space="preserve"> The low correspondence across different analysts’ classifications of countries by exchange rate regime has been documented by </w:t>
      </w:r>
      <w:r w:rsidRPr="00AD66D4">
        <w:rPr>
          <w:snapToGrid w:val="0"/>
          <w:color w:val="000000"/>
        </w:rPr>
        <w:t>Bénassy-Quéré,</w:t>
      </w:r>
      <w:r>
        <w:rPr>
          <w:snapToGrid w:val="0"/>
          <w:color w:val="000000"/>
        </w:rPr>
        <w:t xml:space="preserve"> </w:t>
      </w:r>
      <w:proofErr w:type="spellStart"/>
      <w:r>
        <w:rPr>
          <w:snapToGrid w:val="0"/>
          <w:color w:val="000000"/>
        </w:rPr>
        <w:t>Coeuré</w:t>
      </w:r>
      <w:proofErr w:type="spellEnd"/>
      <w:r>
        <w:rPr>
          <w:snapToGrid w:val="0"/>
          <w:color w:val="000000"/>
        </w:rPr>
        <w:t xml:space="preserve"> and Mignon (2004),</w:t>
      </w:r>
      <w:r w:rsidRPr="00AD66D4">
        <w:t xml:space="preserve"> Frankel (2003), </w:t>
      </w:r>
      <w:r>
        <w:t>Klein and Shambaugh (2013), and Rose (2011). One reason for differences in classification outcomes is differences in methodology.  A more fundamental problem is that many countries in fact do not typically follow any single regime for longer than a year or so without changing parameters, if not changing regimes altogether.</w:t>
      </w:r>
    </w:p>
  </w:footnote>
  <w:footnote w:id="26">
    <w:p w:rsidR="00BE5495" w:rsidRPr="00883D9F" w:rsidRDefault="00BE5495">
      <w:pPr>
        <w:pStyle w:val="FootnoteText"/>
        <w:rPr>
          <w:sz w:val="22"/>
          <w:szCs w:val="22"/>
        </w:rPr>
      </w:pPr>
      <w:r w:rsidRPr="00883D9F">
        <w:rPr>
          <w:rStyle w:val="FootnoteReference"/>
          <w:sz w:val="22"/>
          <w:szCs w:val="22"/>
        </w:rPr>
        <w:footnoteRef/>
      </w:r>
      <w:r w:rsidRPr="00883D9F">
        <w:rPr>
          <w:sz w:val="22"/>
          <w:szCs w:val="22"/>
        </w:rPr>
        <w:t xml:space="preserve"> </w:t>
      </w:r>
      <w:proofErr w:type="gramStart"/>
      <w:r w:rsidRPr="00883D9F">
        <w:rPr>
          <w:sz w:val="22"/>
          <w:szCs w:val="22"/>
        </w:rPr>
        <w:t>Ramcharan (2007).</w:t>
      </w:r>
      <w:proofErr w:type="gramEnd"/>
      <w:r w:rsidRPr="00883D9F">
        <w:rPr>
          <w:sz w:val="22"/>
          <w:szCs w:val="22"/>
        </w:rPr>
        <w:br/>
      </w:r>
    </w:p>
  </w:footnote>
  <w:footnote w:id="27">
    <w:p w:rsidR="00BE5495" w:rsidRPr="005955DC" w:rsidRDefault="00BE5495">
      <w:pPr>
        <w:pStyle w:val="FootnoteText"/>
        <w:rPr>
          <w:sz w:val="22"/>
          <w:szCs w:val="22"/>
        </w:rPr>
      </w:pPr>
      <w:r w:rsidRPr="005955DC">
        <w:rPr>
          <w:rStyle w:val="FootnoteReference"/>
          <w:sz w:val="22"/>
          <w:szCs w:val="22"/>
        </w:rPr>
        <w:footnoteRef/>
      </w:r>
      <w:r w:rsidRPr="005955DC">
        <w:rPr>
          <w:sz w:val="22"/>
          <w:szCs w:val="22"/>
        </w:rPr>
        <w:t xml:space="preserve"> </w:t>
      </w:r>
      <w:proofErr w:type="spellStart"/>
      <w:proofErr w:type="gramStart"/>
      <w:r w:rsidRPr="005955DC">
        <w:rPr>
          <w:sz w:val="22"/>
          <w:szCs w:val="22"/>
        </w:rPr>
        <w:t>Corden</w:t>
      </w:r>
      <w:proofErr w:type="spellEnd"/>
      <w:r w:rsidRPr="005955DC">
        <w:rPr>
          <w:sz w:val="22"/>
          <w:szCs w:val="22"/>
        </w:rPr>
        <w:t xml:space="preserve"> (1972).</w:t>
      </w:r>
      <w:proofErr w:type="gramEnd"/>
    </w:p>
    <w:p w:rsidR="00BE5495" w:rsidRDefault="00BE5495">
      <w:pPr>
        <w:pStyle w:val="FootnoteText"/>
      </w:pPr>
    </w:p>
  </w:footnote>
  <w:footnote w:id="28">
    <w:p w:rsidR="00BE5495" w:rsidRDefault="00BE5495">
      <w:pPr>
        <w:pStyle w:val="FootnoteText"/>
      </w:pPr>
      <w:r>
        <w:rPr>
          <w:rStyle w:val="FootnoteReference"/>
        </w:rPr>
        <w:footnoteRef/>
      </w:r>
      <w:r>
        <w:t xml:space="preserve"> </w:t>
      </w:r>
      <w:r>
        <w:rPr>
          <w:sz w:val="22"/>
          <w:szCs w:val="22"/>
        </w:rPr>
        <w:t xml:space="preserve">Husain, Mody and Rogoff </w:t>
      </w:r>
      <w:r w:rsidRPr="00BD63D7">
        <w:rPr>
          <w:sz w:val="22"/>
          <w:szCs w:val="22"/>
        </w:rPr>
        <w:t xml:space="preserve">(2005) find that for richer and more financially developed countries, flexible rates work better in the sense of being more durable &amp; delivering higher growth without inflation. Aghion, Bacchetta, </w:t>
      </w:r>
      <w:proofErr w:type="spellStart"/>
      <w:r w:rsidRPr="00BD63D7">
        <w:rPr>
          <w:sz w:val="22"/>
          <w:szCs w:val="22"/>
        </w:rPr>
        <w:t>Ranciere</w:t>
      </w:r>
      <w:proofErr w:type="spellEnd"/>
      <w:r w:rsidRPr="00BD63D7">
        <w:rPr>
          <w:sz w:val="22"/>
          <w:szCs w:val="22"/>
        </w:rPr>
        <w:t xml:space="preserve"> and Rogoff (2005) find that exchange flexibility becomes more attractive when financial markets develop as </w:t>
      </w:r>
      <w:proofErr w:type="spellStart"/>
      <w:r w:rsidRPr="00BD63D7">
        <w:rPr>
          <w:sz w:val="22"/>
          <w:szCs w:val="22"/>
        </w:rPr>
        <w:t>proxied</w:t>
      </w:r>
      <w:proofErr w:type="spellEnd"/>
      <w:r w:rsidRPr="00BD63D7">
        <w:rPr>
          <w:sz w:val="22"/>
          <w:szCs w:val="22"/>
        </w:rPr>
        <w:t xml:space="preserve"> by the ratio of private credit to GDP, with an estimated threshold </w:t>
      </w:r>
      <w:proofErr w:type="gramStart"/>
      <w:r w:rsidRPr="00BD63D7">
        <w:rPr>
          <w:sz w:val="22"/>
          <w:szCs w:val="22"/>
        </w:rPr>
        <w:t>of  40</w:t>
      </w:r>
      <w:proofErr w:type="gramEnd"/>
      <w:r w:rsidRPr="00BD63D7">
        <w:rPr>
          <w:sz w:val="22"/>
          <w:szCs w:val="22"/>
        </w:rPr>
        <w:t>%.</w:t>
      </w:r>
      <w:r>
        <w:rPr>
          <w:sz w:val="22"/>
          <w:szCs w:val="22"/>
        </w:rPr>
        <w:br/>
      </w:r>
    </w:p>
  </w:footnote>
  <w:footnote w:id="29">
    <w:p w:rsidR="00BE5495" w:rsidRDefault="00BE5495">
      <w:pPr>
        <w:pStyle w:val="FootnoteText"/>
      </w:pPr>
      <w:r>
        <w:rPr>
          <w:rStyle w:val="FootnoteReference"/>
        </w:rPr>
        <w:footnoteRef/>
      </w:r>
      <w:r>
        <w:t xml:space="preserve">  </w:t>
      </w:r>
      <w:proofErr w:type="gramStart"/>
      <w:r>
        <w:rPr>
          <w:rFonts w:cs="Arial"/>
          <w:color w:val="222222"/>
          <w:sz w:val="22"/>
          <w:szCs w:val="22"/>
          <w:shd w:val="clear" w:color="auto" w:fill="FFFFFF"/>
        </w:rPr>
        <w:t xml:space="preserve">Kaminsky, Reinhart, and </w:t>
      </w:r>
      <w:r w:rsidRPr="00E843C9">
        <w:rPr>
          <w:rStyle w:val="entryauthor"/>
          <w:rFonts w:cs="Arial"/>
          <w:bCs/>
          <w:color w:val="000000"/>
          <w:sz w:val="22"/>
          <w:szCs w:val="22"/>
        </w:rPr>
        <w:t>Végh</w:t>
      </w:r>
      <w:r w:rsidRPr="00E843C9">
        <w:rPr>
          <w:rFonts w:cs="Arial"/>
          <w:color w:val="222222"/>
          <w:sz w:val="22"/>
          <w:szCs w:val="22"/>
          <w:shd w:val="clear" w:color="auto" w:fill="FFFFFF"/>
        </w:rPr>
        <w:t xml:space="preserve"> (2004)</w:t>
      </w:r>
      <w:r>
        <w:rPr>
          <w:rFonts w:cs="Arial"/>
          <w:color w:val="222222"/>
          <w:sz w:val="22"/>
          <w:szCs w:val="22"/>
          <w:shd w:val="clear" w:color="auto" w:fill="FFFFFF"/>
        </w:rPr>
        <w:t>.</w:t>
      </w:r>
      <w:proofErr w:type="gramEnd"/>
      <w:r>
        <w:rPr>
          <w:rFonts w:cs="Arial"/>
          <w:color w:val="222222"/>
          <w:sz w:val="22"/>
          <w:szCs w:val="22"/>
          <w:shd w:val="clear" w:color="auto" w:fill="FFFFFF"/>
        </w:rPr>
        <w:br/>
      </w:r>
    </w:p>
  </w:footnote>
  <w:footnote w:id="30">
    <w:p w:rsidR="00BE5495" w:rsidRPr="00761AFB" w:rsidRDefault="00BE5495" w:rsidP="003C688B">
      <w:pPr>
        <w:spacing w:after="0" w:line="240" w:lineRule="auto"/>
      </w:pPr>
      <w:r w:rsidRPr="00F71347">
        <w:rPr>
          <w:rStyle w:val="FootnoteReference"/>
        </w:rPr>
        <w:footnoteRef/>
      </w:r>
      <w:r w:rsidRPr="00F71347">
        <w:t xml:space="preserve">  The classic</w:t>
      </w:r>
      <w:r>
        <w:t xml:space="preserve"> reference is McKinnon (1963). Criterion 6.5 (openness to trade) may be at odds with criterion 6.3 (terms of trade volatility) for some developing countries:  countries that are both small and open to trade may have high terms-of-trade variability. This would be the case for a small oil state, for example.</w:t>
      </w:r>
      <w:r>
        <w:br/>
      </w:r>
    </w:p>
  </w:footnote>
  <w:footnote w:id="31">
    <w:p w:rsidR="00BE5495" w:rsidRPr="00761AFB" w:rsidRDefault="00BE5495" w:rsidP="00B93F40">
      <w:pPr>
        <w:pStyle w:val="FootnoteText"/>
        <w:rPr>
          <w:sz w:val="22"/>
          <w:szCs w:val="22"/>
        </w:rPr>
      </w:pPr>
      <w:r w:rsidRPr="00761AFB">
        <w:rPr>
          <w:rStyle w:val="FootnoteReference"/>
          <w:sz w:val="22"/>
          <w:szCs w:val="22"/>
        </w:rPr>
        <w:footnoteRef/>
      </w:r>
      <w:r w:rsidRPr="00761AFB">
        <w:rPr>
          <w:sz w:val="22"/>
          <w:szCs w:val="22"/>
        </w:rPr>
        <w:t xml:space="preserve">  </w:t>
      </w:r>
      <w:proofErr w:type="gramStart"/>
      <w:r w:rsidRPr="00761AFB">
        <w:rPr>
          <w:sz w:val="22"/>
          <w:szCs w:val="22"/>
        </w:rPr>
        <w:t>Romer (1993).</w:t>
      </w:r>
      <w:proofErr w:type="gramEnd"/>
      <w:r w:rsidRPr="00761AFB">
        <w:rPr>
          <w:sz w:val="22"/>
          <w:szCs w:val="22"/>
        </w:rPr>
        <w:br/>
      </w:r>
    </w:p>
  </w:footnote>
  <w:footnote w:id="32">
    <w:p w:rsidR="00BE5495" w:rsidRDefault="00BE5495" w:rsidP="002D3882">
      <w:pPr>
        <w:autoSpaceDE w:val="0"/>
        <w:autoSpaceDN w:val="0"/>
        <w:adjustRightInd w:val="0"/>
        <w:spacing w:line="240" w:lineRule="auto"/>
        <w:rPr>
          <w:sz w:val="20"/>
          <w:szCs w:val="20"/>
        </w:rPr>
      </w:pPr>
      <w:r w:rsidRPr="00F71347">
        <w:rPr>
          <w:rStyle w:val="FootnoteReference"/>
        </w:rPr>
        <w:footnoteRef/>
      </w:r>
      <w:r w:rsidRPr="00F71347">
        <w:t xml:space="preserve"> </w:t>
      </w:r>
      <w:proofErr w:type="spellStart"/>
      <w:r w:rsidRPr="00F71347">
        <w:t>Bayoumi</w:t>
      </w:r>
      <w:proofErr w:type="spellEnd"/>
      <w:r w:rsidRPr="00F71347">
        <w:t xml:space="preserve"> and Eichengreen</w:t>
      </w:r>
      <w:r>
        <w:t xml:space="preserve"> </w:t>
      </w:r>
      <w:r w:rsidRPr="00F71347">
        <w:t>(1994)</w:t>
      </w:r>
      <w:r>
        <w:t xml:space="preserve"> is one of the earlier studies to estimate correlations of shocks to ascertain whether various regional groupings met the optimum currency area criterion</w:t>
      </w:r>
      <w:r w:rsidRPr="00F71347">
        <w:t>.</w:t>
      </w:r>
      <w:r>
        <w:t xml:space="preserve"> </w:t>
      </w:r>
      <w:r w:rsidRPr="004742C2">
        <w:t xml:space="preserve">  The 50 states of the United States are often used as a standard of comparison.</w:t>
      </w:r>
    </w:p>
  </w:footnote>
  <w:footnote w:id="33">
    <w:p w:rsidR="00BE5495" w:rsidRPr="003E02B6" w:rsidRDefault="00BE5495">
      <w:pPr>
        <w:pStyle w:val="FootnoteText"/>
        <w:rPr>
          <w:sz w:val="22"/>
          <w:szCs w:val="22"/>
        </w:rPr>
      </w:pPr>
      <w:r w:rsidRPr="003E02B6">
        <w:rPr>
          <w:rStyle w:val="FootnoteReference"/>
          <w:sz w:val="22"/>
          <w:szCs w:val="22"/>
        </w:rPr>
        <w:footnoteRef/>
      </w:r>
      <w:r w:rsidRPr="003E02B6">
        <w:rPr>
          <w:sz w:val="22"/>
          <w:szCs w:val="22"/>
        </w:rPr>
        <w:t xml:space="preserve"> </w:t>
      </w:r>
      <w:proofErr w:type="gramStart"/>
      <w:r w:rsidRPr="003E02B6">
        <w:rPr>
          <w:sz w:val="22"/>
          <w:szCs w:val="22"/>
        </w:rPr>
        <w:t>Friedman (1953).</w:t>
      </w:r>
      <w:proofErr w:type="gramEnd"/>
    </w:p>
  </w:footnote>
  <w:footnote w:id="34">
    <w:p w:rsidR="00BE5495" w:rsidRPr="005E6322" w:rsidRDefault="00BE5495">
      <w:pPr>
        <w:pStyle w:val="FootnoteText"/>
        <w:rPr>
          <w:sz w:val="22"/>
          <w:szCs w:val="22"/>
        </w:rPr>
      </w:pPr>
      <w:r w:rsidRPr="003E02B6">
        <w:rPr>
          <w:rStyle w:val="FootnoteReference"/>
          <w:sz w:val="22"/>
          <w:szCs w:val="22"/>
        </w:rPr>
        <w:footnoteRef/>
      </w:r>
      <w:r w:rsidRPr="003E02B6">
        <w:rPr>
          <w:sz w:val="22"/>
          <w:szCs w:val="22"/>
        </w:rPr>
        <w:t xml:space="preserve"> Macroeconomic research has come a long </w:t>
      </w:r>
      <w:r w:rsidRPr="009E3080">
        <w:rPr>
          <w:sz w:val="22"/>
          <w:szCs w:val="22"/>
        </w:rPr>
        <w:t>way since 1961</w:t>
      </w:r>
      <w:r w:rsidRPr="00020C39">
        <w:rPr>
          <w:sz w:val="22"/>
          <w:szCs w:val="22"/>
        </w:rPr>
        <w:t xml:space="preserve">. </w:t>
      </w:r>
      <w:proofErr w:type="gramStart"/>
      <w:r w:rsidRPr="00020C39">
        <w:rPr>
          <w:sz w:val="22"/>
          <w:szCs w:val="22"/>
        </w:rPr>
        <w:t>But, as Mongelli (2002) notes</w:t>
      </w:r>
      <w:r>
        <w:rPr>
          <w:sz w:val="24"/>
          <w:szCs w:val="24"/>
        </w:rPr>
        <w:t xml:space="preserve">, </w:t>
      </w:r>
      <w:r w:rsidRPr="005E6322">
        <w:rPr>
          <w:sz w:val="22"/>
          <w:szCs w:val="22"/>
        </w:rPr>
        <w:t>“the pioneering intuitions of the OCA theory were remarkably strong.</w:t>
      </w:r>
      <w:proofErr w:type="gramEnd"/>
      <w:r w:rsidRPr="005E6322">
        <w:rPr>
          <w:sz w:val="22"/>
          <w:szCs w:val="22"/>
        </w:rPr>
        <w:t xml:space="preserve">  In fact, we still discuss all OCA properties.”</w:t>
      </w:r>
      <w:r>
        <w:rPr>
          <w:sz w:val="22"/>
          <w:szCs w:val="22"/>
        </w:rPr>
        <w:br/>
      </w:r>
    </w:p>
  </w:footnote>
  <w:footnote w:id="35">
    <w:p w:rsidR="00BE5495" w:rsidRPr="00C269BB" w:rsidRDefault="00BE5495">
      <w:pPr>
        <w:pStyle w:val="FootnoteText"/>
        <w:rPr>
          <w:sz w:val="22"/>
          <w:szCs w:val="22"/>
        </w:rPr>
      </w:pPr>
      <w:r w:rsidRPr="00C269BB">
        <w:rPr>
          <w:rStyle w:val="FootnoteReference"/>
          <w:sz w:val="22"/>
          <w:szCs w:val="22"/>
        </w:rPr>
        <w:footnoteRef/>
      </w:r>
      <w:r w:rsidRPr="00C269BB">
        <w:rPr>
          <w:sz w:val="22"/>
          <w:szCs w:val="22"/>
        </w:rPr>
        <w:t xml:space="preserve"> </w:t>
      </w:r>
      <w:proofErr w:type="gramStart"/>
      <w:r w:rsidRPr="00C269BB">
        <w:rPr>
          <w:sz w:val="22"/>
          <w:szCs w:val="22"/>
        </w:rPr>
        <w:t>Frankel (2011).</w:t>
      </w:r>
      <w:proofErr w:type="gramEnd"/>
      <w:r w:rsidRPr="00C269BB">
        <w:rPr>
          <w:sz w:val="22"/>
          <w:szCs w:val="22"/>
        </w:rPr>
        <w:t xml:space="preserve">  </w:t>
      </w:r>
      <w:r w:rsidRPr="00C269BB">
        <w:rPr>
          <w:sz w:val="22"/>
          <w:szCs w:val="22"/>
        </w:rPr>
        <w:br/>
      </w:r>
    </w:p>
  </w:footnote>
  <w:footnote w:id="36">
    <w:p w:rsidR="00BE5495" w:rsidRPr="00E40039" w:rsidRDefault="00BE5495">
      <w:pPr>
        <w:pStyle w:val="FootnoteText"/>
        <w:rPr>
          <w:sz w:val="22"/>
          <w:szCs w:val="22"/>
        </w:rPr>
      </w:pPr>
      <w:r w:rsidRPr="00E40039">
        <w:rPr>
          <w:rStyle w:val="FootnoteReference"/>
          <w:sz w:val="22"/>
          <w:szCs w:val="22"/>
        </w:rPr>
        <w:footnoteRef/>
      </w:r>
      <w:r w:rsidRPr="00E40039">
        <w:rPr>
          <w:sz w:val="22"/>
          <w:szCs w:val="22"/>
        </w:rPr>
        <w:t xml:space="preserve"> </w:t>
      </w:r>
      <w:r>
        <w:rPr>
          <w:sz w:val="22"/>
          <w:szCs w:val="22"/>
        </w:rPr>
        <w:t>Of course a</w:t>
      </w:r>
      <w:r w:rsidRPr="00E40039">
        <w:rPr>
          <w:sz w:val="22"/>
          <w:szCs w:val="22"/>
        </w:rPr>
        <w:t xml:space="preserve"> recession </w:t>
      </w:r>
      <w:r>
        <w:rPr>
          <w:sz w:val="22"/>
          <w:szCs w:val="22"/>
        </w:rPr>
        <w:t xml:space="preserve">in South Africa will likely be felt </w:t>
      </w:r>
      <w:r w:rsidRPr="00E40039">
        <w:rPr>
          <w:sz w:val="22"/>
          <w:szCs w:val="22"/>
        </w:rPr>
        <w:t>in Lesotho as a strong negative shock, and migration and remittances are channels of that transmission.  But the South African Reserve Bank can be expected to respond to such a</w:t>
      </w:r>
      <w:r>
        <w:rPr>
          <w:sz w:val="22"/>
          <w:szCs w:val="22"/>
        </w:rPr>
        <w:t xml:space="preserve"> recession counter-cyclically</w:t>
      </w:r>
      <w:r w:rsidR="009E3080">
        <w:rPr>
          <w:sz w:val="22"/>
          <w:szCs w:val="22"/>
        </w:rPr>
        <w:t xml:space="preserve"> and the rand can be expected to depreciate</w:t>
      </w:r>
      <w:r>
        <w:rPr>
          <w:sz w:val="22"/>
          <w:szCs w:val="22"/>
        </w:rPr>
        <w:t xml:space="preserve">.  </w:t>
      </w:r>
      <w:r w:rsidRPr="00E40039">
        <w:rPr>
          <w:sz w:val="22"/>
          <w:szCs w:val="22"/>
        </w:rPr>
        <w:t>What is at stake when forming a currency union is the cyclical</w:t>
      </w:r>
      <w:r w:rsidRPr="00E40039">
        <w:rPr>
          <w:i/>
          <w:sz w:val="22"/>
          <w:szCs w:val="22"/>
        </w:rPr>
        <w:t xml:space="preserve"> differences </w:t>
      </w:r>
      <w:r w:rsidRPr="00E40039">
        <w:rPr>
          <w:sz w:val="22"/>
          <w:szCs w:val="22"/>
        </w:rPr>
        <w:t xml:space="preserve">between the two economies and here countercyclical emigration and remittances can be </w:t>
      </w:r>
      <w:proofErr w:type="gramStart"/>
      <w:r w:rsidRPr="00E40039">
        <w:rPr>
          <w:sz w:val="22"/>
          <w:szCs w:val="22"/>
        </w:rPr>
        <w:t>helpful.</w:t>
      </w:r>
      <w:proofErr w:type="gramEnd"/>
    </w:p>
    <w:p w:rsidR="00BE5495" w:rsidRDefault="00BE5495">
      <w:pPr>
        <w:pStyle w:val="FootnoteText"/>
      </w:pPr>
    </w:p>
  </w:footnote>
  <w:footnote w:id="37">
    <w:p w:rsidR="00BE5495" w:rsidRDefault="00BE5495" w:rsidP="00C269BB">
      <w:pPr>
        <w:pStyle w:val="FootnoteText"/>
      </w:pPr>
      <w:r w:rsidRPr="00C269BB">
        <w:rPr>
          <w:rStyle w:val="FootnoteReference"/>
          <w:sz w:val="22"/>
          <w:szCs w:val="22"/>
        </w:rPr>
        <w:footnoteRef/>
      </w:r>
      <w:r w:rsidRPr="00C269BB">
        <w:rPr>
          <w:sz w:val="22"/>
          <w:szCs w:val="22"/>
        </w:rPr>
        <w:t xml:space="preserve"> </w:t>
      </w:r>
      <w:proofErr w:type="gramStart"/>
      <w:r w:rsidRPr="00C269BB">
        <w:rPr>
          <w:sz w:val="22"/>
          <w:szCs w:val="22"/>
        </w:rPr>
        <w:t>Kenen (1969).</w:t>
      </w:r>
      <w:proofErr w:type="gramEnd"/>
      <w:r>
        <w:rPr>
          <w:sz w:val="22"/>
          <w:szCs w:val="22"/>
        </w:rPr>
        <w:br/>
      </w:r>
    </w:p>
  </w:footnote>
  <w:footnote w:id="38">
    <w:p w:rsidR="00BE5495" w:rsidRPr="002654F3" w:rsidRDefault="00BE5495">
      <w:pPr>
        <w:pStyle w:val="FootnoteText"/>
        <w:rPr>
          <w:sz w:val="22"/>
          <w:szCs w:val="22"/>
        </w:rPr>
      </w:pPr>
      <w:r w:rsidRPr="002654F3">
        <w:rPr>
          <w:rStyle w:val="FootnoteReference"/>
          <w:sz w:val="22"/>
          <w:szCs w:val="22"/>
        </w:rPr>
        <w:footnoteRef/>
      </w:r>
      <w:r w:rsidRPr="002654F3">
        <w:rPr>
          <w:sz w:val="22"/>
          <w:szCs w:val="22"/>
        </w:rPr>
        <w:t xml:space="preserve"> </w:t>
      </w:r>
      <w:proofErr w:type="gramStart"/>
      <w:r w:rsidRPr="002654F3">
        <w:rPr>
          <w:rFonts w:cs="Arial"/>
          <w:color w:val="222222"/>
          <w:sz w:val="22"/>
          <w:szCs w:val="22"/>
          <w:shd w:val="clear" w:color="auto" w:fill="FFFFFF"/>
        </w:rPr>
        <w:t>Buiter, Corsetti, and Roubini (1993)</w:t>
      </w:r>
      <w:r w:rsidR="009E3080">
        <w:rPr>
          <w:rFonts w:cs="Arial"/>
          <w:color w:val="222222"/>
          <w:sz w:val="22"/>
          <w:szCs w:val="22"/>
          <w:shd w:val="clear" w:color="auto" w:fill="FFFFFF"/>
        </w:rPr>
        <w:t>.</w:t>
      </w:r>
      <w:proofErr w:type="gramEnd"/>
    </w:p>
  </w:footnote>
  <w:footnote w:id="39">
    <w:p w:rsidR="00E34DFA" w:rsidRDefault="00E34DFA">
      <w:pPr>
        <w:pStyle w:val="FootnoteText"/>
      </w:pPr>
      <w:r>
        <w:rPr>
          <w:rStyle w:val="FootnoteReference"/>
        </w:rPr>
        <w:footnoteRef/>
      </w:r>
      <w:r>
        <w:t xml:space="preserve"> </w:t>
      </w:r>
      <w:proofErr w:type="spellStart"/>
      <w:proofErr w:type="gramStart"/>
      <w:r>
        <w:rPr>
          <w:sz w:val="22"/>
          <w:szCs w:val="22"/>
        </w:rPr>
        <w:t>Tavlas</w:t>
      </w:r>
      <w:proofErr w:type="spellEnd"/>
      <w:r>
        <w:rPr>
          <w:sz w:val="22"/>
          <w:szCs w:val="22"/>
        </w:rPr>
        <w:t xml:space="preserve"> (</w:t>
      </w:r>
      <w:r w:rsidRPr="00E34DFA">
        <w:rPr>
          <w:sz w:val="22"/>
          <w:szCs w:val="22"/>
        </w:rPr>
        <w:t>2008</w:t>
      </w:r>
      <w:r>
        <w:rPr>
          <w:sz w:val="22"/>
          <w:szCs w:val="22"/>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188"/>
    <w:multiLevelType w:val="hybridMultilevel"/>
    <w:tmpl w:val="BAA854F2"/>
    <w:lvl w:ilvl="0" w:tplc="29B0BFFC">
      <w:start w:val="1"/>
      <w:numFmt w:val="bullet"/>
      <w:lvlText w:val="•"/>
      <w:lvlJc w:val="left"/>
      <w:pPr>
        <w:tabs>
          <w:tab w:val="num" w:pos="720"/>
        </w:tabs>
        <w:ind w:left="720" w:hanging="360"/>
      </w:pPr>
      <w:rPr>
        <w:rFonts w:ascii="Times New Roman" w:hAnsi="Times New Roman" w:hint="default"/>
      </w:rPr>
    </w:lvl>
    <w:lvl w:ilvl="1" w:tplc="E2BE2DD2" w:tentative="1">
      <w:start w:val="1"/>
      <w:numFmt w:val="bullet"/>
      <w:lvlText w:val="•"/>
      <w:lvlJc w:val="left"/>
      <w:pPr>
        <w:tabs>
          <w:tab w:val="num" w:pos="1440"/>
        </w:tabs>
        <w:ind w:left="1440" w:hanging="360"/>
      </w:pPr>
      <w:rPr>
        <w:rFonts w:ascii="Times New Roman" w:hAnsi="Times New Roman" w:hint="default"/>
      </w:rPr>
    </w:lvl>
    <w:lvl w:ilvl="2" w:tplc="5CDA83E4" w:tentative="1">
      <w:start w:val="1"/>
      <w:numFmt w:val="bullet"/>
      <w:lvlText w:val="•"/>
      <w:lvlJc w:val="left"/>
      <w:pPr>
        <w:tabs>
          <w:tab w:val="num" w:pos="2160"/>
        </w:tabs>
        <w:ind w:left="2160" w:hanging="360"/>
      </w:pPr>
      <w:rPr>
        <w:rFonts w:ascii="Times New Roman" w:hAnsi="Times New Roman" w:hint="default"/>
      </w:rPr>
    </w:lvl>
    <w:lvl w:ilvl="3" w:tplc="55ACFA42" w:tentative="1">
      <w:start w:val="1"/>
      <w:numFmt w:val="bullet"/>
      <w:lvlText w:val="•"/>
      <w:lvlJc w:val="left"/>
      <w:pPr>
        <w:tabs>
          <w:tab w:val="num" w:pos="2880"/>
        </w:tabs>
        <w:ind w:left="2880" w:hanging="360"/>
      </w:pPr>
      <w:rPr>
        <w:rFonts w:ascii="Times New Roman" w:hAnsi="Times New Roman" w:hint="default"/>
      </w:rPr>
    </w:lvl>
    <w:lvl w:ilvl="4" w:tplc="38CC3BC4" w:tentative="1">
      <w:start w:val="1"/>
      <w:numFmt w:val="bullet"/>
      <w:lvlText w:val="•"/>
      <w:lvlJc w:val="left"/>
      <w:pPr>
        <w:tabs>
          <w:tab w:val="num" w:pos="3600"/>
        </w:tabs>
        <w:ind w:left="3600" w:hanging="360"/>
      </w:pPr>
      <w:rPr>
        <w:rFonts w:ascii="Times New Roman" w:hAnsi="Times New Roman" w:hint="default"/>
      </w:rPr>
    </w:lvl>
    <w:lvl w:ilvl="5" w:tplc="3B7C5018" w:tentative="1">
      <w:start w:val="1"/>
      <w:numFmt w:val="bullet"/>
      <w:lvlText w:val="•"/>
      <w:lvlJc w:val="left"/>
      <w:pPr>
        <w:tabs>
          <w:tab w:val="num" w:pos="4320"/>
        </w:tabs>
        <w:ind w:left="4320" w:hanging="360"/>
      </w:pPr>
      <w:rPr>
        <w:rFonts w:ascii="Times New Roman" w:hAnsi="Times New Roman" w:hint="default"/>
      </w:rPr>
    </w:lvl>
    <w:lvl w:ilvl="6" w:tplc="08307E70" w:tentative="1">
      <w:start w:val="1"/>
      <w:numFmt w:val="bullet"/>
      <w:lvlText w:val="•"/>
      <w:lvlJc w:val="left"/>
      <w:pPr>
        <w:tabs>
          <w:tab w:val="num" w:pos="5040"/>
        </w:tabs>
        <w:ind w:left="5040" w:hanging="360"/>
      </w:pPr>
      <w:rPr>
        <w:rFonts w:ascii="Times New Roman" w:hAnsi="Times New Roman" w:hint="default"/>
      </w:rPr>
    </w:lvl>
    <w:lvl w:ilvl="7" w:tplc="2792549E" w:tentative="1">
      <w:start w:val="1"/>
      <w:numFmt w:val="bullet"/>
      <w:lvlText w:val="•"/>
      <w:lvlJc w:val="left"/>
      <w:pPr>
        <w:tabs>
          <w:tab w:val="num" w:pos="5760"/>
        </w:tabs>
        <w:ind w:left="5760" w:hanging="360"/>
      </w:pPr>
      <w:rPr>
        <w:rFonts w:ascii="Times New Roman" w:hAnsi="Times New Roman" w:hint="default"/>
      </w:rPr>
    </w:lvl>
    <w:lvl w:ilvl="8" w:tplc="8162003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910A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E87205"/>
    <w:multiLevelType w:val="multilevel"/>
    <w:tmpl w:val="57246B8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87251E"/>
    <w:multiLevelType w:val="hybridMultilevel"/>
    <w:tmpl w:val="99641AA2"/>
    <w:lvl w:ilvl="0" w:tplc="82C4F8D2">
      <w:start w:val="1"/>
      <w:numFmt w:val="bullet"/>
      <w:lvlText w:val="•"/>
      <w:lvlJc w:val="left"/>
      <w:pPr>
        <w:tabs>
          <w:tab w:val="num" w:pos="720"/>
        </w:tabs>
        <w:ind w:left="720" w:hanging="360"/>
      </w:pPr>
      <w:rPr>
        <w:rFonts w:ascii="Times New Roman" w:hAnsi="Times New Roman" w:hint="default"/>
      </w:rPr>
    </w:lvl>
    <w:lvl w:ilvl="1" w:tplc="1A1860B6" w:tentative="1">
      <w:start w:val="1"/>
      <w:numFmt w:val="bullet"/>
      <w:lvlText w:val="•"/>
      <w:lvlJc w:val="left"/>
      <w:pPr>
        <w:tabs>
          <w:tab w:val="num" w:pos="1440"/>
        </w:tabs>
        <w:ind w:left="1440" w:hanging="360"/>
      </w:pPr>
      <w:rPr>
        <w:rFonts w:ascii="Times New Roman" w:hAnsi="Times New Roman" w:hint="default"/>
      </w:rPr>
    </w:lvl>
    <w:lvl w:ilvl="2" w:tplc="C264FD18" w:tentative="1">
      <w:start w:val="1"/>
      <w:numFmt w:val="bullet"/>
      <w:lvlText w:val="•"/>
      <w:lvlJc w:val="left"/>
      <w:pPr>
        <w:tabs>
          <w:tab w:val="num" w:pos="2160"/>
        </w:tabs>
        <w:ind w:left="2160" w:hanging="360"/>
      </w:pPr>
      <w:rPr>
        <w:rFonts w:ascii="Times New Roman" w:hAnsi="Times New Roman" w:hint="default"/>
      </w:rPr>
    </w:lvl>
    <w:lvl w:ilvl="3" w:tplc="0CB4C8FE" w:tentative="1">
      <w:start w:val="1"/>
      <w:numFmt w:val="bullet"/>
      <w:lvlText w:val="•"/>
      <w:lvlJc w:val="left"/>
      <w:pPr>
        <w:tabs>
          <w:tab w:val="num" w:pos="2880"/>
        </w:tabs>
        <w:ind w:left="2880" w:hanging="360"/>
      </w:pPr>
      <w:rPr>
        <w:rFonts w:ascii="Times New Roman" w:hAnsi="Times New Roman" w:hint="default"/>
      </w:rPr>
    </w:lvl>
    <w:lvl w:ilvl="4" w:tplc="34A28718" w:tentative="1">
      <w:start w:val="1"/>
      <w:numFmt w:val="bullet"/>
      <w:lvlText w:val="•"/>
      <w:lvlJc w:val="left"/>
      <w:pPr>
        <w:tabs>
          <w:tab w:val="num" w:pos="3600"/>
        </w:tabs>
        <w:ind w:left="3600" w:hanging="360"/>
      </w:pPr>
      <w:rPr>
        <w:rFonts w:ascii="Times New Roman" w:hAnsi="Times New Roman" w:hint="default"/>
      </w:rPr>
    </w:lvl>
    <w:lvl w:ilvl="5" w:tplc="26D654D6" w:tentative="1">
      <w:start w:val="1"/>
      <w:numFmt w:val="bullet"/>
      <w:lvlText w:val="•"/>
      <w:lvlJc w:val="left"/>
      <w:pPr>
        <w:tabs>
          <w:tab w:val="num" w:pos="4320"/>
        </w:tabs>
        <w:ind w:left="4320" w:hanging="360"/>
      </w:pPr>
      <w:rPr>
        <w:rFonts w:ascii="Times New Roman" w:hAnsi="Times New Roman" w:hint="default"/>
      </w:rPr>
    </w:lvl>
    <w:lvl w:ilvl="6" w:tplc="289677FC" w:tentative="1">
      <w:start w:val="1"/>
      <w:numFmt w:val="bullet"/>
      <w:lvlText w:val="•"/>
      <w:lvlJc w:val="left"/>
      <w:pPr>
        <w:tabs>
          <w:tab w:val="num" w:pos="5040"/>
        </w:tabs>
        <w:ind w:left="5040" w:hanging="360"/>
      </w:pPr>
      <w:rPr>
        <w:rFonts w:ascii="Times New Roman" w:hAnsi="Times New Roman" w:hint="default"/>
      </w:rPr>
    </w:lvl>
    <w:lvl w:ilvl="7" w:tplc="5CA6BAF0" w:tentative="1">
      <w:start w:val="1"/>
      <w:numFmt w:val="bullet"/>
      <w:lvlText w:val="•"/>
      <w:lvlJc w:val="left"/>
      <w:pPr>
        <w:tabs>
          <w:tab w:val="num" w:pos="5760"/>
        </w:tabs>
        <w:ind w:left="5760" w:hanging="360"/>
      </w:pPr>
      <w:rPr>
        <w:rFonts w:ascii="Times New Roman" w:hAnsi="Times New Roman" w:hint="default"/>
      </w:rPr>
    </w:lvl>
    <w:lvl w:ilvl="8" w:tplc="3B92D4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20DC44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D05D26"/>
    <w:multiLevelType w:val="multilevel"/>
    <w:tmpl w:val="A1C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5A0161"/>
    <w:multiLevelType w:val="hybridMultilevel"/>
    <w:tmpl w:val="2D80F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A4127E"/>
    <w:multiLevelType w:val="hybridMultilevel"/>
    <w:tmpl w:val="205CAC10"/>
    <w:lvl w:ilvl="0" w:tplc="7D525ABE">
      <w:start w:val="1"/>
      <w:numFmt w:val="bullet"/>
      <w:lvlText w:val="•"/>
      <w:lvlJc w:val="left"/>
      <w:pPr>
        <w:tabs>
          <w:tab w:val="num" w:pos="720"/>
        </w:tabs>
        <w:ind w:left="720" w:hanging="360"/>
      </w:pPr>
      <w:rPr>
        <w:rFonts w:ascii="Times New Roman" w:hAnsi="Times New Roman" w:hint="default"/>
      </w:rPr>
    </w:lvl>
    <w:lvl w:ilvl="1" w:tplc="B8004F9A" w:tentative="1">
      <w:start w:val="1"/>
      <w:numFmt w:val="bullet"/>
      <w:lvlText w:val="•"/>
      <w:lvlJc w:val="left"/>
      <w:pPr>
        <w:tabs>
          <w:tab w:val="num" w:pos="1440"/>
        </w:tabs>
        <w:ind w:left="1440" w:hanging="360"/>
      </w:pPr>
      <w:rPr>
        <w:rFonts w:ascii="Times New Roman" w:hAnsi="Times New Roman" w:hint="default"/>
      </w:rPr>
    </w:lvl>
    <w:lvl w:ilvl="2" w:tplc="15B62BAA" w:tentative="1">
      <w:start w:val="1"/>
      <w:numFmt w:val="bullet"/>
      <w:lvlText w:val="•"/>
      <w:lvlJc w:val="left"/>
      <w:pPr>
        <w:tabs>
          <w:tab w:val="num" w:pos="2160"/>
        </w:tabs>
        <w:ind w:left="2160" w:hanging="360"/>
      </w:pPr>
      <w:rPr>
        <w:rFonts w:ascii="Times New Roman" w:hAnsi="Times New Roman" w:hint="default"/>
      </w:rPr>
    </w:lvl>
    <w:lvl w:ilvl="3" w:tplc="67746872" w:tentative="1">
      <w:start w:val="1"/>
      <w:numFmt w:val="bullet"/>
      <w:lvlText w:val="•"/>
      <w:lvlJc w:val="left"/>
      <w:pPr>
        <w:tabs>
          <w:tab w:val="num" w:pos="2880"/>
        </w:tabs>
        <w:ind w:left="2880" w:hanging="360"/>
      </w:pPr>
      <w:rPr>
        <w:rFonts w:ascii="Times New Roman" w:hAnsi="Times New Roman" w:hint="default"/>
      </w:rPr>
    </w:lvl>
    <w:lvl w:ilvl="4" w:tplc="459CC022" w:tentative="1">
      <w:start w:val="1"/>
      <w:numFmt w:val="bullet"/>
      <w:lvlText w:val="•"/>
      <w:lvlJc w:val="left"/>
      <w:pPr>
        <w:tabs>
          <w:tab w:val="num" w:pos="3600"/>
        </w:tabs>
        <w:ind w:left="3600" w:hanging="360"/>
      </w:pPr>
      <w:rPr>
        <w:rFonts w:ascii="Times New Roman" w:hAnsi="Times New Roman" w:hint="default"/>
      </w:rPr>
    </w:lvl>
    <w:lvl w:ilvl="5" w:tplc="8036F604" w:tentative="1">
      <w:start w:val="1"/>
      <w:numFmt w:val="bullet"/>
      <w:lvlText w:val="•"/>
      <w:lvlJc w:val="left"/>
      <w:pPr>
        <w:tabs>
          <w:tab w:val="num" w:pos="4320"/>
        </w:tabs>
        <w:ind w:left="4320" w:hanging="360"/>
      </w:pPr>
      <w:rPr>
        <w:rFonts w:ascii="Times New Roman" w:hAnsi="Times New Roman" w:hint="default"/>
      </w:rPr>
    </w:lvl>
    <w:lvl w:ilvl="6" w:tplc="B2EC7B80" w:tentative="1">
      <w:start w:val="1"/>
      <w:numFmt w:val="bullet"/>
      <w:lvlText w:val="•"/>
      <w:lvlJc w:val="left"/>
      <w:pPr>
        <w:tabs>
          <w:tab w:val="num" w:pos="5040"/>
        </w:tabs>
        <w:ind w:left="5040" w:hanging="360"/>
      </w:pPr>
      <w:rPr>
        <w:rFonts w:ascii="Times New Roman" w:hAnsi="Times New Roman" w:hint="default"/>
      </w:rPr>
    </w:lvl>
    <w:lvl w:ilvl="7" w:tplc="4DE6CE92" w:tentative="1">
      <w:start w:val="1"/>
      <w:numFmt w:val="bullet"/>
      <w:lvlText w:val="•"/>
      <w:lvlJc w:val="left"/>
      <w:pPr>
        <w:tabs>
          <w:tab w:val="num" w:pos="5760"/>
        </w:tabs>
        <w:ind w:left="5760" w:hanging="360"/>
      </w:pPr>
      <w:rPr>
        <w:rFonts w:ascii="Times New Roman" w:hAnsi="Times New Roman" w:hint="default"/>
      </w:rPr>
    </w:lvl>
    <w:lvl w:ilvl="8" w:tplc="5D5C26C2" w:tentative="1">
      <w:start w:val="1"/>
      <w:numFmt w:val="bullet"/>
      <w:lvlText w:val="•"/>
      <w:lvlJc w:val="left"/>
      <w:pPr>
        <w:tabs>
          <w:tab w:val="num" w:pos="6480"/>
        </w:tabs>
        <w:ind w:left="6480" w:hanging="360"/>
      </w:pPr>
      <w:rPr>
        <w:rFonts w:ascii="Times New Roman" w:hAnsi="Times New Roman" w:hint="default"/>
      </w:rPr>
    </w:lvl>
  </w:abstractNum>
  <w:abstractNum w:abstractNumId="8">
    <w:nsid w:val="3C402252"/>
    <w:multiLevelType w:val="hybridMultilevel"/>
    <w:tmpl w:val="A50EAF5C"/>
    <w:lvl w:ilvl="0" w:tplc="F9BE8436">
      <w:start w:val="1"/>
      <w:numFmt w:val="bullet"/>
      <w:lvlText w:val="•"/>
      <w:lvlJc w:val="left"/>
      <w:pPr>
        <w:tabs>
          <w:tab w:val="num" w:pos="720"/>
        </w:tabs>
        <w:ind w:left="720" w:hanging="360"/>
      </w:pPr>
      <w:rPr>
        <w:rFonts w:ascii="Arial" w:hAnsi="Arial" w:hint="default"/>
      </w:rPr>
    </w:lvl>
    <w:lvl w:ilvl="1" w:tplc="6FD6F5AA">
      <w:start w:val="583"/>
      <w:numFmt w:val="bullet"/>
      <w:lvlText w:val="•"/>
      <w:lvlJc w:val="left"/>
      <w:pPr>
        <w:tabs>
          <w:tab w:val="num" w:pos="1440"/>
        </w:tabs>
        <w:ind w:left="1440" w:hanging="360"/>
      </w:pPr>
      <w:rPr>
        <w:rFonts w:ascii="Arial" w:hAnsi="Arial" w:hint="default"/>
      </w:rPr>
    </w:lvl>
    <w:lvl w:ilvl="2" w:tplc="389AB45A">
      <w:start w:val="583"/>
      <w:numFmt w:val="bullet"/>
      <w:lvlText w:val="•"/>
      <w:lvlJc w:val="left"/>
      <w:pPr>
        <w:tabs>
          <w:tab w:val="num" w:pos="2160"/>
        </w:tabs>
        <w:ind w:left="2160" w:hanging="360"/>
      </w:pPr>
      <w:rPr>
        <w:rFonts w:ascii="Arial" w:hAnsi="Arial" w:hint="default"/>
      </w:rPr>
    </w:lvl>
    <w:lvl w:ilvl="3" w:tplc="8C60BEAE" w:tentative="1">
      <w:start w:val="1"/>
      <w:numFmt w:val="bullet"/>
      <w:lvlText w:val="•"/>
      <w:lvlJc w:val="left"/>
      <w:pPr>
        <w:tabs>
          <w:tab w:val="num" w:pos="2880"/>
        </w:tabs>
        <w:ind w:left="2880" w:hanging="360"/>
      </w:pPr>
      <w:rPr>
        <w:rFonts w:ascii="Arial" w:hAnsi="Arial" w:hint="default"/>
      </w:rPr>
    </w:lvl>
    <w:lvl w:ilvl="4" w:tplc="B6E617D2" w:tentative="1">
      <w:start w:val="1"/>
      <w:numFmt w:val="bullet"/>
      <w:lvlText w:val="•"/>
      <w:lvlJc w:val="left"/>
      <w:pPr>
        <w:tabs>
          <w:tab w:val="num" w:pos="3600"/>
        </w:tabs>
        <w:ind w:left="3600" w:hanging="360"/>
      </w:pPr>
      <w:rPr>
        <w:rFonts w:ascii="Arial" w:hAnsi="Arial" w:hint="default"/>
      </w:rPr>
    </w:lvl>
    <w:lvl w:ilvl="5" w:tplc="209A2C34" w:tentative="1">
      <w:start w:val="1"/>
      <w:numFmt w:val="bullet"/>
      <w:lvlText w:val="•"/>
      <w:lvlJc w:val="left"/>
      <w:pPr>
        <w:tabs>
          <w:tab w:val="num" w:pos="4320"/>
        </w:tabs>
        <w:ind w:left="4320" w:hanging="360"/>
      </w:pPr>
      <w:rPr>
        <w:rFonts w:ascii="Arial" w:hAnsi="Arial" w:hint="default"/>
      </w:rPr>
    </w:lvl>
    <w:lvl w:ilvl="6" w:tplc="155A80CA" w:tentative="1">
      <w:start w:val="1"/>
      <w:numFmt w:val="bullet"/>
      <w:lvlText w:val="•"/>
      <w:lvlJc w:val="left"/>
      <w:pPr>
        <w:tabs>
          <w:tab w:val="num" w:pos="5040"/>
        </w:tabs>
        <w:ind w:left="5040" w:hanging="360"/>
      </w:pPr>
      <w:rPr>
        <w:rFonts w:ascii="Arial" w:hAnsi="Arial" w:hint="default"/>
      </w:rPr>
    </w:lvl>
    <w:lvl w:ilvl="7" w:tplc="3A903776" w:tentative="1">
      <w:start w:val="1"/>
      <w:numFmt w:val="bullet"/>
      <w:lvlText w:val="•"/>
      <w:lvlJc w:val="left"/>
      <w:pPr>
        <w:tabs>
          <w:tab w:val="num" w:pos="5760"/>
        </w:tabs>
        <w:ind w:left="5760" w:hanging="360"/>
      </w:pPr>
      <w:rPr>
        <w:rFonts w:ascii="Arial" w:hAnsi="Arial" w:hint="default"/>
      </w:rPr>
    </w:lvl>
    <w:lvl w:ilvl="8" w:tplc="0698646E" w:tentative="1">
      <w:start w:val="1"/>
      <w:numFmt w:val="bullet"/>
      <w:lvlText w:val="•"/>
      <w:lvlJc w:val="left"/>
      <w:pPr>
        <w:tabs>
          <w:tab w:val="num" w:pos="6480"/>
        </w:tabs>
        <w:ind w:left="6480" w:hanging="360"/>
      </w:pPr>
      <w:rPr>
        <w:rFonts w:ascii="Arial" w:hAnsi="Arial" w:hint="default"/>
      </w:rPr>
    </w:lvl>
  </w:abstractNum>
  <w:abstractNum w:abstractNumId="9">
    <w:nsid w:val="4C550DE9"/>
    <w:multiLevelType w:val="hybridMultilevel"/>
    <w:tmpl w:val="B5E6D7E4"/>
    <w:lvl w:ilvl="0" w:tplc="BEC64DD8">
      <w:start w:val="1"/>
      <w:numFmt w:val="decimal"/>
      <w:lvlText w:val="%1."/>
      <w:lvlJc w:val="left"/>
      <w:pPr>
        <w:tabs>
          <w:tab w:val="num" w:pos="720"/>
        </w:tabs>
        <w:ind w:left="720" w:hanging="360"/>
      </w:pPr>
    </w:lvl>
    <w:lvl w:ilvl="1" w:tplc="EA26522E" w:tentative="1">
      <w:start w:val="1"/>
      <w:numFmt w:val="decimal"/>
      <w:lvlText w:val="%2."/>
      <w:lvlJc w:val="left"/>
      <w:pPr>
        <w:tabs>
          <w:tab w:val="num" w:pos="1440"/>
        </w:tabs>
        <w:ind w:left="1440" w:hanging="360"/>
      </w:pPr>
    </w:lvl>
    <w:lvl w:ilvl="2" w:tplc="25D608B2" w:tentative="1">
      <w:start w:val="1"/>
      <w:numFmt w:val="decimal"/>
      <w:lvlText w:val="%3."/>
      <w:lvlJc w:val="left"/>
      <w:pPr>
        <w:tabs>
          <w:tab w:val="num" w:pos="2160"/>
        </w:tabs>
        <w:ind w:left="2160" w:hanging="360"/>
      </w:pPr>
    </w:lvl>
    <w:lvl w:ilvl="3" w:tplc="F95E1124" w:tentative="1">
      <w:start w:val="1"/>
      <w:numFmt w:val="decimal"/>
      <w:lvlText w:val="%4."/>
      <w:lvlJc w:val="left"/>
      <w:pPr>
        <w:tabs>
          <w:tab w:val="num" w:pos="2880"/>
        </w:tabs>
        <w:ind w:left="2880" w:hanging="360"/>
      </w:pPr>
    </w:lvl>
    <w:lvl w:ilvl="4" w:tplc="DBA04730" w:tentative="1">
      <w:start w:val="1"/>
      <w:numFmt w:val="decimal"/>
      <w:lvlText w:val="%5."/>
      <w:lvlJc w:val="left"/>
      <w:pPr>
        <w:tabs>
          <w:tab w:val="num" w:pos="3600"/>
        </w:tabs>
        <w:ind w:left="3600" w:hanging="360"/>
      </w:pPr>
    </w:lvl>
    <w:lvl w:ilvl="5" w:tplc="49B4FEEA" w:tentative="1">
      <w:start w:val="1"/>
      <w:numFmt w:val="decimal"/>
      <w:lvlText w:val="%6."/>
      <w:lvlJc w:val="left"/>
      <w:pPr>
        <w:tabs>
          <w:tab w:val="num" w:pos="4320"/>
        </w:tabs>
        <w:ind w:left="4320" w:hanging="360"/>
      </w:pPr>
    </w:lvl>
    <w:lvl w:ilvl="6" w:tplc="1BFE4A7A" w:tentative="1">
      <w:start w:val="1"/>
      <w:numFmt w:val="decimal"/>
      <w:lvlText w:val="%7."/>
      <w:lvlJc w:val="left"/>
      <w:pPr>
        <w:tabs>
          <w:tab w:val="num" w:pos="5040"/>
        </w:tabs>
        <w:ind w:left="5040" w:hanging="360"/>
      </w:pPr>
    </w:lvl>
    <w:lvl w:ilvl="7" w:tplc="A88C9132" w:tentative="1">
      <w:start w:val="1"/>
      <w:numFmt w:val="decimal"/>
      <w:lvlText w:val="%8."/>
      <w:lvlJc w:val="left"/>
      <w:pPr>
        <w:tabs>
          <w:tab w:val="num" w:pos="5760"/>
        </w:tabs>
        <w:ind w:left="5760" w:hanging="360"/>
      </w:pPr>
    </w:lvl>
    <w:lvl w:ilvl="8" w:tplc="90626878" w:tentative="1">
      <w:start w:val="1"/>
      <w:numFmt w:val="decimal"/>
      <w:lvlText w:val="%9."/>
      <w:lvlJc w:val="left"/>
      <w:pPr>
        <w:tabs>
          <w:tab w:val="num" w:pos="6480"/>
        </w:tabs>
        <w:ind w:left="6480" w:hanging="360"/>
      </w:pPr>
    </w:lvl>
  </w:abstractNum>
  <w:abstractNum w:abstractNumId="10">
    <w:nsid w:val="56EC6E61"/>
    <w:multiLevelType w:val="hybridMultilevel"/>
    <w:tmpl w:val="AC14E5DA"/>
    <w:lvl w:ilvl="0" w:tplc="A0D6AE66">
      <w:start w:val="1"/>
      <w:numFmt w:val="bullet"/>
      <w:lvlText w:val="•"/>
      <w:lvlJc w:val="left"/>
      <w:pPr>
        <w:tabs>
          <w:tab w:val="num" w:pos="720"/>
        </w:tabs>
        <w:ind w:left="720" w:hanging="360"/>
      </w:pPr>
      <w:rPr>
        <w:rFonts w:ascii="Times New Roman" w:hAnsi="Times New Roman" w:hint="default"/>
      </w:rPr>
    </w:lvl>
    <w:lvl w:ilvl="1" w:tplc="31225D72" w:tentative="1">
      <w:start w:val="1"/>
      <w:numFmt w:val="bullet"/>
      <w:lvlText w:val="•"/>
      <w:lvlJc w:val="left"/>
      <w:pPr>
        <w:tabs>
          <w:tab w:val="num" w:pos="1440"/>
        </w:tabs>
        <w:ind w:left="1440" w:hanging="360"/>
      </w:pPr>
      <w:rPr>
        <w:rFonts w:ascii="Times New Roman" w:hAnsi="Times New Roman" w:hint="default"/>
      </w:rPr>
    </w:lvl>
    <w:lvl w:ilvl="2" w:tplc="35C8A03E" w:tentative="1">
      <w:start w:val="1"/>
      <w:numFmt w:val="bullet"/>
      <w:lvlText w:val="•"/>
      <w:lvlJc w:val="left"/>
      <w:pPr>
        <w:tabs>
          <w:tab w:val="num" w:pos="2160"/>
        </w:tabs>
        <w:ind w:left="2160" w:hanging="360"/>
      </w:pPr>
      <w:rPr>
        <w:rFonts w:ascii="Times New Roman" w:hAnsi="Times New Roman" w:hint="default"/>
      </w:rPr>
    </w:lvl>
    <w:lvl w:ilvl="3" w:tplc="F5B48A66" w:tentative="1">
      <w:start w:val="1"/>
      <w:numFmt w:val="bullet"/>
      <w:lvlText w:val="•"/>
      <w:lvlJc w:val="left"/>
      <w:pPr>
        <w:tabs>
          <w:tab w:val="num" w:pos="2880"/>
        </w:tabs>
        <w:ind w:left="2880" w:hanging="360"/>
      </w:pPr>
      <w:rPr>
        <w:rFonts w:ascii="Times New Roman" w:hAnsi="Times New Roman" w:hint="default"/>
      </w:rPr>
    </w:lvl>
    <w:lvl w:ilvl="4" w:tplc="F78EB872" w:tentative="1">
      <w:start w:val="1"/>
      <w:numFmt w:val="bullet"/>
      <w:lvlText w:val="•"/>
      <w:lvlJc w:val="left"/>
      <w:pPr>
        <w:tabs>
          <w:tab w:val="num" w:pos="3600"/>
        </w:tabs>
        <w:ind w:left="3600" w:hanging="360"/>
      </w:pPr>
      <w:rPr>
        <w:rFonts w:ascii="Times New Roman" w:hAnsi="Times New Roman" w:hint="default"/>
      </w:rPr>
    </w:lvl>
    <w:lvl w:ilvl="5" w:tplc="801411BE" w:tentative="1">
      <w:start w:val="1"/>
      <w:numFmt w:val="bullet"/>
      <w:lvlText w:val="•"/>
      <w:lvlJc w:val="left"/>
      <w:pPr>
        <w:tabs>
          <w:tab w:val="num" w:pos="4320"/>
        </w:tabs>
        <w:ind w:left="4320" w:hanging="360"/>
      </w:pPr>
      <w:rPr>
        <w:rFonts w:ascii="Times New Roman" w:hAnsi="Times New Roman" w:hint="default"/>
      </w:rPr>
    </w:lvl>
    <w:lvl w:ilvl="6" w:tplc="246A4E98" w:tentative="1">
      <w:start w:val="1"/>
      <w:numFmt w:val="bullet"/>
      <w:lvlText w:val="•"/>
      <w:lvlJc w:val="left"/>
      <w:pPr>
        <w:tabs>
          <w:tab w:val="num" w:pos="5040"/>
        </w:tabs>
        <w:ind w:left="5040" w:hanging="360"/>
      </w:pPr>
      <w:rPr>
        <w:rFonts w:ascii="Times New Roman" w:hAnsi="Times New Roman" w:hint="default"/>
      </w:rPr>
    </w:lvl>
    <w:lvl w:ilvl="7" w:tplc="9D3EE926" w:tentative="1">
      <w:start w:val="1"/>
      <w:numFmt w:val="bullet"/>
      <w:lvlText w:val="•"/>
      <w:lvlJc w:val="left"/>
      <w:pPr>
        <w:tabs>
          <w:tab w:val="num" w:pos="5760"/>
        </w:tabs>
        <w:ind w:left="5760" w:hanging="360"/>
      </w:pPr>
      <w:rPr>
        <w:rFonts w:ascii="Times New Roman" w:hAnsi="Times New Roman" w:hint="default"/>
      </w:rPr>
    </w:lvl>
    <w:lvl w:ilvl="8" w:tplc="075EE98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7624193"/>
    <w:multiLevelType w:val="hybridMultilevel"/>
    <w:tmpl w:val="BAAA8EA0"/>
    <w:lvl w:ilvl="0" w:tplc="FF96B8AA">
      <w:start w:val="1"/>
      <w:numFmt w:val="bullet"/>
      <w:lvlText w:val="•"/>
      <w:lvlJc w:val="left"/>
      <w:pPr>
        <w:tabs>
          <w:tab w:val="num" w:pos="720"/>
        </w:tabs>
        <w:ind w:left="720" w:hanging="360"/>
      </w:pPr>
      <w:rPr>
        <w:rFonts w:ascii="Arial" w:hAnsi="Arial" w:hint="default"/>
      </w:rPr>
    </w:lvl>
    <w:lvl w:ilvl="1" w:tplc="C7A6C914" w:tentative="1">
      <w:start w:val="1"/>
      <w:numFmt w:val="bullet"/>
      <w:lvlText w:val="•"/>
      <w:lvlJc w:val="left"/>
      <w:pPr>
        <w:tabs>
          <w:tab w:val="num" w:pos="1440"/>
        </w:tabs>
        <w:ind w:left="1440" w:hanging="360"/>
      </w:pPr>
      <w:rPr>
        <w:rFonts w:ascii="Arial" w:hAnsi="Arial" w:hint="default"/>
      </w:rPr>
    </w:lvl>
    <w:lvl w:ilvl="2" w:tplc="894CABC2" w:tentative="1">
      <w:start w:val="1"/>
      <w:numFmt w:val="bullet"/>
      <w:lvlText w:val="•"/>
      <w:lvlJc w:val="left"/>
      <w:pPr>
        <w:tabs>
          <w:tab w:val="num" w:pos="2160"/>
        </w:tabs>
        <w:ind w:left="2160" w:hanging="360"/>
      </w:pPr>
      <w:rPr>
        <w:rFonts w:ascii="Arial" w:hAnsi="Arial" w:hint="default"/>
      </w:rPr>
    </w:lvl>
    <w:lvl w:ilvl="3" w:tplc="D2E40F46" w:tentative="1">
      <w:start w:val="1"/>
      <w:numFmt w:val="bullet"/>
      <w:lvlText w:val="•"/>
      <w:lvlJc w:val="left"/>
      <w:pPr>
        <w:tabs>
          <w:tab w:val="num" w:pos="2880"/>
        </w:tabs>
        <w:ind w:left="2880" w:hanging="360"/>
      </w:pPr>
      <w:rPr>
        <w:rFonts w:ascii="Arial" w:hAnsi="Arial" w:hint="default"/>
      </w:rPr>
    </w:lvl>
    <w:lvl w:ilvl="4" w:tplc="2CF87B94" w:tentative="1">
      <w:start w:val="1"/>
      <w:numFmt w:val="bullet"/>
      <w:lvlText w:val="•"/>
      <w:lvlJc w:val="left"/>
      <w:pPr>
        <w:tabs>
          <w:tab w:val="num" w:pos="3600"/>
        </w:tabs>
        <w:ind w:left="3600" w:hanging="360"/>
      </w:pPr>
      <w:rPr>
        <w:rFonts w:ascii="Arial" w:hAnsi="Arial" w:hint="default"/>
      </w:rPr>
    </w:lvl>
    <w:lvl w:ilvl="5" w:tplc="81146D4E" w:tentative="1">
      <w:start w:val="1"/>
      <w:numFmt w:val="bullet"/>
      <w:lvlText w:val="•"/>
      <w:lvlJc w:val="left"/>
      <w:pPr>
        <w:tabs>
          <w:tab w:val="num" w:pos="4320"/>
        </w:tabs>
        <w:ind w:left="4320" w:hanging="360"/>
      </w:pPr>
      <w:rPr>
        <w:rFonts w:ascii="Arial" w:hAnsi="Arial" w:hint="default"/>
      </w:rPr>
    </w:lvl>
    <w:lvl w:ilvl="6" w:tplc="A20C45DA" w:tentative="1">
      <w:start w:val="1"/>
      <w:numFmt w:val="bullet"/>
      <w:lvlText w:val="•"/>
      <w:lvlJc w:val="left"/>
      <w:pPr>
        <w:tabs>
          <w:tab w:val="num" w:pos="5040"/>
        </w:tabs>
        <w:ind w:left="5040" w:hanging="360"/>
      </w:pPr>
      <w:rPr>
        <w:rFonts w:ascii="Arial" w:hAnsi="Arial" w:hint="default"/>
      </w:rPr>
    </w:lvl>
    <w:lvl w:ilvl="7" w:tplc="0BD40C46" w:tentative="1">
      <w:start w:val="1"/>
      <w:numFmt w:val="bullet"/>
      <w:lvlText w:val="•"/>
      <w:lvlJc w:val="left"/>
      <w:pPr>
        <w:tabs>
          <w:tab w:val="num" w:pos="5760"/>
        </w:tabs>
        <w:ind w:left="5760" w:hanging="360"/>
      </w:pPr>
      <w:rPr>
        <w:rFonts w:ascii="Arial" w:hAnsi="Arial" w:hint="default"/>
      </w:rPr>
    </w:lvl>
    <w:lvl w:ilvl="8" w:tplc="41862CD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9"/>
  </w:num>
  <w:num w:numId="3">
    <w:abstractNumId w:val="4"/>
  </w:num>
  <w:num w:numId="4">
    <w:abstractNumId w:val="1"/>
  </w:num>
  <w:num w:numId="5">
    <w:abstractNumId w:val="3"/>
  </w:num>
  <w:num w:numId="6">
    <w:abstractNumId w:val="5"/>
  </w:num>
  <w:num w:numId="7">
    <w:abstractNumId w:val="11"/>
  </w:num>
  <w:num w:numId="8">
    <w:abstractNumId w:val="10"/>
  </w:num>
  <w:num w:numId="9">
    <w:abstractNumId w:val="7"/>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55F7"/>
    <w:rsid w:val="00004E4C"/>
    <w:rsid w:val="000137B0"/>
    <w:rsid w:val="0001400B"/>
    <w:rsid w:val="00020C39"/>
    <w:rsid w:val="00022CC6"/>
    <w:rsid w:val="000310F4"/>
    <w:rsid w:val="00050D52"/>
    <w:rsid w:val="00051635"/>
    <w:rsid w:val="00056F7B"/>
    <w:rsid w:val="000667DF"/>
    <w:rsid w:val="00070DC8"/>
    <w:rsid w:val="000726C7"/>
    <w:rsid w:val="000773BD"/>
    <w:rsid w:val="00081ABB"/>
    <w:rsid w:val="00084C62"/>
    <w:rsid w:val="00085F11"/>
    <w:rsid w:val="0009403C"/>
    <w:rsid w:val="00097C44"/>
    <w:rsid w:val="000A110C"/>
    <w:rsid w:val="000A31C5"/>
    <w:rsid w:val="000A4A2F"/>
    <w:rsid w:val="000B5697"/>
    <w:rsid w:val="000C05F1"/>
    <w:rsid w:val="000D46E7"/>
    <w:rsid w:val="000F6C29"/>
    <w:rsid w:val="000F7F9B"/>
    <w:rsid w:val="0010171A"/>
    <w:rsid w:val="0010483B"/>
    <w:rsid w:val="001055F7"/>
    <w:rsid w:val="001057A7"/>
    <w:rsid w:val="00112A45"/>
    <w:rsid w:val="00117560"/>
    <w:rsid w:val="00124DD4"/>
    <w:rsid w:val="0013281E"/>
    <w:rsid w:val="001329EA"/>
    <w:rsid w:val="00141005"/>
    <w:rsid w:val="0015049C"/>
    <w:rsid w:val="00173761"/>
    <w:rsid w:val="00185ED8"/>
    <w:rsid w:val="00192238"/>
    <w:rsid w:val="001A0D5C"/>
    <w:rsid w:val="001A6DBC"/>
    <w:rsid w:val="001A7F89"/>
    <w:rsid w:val="001C6056"/>
    <w:rsid w:val="001C715D"/>
    <w:rsid w:val="001E5698"/>
    <w:rsid w:val="001E58A8"/>
    <w:rsid w:val="001F5C54"/>
    <w:rsid w:val="001F7889"/>
    <w:rsid w:val="002152A5"/>
    <w:rsid w:val="002152A8"/>
    <w:rsid w:val="00230917"/>
    <w:rsid w:val="00241376"/>
    <w:rsid w:val="00247596"/>
    <w:rsid w:val="00255641"/>
    <w:rsid w:val="002609A3"/>
    <w:rsid w:val="00264D3D"/>
    <w:rsid w:val="00265426"/>
    <w:rsid w:val="002654F3"/>
    <w:rsid w:val="00273AA4"/>
    <w:rsid w:val="002854FE"/>
    <w:rsid w:val="00285D11"/>
    <w:rsid w:val="002964AB"/>
    <w:rsid w:val="0029765D"/>
    <w:rsid w:val="002A04D1"/>
    <w:rsid w:val="002A414E"/>
    <w:rsid w:val="002A5D75"/>
    <w:rsid w:val="002A6251"/>
    <w:rsid w:val="002A69EA"/>
    <w:rsid w:val="002C627B"/>
    <w:rsid w:val="002D3882"/>
    <w:rsid w:val="002D5B46"/>
    <w:rsid w:val="002E2AD0"/>
    <w:rsid w:val="002E3356"/>
    <w:rsid w:val="002E5082"/>
    <w:rsid w:val="002E73AC"/>
    <w:rsid w:val="002F1234"/>
    <w:rsid w:val="002F520D"/>
    <w:rsid w:val="002F5B9C"/>
    <w:rsid w:val="002F621D"/>
    <w:rsid w:val="0031514C"/>
    <w:rsid w:val="00326099"/>
    <w:rsid w:val="0033218C"/>
    <w:rsid w:val="0033705D"/>
    <w:rsid w:val="00343D93"/>
    <w:rsid w:val="00350D6E"/>
    <w:rsid w:val="003513BA"/>
    <w:rsid w:val="0035610A"/>
    <w:rsid w:val="00362E5C"/>
    <w:rsid w:val="0036443A"/>
    <w:rsid w:val="00377A02"/>
    <w:rsid w:val="003800BA"/>
    <w:rsid w:val="00380D70"/>
    <w:rsid w:val="00383502"/>
    <w:rsid w:val="00384277"/>
    <w:rsid w:val="0039207F"/>
    <w:rsid w:val="003931AC"/>
    <w:rsid w:val="00396D7A"/>
    <w:rsid w:val="003C688B"/>
    <w:rsid w:val="003D7980"/>
    <w:rsid w:val="003E02B6"/>
    <w:rsid w:val="003E0D71"/>
    <w:rsid w:val="003E7577"/>
    <w:rsid w:val="004117FA"/>
    <w:rsid w:val="0041193D"/>
    <w:rsid w:val="004204E3"/>
    <w:rsid w:val="00421769"/>
    <w:rsid w:val="00423DB4"/>
    <w:rsid w:val="004267A1"/>
    <w:rsid w:val="00426F9A"/>
    <w:rsid w:val="004279C2"/>
    <w:rsid w:val="00443932"/>
    <w:rsid w:val="004505AF"/>
    <w:rsid w:val="004637A9"/>
    <w:rsid w:val="004742C2"/>
    <w:rsid w:val="00482328"/>
    <w:rsid w:val="004835AB"/>
    <w:rsid w:val="0049103C"/>
    <w:rsid w:val="00491CE4"/>
    <w:rsid w:val="004B2462"/>
    <w:rsid w:val="004D5095"/>
    <w:rsid w:val="004E6722"/>
    <w:rsid w:val="004E6837"/>
    <w:rsid w:val="004F6424"/>
    <w:rsid w:val="004F6FB7"/>
    <w:rsid w:val="00507DFC"/>
    <w:rsid w:val="00522E49"/>
    <w:rsid w:val="00526B79"/>
    <w:rsid w:val="00532B8B"/>
    <w:rsid w:val="00534F1C"/>
    <w:rsid w:val="005354F9"/>
    <w:rsid w:val="0053692F"/>
    <w:rsid w:val="00537E4C"/>
    <w:rsid w:val="00555D03"/>
    <w:rsid w:val="00556FA2"/>
    <w:rsid w:val="005637C7"/>
    <w:rsid w:val="005721A9"/>
    <w:rsid w:val="00574D63"/>
    <w:rsid w:val="005765CA"/>
    <w:rsid w:val="00577692"/>
    <w:rsid w:val="00584D3B"/>
    <w:rsid w:val="0059281B"/>
    <w:rsid w:val="00592834"/>
    <w:rsid w:val="005955DC"/>
    <w:rsid w:val="00595ACF"/>
    <w:rsid w:val="005A28F3"/>
    <w:rsid w:val="005A37B6"/>
    <w:rsid w:val="005A3801"/>
    <w:rsid w:val="005A6C48"/>
    <w:rsid w:val="005B17A9"/>
    <w:rsid w:val="005B263E"/>
    <w:rsid w:val="005C4619"/>
    <w:rsid w:val="005C794F"/>
    <w:rsid w:val="005C799D"/>
    <w:rsid w:val="005E6322"/>
    <w:rsid w:val="005F0695"/>
    <w:rsid w:val="00606B56"/>
    <w:rsid w:val="006151B0"/>
    <w:rsid w:val="00615EFE"/>
    <w:rsid w:val="00631342"/>
    <w:rsid w:val="00644CD8"/>
    <w:rsid w:val="0065089D"/>
    <w:rsid w:val="00655EDD"/>
    <w:rsid w:val="00657A58"/>
    <w:rsid w:val="00665B96"/>
    <w:rsid w:val="00670D43"/>
    <w:rsid w:val="00677783"/>
    <w:rsid w:val="006826E1"/>
    <w:rsid w:val="00693D20"/>
    <w:rsid w:val="00695287"/>
    <w:rsid w:val="006A3552"/>
    <w:rsid w:val="006A481A"/>
    <w:rsid w:val="006A52B0"/>
    <w:rsid w:val="006A5A04"/>
    <w:rsid w:val="006B562E"/>
    <w:rsid w:val="006D276C"/>
    <w:rsid w:val="006E17AC"/>
    <w:rsid w:val="006E5831"/>
    <w:rsid w:val="00722017"/>
    <w:rsid w:val="0072762F"/>
    <w:rsid w:val="00730257"/>
    <w:rsid w:val="00732409"/>
    <w:rsid w:val="00733ECF"/>
    <w:rsid w:val="00735B6A"/>
    <w:rsid w:val="00752E28"/>
    <w:rsid w:val="007561D5"/>
    <w:rsid w:val="00761AFB"/>
    <w:rsid w:val="00770653"/>
    <w:rsid w:val="0077266B"/>
    <w:rsid w:val="00774481"/>
    <w:rsid w:val="00781A30"/>
    <w:rsid w:val="007903D2"/>
    <w:rsid w:val="007B03E9"/>
    <w:rsid w:val="007B22B2"/>
    <w:rsid w:val="007C2491"/>
    <w:rsid w:val="007C5A14"/>
    <w:rsid w:val="007F7613"/>
    <w:rsid w:val="00815FBF"/>
    <w:rsid w:val="00821840"/>
    <w:rsid w:val="00826120"/>
    <w:rsid w:val="00832ACD"/>
    <w:rsid w:val="00834657"/>
    <w:rsid w:val="00840E7B"/>
    <w:rsid w:val="00846A40"/>
    <w:rsid w:val="00847F05"/>
    <w:rsid w:val="00864519"/>
    <w:rsid w:val="008676FE"/>
    <w:rsid w:val="00872712"/>
    <w:rsid w:val="00880822"/>
    <w:rsid w:val="008834C3"/>
    <w:rsid w:val="00883D9F"/>
    <w:rsid w:val="00892920"/>
    <w:rsid w:val="008A1F7C"/>
    <w:rsid w:val="008A4464"/>
    <w:rsid w:val="008C143B"/>
    <w:rsid w:val="008C155B"/>
    <w:rsid w:val="008C39F8"/>
    <w:rsid w:val="008C7A82"/>
    <w:rsid w:val="008D1ED0"/>
    <w:rsid w:val="008E20D1"/>
    <w:rsid w:val="008E29A1"/>
    <w:rsid w:val="008E5552"/>
    <w:rsid w:val="008F26F2"/>
    <w:rsid w:val="008F3E09"/>
    <w:rsid w:val="008F751B"/>
    <w:rsid w:val="00912474"/>
    <w:rsid w:val="00925940"/>
    <w:rsid w:val="00932653"/>
    <w:rsid w:val="009352B4"/>
    <w:rsid w:val="00942F72"/>
    <w:rsid w:val="00952E19"/>
    <w:rsid w:val="009602AF"/>
    <w:rsid w:val="0096706E"/>
    <w:rsid w:val="00980F3D"/>
    <w:rsid w:val="009825D1"/>
    <w:rsid w:val="00986B92"/>
    <w:rsid w:val="00993803"/>
    <w:rsid w:val="00994185"/>
    <w:rsid w:val="00995EFA"/>
    <w:rsid w:val="00996966"/>
    <w:rsid w:val="009A2CA1"/>
    <w:rsid w:val="009A6821"/>
    <w:rsid w:val="009B2EE3"/>
    <w:rsid w:val="009C7DFD"/>
    <w:rsid w:val="009E1FE7"/>
    <w:rsid w:val="009E3080"/>
    <w:rsid w:val="009F2C36"/>
    <w:rsid w:val="00A04106"/>
    <w:rsid w:val="00A06BC3"/>
    <w:rsid w:val="00A1116B"/>
    <w:rsid w:val="00A13D78"/>
    <w:rsid w:val="00A161ED"/>
    <w:rsid w:val="00A36A4A"/>
    <w:rsid w:val="00A3708B"/>
    <w:rsid w:val="00A47ABE"/>
    <w:rsid w:val="00A52512"/>
    <w:rsid w:val="00A52F04"/>
    <w:rsid w:val="00A55163"/>
    <w:rsid w:val="00A56832"/>
    <w:rsid w:val="00A71E16"/>
    <w:rsid w:val="00A7643D"/>
    <w:rsid w:val="00A91CFC"/>
    <w:rsid w:val="00A93252"/>
    <w:rsid w:val="00A9364F"/>
    <w:rsid w:val="00AA2431"/>
    <w:rsid w:val="00AB248D"/>
    <w:rsid w:val="00AC2D28"/>
    <w:rsid w:val="00AC7883"/>
    <w:rsid w:val="00AD06F7"/>
    <w:rsid w:val="00AD0CDC"/>
    <w:rsid w:val="00AD1CAB"/>
    <w:rsid w:val="00AD5E57"/>
    <w:rsid w:val="00AE38FE"/>
    <w:rsid w:val="00AF54E8"/>
    <w:rsid w:val="00B0677B"/>
    <w:rsid w:val="00B23B5C"/>
    <w:rsid w:val="00B4000D"/>
    <w:rsid w:val="00B45FC2"/>
    <w:rsid w:val="00B5032D"/>
    <w:rsid w:val="00B74A2C"/>
    <w:rsid w:val="00B77A64"/>
    <w:rsid w:val="00B87EF3"/>
    <w:rsid w:val="00B93F40"/>
    <w:rsid w:val="00B978CE"/>
    <w:rsid w:val="00BA6B2A"/>
    <w:rsid w:val="00BB00C4"/>
    <w:rsid w:val="00BB0FEE"/>
    <w:rsid w:val="00BB23E8"/>
    <w:rsid w:val="00BB2EB3"/>
    <w:rsid w:val="00BB3D25"/>
    <w:rsid w:val="00BC12F5"/>
    <w:rsid w:val="00BC1D46"/>
    <w:rsid w:val="00BD081E"/>
    <w:rsid w:val="00BD38D5"/>
    <w:rsid w:val="00BD3DB9"/>
    <w:rsid w:val="00BD4BD8"/>
    <w:rsid w:val="00BD63D7"/>
    <w:rsid w:val="00BE3689"/>
    <w:rsid w:val="00BE5495"/>
    <w:rsid w:val="00BF2CA2"/>
    <w:rsid w:val="00BF5878"/>
    <w:rsid w:val="00C269BB"/>
    <w:rsid w:val="00C2780C"/>
    <w:rsid w:val="00C4250E"/>
    <w:rsid w:val="00C44DA1"/>
    <w:rsid w:val="00C510DB"/>
    <w:rsid w:val="00C8478E"/>
    <w:rsid w:val="00C876A8"/>
    <w:rsid w:val="00C87B45"/>
    <w:rsid w:val="00CA5D05"/>
    <w:rsid w:val="00CC255D"/>
    <w:rsid w:val="00CC2A39"/>
    <w:rsid w:val="00CD3463"/>
    <w:rsid w:val="00CE3398"/>
    <w:rsid w:val="00CE4E65"/>
    <w:rsid w:val="00CF3FEE"/>
    <w:rsid w:val="00CF4663"/>
    <w:rsid w:val="00D052EB"/>
    <w:rsid w:val="00D06601"/>
    <w:rsid w:val="00D06782"/>
    <w:rsid w:val="00D128D6"/>
    <w:rsid w:val="00D17E79"/>
    <w:rsid w:val="00D2075C"/>
    <w:rsid w:val="00D264D6"/>
    <w:rsid w:val="00D30D02"/>
    <w:rsid w:val="00D44FDD"/>
    <w:rsid w:val="00D55109"/>
    <w:rsid w:val="00D55266"/>
    <w:rsid w:val="00D66AA8"/>
    <w:rsid w:val="00D67305"/>
    <w:rsid w:val="00D73B75"/>
    <w:rsid w:val="00D84ADC"/>
    <w:rsid w:val="00D9194C"/>
    <w:rsid w:val="00D95209"/>
    <w:rsid w:val="00DA56C7"/>
    <w:rsid w:val="00DB1755"/>
    <w:rsid w:val="00DB1C5A"/>
    <w:rsid w:val="00DD2C2D"/>
    <w:rsid w:val="00DE204F"/>
    <w:rsid w:val="00DE5F71"/>
    <w:rsid w:val="00DF1079"/>
    <w:rsid w:val="00DF4D21"/>
    <w:rsid w:val="00E00099"/>
    <w:rsid w:val="00E023C5"/>
    <w:rsid w:val="00E02689"/>
    <w:rsid w:val="00E0605F"/>
    <w:rsid w:val="00E07851"/>
    <w:rsid w:val="00E15C83"/>
    <w:rsid w:val="00E16AB9"/>
    <w:rsid w:val="00E32824"/>
    <w:rsid w:val="00E32980"/>
    <w:rsid w:val="00E34DFA"/>
    <w:rsid w:val="00E40039"/>
    <w:rsid w:val="00E400A0"/>
    <w:rsid w:val="00E4295D"/>
    <w:rsid w:val="00E45F31"/>
    <w:rsid w:val="00E50ED6"/>
    <w:rsid w:val="00E513DE"/>
    <w:rsid w:val="00E5252D"/>
    <w:rsid w:val="00E54B27"/>
    <w:rsid w:val="00E61549"/>
    <w:rsid w:val="00E61F99"/>
    <w:rsid w:val="00E70A9A"/>
    <w:rsid w:val="00E71EEE"/>
    <w:rsid w:val="00E743C3"/>
    <w:rsid w:val="00E76439"/>
    <w:rsid w:val="00E843C9"/>
    <w:rsid w:val="00E93AC3"/>
    <w:rsid w:val="00EB1F0A"/>
    <w:rsid w:val="00EC529E"/>
    <w:rsid w:val="00ED1B19"/>
    <w:rsid w:val="00ED5387"/>
    <w:rsid w:val="00EE5FE4"/>
    <w:rsid w:val="00F009F3"/>
    <w:rsid w:val="00F01362"/>
    <w:rsid w:val="00F0741F"/>
    <w:rsid w:val="00F32FD1"/>
    <w:rsid w:val="00F33A74"/>
    <w:rsid w:val="00F46F71"/>
    <w:rsid w:val="00F5546A"/>
    <w:rsid w:val="00F66BC7"/>
    <w:rsid w:val="00F704BF"/>
    <w:rsid w:val="00F82AEC"/>
    <w:rsid w:val="00F935C4"/>
    <w:rsid w:val="00F95BDF"/>
    <w:rsid w:val="00FA3D67"/>
    <w:rsid w:val="00FA4155"/>
    <w:rsid w:val="00FA5C38"/>
    <w:rsid w:val="00FB3334"/>
    <w:rsid w:val="00FC16D7"/>
    <w:rsid w:val="00FC7D35"/>
    <w:rsid w:val="00FD1B60"/>
    <w:rsid w:val="00FE77E1"/>
    <w:rsid w:val="00FF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C44"/>
  </w:style>
  <w:style w:type="paragraph" w:styleId="Heading1">
    <w:name w:val="heading 1"/>
    <w:basedOn w:val="Normal"/>
    <w:next w:val="Normal"/>
    <w:link w:val="Heading1Char"/>
    <w:uiPriority w:val="9"/>
    <w:qFormat/>
    <w:rsid w:val="00097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97C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7C4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97C4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97C4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97C4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97C4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97C4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97C4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4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97C4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97C4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97C4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97C4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97C4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97C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97C4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97C4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97C44"/>
    <w:pPr>
      <w:spacing w:line="240" w:lineRule="auto"/>
    </w:pPr>
    <w:rPr>
      <w:b/>
      <w:bCs/>
      <w:color w:val="4F81BD" w:themeColor="accent1"/>
      <w:sz w:val="18"/>
      <w:szCs w:val="18"/>
    </w:rPr>
  </w:style>
  <w:style w:type="paragraph" w:styleId="Title">
    <w:name w:val="Title"/>
    <w:basedOn w:val="Normal"/>
    <w:next w:val="Normal"/>
    <w:link w:val="TitleChar"/>
    <w:uiPriority w:val="10"/>
    <w:qFormat/>
    <w:rsid w:val="00097C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7C4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97C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7C4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97C44"/>
    <w:rPr>
      <w:b/>
      <w:bCs/>
    </w:rPr>
  </w:style>
  <w:style w:type="character" w:styleId="Emphasis">
    <w:name w:val="Emphasis"/>
    <w:basedOn w:val="DefaultParagraphFont"/>
    <w:uiPriority w:val="20"/>
    <w:qFormat/>
    <w:rsid w:val="00097C44"/>
    <w:rPr>
      <w:i/>
      <w:iCs/>
    </w:rPr>
  </w:style>
  <w:style w:type="paragraph" w:styleId="NoSpacing">
    <w:name w:val="No Spacing"/>
    <w:uiPriority w:val="1"/>
    <w:qFormat/>
    <w:rsid w:val="00097C44"/>
    <w:pPr>
      <w:spacing w:after="0" w:line="240" w:lineRule="auto"/>
    </w:pPr>
  </w:style>
  <w:style w:type="paragraph" w:styleId="ListParagraph">
    <w:name w:val="List Paragraph"/>
    <w:basedOn w:val="Normal"/>
    <w:uiPriority w:val="34"/>
    <w:qFormat/>
    <w:rsid w:val="00097C44"/>
    <w:pPr>
      <w:ind w:left="720"/>
      <w:contextualSpacing/>
    </w:pPr>
  </w:style>
  <w:style w:type="paragraph" w:styleId="Quote">
    <w:name w:val="Quote"/>
    <w:basedOn w:val="Normal"/>
    <w:next w:val="Normal"/>
    <w:link w:val="QuoteChar"/>
    <w:uiPriority w:val="29"/>
    <w:qFormat/>
    <w:rsid w:val="00097C44"/>
    <w:rPr>
      <w:i/>
      <w:iCs/>
      <w:color w:val="000000" w:themeColor="text1"/>
    </w:rPr>
  </w:style>
  <w:style w:type="character" w:customStyle="1" w:styleId="QuoteChar">
    <w:name w:val="Quote Char"/>
    <w:basedOn w:val="DefaultParagraphFont"/>
    <w:link w:val="Quote"/>
    <w:uiPriority w:val="29"/>
    <w:rsid w:val="00097C44"/>
    <w:rPr>
      <w:i/>
      <w:iCs/>
      <w:color w:val="000000" w:themeColor="text1"/>
    </w:rPr>
  </w:style>
  <w:style w:type="paragraph" w:styleId="IntenseQuote">
    <w:name w:val="Intense Quote"/>
    <w:basedOn w:val="Normal"/>
    <w:next w:val="Normal"/>
    <w:link w:val="IntenseQuoteChar"/>
    <w:uiPriority w:val="30"/>
    <w:qFormat/>
    <w:rsid w:val="00097C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7C44"/>
    <w:rPr>
      <w:b/>
      <w:bCs/>
      <w:i/>
      <w:iCs/>
      <w:color w:val="4F81BD" w:themeColor="accent1"/>
    </w:rPr>
  </w:style>
  <w:style w:type="character" w:styleId="SubtleEmphasis">
    <w:name w:val="Subtle Emphasis"/>
    <w:basedOn w:val="DefaultParagraphFont"/>
    <w:uiPriority w:val="19"/>
    <w:qFormat/>
    <w:rsid w:val="00097C44"/>
    <w:rPr>
      <w:i/>
      <w:iCs/>
      <w:color w:val="808080" w:themeColor="text1" w:themeTint="7F"/>
    </w:rPr>
  </w:style>
  <w:style w:type="character" w:styleId="IntenseEmphasis">
    <w:name w:val="Intense Emphasis"/>
    <w:basedOn w:val="DefaultParagraphFont"/>
    <w:uiPriority w:val="21"/>
    <w:qFormat/>
    <w:rsid w:val="00097C44"/>
    <w:rPr>
      <w:b/>
      <w:bCs/>
      <w:i/>
      <w:iCs/>
      <w:color w:val="4F81BD" w:themeColor="accent1"/>
    </w:rPr>
  </w:style>
  <w:style w:type="character" w:styleId="SubtleReference">
    <w:name w:val="Subtle Reference"/>
    <w:basedOn w:val="DefaultParagraphFont"/>
    <w:uiPriority w:val="31"/>
    <w:qFormat/>
    <w:rsid w:val="00097C44"/>
    <w:rPr>
      <w:smallCaps/>
      <w:color w:val="C0504D" w:themeColor="accent2"/>
      <w:u w:val="single"/>
    </w:rPr>
  </w:style>
  <w:style w:type="character" w:styleId="IntenseReference">
    <w:name w:val="Intense Reference"/>
    <w:basedOn w:val="DefaultParagraphFont"/>
    <w:uiPriority w:val="32"/>
    <w:qFormat/>
    <w:rsid w:val="00097C44"/>
    <w:rPr>
      <w:b/>
      <w:bCs/>
      <w:smallCaps/>
      <w:color w:val="C0504D" w:themeColor="accent2"/>
      <w:spacing w:val="5"/>
      <w:u w:val="single"/>
    </w:rPr>
  </w:style>
  <w:style w:type="character" w:styleId="BookTitle">
    <w:name w:val="Book Title"/>
    <w:basedOn w:val="DefaultParagraphFont"/>
    <w:uiPriority w:val="33"/>
    <w:qFormat/>
    <w:rsid w:val="00097C44"/>
    <w:rPr>
      <w:b/>
      <w:bCs/>
      <w:smallCaps/>
      <w:spacing w:val="5"/>
    </w:rPr>
  </w:style>
  <w:style w:type="paragraph" w:styleId="TOCHeading">
    <w:name w:val="TOC Heading"/>
    <w:basedOn w:val="Heading1"/>
    <w:next w:val="Normal"/>
    <w:uiPriority w:val="39"/>
    <w:semiHidden/>
    <w:unhideWhenUsed/>
    <w:qFormat/>
    <w:rsid w:val="00097C44"/>
    <w:pPr>
      <w:outlineLvl w:val="9"/>
    </w:pPr>
  </w:style>
  <w:style w:type="paragraph" w:styleId="FootnoteText">
    <w:name w:val="footnote text"/>
    <w:basedOn w:val="Normal"/>
    <w:link w:val="FootnoteTextChar"/>
    <w:semiHidden/>
    <w:unhideWhenUsed/>
    <w:rsid w:val="001017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171A"/>
    <w:rPr>
      <w:sz w:val="20"/>
      <w:szCs w:val="20"/>
    </w:rPr>
  </w:style>
  <w:style w:type="character" w:styleId="FootnoteReference">
    <w:name w:val="footnote reference"/>
    <w:basedOn w:val="DefaultParagraphFont"/>
    <w:semiHidden/>
    <w:unhideWhenUsed/>
    <w:rsid w:val="0010171A"/>
    <w:rPr>
      <w:vertAlign w:val="superscript"/>
    </w:rPr>
  </w:style>
  <w:style w:type="character" w:styleId="Hyperlink">
    <w:name w:val="Hyperlink"/>
    <w:basedOn w:val="DefaultParagraphFont"/>
    <w:uiPriority w:val="99"/>
    <w:unhideWhenUsed/>
    <w:rsid w:val="00E07851"/>
    <w:rPr>
      <w:color w:val="0000FF"/>
      <w:u w:val="single"/>
    </w:rPr>
  </w:style>
  <w:style w:type="paragraph" w:styleId="BodyTextIndent2">
    <w:name w:val="Body Text Indent 2"/>
    <w:basedOn w:val="Normal"/>
    <w:link w:val="BodyTextIndent2Char"/>
    <w:rsid w:val="00D0678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D06782"/>
    <w:rPr>
      <w:rFonts w:ascii="Times New Roman" w:eastAsia="Times New Roman" w:hAnsi="Times New Roman" w:cs="Times New Roman"/>
      <w:sz w:val="24"/>
      <w:szCs w:val="24"/>
    </w:rPr>
  </w:style>
  <w:style w:type="character" w:customStyle="1" w:styleId="ft">
    <w:name w:val="ft"/>
    <w:basedOn w:val="DefaultParagraphFont"/>
    <w:rsid w:val="00932653"/>
  </w:style>
  <w:style w:type="paragraph" w:customStyle="1" w:styleId="volume-issue">
    <w:name w:val="volume-issue"/>
    <w:basedOn w:val="Normal"/>
    <w:rsid w:val="00124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124DD4"/>
  </w:style>
  <w:style w:type="paragraph" w:styleId="NormalWeb">
    <w:name w:val="Normal (Web)"/>
    <w:basedOn w:val="Normal"/>
    <w:uiPriority w:val="99"/>
    <w:unhideWhenUsed/>
    <w:rsid w:val="00124D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range">
    <w:name w:val="page-range"/>
    <w:basedOn w:val="Normal"/>
    <w:rsid w:val="00124D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ze-xl">
    <w:name w:val="size-xl"/>
    <w:basedOn w:val="DefaultParagraphFont"/>
    <w:rsid w:val="00AC7883"/>
  </w:style>
  <w:style w:type="character" w:customStyle="1" w:styleId="size-m">
    <w:name w:val="size-m"/>
    <w:basedOn w:val="DefaultParagraphFont"/>
    <w:rsid w:val="00AC7883"/>
  </w:style>
  <w:style w:type="character" w:customStyle="1" w:styleId="title-text">
    <w:name w:val="title-text"/>
    <w:basedOn w:val="DefaultParagraphFont"/>
    <w:rsid w:val="00AC7883"/>
  </w:style>
  <w:style w:type="character" w:customStyle="1" w:styleId="sr-only">
    <w:name w:val="sr-only"/>
    <w:basedOn w:val="DefaultParagraphFont"/>
    <w:rsid w:val="00AC7883"/>
  </w:style>
  <w:style w:type="character" w:customStyle="1" w:styleId="text">
    <w:name w:val="text"/>
    <w:basedOn w:val="DefaultParagraphFont"/>
    <w:rsid w:val="00AC7883"/>
  </w:style>
  <w:style w:type="character" w:customStyle="1" w:styleId="author-ref">
    <w:name w:val="author-ref"/>
    <w:basedOn w:val="DefaultParagraphFont"/>
    <w:rsid w:val="00AC7883"/>
  </w:style>
  <w:style w:type="paragraph" w:styleId="BalloonText">
    <w:name w:val="Balloon Text"/>
    <w:basedOn w:val="Normal"/>
    <w:link w:val="BalloonTextChar"/>
    <w:uiPriority w:val="99"/>
    <w:semiHidden/>
    <w:unhideWhenUsed/>
    <w:rsid w:val="00AC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883"/>
    <w:rPr>
      <w:rFonts w:ascii="Tahoma" w:hAnsi="Tahoma" w:cs="Tahoma"/>
      <w:sz w:val="16"/>
      <w:szCs w:val="16"/>
    </w:rPr>
  </w:style>
  <w:style w:type="character" w:customStyle="1" w:styleId="hlfld-title">
    <w:name w:val="hlfld-title"/>
    <w:basedOn w:val="DefaultParagraphFont"/>
    <w:rsid w:val="00AC7883"/>
  </w:style>
  <w:style w:type="paragraph" w:customStyle="1" w:styleId="References">
    <w:name w:val="References"/>
    <w:next w:val="Normal"/>
    <w:rsid w:val="0001400B"/>
    <w:pPr>
      <w:spacing w:after="0" w:line="240" w:lineRule="auto"/>
      <w:ind w:left="437" w:hanging="153"/>
      <w:jc w:val="both"/>
    </w:pPr>
    <w:rPr>
      <w:rFonts w:ascii="Times New Roman" w:eastAsia="Times New Roman" w:hAnsi="Times New Roman" w:cs="Times New Roman"/>
      <w:sz w:val="18"/>
      <w:szCs w:val="20"/>
      <w:lang w:val="en-GB"/>
    </w:rPr>
  </w:style>
  <w:style w:type="character" w:styleId="CommentReference">
    <w:name w:val="annotation reference"/>
    <w:rsid w:val="00285D11"/>
    <w:rPr>
      <w:sz w:val="18"/>
      <w:szCs w:val="18"/>
    </w:rPr>
  </w:style>
  <w:style w:type="character" w:customStyle="1" w:styleId="apple-converted-space">
    <w:name w:val="apple-converted-space"/>
    <w:basedOn w:val="DefaultParagraphFont"/>
    <w:rsid w:val="007B03E9"/>
  </w:style>
  <w:style w:type="paragraph" w:customStyle="1" w:styleId="Default">
    <w:name w:val="Default"/>
    <w:rsid w:val="00A52512"/>
    <w:pPr>
      <w:autoSpaceDE w:val="0"/>
      <w:autoSpaceDN w:val="0"/>
      <w:adjustRightInd w:val="0"/>
      <w:spacing w:after="0" w:line="240" w:lineRule="auto"/>
    </w:pPr>
    <w:rPr>
      <w:rFonts w:ascii="Courier New" w:hAnsi="Courier New" w:cs="Courier New"/>
      <w:color w:val="000000"/>
      <w:sz w:val="24"/>
      <w:szCs w:val="24"/>
    </w:rPr>
  </w:style>
  <w:style w:type="character" w:customStyle="1" w:styleId="al-author-name">
    <w:name w:val="al-author-name"/>
    <w:basedOn w:val="DefaultParagraphFont"/>
    <w:rsid w:val="00E61549"/>
  </w:style>
  <w:style w:type="paragraph" w:styleId="Header">
    <w:name w:val="header"/>
    <w:basedOn w:val="Normal"/>
    <w:link w:val="HeaderChar"/>
    <w:uiPriority w:val="99"/>
    <w:unhideWhenUsed/>
    <w:rsid w:val="00847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05"/>
  </w:style>
  <w:style w:type="paragraph" w:styleId="Footer">
    <w:name w:val="footer"/>
    <w:basedOn w:val="Normal"/>
    <w:link w:val="FooterChar"/>
    <w:uiPriority w:val="99"/>
    <w:unhideWhenUsed/>
    <w:rsid w:val="00847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05"/>
  </w:style>
  <w:style w:type="character" w:customStyle="1" w:styleId="addmd">
    <w:name w:val="addmd"/>
    <w:basedOn w:val="DefaultParagraphFont"/>
    <w:rsid w:val="00FC16D7"/>
  </w:style>
  <w:style w:type="character" w:styleId="HTMLCite">
    <w:name w:val="HTML Cite"/>
    <w:basedOn w:val="DefaultParagraphFont"/>
    <w:uiPriority w:val="99"/>
    <w:semiHidden/>
    <w:unhideWhenUsed/>
    <w:rsid w:val="00FC16D7"/>
    <w:rPr>
      <w:i/>
      <w:iCs/>
    </w:rPr>
  </w:style>
  <w:style w:type="character" w:customStyle="1" w:styleId="contribdegrees">
    <w:name w:val="contribdegrees"/>
    <w:basedOn w:val="DefaultParagraphFont"/>
    <w:rsid w:val="004D5095"/>
  </w:style>
  <w:style w:type="character" w:customStyle="1" w:styleId="entryauthor">
    <w:name w:val="entryauthor"/>
    <w:basedOn w:val="DefaultParagraphFont"/>
    <w:rsid w:val="004D50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58083">
      <w:bodyDiv w:val="1"/>
      <w:marLeft w:val="0"/>
      <w:marRight w:val="0"/>
      <w:marTop w:val="0"/>
      <w:marBottom w:val="0"/>
      <w:divBdr>
        <w:top w:val="none" w:sz="0" w:space="0" w:color="auto"/>
        <w:left w:val="none" w:sz="0" w:space="0" w:color="auto"/>
        <w:bottom w:val="none" w:sz="0" w:space="0" w:color="auto"/>
        <w:right w:val="none" w:sz="0" w:space="0" w:color="auto"/>
      </w:divBdr>
      <w:divsChild>
        <w:div w:id="1500923520">
          <w:marLeft w:val="0"/>
          <w:marRight w:val="0"/>
          <w:marTop w:val="0"/>
          <w:marBottom w:val="0"/>
          <w:divBdr>
            <w:top w:val="none" w:sz="0" w:space="0" w:color="auto"/>
            <w:left w:val="none" w:sz="0" w:space="0" w:color="auto"/>
            <w:bottom w:val="none" w:sz="0" w:space="0" w:color="auto"/>
            <w:right w:val="none" w:sz="0" w:space="0" w:color="auto"/>
          </w:divBdr>
        </w:div>
        <w:div w:id="328365468">
          <w:marLeft w:val="0"/>
          <w:marRight w:val="0"/>
          <w:marTop w:val="525"/>
          <w:marBottom w:val="300"/>
          <w:divBdr>
            <w:top w:val="none" w:sz="0" w:space="0" w:color="auto"/>
            <w:left w:val="none" w:sz="0" w:space="0" w:color="auto"/>
            <w:bottom w:val="none" w:sz="0" w:space="0" w:color="auto"/>
            <w:right w:val="none" w:sz="0" w:space="0" w:color="auto"/>
          </w:divBdr>
          <w:divsChild>
            <w:div w:id="359279526">
              <w:marLeft w:val="0"/>
              <w:marRight w:val="0"/>
              <w:marTop w:val="0"/>
              <w:marBottom w:val="0"/>
              <w:divBdr>
                <w:top w:val="none" w:sz="0" w:space="0" w:color="auto"/>
                <w:left w:val="none" w:sz="0" w:space="0" w:color="auto"/>
                <w:bottom w:val="none" w:sz="0" w:space="0" w:color="auto"/>
                <w:right w:val="none" w:sz="0" w:space="0" w:color="auto"/>
              </w:divBdr>
              <w:divsChild>
                <w:div w:id="6592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47098">
      <w:bodyDiv w:val="1"/>
      <w:marLeft w:val="0"/>
      <w:marRight w:val="0"/>
      <w:marTop w:val="0"/>
      <w:marBottom w:val="0"/>
      <w:divBdr>
        <w:top w:val="none" w:sz="0" w:space="0" w:color="auto"/>
        <w:left w:val="none" w:sz="0" w:space="0" w:color="auto"/>
        <w:bottom w:val="none" w:sz="0" w:space="0" w:color="auto"/>
        <w:right w:val="none" w:sz="0" w:space="0" w:color="auto"/>
      </w:divBdr>
      <w:divsChild>
        <w:div w:id="524681930">
          <w:marLeft w:val="0"/>
          <w:marRight w:val="0"/>
          <w:marTop w:val="0"/>
          <w:marBottom w:val="0"/>
          <w:divBdr>
            <w:top w:val="none" w:sz="0" w:space="0" w:color="auto"/>
            <w:left w:val="none" w:sz="0" w:space="0" w:color="auto"/>
            <w:bottom w:val="none" w:sz="0" w:space="0" w:color="auto"/>
            <w:right w:val="none" w:sz="0" w:space="0" w:color="auto"/>
          </w:divBdr>
        </w:div>
        <w:div w:id="444497641">
          <w:marLeft w:val="0"/>
          <w:marRight w:val="0"/>
          <w:marTop w:val="0"/>
          <w:marBottom w:val="0"/>
          <w:divBdr>
            <w:top w:val="none" w:sz="0" w:space="0" w:color="auto"/>
            <w:left w:val="none" w:sz="0" w:space="0" w:color="auto"/>
            <w:bottom w:val="none" w:sz="0" w:space="0" w:color="auto"/>
            <w:right w:val="none" w:sz="0" w:space="0" w:color="auto"/>
          </w:divBdr>
        </w:div>
        <w:div w:id="1349868891">
          <w:marLeft w:val="0"/>
          <w:marRight w:val="0"/>
          <w:marTop w:val="0"/>
          <w:marBottom w:val="0"/>
          <w:divBdr>
            <w:top w:val="none" w:sz="0" w:space="0" w:color="auto"/>
            <w:left w:val="none" w:sz="0" w:space="0" w:color="auto"/>
            <w:bottom w:val="none" w:sz="0" w:space="0" w:color="auto"/>
            <w:right w:val="none" w:sz="0" w:space="0" w:color="auto"/>
          </w:divBdr>
        </w:div>
      </w:divsChild>
    </w:div>
    <w:div w:id="331496179">
      <w:bodyDiv w:val="1"/>
      <w:marLeft w:val="0"/>
      <w:marRight w:val="0"/>
      <w:marTop w:val="0"/>
      <w:marBottom w:val="0"/>
      <w:divBdr>
        <w:top w:val="none" w:sz="0" w:space="0" w:color="auto"/>
        <w:left w:val="none" w:sz="0" w:space="0" w:color="auto"/>
        <w:bottom w:val="none" w:sz="0" w:space="0" w:color="auto"/>
        <w:right w:val="none" w:sz="0" w:space="0" w:color="auto"/>
      </w:divBdr>
      <w:divsChild>
        <w:div w:id="1906573674">
          <w:marLeft w:val="0"/>
          <w:marRight w:val="0"/>
          <w:marTop w:val="0"/>
          <w:marBottom w:val="135"/>
          <w:divBdr>
            <w:top w:val="none" w:sz="0" w:space="0" w:color="auto"/>
            <w:left w:val="none" w:sz="0" w:space="0" w:color="auto"/>
            <w:bottom w:val="single" w:sz="12" w:space="9" w:color="EBEBEB"/>
            <w:right w:val="none" w:sz="0" w:space="0" w:color="auto"/>
          </w:divBdr>
          <w:divsChild>
            <w:div w:id="1625690163">
              <w:marLeft w:val="0"/>
              <w:marRight w:val="0"/>
              <w:marTop w:val="0"/>
              <w:marBottom w:val="0"/>
              <w:divBdr>
                <w:top w:val="none" w:sz="0" w:space="0" w:color="auto"/>
                <w:left w:val="none" w:sz="0" w:space="0" w:color="auto"/>
                <w:bottom w:val="none" w:sz="0" w:space="0" w:color="auto"/>
                <w:right w:val="none" w:sz="0" w:space="0" w:color="auto"/>
              </w:divBdr>
              <w:divsChild>
                <w:div w:id="180450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89586">
          <w:marLeft w:val="0"/>
          <w:marRight w:val="0"/>
          <w:marTop w:val="0"/>
          <w:marBottom w:val="120"/>
          <w:divBdr>
            <w:top w:val="none" w:sz="0" w:space="0" w:color="auto"/>
            <w:left w:val="none" w:sz="0" w:space="0" w:color="auto"/>
            <w:bottom w:val="none" w:sz="0" w:space="0" w:color="auto"/>
            <w:right w:val="none" w:sz="0" w:space="0" w:color="auto"/>
          </w:divBdr>
          <w:divsChild>
            <w:div w:id="187454267">
              <w:marLeft w:val="0"/>
              <w:marRight w:val="0"/>
              <w:marTop w:val="0"/>
              <w:marBottom w:val="0"/>
              <w:divBdr>
                <w:top w:val="none" w:sz="0" w:space="0" w:color="auto"/>
                <w:left w:val="none" w:sz="0" w:space="0" w:color="auto"/>
                <w:bottom w:val="none" w:sz="0" w:space="0" w:color="auto"/>
                <w:right w:val="none" w:sz="0" w:space="0" w:color="auto"/>
              </w:divBdr>
              <w:divsChild>
                <w:div w:id="1709456058">
                  <w:marLeft w:val="0"/>
                  <w:marRight w:val="0"/>
                  <w:marTop w:val="0"/>
                  <w:marBottom w:val="0"/>
                  <w:divBdr>
                    <w:top w:val="none" w:sz="0" w:space="0" w:color="auto"/>
                    <w:left w:val="none" w:sz="0" w:space="0" w:color="auto"/>
                    <w:bottom w:val="none" w:sz="0" w:space="0" w:color="auto"/>
                    <w:right w:val="none" w:sz="0" w:space="0" w:color="auto"/>
                  </w:divBdr>
                  <w:divsChild>
                    <w:div w:id="9570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600942">
      <w:bodyDiv w:val="1"/>
      <w:marLeft w:val="0"/>
      <w:marRight w:val="0"/>
      <w:marTop w:val="0"/>
      <w:marBottom w:val="0"/>
      <w:divBdr>
        <w:top w:val="none" w:sz="0" w:space="0" w:color="auto"/>
        <w:left w:val="none" w:sz="0" w:space="0" w:color="auto"/>
        <w:bottom w:val="none" w:sz="0" w:space="0" w:color="auto"/>
        <w:right w:val="none" w:sz="0" w:space="0" w:color="auto"/>
      </w:divBdr>
      <w:divsChild>
        <w:div w:id="93526003">
          <w:marLeft w:val="0"/>
          <w:marRight w:val="0"/>
          <w:marTop w:val="0"/>
          <w:marBottom w:val="0"/>
          <w:divBdr>
            <w:top w:val="none" w:sz="0" w:space="0" w:color="auto"/>
            <w:left w:val="none" w:sz="0" w:space="0" w:color="auto"/>
            <w:bottom w:val="none" w:sz="0" w:space="0" w:color="auto"/>
            <w:right w:val="none" w:sz="0" w:space="0" w:color="auto"/>
          </w:divBdr>
          <w:divsChild>
            <w:div w:id="844903464">
              <w:marLeft w:val="0"/>
              <w:marRight w:val="0"/>
              <w:marTop w:val="0"/>
              <w:marBottom w:val="165"/>
              <w:divBdr>
                <w:top w:val="none" w:sz="0" w:space="0" w:color="auto"/>
                <w:left w:val="none" w:sz="0" w:space="0" w:color="auto"/>
                <w:bottom w:val="none" w:sz="0" w:space="0" w:color="auto"/>
                <w:right w:val="none" w:sz="0" w:space="0" w:color="auto"/>
              </w:divBdr>
            </w:div>
          </w:divsChild>
        </w:div>
        <w:div w:id="1880235905">
          <w:marLeft w:val="0"/>
          <w:marRight w:val="0"/>
          <w:marTop w:val="165"/>
          <w:marBottom w:val="165"/>
          <w:divBdr>
            <w:top w:val="none" w:sz="0" w:space="0" w:color="auto"/>
            <w:left w:val="none" w:sz="0" w:space="0" w:color="auto"/>
            <w:bottom w:val="none" w:sz="0" w:space="0" w:color="auto"/>
            <w:right w:val="none" w:sz="0" w:space="0" w:color="auto"/>
          </w:divBdr>
          <w:divsChild>
            <w:div w:id="1760787694">
              <w:marLeft w:val="0"/>
              <w:marRight w:val="0"/>
              <w:marTop w:val="0"/>
              <w:marBottom w:val="0"/>
              <w:divBdr>
                <w:top w:val="none" w:sz="0" w:space="0" w:color="auto"/>
                <w:left w:val="none" w:sz="0" w:space="0" w:color="auto"/>
                <w:bottom w:val="none" w:sz="0" w:space="0" w:color="auto"/>
                <w:right w:val="none" w:sz="0" w:space="0" w:color="auto"/>
              </w:divBdr>
              <w:divsChild>
                <w:div w:id="167040727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462964748">
      <w:bodyDiv w:val="1"/>
      <w:marLeft w:val="0"/>
      <w:marRight w:val="0"/>
      <w:marTop w:val="0"/>
      <w:marBottom w:val="0"/>
      <w:divBdr>
        <w:top w:val="none" w:sz="0" w:space="0" w:color="auto"/>
        <w:left w:val="none" w:sz="0" w:space="0" w:color="auto"/>
        <w:bottom w:val="none" w:sz="0" w:space="0" w:color="auto"/>
        <w:right w:val="none" w:sz="0" w:space="0" w:color="auto"/>
      </w:divBdr>
      <w:divsChild>
        <w:div w:id="2011365673">
          <w:marLeft w:val="0"/>
          <w:marRight w:val="0"/>
          <w:marTop w:val="360"/>
          <w:marBottom w:val="0"/>
          <w:divBdr>
            <w:top w:val="none" w:sz="0" w:space="0" w:color="auto"/>
            <w:left w:val="none" w:sz="0" w:space="0" w:color="auto"/>
            <w:bottom w:val="none" w:sz="0" w:space="0" w:color="auto"/>
            <w:right w:val="none" w:sz="0" w:space="0" w:color="auto"/>
          </w:divBdr>
        </w:div>
        <w:div w:id="1412317907">
          <w:marLeft w:val="0"/>
          <w:marRight w:val="0"/>
          <w:marTop w:val="360"/>
          <w:marBottom w:val="0"/>
          <w:divBdr>
            <w:top w:val="none" w:sz="0" w:space="0" w:color="auto"/>
            <w:left w:val="none" w:sz="0" w:space="0" w:color="auto"/>
            <w:bottom w:val="none" w:sz="0" w:space="0" w:color="auto"/>
            <w:right w:val="none" w:sz="0" w:space="0" w:color="auto"/>
          </w:divBdr>
        </w:div>
        <w:div w:id="2001544842">
          <w:marLeft w:val="0"/>
          <w:marRight w:val="0"/>
          <w:marTop w:val="360"/>
          <w:marBottom w:val="0"/>
          <w:divBdr>
            <w:top w:val="none" w:sz="0" w:space="0" w:color="auto"/>
            <w:left w:val="none" w:sz="0" w:space="0" w:color="auto"/>
            <w:bottom w:val="none" w:sz="0" w:space="0" w:color="auto"/>
            <w:right w:val="none" w:sz="0" w:space="0" w:color="auto"/>
          </w:divBdr>
        </w:div>
        <w:div w:id="156307191">
          <w:marLeft w:val="0"/>
          <w:marRight w:val="0"/>
          <w:marTop w:val="360"/>
          <w:marBottom w:val="0"/>
          <w:divBdr>
            <w:top w:val="none" w:sz="0" w:space="0" w:color="auto"/>
            <w:left w:val="none" w:sz="0" w:space="0" w:color="auto"/>
            <w:bottom w:val="none" w:sz="0" w:space="0" w:color="auto"/>
            <w:right w:val="none" w:sz="0" w:space="0" w:color="auto"/>
          </w:divBdr>
        </w:div>
      </w:divsChild>
    </w:div>
    <w:div w:id="469246363">
      <w:bodyDiv w:val="1"/>
      <w:marLeft w:val="0"/>
      <w:marRight w:val="0"/>
      <w:marTop w:val="0"/>
      <w:marBottom w:val="0"/>
      <w:divBdr>
        <w:top w:val="none" w:sz="0" w:space="0" w:color="auto"/>
        <w:left w:val="none" w:sz="0" w:space="0" w:color="auto"/>
        <w:bottom w:val="none" w:sz="0" w:space="0" w:color="auto"/>
        <w:right w:val="none" w:sz="0" w:space="0" w:color="auto"/>
      </w:divBdr>
      <w:divsChild>
        <w:div w:id="1512917048">
          <w:marLeft w:val="547"/>
          <w:marRight w:val="0"/>
          <w:marTop w:val="134"/>
          <w:marBottom w:val="0"/>
          <w:divBdr>
            <w:top w:val="none" w:sz="0" w:space="0" w:color="auto"/>
            <w:left w:val="none" w:sz="0" w:space="0" w:color="auto"/>
            <w:bottom w:val="none" w:sz="0" w:space="0" w:color="auto"/>
            <w:right w:val="none" w:sz="0" w:space="0" w:color="auto"/>
          </w:divBdr>
        </w:div>
        <w:div w:id="318849663">
          <w:marLeft w:val="547"/>
          <w:marRight w:val="0"/>
          <w:marTop w:val="134"/>
          <w:marBottom w:val="0"/>
          <w:divBdr>
            <w:top w:val="none" w:sz="0" w:space="0" w:color="auto"/>
            <w:left w:val="none" w:sz="0" w:space="0" w:color="auto"/>
            <w:bottom w:val="none" w:sz="0" w:space="0" w:color="auto"/>
            <w:right w:val="none" w:sz="0" w:space="0" w:color="auto"/>
          </w:divBdr>
        </w:div>
        <w:div w:id="603609071">
          <w:marLeft w:val="547"/>
          <w:marRight w:val="0"/>
          <w:marTop w:val="134"/>
          <w:marBottom w:val="0"/>
          <w:divBdr>
            <w:top w:val="none" w:sz="0" w:space="0" w:color="auto"/>
            <w:left w:val="none" w:sz="0" w:space="0" w:color="auto"/>
            <w:bottom w:val="none" w:sz="0" w:space="0" w:color="auto"/>
            <w:right w:val="none" w:sz="0" w:space="0" w:color="auto"/>
          </w:divBdr>
        </w:div>
      </w:divsChild>
    </w:div>
    <w:div w:id="479923825">
      <w:bodyDiv w:val="1"/>
      <w:marLeft w:val="0"/>
      <w:marRight w:val="0"/>
      <w:marTop w:val="0"/>
      <w:marBottom w:val="0"/>
      <w:divBdr>
        <w:top w:val="none" w:sz="0" w:space="0" w:color="auto"/>
        <w:left w:val="none" w:sz="0" w:space="0" w:color="auto"/>
        <w:bottom w:val="none" w:sz="0" w:space="0" w:color="auto"/>
        <w:right w:val="none" w:sz="0" w:space="0" w:color="auto"/>
      </w:divBdr>
      <w:divsChild>
        <w:div w:id="1881361591">
          <w:marLeft w:val="0"/>
          <w:marRight w:val="0"/>
          <w:marTop w:val="0"/>
          <w:marBottom w:val="0"/>
          <w:divBdr>
            <w:top w:val="none" w:sz="0" w:space="0" w:color="auto"/>
            <w:left w:val="none" w:sz="0" w:space="0" w:color="auto"/>
            <w:bottom w:val="none" w:sz="0" w:space="0" w:color="auto"/>
            <w:right w:val="none" w:sz="0" w:space="0" w:color="auto"/>
          </w:divBdr>
        </w:div>
      </w:divsChild>
    </w:div>
    <w:div w:id="491944738">
      <w:bodyDiv w:val="1"/>
      <w:marLeft w:val="0"/>
      <w:marRight w:val="0"/>
      <w:marTop w:val="0"/>
      <w:marBottom w:val="0"/>
      <w:divBdr>
        <w:top w:val="none" w:sz="0" w:space="0" w:color="auto"/>
        <w:left w:val="none" w:sz="0" w:space="0" w:color="auto"/>
        <w:bottom w:val="none" w:sz="0" w:space="0" w:color="auto"/>
        <w:right w:val="none" w:sz="0" w:space="0" w:color="auto"/>
      </w:divBdr>
    </w:div>
    <w:div w:id="525024197">
      <w:bodyDiv w:val="1"/>
      <w:marLeft w:val="0"/>
      <w:marRight w:val="0"/>
      <w:marTop w:val="0"/>
      <w:marBottom w:val="0"/>
      <w:divBdr>
        <w:top w:val="none" w:sz="0" w:space="0" w:color="auto"/>
        <w:left w:val="none" w:sz="0" w:space="0" w:color="auto"/>
        <w:bottom w:val="none" w:sz="0" w:space="0" w:color="auto"/>
        <w:right w:val="none" w:sz="0" w:space="0" w:color="auto"/>
      </w:divBdr>
      <w:divsChild>
        <w:div w:id="437408055">
          <w:marLeft w:val="0"/>
          <w:marRight w:val="0"/>
          <w:marTop w:val="0"/>
          <w:marBottom w:val="135"/>
          <w:divBdr>
            <w:top w:val="none" w:sz="0" w:space="0" w:color="auto"/>
            <w:left w:val="none" w:sz="0" w:space="0" w:color="auto"/>
            <w:bottom w:val="single" w:sz="12" w:space="9" w:color="EBEBEB"/>
            <w:right w:val="none" w:sz="0" w:space="0" w:color="auto"/>
          </w:divBdr>
          <w:divsChild>
            <w:div w:id="1545487255">
              <w:marLeft w:val="0"/>
              <w:marRight w:val="0"/>
              <w:marTop w:val="0"/>
              <w:marBottom w:val="0"/>
              <w:divBdr>
                <w:top w:val="none" w:sz="0" w:space="0" w:color="auto"/>
                <w:left w:val="none" w:sz="0" w:space="0" w:color="auto"/>
                <w:bottom w:val="none" w:sz="0" w:space="0" w:color="auto"/>
                <w:right w:val="none" w:sz="0" w:space="0" w:color="auto"/>
              </w:divBdr>
            </w:div>
          </w:divsChild>
        </w:div>
        <w:div w:id="1938437845">
          <w:marLeft w:val="0"/>
          <w:marRight w:val="0"/>
          <w:marTop w:val="0"/>
          <w:marBottom w:val="120"/>
          <w:divBdr>
            <w:top w:val="none" w:sz="0" w:space="0" w:color="auto"/>
            <w:left w:val="none" w:sz="0" w:space="0" w:color="auto"/>
            <w:bottom w:val="none" w:sz="0" w:space="0" w:color="auto"/>
            <w:right w:val="none" w:sz="0" w:space="0" w:color="auto"/>
          </w:divBdr>
          <w:divsChild>
            <w:div w:id="1170633702">
              <w:marLeft w:val="0"/>
              <w:marRight w:val="0"/>
              <w:marTop w:val="0"/>
              <w:marBottom w:val="0"/>
              <w:divBdr>
                <w:top w:val="none" w:sz="0" w:space="0" w:color="auto"/>
                <w:left w:val="none" w:sz="0" w:space="0" w:color="auto"/>
                <w:bottom w:val="none" w:sz="0" w:space="0" w:color="auto"/>
                <w:right w:val="none" w:sz="0" w:space="0" w:color="auto"/>
              </w:divBdr>
              <w:divsChild>
                <w:div w:id="1323390967">
                  <w:marLeft w:val="0"/>
                  <w:marRight w:val="0"/>
                  <w:marTop w:val="0"/>
                  <w:marBottom w:val="0"/>
                  <w:divBdr>
                    <w:top w:val="none" w:sz="0" w:space="0" w:color="auto"/>
                    <w:left w:val="none" w:sz="0" w:space="0" w:color="auto"/>
                    <w:bottom w:val="none" w:sz="0" w:space="0" w:color="auto"/>
                    <w:right w:val="none" w:sz="0" w:space="0" w:color="auto"/>
                  </w:divBdr>
                  <w:divsChild>
                    <w:div w:id="10748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564277">
      <w:bodyDiv w:val="1"/>
      <w:marLeft w:val="0"/>
      <w:marRight w:val="0"/>
      <w:marTop w:val="0"/>
      <w:marBottom w:val="0"/>
      <w:divBdr>
        <w:top w:val="none" w:sz="0" w:space="0" w:color="auto"/>
        <w:left w:val="none" w:sz="0" w:space="0" w:color="auto"/>
        <w:bottom w:val="none" w:sz="0" w:space="0" w:color="auto"/>
        <w:right w:val="none" w:sz="0" w:space="0" w:color="auto"/>
      </w:divBdr>
      <w:divsChild>
        <w:div w:id="1432967822">
          <w:marLeft w:val="0"/>
          <w:marRight w:val="0"/>
          <w:marTop w:val="225"/>
          <w:marBottom w:val="225"/>
          <w:divBdr>
            <w:top w:val="none" w:sz="0" w:space="0" w:color="auto"/>
            <w:left w:val="none" w:sz="0" w:space="0" w:color="auto"/>
            <w:bottom w:val="none" w:sz="0" w:space="0" w:color="auto"/>
            <w:right w:val="none" w:sz="0" w:space="0" w:color="auto"/>
          </w:divBdr>
          <w:divsChild>
            <w:div w:id="312562599">
              <w:marLeft w:val="0"/>
              <w:marRight w:val="0"/>
              <w:marTop w:val="0"/>
              <w:marBottom w:val="0"/>
              <w:divBdr>
                <w:top w:val="none" w:sz="0" w:space="0" w:color="auto"/>
                <w:left w:val="none" w:sz="0" w:space="0" w:color="auto"/>
                <w:bottom w:val="none" w:sz="0" w:space="0" w:color="auto"/>
                <w:right w:val="none" w:sz="0" w:space="0" w:color="auto"/>
              </w:divBdr>
              <w:divsChild>
                <w:div w:id="1411073526">
                  <w:marLeft w:val="0"/>
                  <w:marRight w:val="0"/>
                  <w:marTop w:val="0"/>
                  <w:marBottom w:val="0"/>
                  <w:divBdr>
                    <w:top w:val="none" w:sz="0" w:space="0" w:color="auto"/>
                    <w:left w:val="none" w:sz="0" w:space="0" w:color="auto"/>
                    <w:bottom w:val="none" w:sz="0" w:space="0" w:color="auto"/>
                    <w:right w:val="none" w:sz="0" w:space="0" w:color="auto"/>
                  </w:divBdr>
                  <w:divsChild>
                    <w:div w:id="1880974873">
                      <w:marLeft w:val="0"/>
                      <w:marRight w:val="0"/>
                      <w:marTop w:val="0"/>
                      <w:marBottom w:val="0"/>
                      <w:divBdr>
                        <w:top w:val="none" w:sz="0" w:space="0" w:color="auto"/>
                        <w:left w:val="none" w:sz="0" w:space="0" w:color="auto"/>
                        <w:bottom w:val="none" w:sz="0" w:space="0" w:color="auto"/>
                        <w:right w:val="none" w:sz="0" w:space="0" w:color="auto"/>
                      </w:divBdr>
                    </w:div>
                    <w:div w:id="1820922943">
                      <w:marLeft w:val="0"/>
                      <w:marRight w:val="0"/>
                      <w:marTop w:val="0"/>
                      <w:marBottom w:val="0"/>
                      <w:divBdr>
                        <w:top w:val="none" w:sz="0" w:space="0" w:color="auto"/>
                        <w:left w:val="none" w:sz="0" w:space="0" w:color="auto"/>
                        <w:bottom w:val="none" w:sz="0" w:space="0" w:color="auto"/>
                        <w:right w:val="none" w:sz="0" w:space="0" w:color="auto"/>
                      </w:divBdr>
                    </w:div>
                    <w:div w:id="13491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01330">
      <w:bodyDiv w:val="1"/>
      <w:marLeft w:val="0"/>
      <w:marRight w:val="0"/>
      <w:marTop w:val="0"/>
      <w:marBottom w:val="0"/>
      <w:divBdr>
        <w:top w:val="none" w:sz="0" w:space="0" w:color="auto"/>
        <w:left w:val="none" w:sz="0" w:space="0" w:color="auto"/>
        <w:bottom w:val="none" w:sz="0" w:space="0" w:color="auto"/>
        <w:right w:val="none" w:sz="0" w:space="0" w:color="auto"/>
      </w:divBdr>
    </w:div>
    <w:div w:id="673649265">
      <w:bodyDiv w:val="1"/>
      <w:marLeft w:val="0"/>
      <w:marRight w:val="0"/>
      <w:marTop w:val="0"/>
      <w:marBottom w:val="0"/>
      <w:divBdr>
        <w:top w:val="none" w:sz="0" w:space="0" w:color="auto"/>
        <w:left w:val="none" w:sz="0" w:space="0" w:color="auto"/>
        <w:bottom w:val="none" w:sz="0" w:space="0" w:color="auto"/>
        <w:right w:val="none" w:sz="0" w:space="0" w:color="auto"/>
      </w:divBdr>
    </w:div>
    <w:div w:id="773860433">
      <w:bodyDiv w:val="1"/>
      <w:marLeft w:val="0"/>
      <w:marRight w:val="0"/>
      <w:marTop w:val="0"/>
      <w:marBottom w:val="0"/>
      <w:divBdr>
        <w:top w:val="none" w:sz="0" w:space="0" w:color="auto"/>
        <w:left w:val="none" w:sz="0" w:space="0" w:color="auto"/>
        <w:bottom w:val="none" w:sz="0" w:space="0" w:color="auto"/>
        <w:right w:val="none" w:sz="0" w:space="0" w:color="auto"/>
      </w:divBdr>
    </w:div>
    <w:div w:id="818694547">
      <w:bodyDiv w:val="1"/>
      <w:marLeft w:val="0"/>
      <w:marRight w:val="0"/>
      <w:marTop w:val="0"/>
      <w:marBottom w:val="0"/>
      <w:divBdr>
        <w:top w:val="none" w:sz="0" w:space="0" w:color="auto"/>
        <w:left w:val="none" w:sz="0" w:space="0" w:color="auto"/>
        <w:bottom w:val="none" w:sz="0" w:space="0" w:color="auto"/>
        <w:right w:val="none" w:sz="0" w:space="0" w:color="auto"/>
      </w:divBdr>
    </w:div>
    <w:div w:id="843056332">
      <w:bodyDiv w:val="1"/>
      <w:marLeft w:val="0"/>
      <w:marRight w:val="0"/>
      <w:marTop w:val="0"/>
      <w:marBottom w:val="0"/>
      <w:divBdr>
        <w:top w:val="none" w:sz="0" w:space="0" w:color="auto"/>
        <w:left w:val="none" w:sz="0" w:space="0" w:color="auto"/>
        <w:bottom w:val="none" w:sz="0" w:space="0" w:color="auto"/>
        <w:right w:val="none" w:sz="0" w:space="0" w:color="auto"/>
      </w:divBdr>
    </w:div>
    <w:div w:id="864446616">
      <w:bodyDiv w:val="1"/>
      <w:marLeft w:val="0"/>
      <w:marRight w:val="0"/>
      <w:marTop w:val="0"/>
      <w:marBottom w:val="0"/>
      <w:divBdr>
        <w:top w:val="none" w:sz="0" w:space="0" w:color="auto"/>
        <w:left w:val="none" w:sz="0" w:space="0" w:color="auto"/>
        <w:bottom w:val="none" w:sz="0" w:space="0" w:color="auto"/>
        <w:right w:val="none" w:sz="0" w:space="0" w:color="auto"/>
      </w:divBdr>
      <w:divsChild>
        <w:div w:id="1743329968">
          <w:marLeft w:val="720"/>
          <w:marRight w:val="0"/>
          <w:marTop w:val="0"/>
          <w:marBottom w:val="0"/>
          <w:divBdr>
            <w:top w:val="none" w:sz="0" w:space="0" w:color="auto"/>
            <w:left w:val="none" w:sz="0" w:space="0" w:color="auto"/>
            <w:bottom w:val="none" w:sz="0" w:space="0" w:color="auto"/>
            <w:right w:val="none" w:sz="0" w:space="0" w:color="auto"/>
          </w:divBdr>
        </w:div>
        <w:div w:id="2134592277">
          <w:marLeft w:val="1440"/>
          <w:marRight w:val="0"/>
          <w:marTop w:val="0"/>
          <w:marBottom w:val="0"/>
          <w:divBdr>
            <w:top w:val="none" w:sz="0" w:space="0" w:color="auto"/>
            <w:left w:val="none" w:sz="0" w:space="0" w:color="auto"/>
            <w:bottom w:val="none" w:sz="0" w:space="0" w:color="auto"/>
            <w:right w:val="none" w:sz="0" w:space="0" w:color="auto"/>
          </w:divBdr>
        </w:div>
        <w:div w:id="933708338">
          <w:marLeft w:val="1440"/>
          <w:marRight w:val="0"/>
          <w:marTop w:val="0"/>
          <w:marBottom w:val="0"/>
          <w:divBdr>
            <w:top w:val="none" w:sz="0" w:space="0" w:color="auto"/>
            <w:left w:val="none" w:sz="0" w:space="0" w:color="auto"/>
            <w:bottom w:val="none" w:sz="0" w:space="0" w:color="auto"/>
            <w:right w:val="none" w:sz="0" w:space="0" w:color="auto"/>
          </w:divBdr>
        </w:div>
        <w:div w:id="361444443">
          <w:marLeft w:val="720"/>
          <w:marRight w:val="0"/>
          <w:marTop w:val="0"/>
          <w:marBottom w:val="0"/>
          <w:divBdr>
            <w:top w:val="none" w:sz="0" w:space="0" w:color="auto"/>
            <w:left w:val="none" w:sz="0" w:space="0" w:color="auto"/>
            <w:bottom w:val="none" w:sz="0" w:space="0" w:color="auto"/>
            <w:right w:val="none" w:sz="0" w:space="0" w:color="auto"/>
          </w:divBdr>
        </w:div>
        <w:div w:id="829636861">
          <w:marLeft w:val="1440"/>
          <w:marRight w:val="0"/>
          <w:marTop w:val="0"/>
          <w:marBottom w:val="0"/>
          <w:divBdr>
            <w:top w:val="none" w:sz="0" w:space="0" w:color="auto"/>
            <w:left w:val="none" w:sz="0" w:space="0" w:color="auto"/>
            <w:bottom w:val="none" w:sz="0" w:space="0" w:color="auto"/>
            <w:right w:val="none" w:sz="0" w:space="0" w:color="auto"/>
          </w:divBdr>
        </w:div>
        <w:div w:id="1671368443">
          <w:marLeft w:val="1440"/>
          <w:marRight w:val="0"/>
          <w:marTop w:val="0"/>
          <w:marBottom w:val="0"/>
          <w:divBdr>
            <w:top w:val="none" w:sz="0" w:space="0" w:color="auto"/>
            <w:left w:val="none" w:sz="0" w:space="0" w:color="auto"/>
            <w:bottom w:val="none" w:sz="0" w:space="0" w:color="auto"/>
            <w:right w:val="none" w:sz="0" w:space="0" w:color="auto"/>
          </w:divBdr>
        </w:div>
      </w:divsChild>
    </w:div>
    <w:div w:id="1146705025">
      <w:bodyDiv w:val="1"/>
      <w:marLeft w:val="0"/>
      <w:marRight w:val="0"/>
      <w:marTop w:val="0"/>
      <w:marBottom w:val="0"/>
      <w:divBdr>
        <w:top w:val="none" w:sz="0" w:space="0" w:color="auto"/>
        <w:left w:val="none" w:sz="0" w:space="0" w:color="auto"/>
        <w:bottom w:val="none" w:sz="0" w:space="0" w:color="auto"/>
        <w:right w:val="none" w:sz="0" w:space="0" w:color="auto"/>
      </w:divBdr>
    </w:div>
    <w:div w:id="1288199356">
      <w:bodyDiv w:val="1"/>
      <w:marLeft w:val="0"/>
      <w:marRight w:val="0"/>
      <w:marTop w:val="0"/>
      <w:marBottom w:val="0"/>
      <w:divBdr>
        <w:top w:val="none" w:sz="0" w:space="0" w:color="auto"/>
        <w:left w:val="none" w:sz="0" w:space="0" w:color="auto"/>
        <w:bottom w:val="none" w:sz="0" w:space="0" w:color="auto"/>
        <w:right w:val="none" w:sz="0" w:space="0" w:color="auto"/>
      </w:divBdr>
      <w:divsChild>
        <w:div w:id="1581518581">
          <w:marLeft w:val="0"/>
          <w:marRight w:val="0"/>
          <w:marTop w:val="225"/>
          <w:marBottom w:val="225"/>
          <w:divBdr>
            <w:top w:val="none" w:sz="0" w:space="0" w:color="auto"/>
            <w:left w:val="none" w:sz="0" w:space="0" w:color="auto"/>
            <w:bottom w:val="none" w:sz="0" w:space="0" w:color="auto"/>
            <w:right w:val="none" w:sz="0" w:space="0" w:color="auto"/>
          </w:divBdr>
          <w:divsChild>
            <w:div w:id="1639601447">
              <w:marLeft w:val="0"/>
              <w:marRight w:val="0"/>
              <w:marTop w:val="0"/>
              <w:marBottom w:val="0"/>
              <w:divBdr>
                <w:top w:val="none" w:sz="0" w:space="0" w:color="auto"/>
                <w:left w:val="none" w:sz="0" w:space="0" w:color="auto"/>
                <w:bottom w:val="none" w:sz="0" w:space="0" w:color="auto"/>
                <w:right w:val="none" w:sz="0" w:space="0" w:color="auto"/>
              </w:divBdr>
              <w:divsChild>
                <w:div w:id="513030307">
                  <w:marLeft w:val="0"/>
                  <w:marRight w:val="0"/>
                  <w:marTop w:val="0"/>
                  <w:marBottom w:val="0"/>
                  <w:divBdr>
                    <w:top w:val="none" w:sz="0" w:space="0" w:color="auto"/>
                    <w:left w:val="none" w:sz="0" w:space="0" w:color="auto"/>
                    <w:bottom w:val="none" w:sz="0" w:space="0" w:color="auto"/>
                    <w:right w:val="none" w:sz="0" w:space="0" w:color="auto"/>
                  </w:divBdr>
                  <w:divsChild>
                    <w:div w:id="1294673460">
                      <w:marLeft w:val="0"/>
                      <w:marRight w:val="0"/>
                      <w:marTop w:val="0"/>
                      <w:marBottom w:val="0"/>
                      <w:divBdr>
                        <w:top w:val="none" w:sz="0" w:space="0" w:color="auto"/>
                        <w:left w:val="none" w:sz="0" w:space="0" w:color="auto"/>
                        <w:bottom w:val="none" w:sz="0" w:space="0" w:color="auto"/>
                        <w:right w:val="none" w:sz="0" w:space="0" w:color="auto"/>
                      </w:divBdr>
                    </w:div>
                    <w:div w:id="608044851">
                      <w:marLeft w:val="0"/>
                      <w:marRight w:val="0"/>
                      <w:marTop w:val="0"/>
                      <w:marBottom w:val="0"/>
                      <w:divBdr>
                        <w:top w:val="none" w:sz="0" w:space="0" w:color="auto"/>
                        <w:left w:val="none" w:sz="0" w:space="0" w:color="auto"/>
                        <w:bottom w:val="none" w:sz="0" w:space="0" w:color="auto"/>
                        <w:right w:val="none" w:sz="0" w:space="0" w:color="auto"/>
                      </w:divBdr>
                    </w:div>
                    <w:div w:id="12672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3182">
      <w:bodyDiv w:val="1"/>
      <w:marLeft w:val="0"/>
      <w:marRight w:val="0"/>
      <w:marTop w:val="0"/>
      <w:marBottom w:val="0"/>
      <w:divBdr>
        <w:top w:val="none" w:sz="0" w:space="0" w:color="auto"/>
        <w:left w:val="none" w:sz="0" w:space="0" w:color="auto"/>
        <w:bottom w:val="none" w:sz="0" w:space="0" w:color="auto"/>
        <w:right w:val="none" w:sz="0" w:space="0" w:color="auto"/>
      </w:divBdr>
      <w:divsChild>
        <w:div w:id="1347712917">
          <w:marLeft w:val="0"/>
          <w:marRight w:val="0"/>
          <w:marTop w:val="120"/>
          <w:marBottom w:val="0"/>
          <w:divBdr>
            <w:top w:val="none" w:sz="0" w:space="0" w:color="auto"/>
            <w:left w:val="none" w:sz="0" w:space="0" w:color="auto"/>
            <w:bottom w:val="none" w:sz="0" w:space="0" w:color="auto"/>
            <w:right w:val="none" w:sz="0" w:space="0" w:color="auto"/>
          </w:divBdr>
        </w:div>
        <w:div w:id="1224675277">
          <w:marLeft w:val="0"/>
          <w:marRight w:val="0"/>
          <w:marTop w:val="168"/>
          <w:marBottom w:val="0"/>
          <w:divBdr>
            <w:top w:val="none" w:sz="0" w:space="0" w:color="auto"/>
            <w:left w:val="none" w:sz="0" w:space="0" w:color="auto"/>
            <w:bottom w:val="none" w:sz="0" w:space="0" w:color="auto"/>
            <w:right w:val="none" w:sz="0" w:space="0" w:color="auto"/>
          </w:divBdr>
        </w:div>
        <w:div w:id="1495218029">
          <w:marLeft w:val="0"/>
          <w:marRight w:val="0"/>
          <w:marTop w:val="16"/>
          <w:marBottom w:val="0"/>
          <w:divBdr>
            <w:top w:val="none" w:sz="0" w:space="0" w:color="auto"/>
            <w:left w:val="none" w:sz="0" w:space="0" w:color="auto"/>
            <w:bottom w:val="none" w:sz="0" w:space="0" w:color="auto"/>
            <w:right w:val="none" w:sz="0" w:space="0" w:color="auto"/>
          </w:divBdr>
        </w:div>
        <w:div w:id="625739645">
          <w:marLeft w:val="0"/>
          <w:marRight w:val="0"/>
          <w:marTop w:val="16"/>
          <w:marBottom w:val="0"/>
          <w:divBdr>
            <w:top w:val="none" w:sz="0" w:space="0" w:color="auto"/>
            <w:left w:val="none" w:sz="0" w:space="0" w:color="auto"/>
            <w:bottom w:val="none" w:sz="0" w:space="0" w:color="auto"/>
            <w:right w:val="none" w:sz="0" w:space="0" w:color="auto"/>
          </w:divBdr>
        </w:div>
        <w:div w:id="1850172512">
          <w:marLeft w:val="0"/>
          <w:marRight w:val="0"/>
          <w:marTop w:val="16"/>
          <w:marBottom w:val="0"/>
          <w:divBdr>
            <w:top w:val="none" w:sz="0" w:space="0" w:color="auto"/>
            <w:left w:val="none" w:sz="0" w:space="0" w:color="auto"/>
            <w:bottom w:val="none" w:sz="0" w:space="0" w:color="auto"/>
            <w:right w:val="none" w:sz="0" w:space="0" w:color="auto"/>
          </w:divBdr>
        </w:div>
      </w:divsChild>
    </w:div>
    <w:div w:id="1503665642">
      <w:bodyDiv w:val="1"/>
      <w:marLeft w:val="0"/>
      <w:marRight w:val="0"/>
      <w:marTop w:val="0"/>
      <w:marBottom w:val="0"/>
      <w:divBdr>
        <w:top w:val="none" w:sz="0" w:space="0" w:color="auto"/>
        <w:left w:val="none" w:sz="0" w:space="0" w:color="auto"/>
        <w:bottom w:val="none" w:sz="0" w:space="0" w:color="auto"/>
        <w:right w:val="none" w:sz="0" w:space="0" w:color="auto"/>
      </w:divBdr>
      <w:divsChild>
        <w:div w:id="392003011">
          <w:marLeft w:val="0"/>
          <w:marRight w:val="0"/>
          <w:marTop w:val="0"/>
          <w:marBottom w:val="0"/>
          <w:divBdr>
            <w:top w:val="none" w:sz="0" w:space="0" w:color="auto"/>
            <w:left w:val="none" w:sz="0" w:space="0" w:color="auto"/>
            <w:bottom w:val="none" w:sz="0" w:space="0" w:color="auto"/>
            <w:right w:val="none" w:sz="0" w:space="0" w:color="auto"/>
          </w:divBdr>
        </w:div>
      </w:divsChild>
    </w:div>
    <w:div w:id="1517697085">
      <w:bodyDiv w:val="1"/>
      <w:marLeft w:val="0"/>
      <w:marRight w:val="0"/>
      <w:marTop w:val="0"/>
      <w:marBottom w:val="0"/>
      <w:divBdr>
        <w:top w:val="none" w:sz="0" w:space="0" w:color="auto"/>
        <w:left w:val="none" w:sz="0" w:space="0" w:color="auto"/>
        <w:bottom w:val="none" w:sz="0" w:space="0" w:color="auto"/>
        <w:right w:val="none" w:sz="0" w:space="0" w:color="auto"/>
      </w:divBdr>
      <w:divsChild>
        <w:div w:id="415395645">
          <w:marLeft w:val="0"/>
          <w:marRight w:val="0"/>
          <w:marTop w:val="0"/>
          <w:marBottom w:val="135"/>
          <w:divBdr>
            <w:top w:val="none" w:sz="0" w:space="0" w:color="auto"/>
            <w:left w:val="none" w:sz="0" w:space="0" w:color="auto"/>
            <w:bottom w:val="single" w:sz="12" w:space="9" w:color="EBEBEB"/>
            <w:right w:val="none" w:sz="0" w:space="0" w:color="auto"/>
          </w:divBdr>
          <w:divsChild>
            <w:div w:id="342561277">
              <w:marLeft w:val="0"/>
              <w:marRight w:val="0"/>
              <w:marTop w:val="0"/>
              <w:marBottom w:val="0"/>
              <w:divBdr>
                <w:top w:val="none" w:sz="0" w:space="0" w:color="auto"/>
                <w:left w:val="none" w:sz="0" w:space="0" w:color="auto"/>
                <w:bottom w:val="none" w:sz="0" w:space="0" w:color="auto"/>
                <w:right w:val="none" w:sz="0" w:space="0" w:color="auto"/>
              </w:divBdr>
            </w:div>
          </w:divsChild>
        </w:div>
        <w:div w:id="1840266093">
          <w:marLeft w:val="0"/>
          <w:marRight w:val="0"/>
          <w:marTop w:val="0"/>
          <w:marBottom w:val="120"/>
          <w:divBdr>
            <w:top w:val="none" w:sz="0" w:space="0" w:color="auto"/>
            <w:left w:val="none" w:sz="0" w:space="0" w:color="auto"/>
            <w:bottom w:val="none" w:sz="0" w:space="0" w:color="auto"/>
            <w:right w:val="none" w:sz="0" w:space="0" w:color="auto"/>
          </w:divBdr>
          <w:divsChild>
            <w:div w:id="901063725">
              <w:marLeft w:val="0"/>
              <w:marRight w:val="0"/>
              <w:marTop w:val="0"/>
              <w:marBottom w:val="0"/>
              <w:divBdr>
                <w:top w:val="none" w:sz="0" w:space="0" w:color="auto"/>
                <w:left w:val="none" w:sz="0" w:space="0" w:color="auto"/>
                <w:bottom w:val="none" w:sz="0" w:space="0" w:color="auto"/>
                <w:right w:val="none" w:sz="0" w:space="0" w:color="auto"/>
              </w:divBdr>
              <w:divsChild>
                <w:div w:id="360710966">
                  <w:marLeft w:val="0"/>
                  <w:marRight w:val="0"/>
                  <w:marTop w:val="0"/>
                  <w:marBottom w:val="0"/>
                  <w:divBdr>
                    <w:top w:val="none" w:sz="0" w:space="0" w:color="auto"/>
                    <w:left w:val="none" w:sz="0" w:space="0" w:color="auto"/>
                    <w:bottom w:val="none" w:sz="0" w:space="0" w:color="auto"/>
                    <w:right w:val="none" w:sz="0" w:space="0" w:color="auto"/>
                  </w:divBdr>
                  <w:divsChild>
                    <w:div w:id="73840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2534">
      <w:bodyDiv w:val="1"/>
      <w:marLeft w:val="0"/>
      <w:marRight w:val="0"/>
      <w:marTop w:val="0"/>
      <w:marBottom w:val="0"/>
      <w:divBdr>
        <w:top w:val="none" w:sz="0" w:space="0" w:color="auto"/>
        <w:left w:val="none" w:sz="0" w:space="0" w:color="auto"/>
        <w:bottom w:val="none" w:sz="0" w:space="0" w:color="auto"/>
        <w:right w:val="none" w:sz="0" w:space="0" w:color="auto"/>
      </w:divBdr>
      <w:divsChild>
        <w:div w:id="1683318427">
          <w:marLeft w:val="0"/>
          <w:marRight w:val="0"/>
          <w:marTop w:val="0"/>
          <w:marBottom w:val="0"/>
          <w:divBdr>
            <w:top w:val="none" w:sz="0" w:space="0" w:color="auto"/>
            <w:left w:val="none" w:sz="0" w:space="0" w:color="auto"/>
            <w:bottom w:val="none" w:sz="0" w:space="0" w:color="auto"/>
            <w:right w:val="none" w:sz="0" w:space="0" w:color="auto"/>
          </w:divBdr>
          <w:divsChild>
            <w:div w:id="1669941436">
              <w:marLeft w:val="0"/>
              <w:marRight w:val="0"/>
              <w:marTop w:val="0"/>
              <w:marBottom w:val="165"/>
              <w:divBdr>
                <w:top w:val="none" w:sz="0" w:space="0" w:color="auto"/>
                <w:left w:val="none" w:sz="0" w:space="0" w:color="auto"/>
                <w:bottom w:val="none" w:sz="0" w:space="0" w:color="auto"/>
                <w:right w:val="none" w:sz="0" w:space="0" w:color="auto"/>
              </w:divBdr>
            </w:div>
          </w:divsChild>
        </w:div>
        <w:div w:id="1385637096">
          <w:marLeft w:val="0"/>
          <w:marRight w:val="0"/>
          <w:marTop w:val="165"/>
          <w:marBottom w:val="165"/>
          <w:divBdr>
            <w:top w:val="none" w:sz="0" w:space="0" w:color="auto"/>
            <w:left w:val="none" w:sz="0" w:space="0" w:color="auto"/>
            <w:bottom w:val="none" w:sz="0" w:space="0" w:color="auto"/>
            <w:right w:val="none" w:sz="0" w:space="0" w:color="auto"/>
          </w:divBdr>
          <w:divsChild>
            <w:div w:id="2019694983">
              <w:marLeft w:val="0"/>
              <w:marRight w:val="0"/>
              <w:marTop w:val="0"/>
              <w:marBottom w:val="0"/>
              <w:divBdr>
                <w:top w:val="none" w:sz="0" w:space="0" w:color="auto"/>
                <w:left w:val="none" w:sz="0" w:space="0" w:color="auto"/>
                <w:bottom w:val="none" w:sz="0" w:space="0" w:color="auto"/>
                <w:right w:val="none" w:sz="0" w:space="0" w:color="auto"/>
              </w:divBdr>
              <w:divsChild>
                <w:div w:id="168605970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57804144">
      <w:bodyDiv w:val="1"/>
      <w:marLeft w:val="0"/>
      <w:marRight w:val="0"/>
      <w:marTop w:val="0"/>
      <w:marBottom w:val="0"/>
      <w:divBdr>
        <w:top w:val="none" w:sz="0" w:space="0" w:color="auto"/>
        <w:left w:val="none" w:sz="0" w:space="0" w:color="auto"/>
        <w:bottom w:val="none" w:sz="0" w:space="0" w:color="auto"/>
        <w:right w:val="none" w:sz="0" w:space="0" w:color="auto"/>
      </w:divBdr>
      <w:divsChild>
        <w:div w:id="1334190208">
          <w:marLeft w:val="0"/>
          <w:marRight w:val="0"/>
          <w:marTop w:val="375"/>
          <w:marBottom w:val="0"/>
          <w:divBdr>
            <w:top w:val="none" w:sz="0" w:space="0" w:color="auto"/>
            <w:left w:val="none" w:sz="0" w:space="0" w:color="auto"/>
            <w:bottom w:val="none" w:sz="0" w:space="0" w:color="auto"/>
            <w:right w:val="none" w:sz="0" w:space="0" w:color="auto"/>
          </w:divBdr>
        </w:div>
      </w:divsChild>
    </w:div>
    <w:div w:id="1824270346">
      <w:bodyDiv w:val="1"/>
      <w:marLeft w:val="0"/>
      <w:marRight w:val="0"/>
      <w:marTop w:val="0"/>
      <w:marBottom w:val="0"/>
      <w:divBdr>
        <w:top w:val="none" w:sz="0" w:space="0" w:color="auto"/>
        <w:left w:val="none" w:sz="0" w:space="0" w:color="auto"/>
        <w:bottom w:val="none" w:sz="0" w:space="0" w:color="auto"/>
        <w:right w:val="none" w:sz="0" w:space="0" w:color="auto"/>
      </w:divBdr>
      <w:divsChild>
        <w:div w:id="1064139254">
          <w:marLeft w:val="0"/>
          <w:marRight w:val="0"/>
          <w:marTop w:val="225"/>
          <w:marBottom w:val="225"/>
          <w:divBdr>
            <w:top w:val="none" w:sz="0" w:space="0" w:color="auto"/>
            <w:left w:val="none" w:sz="0" w:space="0" w:color="auto"/>
            <w:bottom w:val="none" w:sz="0" w:space="0" w:color="auto"/>
            <w:right w:val="none" w:sz="0" w:space="0" w:color="auto"/>
          </w:divBdr>
          <w:divsChild>
            <w:div w:id="57359509">
              <w:marLeft w:val="0"/>
              <w:marRight w:val="0"/>
              <w:marTop w:val="0"/>
              <w:marBottom w:val="0"/>
              <w:divBdr>
                <w:top w:val="none" w:sz="0" w:space="0" w:color="auto"/>
                <w:left w:val="none" w:sz="0" w:space="0" w:color="auto"/>
                <w:bottom w:val="none" w:sz="0" w:space="0" w:color="auto"/>
                <w:right w:val="none" w:sz="0" w:space="0" w:color="auto"/>
              </w:divBdr>
              <w:divsChild>
                <w:div w:id="340548448">
                  <w:marLeft w:val="0"/>
                  <w:marRight w:val="0"/>
                  <w:marTop w:val="0"/>
                  <w:marBottom w:val="0"/>
                  <w:divBdr>
                    <w:top w:val="none" w:sz="0" w:space="0" w:color="auto"/>
                    <w:left w:val="none" w:sz="0" w:space="0" w:color="auto"/>
                    <w:bottom w:val="none" w:sz="0" w:space="0" w:color="auto"/>
                    <w:right w:val="none" w:sz="0" w:space="0" w:color="auto"/>
                  </w:divBdr>
                  <w:divsChild>
                    <w:div w:id="11619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deas.repec.org/a/ucp/jpolec/v91y1983i4p589-610.html" TargetMode="External"/><Relationship Id="rId18" Type="http://schemas.openxmlformats.org/officeDocument/2006/relationships/hyperlink" Target="https://ideas.repec.org/s/imf/imfocp.html" TargetMode="External"/><Relationship Id="rId26" Type="http://schemas.openxmlformats.org/officeDocument/2006/relationships/hyperlink" Target="http://ideas.repec.org/s/eee/eecrev.html" TargetMode="External"/><Relationship Id="rId3" Type="http://schemas.openxmlformats.org/officeDocument/2006/relationships/styles" Target="styles.xml"/><Relationship Id="rId21" Type="http://schemas.openxmlformats.org/officeDocument/2006/relationships/hyperlink" Target="https://www.aeaweb.org/issues/386" TargetMode="External"/><Relationship Id="rId7" Type="http://schemas.openxmlformats.org/officeDocument/2006/relationships/footnotes" Target="footnotes.xml"/><Relationship Id="rId12" Type="http://schemas.openxmlformats.org/officeDocument/2006/relationships/hyperlink" Target="https://www-sciencedirect-com.ezp-prod1.hul.harvard.edu/science/article/pii/S030439320900035X" TargetMode="External"/><Relationship Id="rId17" Type="http://schemas.openxmlformats.org/officeDocument/2006/relationships/hyperlink" Target="https://www.sciencedirect.com/science/journal/00221996/71/1" TargetMode="External"/><Relationship Id="rId25" Type="http://schemas.openxmlformats.org/officeDocument/2006/relationships/hyperlink" Target="http://ideas.repec.org/a/eee/eecrev/v52y2008i6p941-963.html" TargetMode="External"/><Relationship Id="rId2" Type="http://schemas.openxmlformats.org/officeDocument/2006/relationships/numbering" Target="numbering.xml"/><Relationship Id="rId16" Type="http://schemas.openxmlformats.org/officeDocument/2006/relationships/hyperlink" Target="https://www.sciencedirect.com/science/article/pii/S0022199606000833" TargetMode="External"/><Relationship Id="rId20" Type="http://schemas.openxmlformats.org/officeDocument/2006/relationships/hyperlink" Target="http://users.erols.com/kurrency/icegrev.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ezp-prod1.hul.harvard.edu/science/article/pii/S030439320900035X" TargetMode="External"/><Relationship Id="rId24" Type="http://schemas.openxmlformats.org/officeDocument/2006/relationships/hyperlink" Target="https://www.aeaweb.org/articles?id=10.1257/jel.49.3.652" TargetMode="External"/><Relationship Id="rId5" Type="http://schemas.openxmlformats.org/officeDocument/2006/relationships/settings" Target="settings.xml"/><Relationship Id="rId15" Type="http://schemas.openxmlformats.org/officeDocument/2006/relationships/hyperlink" Target="https://www.sciencedirect.com/science/article/pii/S0022199606000833" TargetMode="External"/><Relationship Id="rId23" Type="http://schemas.openxmlformats.org/officeDocument/2006/relationships/hyperlink" Target="http://www.sciencedirect.com/science?_ob=PublicationURL&amp;_tockey=%23TOC%235812%232007%23999269998%23663353%23FLA%23&amp;_cdi=5812&amp;_pubType=J&amp;view=c&amp;_auth=y&amp;_acct=C000050221&amp;_version=1&amp;_urlVersion=0&amp;_userid=10&amp;md5=0b8fb8f7f3ea7dd3caf81313dc99eb36" TargetMode="External"/><Relationship Id="rId28" Type="http://schemas.openxmlformats.org/officeDocument/2006/relationships/fontTable" Target="fontTable.xml"/><Relationship Id="rId10" Type="http://schemas.openxmlformats.org/officeDocument/2006/relationships/hyperlink" Target="https://www.sciencedirect.com/science/article/pii/S0022199606000833" TargetMode="External"/><Relationship Id="rId19" Type="http://schemas.openxmlformats.org/officeDocument/2006/relationships/hyperlink" Target="https://onlinelibrary-wiley-com.ezp-prod1.hul.harvard.edu/toc/14680297/1998/108/449" TargetMode="External"/><Relationship Id="rId4" Type="http://schemas.microsoft.com/office/2007/relationships/stylesWithEffects" Target="stylesWithEffects.xml"/><Relationship Id="rId9" Type="http://schemas.openxmlformats.org/officeDocument/2006/relationships/hyperlink" Target="https://www.sciencedirect.com/science/article/pii/S0022199606000833" TargetMode="External"/><Relationship Id="rId14" Type="http://schemas.openxmlformats.org/officeDocument/2006/relationships/hyperlink" Target="http://ideas.repec.org/s/ucp/jpolec.html" TargetMode="External"/><Relationship Id="rId22" Type="http://schemas.openxmlformats.org/officeDocument/2006/relationships/hyperlink" Target="http://www.sciencedirect.com/science/journal/0022199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69D15-0918-4708-ACEA-346C786E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9370</Words>
  <Characters>53413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itfsa</dc:creator>
  <cp:lastModifiedBy>itfsa</cp:lastModifiedBy>
  <cp:revision>4</cp:revision>
  <cp:lastPrinted>2018-04-26T22:31:00Z</cp:lastPrinted>
  <dcterms:created xsi:type="dcterms:W3CDTF">2018-06-21T15:46:00Z</dcterms:created>
  <dcterms:modified xsi:type="dcterms:W3CDTF">2018-06-21T18:11:00Z</dcterms:modified>
</cp:coreProperties>
</file>