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48" w:rsidRDefault="00C85C48" w:rsidP="00C85C48">
      <w:pPr>
        <w:spacing w:after="0" w:line="240" w:lineRule="auto"/>
        <w:jc w:val="right"/>
        <w:rPr>
          <w:sz w:val="18"/>
          <w:szCs w:val="18"/>
        </w:rPr>
      </w:pPr>
      <w:r w:rsidRPr="00534F1C">
        <w:rPr>
          <w:sz w:val="18"/>
          <w:szCs w:val="18"/>
        </w:rPr>
        <w:t xml:space="preserve">                </w:t>
      </w:r>
      <w:r w:rsidR="00B81221">
        <w:rPr>
          <w:sz w:val="18"/>
          <w:szCs w:val="18"/>
        </w:rPr>
        <w:t xml:space="preserve">                              </w:t>
      </w:r>
      <w:r w:rsidRPr="00534F1C">
        <w:rPr>
          <w:sz w:val="18"/>
          <w:szCs w:val="18"/>
        </w:rPr>
        <w:t xml:space="preserve"> </w:t>
      </w:r>
      <w:r>
        <w:rPr>
          <w:sz w:val="18"/>
          <w:szCs w:val="18"/>
        </w:rPr>
        <w:t>Memo 2</w:t>
      </w:r>
      <w:r w:rsidR="00D44328">
        <w:rPr>
          <w:sz w:val="18"/>
          <w:szCs w:val="18"/>
        </w:rPr>
        <w:t>:</w:t>
      </w:r>
      <w:r>
        <w:rPr>
          <w:sz w:val="18"/>
          <w:szCs w:val="18"/>
        </w:rPr>
        <w:t xml:space="preserve"> 2018</w:t>
      </w:r>
      <w:r w:rsidR="00D44328">
        <w:rPr>
          <w:sz w:val="18"/>
          <w:szCs w:val="18"/>
        </w:rPr>
        <w:t>,</w:t>
      </w:r>
      <w:r w:rsidRPr="00534F1C">
        <w:rPr>
          <w:sz w:val="18"/>
          <w:szCs w:val="18"/>
        </w:rPr>
        <w:t xml:space="preserve"> June </w:t>
      </w:r>
      <w:r w:rsidR="00B7081D">
        <w:rPr>
          <w:sz w:val="18"/>
          <w:szCs w:val="18"/>
        </w:rPr>
        <w:t>2</w:t>
      </w:r>
      <w:r w:rsidR="006C4CB1">
        <w:rPr>
          <w:sz w:val="18"/>
          <w:szCs w:val="18"/>
        </w:rPr>
        <w:t>4</w:t>
      </w:r>
    </w:p>
    <w:p w:rsidR="00396BD8" w:rsidRPr="00534F1C" w:rsidRDefault="004C00A1" w:rsidP="00C85C48">
      <w:pPr>
        <w:spacing w:after="0" w:line="240" w:lineRule="auto"/>
        <w:jc w:val="right"/>
        <w:rPr>
          <w:sz w:val="18"/>
          <w:szCs w:val="18"/>
        </w:rPr>
      </w:pPr>
      <w:r>
        <w:rPr>
          <w:sz w:val="18"/>
          <w:szCs w:val="18"/>
        </w:rPr>
        <w:t>First</w:t>
      </w:r>
      <w:r w:rsidR="00396BD8">
        <w:rPr>
          <w:sz w:val="18"/>
          <w:szCs w:val="18"/>
        </w:rPr>
        <w:t xml:space="preserve"> draft</w:t>
      </w:r>
    </w:p>
    <w:p w:rsidR="0037273F" w:rsidRDefault="0037273F" w:rsidP="00C85C48">
      <w:pPr>
        <w:spacing w:after="0" w:line="240" w:lineRule="auto"/>
        <w:jc w:val="center"/>
        <w:rPr>
          <w:sz w:val="24"/>
          <w:szCs w:val="24"/>
        </w:rPr>
      </w:pPr>
    </w:p>
    <w:p w:rsidR="0037273F" w:rsidRDefault="0037273F" w:rsidP="00C85C48">
      <w:pPr>
        <w:spacing w:after="0" w:line="240" w:lineRule="auto"/>
        <w:jc w:val="center"/>
        <w:rPr>
          <w:sz w:val="24"/>
          <w:szCs w:val="24"/>
        </w:rPr>
      </w:pPr>
    </w:p>
    <w:p w:rsidR="00C85C48" w:rsidRDefault="007E4B47" w:rsidP="00C85C48">
      <w:pPr>
        <w:spacing w:after="0" w:line="240" w:lineRule="auto"/>
        <w:jc w:val="center"/>
        <w:rPr>
          <w:b/>
          <w:sz w:val="24"/>
          <w:szCs w:val="24"/>
        </w:rPr>
      </w:pPr>
      <w:r w:rsidRPr="007E4B47">
        <w:rPr>
          <w:b/>
          <w:sz w:val="24"/>
          <w:szCs w:val="24"/>
        </w:rPr>
        <w:t>Costs and Benefits of Currency Unions in Africa: The Case of the CFA Franc Zone</w:t>
      </w:r>
      <w:r w:rsidR="00C85C48">
        <w:rPr>
          <w:sz w:val="24"/>
          <w:szCs w:val="24"/>
        </w:rPr>
        <w:br/>
      </w:r>
      <w:r w:rsidR="00C85C48">
        <w:rPr>
          <w:b/>
          <w:sz w:val="24"/>
          <w:szCs w:val="24"/>
        </w:rPr>
        <w:br/>
        <w:t>Jeffrey Frankel, Harpel Professor of Capital Formation and Growth, Harvard Kennedy School</w:t>
      </w:r>
      <w:r w:rsidR="00C85C48">
        <w:rPr>
          <w:b/>
          <w:sz w:val="24"/>
          <w:szCs w:val="24"/>
        </w:rPr>
        <w:br/>
        <w:t>Senior Consultant, UN Economic Commission for Africa</w:t>
      </w:r>
      <w:r w:rsidR="00C85C48">
        <w:rPr>
          <w:b/>
          <w:sz w:val="24"/>
          <w:szCs w:val="24"/>
        </w:rPr>
        <w:br/>
      </w:r>
    </w:p>
    <w:p w:rsidR="00A91C42" w:rsidRDefault="00A91C42" w:rsidP="008E16E6">
      <w:pPr>
        <w:spacing w:after="0" w:line="240" w:lineRule="auto"/>
        <w:rPr>
          <w:b/>
          <w:sz w:val="24"/>
          <w:szCs w:val="24"/>
        </w:rPr>
      </w:pPr>
    </w:p>
    <w:p w:rsidR="00016067" w:rsidRDefault="00016067" w:rsidP="00016067">
      <w:pPr>
        <w:jc w:val="center"/>
      </w:pPr>
      <w:r>
        <w:t xml:space="preserve">The author would like to </w:t>
      </w:r>
      <w:r w:rsidR="00B652A5">
        <w:t xml:space="preserve">thank for guidance Vera </w:t>
      </w:r>
      <w:proofErr w:type="spellStart"/>
      <w:r w:rsidR="00B652A5">
        <w:t>Songwe</w:t>
      </w:r>
      <w:proofErr w:type="spellEnd"/>
      <w:r w:rsidR="00B652A5">
        <w:t xml:space="preserve">, </w:t>
      </w:r>
      <w:r w:rsidR="008A3B58">
        <w:t xml:space="preserve">Executive Secretary of the </w:t>
      </w:r>
      <w:r w:rsidR="00B652A5">
        <w:t>Economic Commission for Africa</w:t>
      </w:r>
      <w:r w:rsidR="00B7081D">
        <w:t>,</w:t>
      </w:r>
      <w:r w:rsidR="00B652A5">
        <w:t xml:space="preserve"> </w:t>
      </w:r>
      <w:r w:rsidR="00850A5E">
        <w:t xml:space="preserve">and to </w:t>
      </w:r>
      <w:r>
        <w:t>thank</w:t>
      </w:r>
      <w:r w:rsidR="00B652A5" w:rsidRPr="00B652A5">
        <w:t xml:space="preserve"> </w:t>
      </w:r>
      <w:r w:rsidR="00B7081D">
        <w:t xml:space="preserve">for assiduous </w:t>
      </w:r>
      <w:r w:rsidR="00B652A5">
        <w:t>research assistance</w:t>
      </w:r>
      <w:r>
        <w:t xml:space="preserve"> </w:t>
      </w:r>
      <w:proofErr w:type="spellStart"/>
      <w:r>
        <w:t>Youssouf</w:t>
      </w:r>
      <w:proofErr w:type="spellEnd"/>
      <w:r>
        <w:t xml:space="preserve"> </w:t>
      </w:r>
      <w:proofErr w:type="spellStart"/>
      <w:r>
        <w:t>Camara</w:t>
      </w:r>
      <w:proofErr w:type="spellEnd"/>
      <w:r>
        <w:t>, Haiyang Zhang and Na Zhang.</w:t>
      </w:r>
    </w:p>
    <w:p w:rsidR="00016067" w:rsidRDefault="00016067" w:rsidP="00C85C48">
      <w:pPr>
        <w:spacing w:after="0" w:line="240" w:lineRule="auto"/>
        <w:jc w:val="center"/>
        <w:rPr>
          <w:b/>
          <w:sz w:val="24"/>
          <w:szCs w:val="24"/>
        </w:rPr>
      </w:pPr>
    </w:p>
    <w:p w:rsidR="00016067" w:rsidRDefault="00016067" w:rsidP="00C85C48">
      <w:pPr>
        <w:spacing w:after="0" w:line="240" w:lineRule="auto"/>
        <w:jc w:val="center"/>
        <w:rPr>
          <w:b/>
          <w:sz w:val="24"/>
          <w:szCs w:val="24"/>
        </w:rPr>
      </w:pPr>
    </w:p>
    <w:p w:rsidR="00841BBB" w:rsidRPr="00841BBB" w:rsidRDefault="00841BBB" w:rsidP="00C85C48">
      <w:pPr>
        <w:spacing w:after="0" w:line="240" w:lineRule="auto"/>
        <w:jc w:val="center"/>
        <w:rPr>
          <w:b/>
          <w:sz w:val="24"/>
          <w:szCs w:val="24"/>
          <w:u w:val="single"/>
        </w:rPr>
      </w:pPr>
      <w:r w:rsidRPr="00841BBB">
        <w:rPr>
          <w:b/>
          <w:sz w:val="24"/>
          <w:szCs w:val="24"/>
          <w:u w:val="single"/>
        </w:rPr>
        <w:t>Abstract</w:t>
      </w:r>
    </w:p>
    <w:p w:rsidR="00841BBB" w:rsidRDefault="00841BBB" w:rsidP="00C85C48">
      <w:pPr>
        <w:spacing w:after="0" w:line="240" w:lineRule="auto"/>
        <w:jc w:val="center"/>
        <w:rPr>
          <w:sz w:val="24"/>
          <w:szCs w:val="24"/>
        </w:rPr>
      </w:pPr>
    </w:p>
    <w:p w:rsidR="00841BBB" w:rsidRPr="00841BBB" w:rsidRDefault="00841BBB" w:rsidP="00841BBB">
      <w:pPr>
        <w:spacing w:after="0" w:line="240" w:lineRule="auto"/>
        <w:rPr>
          <w:sz w:val="24"/>
          <w:szCs w:val="24"/>
        </w:rPr>
      </w:pPr>
      <w:r>
        <w:rPr>
          <w:sz w:val="24"/>
          <w:szCs w:val="24"/>
        </w:rPr>
        <w:t xml:space="preserve">A currency union can be viewed as an institution that can give countries the two important benefits of promoting trade </w:t>
      </w:r>
      <w:r w:rsidR="00C800D2">
        <w:rPr>
          <w:sz w:val="24"/>
          <w:szCs w:val="24"/>
        </w:rPr>
        <w:t xml:space="preserve">to help economic growth </w:t>
      </w:r>
      <w:r>
        <w:rPr>
          <w:sz w:val="24"/>
          <w:szCs w:val="24"/>
        </w:rPr>
        <w:t xml:space="preserve">and anchoring monetary policy to achieve price stability, but </w:t>
      </w:r>
      <w:r w:rsidR="00C800D2">
        <w:rPr>
          <w:sz w:val="24"/>
          <w:szCs w:val="24"/>
        </w:rPr>
        <w:t>th</w:t>
      </w:r>
      <w:r>
        <w:rPr>
          <w:sz w:val="24"/>
          <w:szCs w:val="24"/>
        </w:rPr>
        <w:t xml:space="preserve">at </w:t>
      </w:r>
      <w:r w:rsidR="00C800D2">
        <w:rPr>
          <w:sz w:val="24"/>
          <w:szCs w:val="24"/>
        </w:rPr>
        <w:t xml:space="preserve">also carries </w:t>
      </w:r>
      <w:r>
        <w:rPr>
          <w:sz w:val="24"/>
          <w:szCs w:val="24"/>
        </w:rPr>
        <w:t>th</w:t>
      </w:r>
      <w:r w:rsidR="00F72A98">
        <w:rPr>
          <w:sz w:val="24"/>
          <w:szCs w:val="24"/>
        </w:rPr>
        <w:t xml:space="preserve">e cost of losing the ability </w:t>
      </w:r>
      <w:r>
        <w:rPr>
          <w:sz w:val="24"/>
          <w:szCs w:val="24"/>
        </w:rPr>
        <w:t>to respond</w:t>
      </w:r>
      <w:r w:rsidR="008E16E6">
        <w:rPr>
          <w:sz w:val="24"/>
          <w:szCs w:val="24"/>
        </w:rPr>
        <w:t xml:space="preserve"> to </w:t>
      </w:r>
      <w:r>
        <w:rPr>
          <w:sz w:val="24"/>
          <w:szCs w:val="24"/>
        </w:rPr>
        <w:t>shocks.  The record of the CFA zone covers more member countries and years than any other currency are</w:t>
      </w:r>
      <w:r w:rsidR="00220C41">
        <w:rPr>
          <w:sz w:val="24"/>
          <w:szCs w:val="24"/>
        </w:rPr>
        <w:t xml:space="preserve">a in Africa, indeed the world. Estimates of effects on bilateral trade in the gravity model updated through 2017 confirm that the CFA </w:t>
      </w:r>
      <w:r w:rsidR="002D45E3">
        <w:rPr>
          <w:sz w:val="24"/>
          <w:szCs w:val="24"/>
        </w:rPr>
        <w:t>boosts</w:t>
      </w:r>
      <w:r w:rsidR="00303412">
        <w:rPr>
          <w:sz w:val="24"/>
          <w:szCs w:val="24"/>
        </w:rPr>
        <w:t xml:space="preserve"> </w:t>
      </w:r>
      <w:r w:rsidR="00220C41">
        <w:rPr>
          <w:sz w:val="24"/>
          <w:szCs w:val="24"/>
        </w:rPr>
        <w:t>trade among its members</w:t>
      </w:r>
      <w:r w:rsidR="002D45E3">
        <w:rPr>
          <w:sz w:val="24"/>
          <w:szCs w:val="24"/>
        </w:rPr>
        <w:t xml:space="preserve"> by approximately 52 %</w:t>
      </w:r>
      <w:r w:rsidR="00C800D2">
        <w:rPr>
          <w:sz w:val="24"/>
          <w:szCs w:val="24"/>
        </w:rPr>
        <w:t>, controlling for other factors.  That is</w:t>
      </w:r>
      <w:r w:rsidR="00220C41">
        <w:rPr>
          <w:sz w:val="24"/>
          <w:szCs w:val="24"/>
        </w:rPr>
        <w:t xml:space="preserve"> even more than </w:t>
      </w:r>
      <w:r w:rsidR="00C800D2">
        <w:rPr>
          <w:sz w:val="24"/>
          <w:szCs w:val="24"/>
        </w:rPr>
        <w:t xml:space="preserve">the trade effect of </w:t>
      </w:r>
      <w:r w:rsidR="00220C41">
        <w:rPr>
          <w:sz w:val="24"/>
          <w:szCs w:val="24"/>
        </w:rPr>
        <w:t>typical currency unions</w:t>
      </w:r>
      <w:r w:rsidR="00303412">
        <w:rPr>
          <w:sz w:val="24"/>
          <w:szCs w:val="24"/>
        </w:rPr>
        <w:t xml:space="preserve"> and almost as much as </w:t>
      </w:r>
      <w:r w:rsidR="002D45E3">
        <w:rPr>
          <w:sz w:val="24"/>
          <w:szCs w:val="24"/>
        </w:rPr>
        <w:t xml:space="preserve">the effect of </w:t>
      </w:r>
      <w:r w:rsidR="00303412">
        <w:rPr>
          <w:sz w:val="24"/>
          <w:szCs w:val="24"/>
        </w:rPr>
        <w:t>a Regional Trading Arrangement</w:t>
      </w:r>
      <w:r w:rsidR="00220C41">
        <w:rPr>
          <w:sz w:val="24"/>
          <w:szCs w:val="24"/>
        </w:rPr>
        <w:t>.  Further, w</w:t>
      </w:r>
      <w:r>
        <w:rPr>
          <w:sz w:val="24"/>
          <w:szCs w:val="24"/>
        </w:rPr>
        <w:t xml:space="preserve">e can </w:t>
      </w:r>
      <w:r w:rsidR="00C800D2">
        <w:rPr>
          <w:sz w:val="24"/>
          <w:szCs w:val="24"/>
        </w:rPr>
        <w:t>also</w:t>
      </w:r>
      <w:r>
        <w:rPr>
          <w:sz w:val="24"/>
          <w:szCs w:val="24"/>
        </w:rPr>
        <w:t xml:space="preserve"> see that the CFA countries of West Africa have indeed achieved</w:t>
      </w:r>
      <w:r w:rsidR="008E16E6">
        <w:rPr>
          <w:sz w:val="24"/>
          <w:szCs w:val="24"/>
        </w:rPr>
        <w:t xml:space="preserve"> </w:t>
      </w:r>
      <w:r>
        <w:rPr>
          <w:sz w:val="24"/>
          <w:szCs w:val="24"/>
        </w:rPr>
        <w:t xml:space="preserve">price stability, </w:t>
      </w:r>
      <w:r w:rsidR="00C800D2">
        <w:rPr>
          <w:sz w:val="24"/>
          <w:szCs w:val="24"/>
        </w:rPr>
        <w:t>whereas m</w:t>
      </w:r>
      <w:r>
        <w:rPr>
          <w:sz w:val="24"/>
          <w:szCs w:val="24"/>
        </w:rPr>
        <w:t>any of their neighbors</w:t>
      </w:r>
      <w:r w:rsidR="00C800D2">
        <w:rPr>
          <w:sz w:val="24"/>
          <w:szCs w:val="24"/>
        </w:rPr>
        <w:t xml:space="preserve"> have not</w:t>
      </w:r>
      <w:r>
        <w:rPr>
          <w:sz w:val="24"/>
          <w:szCs w:val="24"/>
        </w:rPr>
        <w:t>.</w:t>
      </w:r>
      <w:r w:rsidR="008E16E6">
        <w:rPr>
          <w:sz w:val="24"/>
          <w:szCs w:val="24"/>
        </w:rPr>
        <w:t xml:space="preserve">  Whether these benefits are worth the cost depends in part on the extent to which members’ </w:t>
      </w:r>
      <w:r w:rsidR="00C800D2">
        <w:rPr>
          <w:sz w:val="24"/>
          <w:szCs w:val="24"/>
        </w:rPr>
        <w:t xml:space="preserve">economic </w:t>
      </w:r>
      <w:r w:rsidR="008E16E6">
        <w:rPr>
          <w:sz w:val="24"/>
          <w:szCs w:val="24"/>
        </w:rPr>
        <w:t>shocks have been correl</w:t>
      </w:r>
      <w:r w:rsidR="00303412">
        <w:rPr>
          <w:sz w:val="24"/>
          <w:szCs w:val="24"/>
        </w:rPr>
        <w:t xml:space="preserve">ated with those of the group.  </w:t>
      </w:r>
      <w:r w:rsidR="008E16E6">
        <w:rPr>
          <w:sz w:val="24"/>
          <w:szCs w:val="24"/>
        </w:rPr>
        <w:t xml:space="preserve">Judging by </w:t>
      </w:r>
      <w:r w:rsidR="00D964D2">
        <w:rPr>
          <w:sz w:val="24"/>
          <w:szCs w:val="24"/>
        </w:rPr>
        <w:t xml:space="preserve">the criteria of </w:t>
      </w:r>
      <w:r w:rsidR="008E16E6">
        <w:rPr>
          <w:sz w:val="24"/>
          <w:szCs w:val="24"/>
        </w:rPr>
        <w:t>correlation statistics</w:t>
      </w:r>
      <w:r w:rsidR="00D964D2">
        <w:rPr>
          <w:sz w:val="24"/>
          <w:szCs w:val="24"/>
        </w:rPr>
        <w:t xml:space="preserve"> and labor mobility</w:t>
      </w:r>
      <w:r w:rsidR="008E16E6">
        <w:rPr>
          <w:sz w:val="24"/>
          <w:szCs w:val="24"/>
        </w:rPr>
        <w:t xml:space="preserve">, CFA membership in West Africa </w:t>
      </w:r>
      <w:r w:rsidR="00303412">
        <w:rPr>
          <w:sz w:val="24"/>
          <w:szCs w:val="24"/>
        </w:rPr>
        <w:t>may be</w:t>
      </w:r>
      <w:r w:rsidR="001D64A6">
        <w:rPr>
          <w:sz w:val="24"/>
          <w:szCs w:val="24"/>
        </w:rPr>
        <w:t xml:space="preserve"> most natural for Cote</w:t>
      </w:r>
      <w:r w:rsidR="00556103">
        <w:rPr>
          <w:sz w:val="24"/>
          <w:szCs w:val="24"/>
        </w:rPr>
        <w:t xml:space="preserve"> d</w:t>
      </w:r>
      <w:r w:rsidR="001D64A6">
        <w:rPr>
          <w:sz w:val="24"/>
          <w:szCs w:val="24"/>
        </w:rPr>
        <w:t xml:space="preserve">’Ivoire </w:t>
      </w:r>
      <w:r w:rsidR="008E16E6">
        <w:rPr>
          <w:sz w:val="24"/>
          <w:szCs w:val="24"/>
        </w:rPr>
        <w:t>and l</w:t>
      </w:r>
      <w:r w:rsidR="00C87F09">
        <w:rPr>
          <w:sz w:val="24"/>
          <w:szCs w:val="24"/>
        </w:rPr>
        <w:t>east natural for Guinea-Bissau.</w:t>
      </w:r>
      <w:r w:rsidR="008E16E6">
        <w:rPr>
          <w:sz w:val="24"/>
          <w:szCs w:val="24"/>
        </w:rPr>
        <w:t xml:space="preserve"> </w:t>
      </w:r>
      <w:r w:rsidR="00C800D2">
        <w:rPr>
          <w:sz w:val="24"/>
          <w:szCs w:val="24"/>
        </w:rPr>
        <w:t xml:space="preserve"> CFA membership</w:t>
      </w:r>
      <w:r w:rsidR="008E16E6">
        <w:rPr>
          <w:sz w:val="24"/>
          <w:szCs w:val="24"/>
        </w:rPr>
        <w:t xml:space="preserve"> seems les</w:t>
      </w:r>
      <w:r w:rsidR="00303412">
        <w:rPr>
          <w:sz w:val="24"/>
          <w:szCs w:val="24"/>
        </w:rPr>
        <w:t>s successful in Central Africa.</w:t>
      </w:r>
    </w:p>
    <w:p w:rsidR="00841BBB" w:rsidRDefault="00841BBB" w:rsidP="008E16E6">
      <w:pPr>
        <w:spacing w:after="0" w:line="240" w:lineRule="auto"/>
        <w:rPr>
          <w:b/>
          <w:sz w:val="24"/>
          <w:szCs w:val="24"/>
        </w:rPr>
      </w:pPr>
    </w:p>
    <w:p w:rsidR="00841BBB" w:rsidRDefault="00841BBB" w:rsidP="00C85C48">
      <w:pPr>
        <w:spacing w:after="0" w:line="240" w:lineRule="auto"/>
        <w:jc w:val="center"/>
        <w:rPr>
          <w:b/>
          <w:sz w:val="24"/>
          <w:szCs w:val="24"/>
        </w:rPr>
      </w:pPr>
    </w:p>
    <w:p w:rsidR="00C85C48" w:rsidRPr="00E61F99" w:rsidRDefault="00C85C48" w:rsidP="00C85C48">
      <w:pPr>
        <w:jc w:val="center"/>
        <w:rPr>
          <w:sz w:val="24"/>
          <w:szCs w:val="24"/>
          <w:u w:val="single"/>
        </w:rPr>
      </w:pPr>
      <w:r w:rsidRPr="00E61F99">
        <w:rPr>
          <w:b/>
          <w:sz w:val="24"/>
          <w:szCs w:val="24"/>
          <w:u w:val="single"/>
        </w:rPr>
        <w:t>Contents</w:t>
      </w:r>
    </w:p>
    <w:p w:rsidR="00C85C48" w:rsidRPr="00D63B20" w:rsidRDefault="00787C2A" w:rsidP="00C85C48">
      <w:pPr>
        <w:pStyle w:val="ListParagraph"/>
        <w:numPr>
          <w:ilvl w:val="0"/>
          <w:numId w:val="1"/>
        </w:numPr>
        <w:rPr>
          <w:sz w:val="24"/>
          <w:szCs w:val="24"/>
        </w:rPr>
      </w:pPr>
      <w:r w:rsidRPr="00D63B20">
        <w:rPr>
          <w:sz w:val="24"/>
          <w:szCs w:val="24"/>
        </w:rPr>
        <w:t>Introduction</w:t>
      </w:r>
      <w:r w:rsidR="00C85C48" w:rsidRPr="00D63B20">
        <w:rPr>
          <w:sz w:val="24"/>
          <w:szCs w:val="24"/>
        </w:rPr>
        <w:t xml:space="preserve"> </w:t>
      </w:r>
    </w:p>
    <w:p w:rsidR="00787C2A" w:rsidRPr="00787C2A" w:rsidRDefault="00787C2A" w:rsidP="00787C2A">
      <w:pPr>
        <w:pStyle w:val="ListParagraph"/>
        <w:numPr>
          <w:ilvl w:val="0"/>
          <w:numId w:val="1"/>
        </w:numPr>
        <w:rPr>
          <w:sz w:val="24"/>
          <w:szCs w:val="24"/>
        </w:rPr>
      </w:pPr>
      <w:r w:rsidRPr="00787C2A">
        <w:rPr>
          <w:sz w:val="24"/>
          <w:szCs w:val="24"/>
        </w:rPr>
        <w:t xml:space="preserve">Why </w:t>
      </w:r>
      <w:r>
        <w:rPr>
          <w:sz w:val="24"/>
          <w:szCs w:val="24"/>
        </w:rPr>
        <w:t>D</w:t>
      </w:r>
      <w:r w:rsidRPr="00787C2A">
        <w:rPr>
          <w:sz w:val="24"/>
          <w:szCs w:val="24"/>
        </w:rPr>
        <w:t xml:space="preserve">o </w:t>
      </w:r>
      <w:r w:rsidR="00016067">
        <w:rPr>
          <w:sz w:val="24"/>
          <w:szCs w:val="24"/>
        </w:rPr>
        <w:t>S</w:t>
      </w:r>
      <w:r w:rsidRPr="00787C2A">
        <w:rPr>
          <w:sz w:val="24"/>
          <w:szCs w:val="24"/>
        </w:rPr>
        <w:t xml:space="preserve">ome </w:t>
      </w:r>
      <w:r>
        <w:rPr>
          <w:sz w:val="24"/>
          <w:szCs w:val="24"/>
        </w:rPr>
        <w:t>C</w:t>
      </w:r>
      <w:r w:rsidRPr="00787C2A">
        <w:rPr>
          <w:sz w:val="24"/>
          <w:szCs w:val="24"/>
        </w:rPr>
        <w:t xml:space="preserve">ountries </w:t>
      </w:r>
      <w:r>
        <w:rPr>
          <w:sz w:val="24"/>
          <w:szCs w:val="24"/>
        </w:rPr>
        <w:t>A</w:t>
      </w:r>
      <w:r w:rsidRPr="00787C2A">
        <w:rPr>
          <w:sz w:val="24"/>
          <w:szCs w:val="24"/>
        </w:rPr>
        <w:t xml:space="preserve">chieve </w:t>
      </w:r>
      <w:r>
        <w:rPr>
          <w:sz w:val="24"/>
          <w:szCs w:val="24"/>
        </w:rPr>
        <w:t>B</w:t>
      </w:r>
      <w:r w:rsidRPr="00787C2A">
        <w:rPr>
          <w:sz w:val="24"/>
          <w:szCs w:val="24"/>
        </w:rPr>
        <w:t xml:space="preserve">etter </w:t>
      </w:r>
      <w:r>
        <w:rPr>
          <w:sz w:val="24"/>
          <w:szCs w:val="24"/>
        </w:rPr>
        <w:t>E</w:t>
      </w:r>
      <w:r w:rsidRPr="00787C2A">
        <w:rPr>
          <w:sz w:val="24"/>
          <w:szCs w:val="24"/>
        </w:rPr>
        <w:t xml:space="preserve">conomic </w:t>
      </w:r>
      <w:r>
        <w:rPr>
          <w:sz w:val="24"/>
          <w:szCs w:val="24"/>
        </w:rPr>
        <w:t>P</w:t>
      </w:r>
      <w:r w:rsidRPr="00787C2A">
        <w:rPr>
          <w:sz w:val="24"/>
          <w:szCs w:val="24"/>
        </w:rPr>
        <w:t xml:space="preserve">erformance than </w:t>
      </w:r>
      <w:r>
        <w:rPr>
          <w:sz w:val="24"/>
          <w:szCs w:val="24"/>
        </w:rPr>
        <w:t>O</w:t>
      </w:r>
      <w:r w:rsidRPr="00787C2A">
        <w:rPr>
          <w:sz w:val="24"/>
          <w:szCs w:val="24"/>
        </w:rPr>
        <w:t>thers?</w:t>
      </w:r>
    </w:p>
    <w:p w:rsidR="00EB2EE7" w:rsidRDefault="00787C2A" w:rsidP="00EB2EE7">
      <w:pPr>
        <w:pStyle w:val="ListParagraph"/>
        <w:numPr>
          <w:ilvl w:val="0"/>
          <w:numId w:val="1"/>
        </w:numPr>
        <w:rPr>
          <w:sz w:val="24"/>
          <w:szCs w:val="24"/>
        </w:rPr>
      </w:pPr>
      <w:r w:rsidRPr="00EB2EE7">
        <w:rPr>
          <w:sz w:val="24"/>
          <w:szCs w:val="24"/>
        </w:rPr>
        <w:t>The Currency Union Question in Light of the Determinants of Economic Performance</w:t>
      </w:r>
    </w:p>
    <w:p w:rsidR="00787C2A" w:rsidRPr="00EB2EE7" w:rsidRDefault="00EB2EE7" w:rsidP="00EB2EE7">
      <w:pPr>
        <w:pStyle w:val="ListParagraph"/>
        <w:numPr>
          <w:ilvl w:val="0"/>
          <w:numId w:val="1"/>
        </w:numPr>
        <w:rPr>
          <w:sz w:val="24"/>
          <w:szCs w:val="24"/>
        </w:rPr>
      </w:pPr>
      <w:r w:rsidRPr="00EB2EE7">
        <w:rPr>
          <w:sz w:val="24"/>
          <w:szCs w:val="24"/>
        </w:rPr>
        <w:t>A Look at the Data for Sub-Saharan Africa: Growth, Inflation, and Trade</w:t>
      </w:r>
    </w:p>
    <w:p w:rsidR="00797BE4" w:rsidRDefault="00EB2EE7" w:rsidP="00797BE4">
      <w:pPr>
        <w:pStyle w:val="ListParagraph"/>
        <w:numPr>
          <w:ilvl w:val="0"/>
          <w:numId w:val="1"/>
        </w:numPr>
        <w:rPr>
          <w:sz w:val="24"/>
          <w:szCs w:val="24"/>
        </w:rPr>
      </w:pPr>
      <w:r>
        <w:rPr>
          <w:sz w:val="24"/>
          <w:szCs w:val="24"/>
        </w:rPr>
        <w:t xml:space="preserve">CFA </w:t>
      </w:r>
      <w:r w:rsidR="00797BE4" w:rsidRPr="00797BE4">
        <w:rPr>
          <w:sz w:val="24"/>
          <w:szCs w:val="24"/>
        </w:rPr>
        <w:t xml:space="preserve">Trade </w:t>
      </w:r>
      <w:r>
        <w:rPr>
          <w:sz w:val="24"/>
          <w:szCs w:val="24"/>
        </w:rPr>
        <w:t xml:space="preserve">Creation, Estimated </w:t>
      </w:r>
      <w:r w:rsidR="00797BE4" w:rsidRPr="00797BE4">
        <w:rPr>
          <w:sz w:val="24"/>
          <w:szCs w:val="24"/>
        </w:rPr>
        <w:t>from the Gravity Model</w:t>
      </w:r>
    </w:p>
    <w:p w:rsidR="00D964D2" w:rsidRDefault="007F5144" w:rsidP="00797BE4">
      <w:pPr>
        <w:pStyle w:val="ListParagraph"/>
        <w:numPr>
          <w:ilvl w:val="0"/>
          <w:numId w:val="1"/>
        </w:numPr>
        <w:rPr>
          <w:sz w:val="24"/>
          <w:szCs w:val="24"/>
        </w:rPr>
      </w:pPr>
      <w:r w:rsidRPr="007F5144">
        <w:rPr>
          <w:sz w:val="24"/>
          <w:szCs w:val="24"/>
        </w:rPr>
        <w:t>The OCA Criteri</w:t>
      </w:r>
      <w:r w:rsidR="00D964D2">
        <w:rPr>
          <w:sz w:val="24"/>
          <w:szCs w:val="24"/>
        </w:rPr>
        <w:t>on</w:t>
      </w:r>
      <w:r w:rsidRPr="007F5144">
        <w:rPr>
          <w:sz w:val="24"/>
          <w:szCs w:val="24"/>
        </w:rPr>
        <w:t xml:space="preserve"> of Labor Mobility </w:t>
      </w:r>
      <w:r w:rsidR="00D964D2">
        <w:rPr>
          <w:sz w:val="24"/>
          <w:szCs w:val="24"/>
        </w:rPr>
        <w:t>in Africa</w:t>
      </w:r>
    </w:p>
    <w:p w:rsidR="0047290A" w:rsidRPr="0047290A" w:rsidRDefault="00D964D2" w:rsidP="00797BE4">
      <w:pPr>
        <w:pStyle w:val="ListParagraph"/>
        <w:numPr>
          <w:ilvl w:val="0"/>
          <w:numId w:val="1"/>
        </w:numPr>
        <w:rPr>
          <w:sz w:val="24"/>
          <w:szCs w:val="24"/>
        </w:rPr>
      </w:pPr>
      <w:r>
        <w:rPr>
          <w:sz w:val="24"/>
          <w:szCs w:val="24"/>
        </w:rPr>
        <w:t xml:space="preserve">The OCA Criterion of </w:t>
      </w:r>
      <w:r w:rsidR="0047290A" w:rsidRPr="0047290A">
        <w:rPr>
          <w:sz w:val="24"/>
          <w:szCs w:val="24"/>
        </w:rPr>
        <w:t>Symmetric Shocks</w:t>
      </w:r>
      <w:r w:rsidR="004C00A1">
        <w:rPr>
          <w:sz w:val="24"/>
          <w:szCs w:val="24"/>
        </w:rPr>
        <w:t xml:space="preserve"> Among CFA Countries</w:t>
      </w:r>
      <w:r w:rsidR="0047290A" w:rsidRPr="0047290A">
        <w:rPr>
          <w:sz w:val="24"/>
          <w:szCs w:val="24"/>
        </w:rPr>
        <w:t xml:space="preserve"> </w:t>
      </w:r>
    </w:p>
    <w:p w:rsidR="004566E1" w:rsidRPr="00841BBB" w:rsidRDefault="00EB2EE7" w:rsidP="00841BBB">
      <w:pPr>
        <w:pStyle w:val="ListParagraph"/>
        <w:numPr>
          <w:ilvl w:val="0"/>
          <w:numId w:val="1"/>
        </w:numPr>
        <w:rPr>
          <w:sz w:val="24"/>
          <w:szCs w:val="24"/>
        </w:rPr>
      </w:pPr>
      <w:r>
        <w:rPr>
          <w:sz w:val="24"/>
          <w:szCs w:val="24"/>
        </w:rPr>
        <w:t>Conclusion</w:t>
      </w:r>
      <w:r w:rsidR="00016067">
        <w:br w:type="page"/>
      </w:r>
      <w:r w:rsidR="004566E1" w:rsidRPr="00841BBB">
        <w:rPr>
          <w:b/>
          <w:sz w:val="24"/>
          <w:szCs w:val="24"/>
        </w:rPr>
        <w:lastRenderedPageBreak/>
        <w:t>Costs and Benefits of Currency Unions in Africa: The Case of the CFA Franc Zone</w:t>
      </w:r>
      <w:r w:rsidR="004566E1">
        <w:t xml:space="preserve"> </w:t>
      </w:r>
    </w:p>
    <w:p w:rsidR="004566E1" w:rsidRDefault="004566E1" w:rsidP="004566E1"/>
    <w:p w:rsidR="00BB61FB" w:rsidRPr="00787C2A" w:rsidRDefault="00787C2A" w:rsidP="00787C2A">
      <w:pPr>
        <w:pStyle w:val="ListParagraph"/>
        <w:numPr>
          <w:ilvl w:val="0"/>
          <w:numId w:val="4"/>
        </w:numPr>
        <w:rPr>
          <w:b/>
        </w:rPr>
      </w:pPr>
      <w:r w:rsidRPr="00787C2A">
        <w:rPr>
          <w:b/>
        </w:rPr>
        <w:t>Introduction</w:t>
      </w:r>
    </w:p>
    <w:p w:rsidR="007A0FA7" w:rsidRDefault="00BB61FB" w:rsidP="0037273F">
      <w:pPr>
        <w:ind w:firstLine="720"/>
        <w:rPr>
          <w:sz w:val="24"/>
          <w:szCs w:val="24"/>
        </w:rPr>
      </w:pPr>
      <w:r w:rsidRPr="00555D03">
        <w:rPr>
          <w:sz w:val="24"/>
          <w:szCs w:val="24"/>
        </w:rPr>
        <w:t>T</w:t>
      </w:r>
      <w:r>
        <w:rPr>
          <w:sz w:val="24"/>
          <w:szCs w:val="24"/>
        </w:rPr>
        <w:t>he first memo</w:t>
      </w:r>
      <w:r w:rsidR="00C85C48">
        <w:rPr>
          <w:sz w:val="24"/>
          <w:szCs w:val="24"/>
        </w:rPr>
        <w:t xml:space="preserve"> in this series surveyed </w:t>
      </w:r>
      <w:r w:rsidR="00D46478">
        <w:rPr>
          <w:sz w:val="24"/>
          <w:szCs w:val="24"/>
        </w:rPr>
        <w:t xml:space="preserve">in general </w:t>
      </w:r>
      <w:r w:rsidR="00C85C48">
        <w:rPr>
          <w:sz w:val="24"/>
          <w:szCs w:val="24"/>
        </w:rPr>
        <w:t>the pros and cons of joining a currency union, versus the alternative of retaining some degree of exchange rate flexibility</w:t>
      </w:r>
      <w:r w:rsidR="007A0FA7">
        <w:rPr>
          <w:sz w:val="24"/>
          <w:szCs w:val="24"/>
        </w:rPr>
        <w:t>, as they appear in the standard open-economy macroeconomics literature</w:t>
      </w:r>
      <w:r w:rsidR="00C85C48">
        <w:rPr>
          <w:sz w:val="24"/>
          <w:szCs w:val="24"/>
        </w:rPr>
        <w:t xml:space="preserve">.  </w:t>
      </w:r>
    </w:p>
    <w:p w:rsidR="00D46478" w:rsidRDefault="00C85C48" w:rsidP="00BB61FB">
      <w:pPr>
        <w:ind w:firstLine="720"/>
        <w:rPr>
          <w:sz w:val="24"/>
          <w:szCs w:val="24"/>
        </w:rPr>
      </w:pPr>
      <w:r>
        <w:rPr>
          <w:sz w:val="24"/>
          <w:szCs w:val="24"/>
        </w:rPr>
        <w:t>Th</w:t>
      </w:r>
      <w:r w:rsidR="007E4B47">
        <w:rPr>
          <w:sz w:val="24"/>
          <w:szCs w:val="24"/>
        </w:rPr>
        <w:t xml:space="preserve">e remaining memos will </w:t>
      </w:r>
      <w:r>
        <w:rPr>
          <w:sz w:val="24"/>
          <w:szCs w:val="24"/>
        </w:rPr>
        <w:t>consider</w:t>
      </w:r>
      <w:r w:rsidR="00BB61FB">
        <w:rPr>
          <w:sz w:val="24"/>
          <w:szCs w:val="24"/>
        </w:rPr>
        <w:t xml:space="preserve"> actual and proposed monetary unions of Africa</w:t>
      </w:r>
      <w:r w:rsidR="003F545D">
        <w:rPr>
          <w:sz w:val="24"/>
          <w:szCs w:val="24"/>
        </w:rPr>
        <w:t>.  This second memo focus</w:t>
      </w:r>
      <w:r w:rsidR="007E4B47">
        <w:rPr>
          <w:sz w:val="24"/>
          <w:szCs w:val="24"/>
        </w:rPr>
        <w:t xml:space="preserve">es on the case of the major existing currency </w:t>
      </w:r>
      <w:r w:rsidR="003F545D">
        <w:rPr>
          <w:sz w:val="24"/>
          <w:szCs w:val="24"/>
        </w:rPr>
        <w:t>zone</w:t>
      </w:r>
      <w:r w:rsidR="007E4B47">
        <w:rPr>
          <w:sz w:val="24"/>
          <w:szCs w:val="24"/>
        </w:rPr>
        <w:t xml:space="preserve"> in </w:t>
      </w:r>
      <w:r w:rsidR="003F545D">
        <w:rPr>
          <w:sz w:val="24"/>
          <w:szCs w:val="24"/>
        </w:rPr>
        <w:t xml:space="preserve">Africa </w:t>
      </w:r>
      <w:r w:rsidR="00B7081D">
        <w:rPr>
          <w:sz w:val="24"/>
          <w:szCs w:val="24"/>
        </w:rPr>
        <w:t xml:space="preserve">which </w:t>
      </w:r>
      <w:r w:rsidR="003F545D">
        <w:rPr>
          <w:sz w:val="24"/>
          <w:szCs w:val="24"/>
        </w:rPr>
        <w:t xml:space="preserve">has a </w:t>
      </w:r>
      <w:r w:rsidR="00B7081D">
        <w:rPr>
          <w:sz w:val="24"/>
          <w:szCs w:val="24"/>
        </w:rPr>
        <w:t xml:space="preserve">long </w:t>
      </w:r>
      <w:r w:rsidR="003F545D">
        <w:rPr>
          <w:sz w:val="24"/>
          <w:szCs w:val="24"/>
        </w:rPr>
        <w:t xml:space="preserve">track record, the </w:t>
      </w:r>
      <w:r w:rsidR="00BB61FB">
        <w:rPr>
          <w:sz w:val="24"/>
          <w:szCs w:val="24"/>
        </w:rPr>
        <w:t>CFA franc zone</w:t>
      </w:r>
      <w:r w:rsidR="003F545D">
        <w:rPr>
          <w:sz w:val="24"/>
          <w:szCs w:val="24"/>
        </w:rPr>
        <w:t xml:space="preserve">. CFA stands for </w:t>
      </w:r>
      <w:r w:rsidR="003B18AF" w:rsidRPr="003B18AF">
        <w:rPr>
          <w:rFonts w:cs="Arial"/>
          <w:iCs/>
          <w:color w:val="222222"/>
          <w:sz w:val="24"/>
          <w:szCs w:val="24"/>
          <w:shd w:val="clear" w:color="auto" w:fill="FFFFFF"/>
          <w:lang w:val="fr-FR"/>
        </w:rPr>
        <w:t>Communauté Financière Africaine</w:t>
      </w:r>
      <w:r w:rsidR="003B18AF">
        <w:rPr>
          <w:sz w:val="24"/>
          <w:szCs w:val="24"/>
        </w:rPr>
        <w:t>.</w:t>
      </w:r>
      <w:r w:rsidR="003F545D">
        <w:rPr>
          <w:sz w:val="24"/>
          <w:szCs w:val="24"/>
        </w:rPr>
        <w:t xml:space="preserve">  To be precise</w:t>
      </w:r>
      <w:r w:rsidR="003B18AF">
        <w:rPr>
          <w:sz w:val="24"/>
          <w:szCs w:val="24"/>
        </w:rPr>
        <w:t>,</w:t>
      </w:r>
      <w:r w:rsidR="003F545D">
        <w:rPr>
          <w:sz w:val="24"/>
          <w:szCs w:val="24"/>
        </w:rPr>
        <w:t xml:space="preserve"> the CFA zone includes two currency unions</w:t>
      </w:r>
      <w:r w:rsidR="00B7081D">
        <w:rPr>
          <w:sz w:val="24"/>
          <w:szCs w:val="24"/>
        </w:rPr>
        <w:t xml:space="preserve">. The larger one </w:t>
      </w:r>
      <w:r w:rsidR="0057013D">
        <w:rPr>
          <w:sz w:val="24"/>
          <w:szCs w:val="24"/>
        </w:rPr>
        <w:t>comprises eight countries in West Africa</w:t>
      </w:r>
      <w:r w:rsidR="00396BD8">
        <w:rPr>
          <w:sz w:val="24"/>
          <w:szCs w:val="24"/>
        </w:rPr>
        <w:t xml:space="preserve">: </w:t>
      </w:r>
      <w:r w:rsidR="00462217" w:rsidRPr="00B7081D">
        <w:rPr>
          <w:rFonts w:cs="Arial"/>
          <w:color w:val="222222"/>
          <w:sz w:val="24"/>
          <w:szCs w:val="24"/>
          <w:shd w:val="clear" w:color="auto" w:fill="FFFFFF"/>
        </w:rPr>
        <w:t>Benin, Burkina Faso, Cote d'Ivoire, Guinea-Bissau, Mali, Niger, Senegal, and Togo</w:t>
      </w:r>
      <w:r w:rsidR="0057013D" w:rsidRPr="00B7081D">
        <w:rPr>
          <w:sz w:val="24"/>
          <w:szCs w:val="24"/>
        </w:rPr>
        <w:t>.</w:t>
      </w:r>
      <w:r w:rsidR="0057013D">
        <w:rPr>
          <w:sz w:val="24"/>
          <w:szCs w:val="24"/>
        </w:rPr>
        <w:t xml:space="preserve">  Its name in English is the West African Economic and Monetary Union, </w:t>
      </w:r>
      <w:r w:rsidR="003B18AF">
        <w:rPr>
          <w:sz w:val="24"/>
          <w:szCs w:val="24"/>
        </w:rPr>
        <w:t xml:space="preserve">but it is more often called by </w:t>
      </w:r>
      <w:r w:rsidR="0057013D">
        <w:rPr>
          <w:sz w:val="24"/>
          <w:szCs w:val="24"/>
        </w:rPr>
        <w:t xml:space="preserve">its French name </w:t>
      </w:r>
      <w:r w:rsidR="003B18AF">
        <w:rPr>
          <w:sz w:val="24"/>
          <w:szCs w:val="24"/>
        </w:rPr>
        <w:t>and its acronym</w:t>
      </w:r>
      <w:r w:rsidR="0057013D">
        <w:rPr>
          <w:sz w:val="24"/>
          <w:szCs w:val="24"/>
        </w:rPr>
        <w:t xml:space="preserve"> UEMOA</w:t>
      </w:r>
      <w:r w:rsidR="00D46478">
        <w:rPr>
          <w:sz w:val="24"/>
          <w:szCs w:val="24"/>
        </w:rPr>
        <w:t xml:space="preserve">. </w:t>
      </w:r>
      <w:r w:rsidR="00DD35D1">
        <w:rPr>
          <w:sz w:val="24"/>
          <w:szCs w:val="24"/>
        </w:rPr>
        <w:t xml:space="preserve"> Its central bank, based in Dakar, is the </w:t>
      </w:r>
      <w:r w:rsidR="00DD35D1" w:rsidRPr="00DD35D1">
        <w:rPr>
          <w:rStyle w:val="Strong"/>
          <w:rFonts w:cs="Arial"/>
          <w:b w:val="0"/>
          <w:color w:val="000000"/>
          <w:sz w:val="24"/>
          <w:szCs w:val="24"/>
          <w:bdr w:val="none" w:sz="0" w:space="0" w:color="auto" w:frame="1"/>
          <w:shd w:val="clear" w:color="auto" w:fill="FFFFFF"/>
        </w:rPr>
        <w:t>Central Bank of West African States</w:t>
      </w:r>
      <w:r w:rsidR="00DD35D1">
        <w:rPr>
          <w:rStyle w:val="Strong"/>
          <w:rFonts w:cs="Arial"/>
          <w:b w:val="0"/>
          <w:color w:val="000000"/>
          <w:sz w:val="24"/>
          <w:szCs w:val="24"/>
          <w:bdr w:val="none" w:sz="0" w:space="0" w:color="auto" w:frame="1"/>
          <w:shd w:val="clear" w:color="auto" w:fill="FFFFFF"/>
        </w:rPr>
        <w:t xml:space="preserve"> in English,</w:t>
      </w:r>
      <w:r w:rsidR="00DD35D1" w:rsidRPr="00DD35D1">
        <w:rPr>
          <w:rStyle w:val="Strong"/>
          <w:rFonts w:cs="Arial"/>
          <w:b w:val="0"/>
          <w:color w:val="000000"/>
          <w:sz w:val="24"/>
          <w:szCs w:val="24"/>
          <w:bdr w:val="none" w:sz="0" w:space="0" w:color="auto" w:frame="1"/>
          <w:shd w:val="clear" w:color="auto" w:fill="FFFFFF"/>
        </w:rPr>
        <w:t xml:space="preserve"> or </w:t>
      </w:r>
      <w:r w:rsidR="00DD35D1" w:rsidRPr="00DD35D1">
        <w:rPr>
          <w:rFonts w:cs="Arial"/>
          <w:color w:val="000000"/>
          <w:sz w:val="24"/>
          <w:szCs w:val="24"/>
          <w:shd w:val="clear" w:color="auto" w:fill="FFFFFF"/>
        </w:rPr>
        <w:t>BCEAO</w:t>
      </w:r>
      <w:r w:rsidR="00DD35D1">
        <w:rPr>
          <w:sz w:val="24"/>
          <w:szCs w:val="24"/>
        </w:rPr>
        <w:t>.</w:t>
      </w:r>
      <w:r w:rsidR="00DD35D1" w:rsidRPr="00DD35D1">
        <w:rPr>
          <w:sz w:val="24"/>
          <w:szCs w:val="24"/>
        </w:rPr>
        <w:t xml:space="preserve">  </w:t>
      </w:r>
      <w:r w:rsidR="0090755B">
        <w:rPr>
          <w:sz w:val="24"/>
          <w:szCs w:val="24"/>
        </w:rPr>
        <w:t xml:space="preserve">The smaller one </w:t>
      </w:r>
      <w:r w:rsidR="00D46478">
        <w:rPr>
          <w:sz w:val="24"/>
          <w:szCs w:val="24"/>
        </w:rPr>
        <w:t xml:space="preserve">comprises </w:t>
      </w:r>
      <w:r w:rsidR="0057013D">
        <w:rPr>
          <w:sz w:val="24"/>
          <w:szCs w:val="24"/>
        </w:rPr>
        <w:t xml:space="preserve">six </w:t>
      </w:r>
      <w:r w:rsidR="00D46478">
        <w:rPr>
          <w:sz w:val="24"/>
          <w:szCs w:val="24"/>
        </w:rPr>
        <w:t>countries in Central Africa</w:t>
      </w:r>
      <w:r w:rsidR="00396BD8" w:rsidRPr="00B7081D">
        <w:rPr>
          <w:sz w:val="24"/>
          <w:szCs w:val="24"/>
        </w:rPr>
        <w:t xml:space="preserve">: </w:t>
      </w:r>
      <w:r w:rsidR="00462217" w:rsidRPr="00B7081D">
        <w:rPr>
          <w:sz w:val="24"/>
          <w:szCs w:val="24"/>
          <w:shd w:val="clear" w:color="auto" w:fill="FFFFFF"/>
        </w:rPr>
        <w:t>Gabon, Cameroon, the Central African Republic (CAR), Chad, the Republic of the Congo and Equatorial Guinea</w:t>
      </w:r>
      <w:r w:rsidR="00D46478" w:rsidRPr="00462217">
        <w:rPr>
          <w:sz w:val="24"/>
          <w:szCs w:val="24"/>
        </w:rPr>
        <w:t>.</w:t>
      </w:r>
      <w:r w:rsidR="00D46478">
        <w:rPr>
          <w:sz w:val="24"/>
          <w:szCs w:val="24"/>
        </w:rPr>
        <w:t xml:space="preserve"> </w:t>
      </w:r>
      <w:r w:rsidR="00462217">
        <w:rPr>
          <w:sz w:val="24"/>
          <w:szCs w:val="24"/>
        </w:rPr>
        <w:t xml:space="preserve">The name of the group in English is </w:t>
      </w:r>
      <w:r w:rsidR="00462217" w:rsidRPr="002648EB">
        <w:rPr>
          <w:color w:val="000000"/>
          <w:sz w:val="24"/>
          <w:szCs w:val="24"/>
          <w:shd w:val="clear" w:color="auto" w:fill="FFFFFF"/>
        </w:rPr>
        <w:t>Central African Economic and Monetary Community, known by the acronym for its French name, CEMAC.</w:t>
      </w:r>
      <w:r w:rsidR="00D46478">
        <w:rPr>
          <w:sz w:val="24"/>
          <w:szCs w:val="24"/>
        </w:rPr>
        <w:t xml:space="preserve"> </w:t>
      </w:r>
      <w:r w:rsidR="00462217">
        <w:rPr>
          <w:sz w:val="24"/>
          <w:szCs w:val="24"/>
        </w:rPr>
        <w:t>I</w:t>
      </w:r>
      <w:r w:rsidR="00D46478">
        <w:rPr>
          <w:sz w:val="24"/>
          <w:szCs w:val="24"/>
        </w:rPr>
        <w:t>ts central bank</w:t>
      </w:r>
      <w:r w:rsidR="009D0CF8">
        <w:rPr>
          <w:sz w:val="24"/>
          <w:szCs w:val="24"/>
        </w:rPr>
        <w:t xml:space="preserve">, </w:t>
      </w:r>
      <w:r w:rsidR="009D0CF8" w:rsidRPr="009D0CF8">
        <w:rPr>
          <w:sz w:val="24"/>
          <w:szCs w:val="24"/>
        </w:rPr>
        <w:t xml:space="preserve">based in </w:t>
      </w:r>
      <w:hyperlink r:id="rId9" w:history="1">
        <w:r w:rsidR="009D0CF8" w:rsidRPr="009D0CF8">
          <w:rPr>
            <w:rStyle w:val="Hyperlink"/>
            <w:rFonts w:cs="Arial"/>
            <w:color w:val="auto"/>
            <w:shd w:val="clear" w:color="auto" w:fill="F8F9FA"/>
          </w:rPr>
          <w:t>Yaoundé</w:t>
        </w:r>
      </w:hyperlink>
      <w:r w:rsidR="009D0CF8" w:rsidRPr="009D0CF8">
        <w:rPr>
          <w:sz w:val="24"/>
          <w:szCs w:val="24"/>
        </w:rPr>
        <w:t xml:space="preserve">, </w:t>
      </w:r>
      <w:r w:rsidR="00D46478" w:rsidRPr="009D0CF8">
        <w:rPr>
          <w:sz w:val="24"/>
          <w:szCs w:val="24"/>
        </w:rPr>
        <w:t>is</w:t>
      </w:r>
      <w:r w:rsidR="00D46478">
        <w:rPr>
          <w:sz w:val="24"/>
          <w:szCs w:val="24"/>
        </w:rPr>
        <w:t xml:space="preserve"> the B</w:t>
      </w:r>
      <w:r w:rsidR="0057013D" w:rsidRPr="00EB1F0A">
        <w:rPr>
          <w:rFonts w:cs="Arial"/>
          <w:color w:val="222222"/>
          <w:sz w:val="24"/>
          <w:szCs w:val="24"/>
          <w:shd w:val="clear" w:color="auto" w:fill="FFFFFF"/>
        </w:rPr>
        <w:t>ank of the Central African States</w:t>
      </w:r>
      <w:r w:rsidR="0057013D" w:rsidRPr="00EB1F0A">
        <w:rPr>
          <w:sz w:val="24"/>
          <w:szCs w:val="24"/>
        </w:rPr>
        <w:t xml:space="preserve"> </w:t>
      </w:r>
      <w:r w:rsidR="00DD35D1" w:rsidRPr="003B18AF">
        <w:rPr>
          <w:color w:val="000000"/>
          <w:sz w:val="24"/>
          <w:szCs w:val="24"/>
          <w:shd w:val="clear" w:color="auto" w:fill="FFFFFF"/>
        </w:rPr>
        <w:t xml:space="preserve">in English, </w:t>
      </w:r>
      <w:r w:rsidR="0057013D" w:rsidRPr="003B18AF">
        <w:rPr>
          <w:sz w:val="24"/>
          <w:szCs w:val="24"/>
        </w:rPr>
        <w:t>or BEAC.</w:t>
      </w:r>
      <w:r w:rsidR="0057013D">
        <w:rPr>
          <w:sz w:val="24"/>
          <w:szCs w:val="24"/>
        </w:rPr>
        <w:t xml:space="preserve">  </w:t>
      </w:r>
    </w:p>
    <w:p w:rsidR="00BB61FB" w:rsidRDefault="00D46478" w:rsidP="00BB61FB">
      <w:pPr>
        <w:ind w:firstLine="720"/>
        <w:rPr>
          <w:sz w:val="24"/>
          <w:szCs w:val="24"/>
        </w:rPr>
      </w:pPr>
      <w:r>
        <w:rPr>
          <w:sz w:val="24"/>
          <w:szCs w:val="24"/>
        </w:rPr>
        <w:t>Looking ahead, a</w:t>
      </w:r>
      <w:r w:rsidR="003F545D">
        <w:rPr>
          <w:sz w:val="24"/>
          <w:szCs w:val="24"/>
        </w:rPr>
        <w:t xml:space="preserve"> third memo will address the question of the policy that an African currency union adopts regarding its exchange rate vis-à-vis the rest of the world, with a particular application to the experience of the CFA members’ trading pattern when the French franc, to which the CFA franc had been pegged, was replaced in 1999 by the euro.  A fourth memo will consider the proposed</w:t>
      </w:r>
      <w:r w:rsidR="00BB61FB">
        <w:rPr>
          <w:sz w:val="24"/>
          <w:szCs w:val="24"/>
        </w:rPr>
        <w:t xml:space="preserve"> currency union among the ECOWAS countries</w:t>
      </w:r>
      <w:r w:rsidR="003F545D">
        <w:rPr>
          <w:sz w:val="24"/>
          <w:szCs w:val="24"/>
        </w:rPr>
        <w:t>, that is, the other countries of West Africa</w:t>
      </w:r>
      <w:r w:rsidR="00BB61FB">
        <w:rPr>
          <w:sz w:val="24"/>
          <w:szCs w:val="24"/>
        </w:rPr>
        <w:t xml:space="preserve">.  </w:t>
      </w:r>
    </w:p>
    <w:p w:rsidR="007E4B47" w:rsidRDefault="00BB61FB" w:rsidP="007E4B47">
      <w:pPr>
        <w:ind w:firstLine="720"/>
        <w:rPr>
          <w:sz w:val="24"/>
          <w:szCs w:val="24"/>
        </w:rPr>
      </w:pPr>
      <w:r>
        <w:rPr>
          <w:sz w:val="24"/>
          <w:szCs w:val="24"/>
        </w:rPr>
        <w:t xml:space="preserve"> The analysis will include relevant literature review, statistical and econometric evidence for African countries, and the logic of the complicated variety of sequential pa</w:t>
      </w:r>
      <w:r w:rsidR="0090755B">
        <w:rPr>
          <w:sz w:val="24"/>
          <w:szCs w:val="24"/>
        </w:rPr>
        <w:t>ths that are possible options.</w:t>
      </w:r>
      <w:r w:rsidR="0049201D">
        <w:rPr>
          <w:sz w:val="24"/>
          <w:szCs w:val="24"/>
        </w:rPr>
        <w:t xml:space="preserve">  As a </w:t>
      </w:r>
      <w:r w:rsidR="007E4B47">
        <w:rPr>
          <w:sz w:val="24"/>
          <w:szCs w:val="24"/>
        </w:rPr>
        <w:t>jumping-off point</w:t>
      </w:r>
      <w:r w:rsidR="0049201D">
        <w:rPr>
          <w:sz w:val="24"/>
          <w:szCs w:val="24"/>
        </w:rPr>
        <w:t xml:space="preserve"> we begin with</w:t>
      </w:r>
      <w:r w:rsidR="007E4B47">
        <w:rPr>
          <w:sz w:val="24"/>
          <w:szCs w:val="24"/>
        </w:rPr>
        <w:t xml:space="preserve"> </w:t>
      </w:r>
      <w:r w:rsidR="0025290A">
        <w:rPr>
          <w:sz w:val="24"/>
          <w:szCs w:val="24"/>
        </w:rPr>
        <w:t xml:space="preserve">a brief consideration of the </w:t>
      </w:r>
      <w:r w:rsidR="0049201D">
        <w:rPr>
          <w:sz w:val="24"/>
          <w:szCs w:val="24"/>
        </w:rPr>
        <w:t>broad</w:t>
      </w:r>
      <w:r w:rsidR="0025290A">
        <w:rPr>
          <w:sz w:val="24"/>
          <w:szCs w:val="24"/>
        </w:rPr>
        <w:t xml:space="preserve"> question:  why do some countries do better than others, in terms of GDP growth and other indicat</w:t>
      </w:r>
      <w:r w:rsidR="00293213">
        <w:rPr>
          <w:sz w:val="24"/>
          <w:szCs w:val="24"/>
        </w:rPr>
        <w:t>ors of economic performance?</w:t>
      </w:r>
      <w:r w:rsidR="007E4B47">
        <w:rPr>
          <w:sz w:val="24"/>
          <w:szCs w:val="24"/>
        </w:rPr>
        <w:t xml:space="preserve">  This will lead to the </w:t>
      </w:r>
      <w:r w:rsidR="003F545D">
        <w:rPr>
          <w:sz w:val="24"/>
          <w:szCs w:val="24"/>
        </w:rPr>
        <w:t xml:space="preserve">topic of the </w:t>
      </w:r>
      <w:r w:rsidR="007E4B47">
        <w:rPr>
          <w:sz w:val="24"/>
          <w:szCs w:val="24"/>
        </w:rPr>
        <w:t>relatively low le</w:t>
      </w:r>
      <w:r w:rsidR="0049201D">
        <w:rPr>
          <w:sz w:val="24"/>
          <w:szCs w:val="24"/>
        </w:rPr>
        <w:t>vel of trade in Africa</w:t>
      </w:r>
      <w:r w:rsidR="007E4B47">
        <w:rPr>
          <w:sz w:val="24"/>
          <w:szCs w:val="24"/>
        </w:rPr>
        <w:t xml:space="preserve">.  One </w:t>
      </w:r>
      <w:r w:rsidR="0049201D">
        <w:rPr>
          <w:sz w:val="24"/>
          <w:szCs w:val="24"/>
        </w:rPr>
        <w:t>reason to expand</w:t>
      </w:r>
      <w:r w:rsidR="007E4B47">
        <w:rPr>
          <w:sz w:val="24"/>
          <w:szCs w:val="24"/>
        </w:rPr>
        <w:t xml:space="preserve"> currency areas in Africa, as for free trade areas, is to promote trade and thereby promote economic growth.  </w:t>
      </w:r>
    </w:p>
    <w:p w:rsidR="00BB61FB" w:rsidRDefault="00BB61FB" w:rsidP="00BB61FB">
      <w:pPr>
        <w:ind w:firstLine="360"/>
        <w:rPr>
          <w:sz w:val="24"/>
          <w:szCs w:val="24"/>
        </w:rPr>
      </w:pPr>
    </w:p>
    <w:p w:rsidR="00016067" w:rsidRPr="00016067" w:rsidRDefault="00016067" w:rsidP="00016067">
      <w:pPr>
        <w:pStyle w:val="ListParagraph"/>
        <w:numPr>
          <w:ilvl w:val="0"/>
          <w:numId w:val="4"/>
        </w:numPr>
        <w:rPr>
          <w:b/>
          <w:sz w:val="24"/>
          <w:szCs w:val="24"/>
        </w:rPr>
      </w:pPr>
      <w:r w:rsidRPr="00016067">
        <w:rPr>
          <w:b/>
          <w:sz w:val="24"/>
          <w:szCs w:val="24"/>
        </w:rPr>
        <w:t>Why Do Some Countries Achieve Better Economic Performance than Others?</w:t>
      </w:r>
    </w:p>
    <w:p w:rsidR="00293213" w:rsidRPr="00D805AE" w:rsidRDefault="00B35B0E" w:rsidP="0025290A">
      <w:pPr>
        <w:ind w:firstLine="720"/>
        <w:rPr>
          <w:sz w:val="24"/>
          <w:szCs w:val="24"/>
        </w:rPr>
      </w:pPr>
      <w:r w:rsidRPr="00D805AE">
        <w:rPr>
          <w:sz w:val="24"/>
          <w:szCs w:val="24"/>
        </w:rPr>
        <w:lastRenderedPageBreak/>
        <w:t>The</w:t>
      </w:r>
      <w:r w:rsidR="00293213" w:rsidRPr="00D805AE">
        <w:rPr>
          <w:sz w:val="24"/>
          <w:szCs w:val="24"/>
        </w:rPr>
        <w:t>re have been</w:t>
      </w:r>
      <w:r w:rsidRPr="00D805AE">
        <w:rPr>
          <w:sz w:val="24"/>
          <w:szCs w:val="24"/>
        </w:rPr>
        <w:t xml:space="preserve"> many global econometric cross-country studies </w:t>
      </w:r>
      <w:r w:rsidR="00293213" w:rsidRPr="00D805AE">
        <w:rPr>
          <w:sz w:val="24"/>
          <w:szCs w:val="24"/>
        </w:rPr>
        <w:t xml:space="preserve">of economic growth and they </w:t>
      </w:r>
      <w:r w:rsidRPr="00D805AE">
        <w:rPr>
          <w:sz w:val="24"/>
          <w:szCs w:val="24"/>
        </w:rPr>
        <w:t xml:space="preserve">have produced a variety of important conclusions, notwithstanding their limitations and ambiguities.  </w:t>
      </w:r>
      <w:r w:rsidR="00293213" w:rsidRPr="00D805AE">
        <w:rPr>
          <w:sz w:val="24"/>
          <w:szCs w:val="24"/>
        </w:rPr>
        <w:t xml:space="preserve">A theme of recent years has been that it is not enough to identify the importance of good policies, such as promoting </w:t>
      </w:r>
      <w:r w:rsidR="00380B39" w:rsidRPr="00D805AE">
        <w:rPr>
          <w:sz w:val="24"/>
          <w:szCs w:val="24"/>
        </w:rPr>
        <w:t xml:space="preserve">national saving, </w:t>
      </w:r>
      <w:r w:rsidR="00293213" w:rsidRPr="00D805AE">
        <w:rPr>
          <w:sz w:val="24"/>
          <w:szCs w:val="24"/>
        </w:rPr>
        <w:t xml:space="preserve">investment, education, and macroeconomic stability.  We want to know what are the deeper </w:t>
      </w:r>
      <w:r w:rsidR="007B1DBB" w:rsidRPr="00D805AE">
        <w:rPr>
          <w:sz w:val="24"/>
          <w:szCs w:val="24"/>
        </w:rPr>
        <w:t>fundament</w:t>
      </w:r>
      <w:r w:rsidR="00293213" w:rsidRPr="00D805AE">
        <w:rPr>
          <w:sz w:val="24"/>
          <w:szCs w:val="24"/>
        </w:rPr>
        <w:t xml:space="preserve">al determinants </w:t>
      </w:r>
      <w:r w:rsidR="00456FCD" w:rsidRPr="00D805AE">
        <w:rPr>
          <w:sz w:val="24"/>
          <w:szCs w:val="24"/>
        </w:rPr>
        <w:t>behind</w:t>
      </w:r>
      <w:r w:rsidR="00293213" w:rsidRPr="00D805AE">
        <w:rPr>
          <w:sz w:val="24"/>
          <w:szCs w:val="24"/>
        </w:rPr>
        <w:t xml:space="preserve"> which countries adopt good policies and which do not.</w:t>
      </w:r>
    </w:p>
    <w:p w:rsidR="00376975" w:rsidRPr="00D805AE" w:rsidRDefault="00B35B0E" w:rsidP="00293213">
      <w:pPr>
        <w:ind w:firstLine="720"/>
        <w:rPr>
          <w:sz w:val="24"/>
          <w:szCs w:val="24"/>
        </w:rPr>
      </w:pPr>
      <w:r w:rsidRPr="00D805AE">
        <w:rPr>
          <w:sz w:val="24"/>
          <w:szCs w:val="24"/>
        </w:rPr>
        <w:t xml:space="preserve">Two of the most consequential </w:t>
      </w:r>
      <w:r w:rsidR="000A78D8" w:rsidRPr="00D805AE">
        <w:rPr>
          <w:sz w:val="24"/>
          <w:szCs w:val="24"/>
        </w:rPr>
        <w:t>determ</w:t>
      </w:r>
      <w:r w:rsidR="006E7120">
        <w:rPr>
          <w:sz w:val="24"/>
          <w:szCs w:val="24"/>
        </w:rPr>
        <w:t xml:space="preserve">inants of economic performance </w:t>
      </w:r>
      <w:r w:rsidR="000A78D8" w:rsidRPr="00D805AE">
        <w:rPr>
          <w:sz w:val="24"/>
          <w:szCs w:val="24"/>
        </w:rPr>
        <w:t xml:space="preserve">that have </w:t>
      </w:r>
      <w:proofErr w:type="gramStart"/>
      <w:r w:rsidR="000A78D8" w:rsidRPr="00D805AE">
        <w:rPr>
          <w:sz w:val="24"/>
          <w:szCs w:val="24"/>
        </w:rPr>
        <w:t>claimed  support</w:t>
      </w:r>
      <w:proofErr w:type="gramEnd"/>
      <w:r w:rsidR="000A78D8" w:rsidRPr="00D805AE">
        <w:rPr>
          <w:sz w:val="24"/>
          <w:szCs w:val="24"/>
        </w:rPr>
        <w:t xml:space="preserve"> </w:t>
      </w:r>
      <w:r w:rsidRPr="00D805AE">
        <w:rPr>
          <w:sz w:val="24"/>
          <w:szCs w:val="24"/>
        </w:rPr>
        <w:t>are</w:t>
      </w:r>
      <w:r w:rsidR="00456FCD" w:rsidRPr="00D805AE">
        <w:rPr>
          <w:sz w:val="24"/>
          <w:szCs w:val="24"/>
        </w:rPr>
        <w:t>, first,</w:t>
      </w:r>
      <w:r w:rsidRPr="00D805AE">
        <w:rPr>
          <w:sz w:val="24"/>
          <w:szCs w:val="24"/>
        </w:rPr>
        <w:t xml:space="preserve"> trade and</w:t>
      </w:r>
      <w:r w:rsidR="00456FCD" w:rsidRPr="00D805AE">
        <w:rPr>
          <w:sz w:val="24"/>
          <w:szCs w:val="24"/>
        </w:rPr>
        <w:t>, second,</w:t>
      </w:r>
      <w:r w:rsidRPr="00D805AE">
        <w:rPr>
          <w:sz w:val="24"/>
          <w:szCs w:val="24"/>
        </w:rPr>
        <w:t xml:space="preserve"> the quality of institutions </w:t>
      </w:r>
      <w:r w:rsidR="00456FCD" w:rsidRPr="00D805AE">
        <w:rPr>
          <w:sz w:val="24"/>
          <w:szCs w:val="24"/>
        </w:rPr>
        <w:t xml:space="preserve">.  Trade openness is often measured </w:t>
      </w:r>
      <w:r w:rsidR="00B81221">
        <w:rPr>
          <w:sz w:val="24"/>
          <w:szCs w:val="24"/>
        </w:rPr>
        <w:t xml:space="preserve">by the ratio of trade to GDP.  </w:t>
      </w:r>
      <w:r w:rsidR="00456FCD" w:rsidRPr="00D805AE">
        <w:rPr>
          <w:sz w:val="24"/>
          <w:szCs w:val="24"/>
        </w:rPr>
        <w:t xml:space="preserve">The quality of institutions is </w:t>
      </w:r>
      <w:r w:rsidR="007B1DBB" w:rsidRPr="00D805AE">
        <w:rPr>
          <w:sz w:val="24"/>
          <w:szCs w:val="24"/>
        </w:rPr>
        <w:t xml:space="preserve">measured by </w:t>
      </w:r>
      <w:r w:rsidR="000A78D8" w:rsidRPr="00D805AE">
        <w:rPr>
          <w:sz w:val="24"/>
          <w:szCs w:val="24"/>
        </w:rPr>
        <w:t xml:space="preserve">various proxies for </w:t>
      </w:r>
      <w:r w:rsidR="007B1DBB" w:rsidRPr="00D805AE">
        <w:rPr>
          <w:sz w:val="24"/>
          <w:szCs w:val="24"/>
        </w:rPr>
        <w:t>the</w:t>
      </w:r>
      <w:r w:rsidR="006E7120">
        <w:rPr>
          <w:sz w:val="24"/>
          <w:szCs w:val="24"/>
        </w:rPr>
        <w:t xml:space="preserve"> rule of law, property rights, </w:t>
      </w:r>
      <w:r w:rsidR="007B1DBB" w:rsidRPr="00D805AE">
        <w:rPr>
          <w:sz w:val="24"/>
          <w:szCs w:val="24"/>
        </w:rPr>
        <w:t xml:space="preserve">an independent judiciary, ease of doing business, </w:t>
      </w:r>
      <w:r w:rsidR="000A78D8" w:rsidRPr="00D805AE">
        <w:rPr>
          <w:sz w:val="24"/>
          <w:szCs w:val="24"/>
        </w:rPr>
        <w:t xml:space="preserve">freedom from corruption </w:t>
      </w:r>
      <w:r w:rsidR="00456FCD" w:rsidRPr="00D805AE">
        <w:rPr>
          <w:sz w:val="24"/>
          <w:szCs w:val="24"/>
        </w:rPr>
        <w:t>and quality of the bureaucracy</w:t>
      </w:r>
      <w:r w:rsidR="000D468E" w:rsidRPr="00D805AE">
        <w:rPr>
          <w:sz w:val="24"/>
          <w:szCs w:val="24"/>
        </w:rPr>
        <w:t xml:space="preserve">. </w:t>
      </w:r>
      <w:r w:rsidR="00376975" w:rsidRPr="00D805AE">
        <w:rPr>
          <w:sz w:val="24"/>
          <w:szCs w:val="24"/>
        </w:rPr>
        <w:t xml:space="preserve"> Among the many authors emphasizing the role of trade </w:t>
      </w:r>
      <w:r w:rsidR="0025410F" w:rsidRPr="00D805AE">
        <w:rPr>
          <w:sz w:val="24"/>
          <w:szCs w:val="24"/>
        </w:rPr>
        <w:t>are Sachs and Warner (1997)</w:t>
      </w:r>
      <w:r w:rsidR="00622E22" w:rsidRPr="00D805AE">
        <w:rPr>
          <w:sz w:val="24"/>
          <w:szCs w:val="24"/>
        </w:rPr>
        <w:t>,</w:t>
      </w:r>
      <w:r w:rsidR="0025410F" w:rsidRPr="00D805AE">
        <w:rPr>
          <w:sz w:val="24"/>
          <w:szCs w:val="24"/>
        </w:rPr>
        <w:t xml:space="preserve"> </w:t>
      </w:r>
      <w:r w:rsidR="00622E22" w:rsidRPr="00D805AE">
        <w:rPr>
          <w:bCs/>
          <w:sz w:val="24"/>
          <w:szCs w:val="24"/>
        </w:rPr>
        <w:t xml:space="preserve">Collier and </w:t>
      </w:r>
      <w:proofErr w:type="spellStart"/>
      <w:r w:rsidR="00622E22" w:rsidRPr="00D805AE">
        <w:rPr>
          <w:bCs/>
          <w:sz w:val="24"/>
          <w:szCs w:val="24"/>
        </w:rPr>
        <w:t>Gunnin</w:t>
      </w:r>
      <w:proofErr w:type="spellEnd"/>
      <w:r w:rsidR="00622E22" w:rsidRPr="00D805AE">
        <w:rPr>
          <w:bCs/>
          <w:sz w:val="24"/>
          <w:szCs w:val="24"/>
        </w:rPr>
        <w:t xml:space="preserve"> (1999),</w:t>
      </w:r>
      <w:r w:rsidR="00622E22" w:rsidRPr="00D805AE">
        <w:rPr>
          <w:b/>
          <w:bCs/>
          <w:sz w:val="24"/>
          <w:szCs w:val="24"/>
        </w:rPr>
        <w:t xml:space="preserve"> </w:t>
      </w:r>
      <w:r w:rsidR="00622E22" w:rsidRPr="00D805AE">
        <w:rPr>
          <w:sz w:val="24"/>
          <w:szCs w:val="24"/>
        </w:rPr>
        <w:t xml:space="preserve">and </w:t>
      </w:r>
      <w:r w:rsidR="0025410F" w:rsidRPr="00D805AE">
        <w:rPr>
          <w:sz w:val="24"/>
          <w:szCs w:val="24"/>
        </w:rPr>
        <w:t>Frankel and Romer (1999).</w:t>
      </w:r>
      <w:r w:rsidR="00376975" w:rsidRPr="00D805AE">
        <w:rPr>
          <w:sz w:val="24"/>
          <w:szCs w:val="24"/>
        </w:rPr>
        <w:t xml:space="preserve"> </w:t>
      </w:r>
      <w:r w:rsidR="00465187" w:rsidRPr="00D805AE">
        <w:rPr>
          <w:sz w:val="24"/>
          <w:szCs w:val="24"/>
        </w:rPr>
        <w:t xml:space="preserve">Among the many authors </w:t>
      </w:r>
      <w:r w:rsidR="0025410F" w:rsidRPr="00D805AE">
        <w:rPr>
          <w:sz w:val="24"/>
          <w:szCs w:val="24"/>
        </w:rPr>
        <w:t xml:space="preserve">arguing </w:t>
      </w:r>
      <w:r w:rsidR="00465187" w:rsidRPr="00D805AE">
        <w:rPr>
          <w:sz w:val="24"/>
          <w:szCs w:val="24"/>
        </w:rPr>
        <w:t xml:space="preserve">the primacy of institutions are Rodrik (1999), </w:t>
      </w:r>
      <w:r w:rsidR="00465187" w:rsidRPr="00D805AE">
        <w:rPr>
          <w:rFonts w:cs="BODEGM+TimesNewRoman"/>
          <w:color w:val="000000"/>
          <w:sz w:val="24"/>
          <w:szCs w:val="24"/>
        </w:rPr>
        <w:t>Acemoglu, Johnson, Robinson (2001, 2003)</w:t>
      </w:r>
      <w:r w:rsidR="007B1DBB" w:rsidRPr="00D805AE">
        <w:rPr>
          <w:rFonts w:cs="BODEGM+TimesNewRoman"/>
          <w:color w:val="000000"/>
          <w:sz w:val="24"/>
          <w:szCs w:val="24"/>
        </w:rPr>
        <w:t xml:space="preserve">, </w:t>
      </w:r>
      <w:r w:rsidR="007B1DBB" w:rsidRPr="00D805AE">
        <w:rPr>
          <w:sz w:val="24"/>
          <w:szCs w:val="24"/>
        </w:rPr>
        <w:t>Rodrik, Subramanian, and Trebbi (2004),</w:t>
      </w:r>
      <w:r w:rsidR="00465187" w:rsidRPr="00D805AE">
        <w:rPr>
          <w:rFonts w:cs="BODEGM+TimesNewRoman"/>
          <w:color w:val="000000"/>
          <w:sz w:val="24"/>
          <w:szCs w:val="24"/>
        </w:rPr>
        <w:t xml:space="preserve"> and </w:t>
      </w:r>
      <w:r w:rsidR="00293213" w:rsidRPr="00D805AE">
        <w:rPr>
          <w:sz w:val="24"/>
          <w:szCs w:val="24"/>
        </w:rPr>
        <w:t xml:space="preserve">Acemoglu </w:t>
      </w:r>
      <w:r w:rsidR="00465187" w:rsidRPr="00D805AE">
        <w:rPr>
          <w:sz w:val="24"/>
          <w:szCs w:val="24"/>
        </w:rPr>
        <w:t>and Robinson (2013).</w:t>
      </w:r>
    </w:p>
    <w:p w:rsidR="00752AC7" w:rsidRPr="00D805AE" w:rsidRDefault="00BE1ACA" w:rsidP="00293213">
      <w:pPr>
        <w:ind w:firstLine="720"/>
        <w:rPr>
          <w:sz w:val="24"/>
          <w:szCs w:val="24"/>
        </w:rPr>
      </w:pPr>
      <w:r w:rsidRPr="00D805AE">
        <w:rPr>
          <w:sz w:val="24"/>
          <w:szCs w:val="24"/>
        </w:rPr>
        <w:t xml:space="preserve">As always, correlation does not necessarily imply causality.  The correlation between trade and GDP </w:t>
      </w:r>
      <w:r w:rsidR="000C316B" w:rsidRPr="00D805AE">
        <w:rPr>
          <w:sz w:val="24"/>
          <w:szCs w:val="24"/>
        </w:rPr>
        <w:t xml:space="preserve">probably </w:t>
      </w:r>
      <w:r w:rsidRPr="00D805AE">
        <w:rPr>
          <w:sz w:val="24"/>
          <w:szCs w:val="24"/>
        </w:rPr>
        <w:t>arises in part because of reverse causality</w:t>
      </w:r>
      <w:proofErr w:type="gramStart"/>
      <w:r w:rsidRPr="00D805AE">
        <w:rPr>
          <w:sz w:val="24"/>
          <w:szCs w:val="24"/>
        </w:rPr>
        <w:t>;  for</w:t>
      </w:r>
      <w:proofErr w:type="gramEnd"/>
      <w:r w:rsidRPr="00D805AE">
        <w:rPr>
          <w:sz w:val="24"/>
          <w:szCs w:val="24"/>
        </w:rPr>
        <w:t xml:space="preserve"> example, as countries become richer they te</w:t>
      </w:r>
      <w:r w:rsidR="00456FCD" w:rsidRPr="00D805AE">
        <w:rPr>
          <w:sz w:val="24"/>
          <w:szCs w:val="24"/>
        </w:rPr>
        <w:t xml:space="preserve">nd to lower tariffs (often </w:t>
      </w:r>
      <w:r w:rsidRPr="00D805AE">
        <w:rPr>
          <w:sz w:val="24"/>
          <w:szCs w:val="24"/>
        </w:rPr>
        <w:t>because they develop alternative sources to tax revenue</w:t>
      </w:r>
      <w:r w:rsidR="00456FCD" w:rsidRPr="00D805AE">
        <w:rPr>
          <w:sz w:val="24"/>
          <w:szCs w:val="24"/>
        </w:rPr>
        <w:t>)</w:t>
      </w:r>
      <w:r w:rsidRPr="00D805AE">
        <w:rPr>
          <w:sz w:val="24"/>
          <w:szCs w:val="24"/>
        </w:rPr>
        <w:t xml:space="preserve">, and the lower tariffs </w:t>
      </w:r>
      <w:r w:rsidR="00456FCD" w:rsidRPr="00D805AE">
        <w:rPr>
          <w:sz w:val="24"/>
          <w:szCs w:val="24"/>
        </w:rPr>
        <w:t xml:space="preserve">in turn </w:t>
      </w:r>
      <w:r w:rsidRPr="00D805AE">
        <w:rPr>
          <w:sz w:val="24"/>
          <w:szCs w:val="24"/>
        </w:rPr>
        <w:t>encourage trade.  Similarl</w:t>
      </w:r>
      <w:r w:rsidR="000A78D8" w:rsidRPr="00D805AE">
        <w:rPr>
          <w:sz w:val="24"/>
          <w:szCs w:val="24"/>
        </w:rPr>
        <w:t>y, the correlation between good</w:t>
      </w:r>
      <w:r w:rsidRPr="00D805AE">
        <w:rPr>
          <w:sz w:val="24"/>
          <w:szCs w:val="24"/>
        </w:rPr>
        <w:t xml:space="preserve"> institutions and income </w:t>
      </w:r>
      <w:r w:rsidR="000C316B" w:rsidRPr="00D805AE">
        <w:rPr>
          <w:sz w:val="24"/>
          <w:szCs w:val="24"/>
        </w:rPr>
        <w:t xml:space="preserve">probably </w:t>
      </w:r>
      <w:r w:rsidRPr="00D805AE">
        <w:rPr>
          <w:sz w:val="24"/>
          <w:szCs w:val="24"/>
        </w:rPr>
        <w:t>arises in part because of reverse causality.</w:t>
      </w:r>
      <w:r w:rsidR="000A78D8" w:rsidRPr="00D805AE">
        <w:rPr>
          <w:sz w:val="24"/>
          <w:szCs w:val="24"/>
        </w:rPr>
        <w:t xml:space="preserve">  Econometric research has responded to the causality problem by looking to the next deeper layer structurally for exogenous determinants, i.e.,</w:t>
      </w:r>
      <w:r w:rsidR="00005A43" w:rsidRPr="00D805AE">
        <w:rPr>
          <w:sz w:val="24"/>
          <w:szCs w:val="24"/>
        </w:rPr>
        <w:t xml:space="preserve"> has looked for instrumental variables.  </w:t>
      </w:r>
      <w:r w:rsidR="000A78D8" w:rsidRPr="00D805AE">
        <w:rPr>
          <w:sz w:val="24"/>
          <w:szCs w:val="24"/>
        </w:rPr>
        <w:t>A popular instrumental variable for trade is geographic predisposition to trade as specified by the gravity model (Frankel and Romer, 1999).  A popular instrumental variable for the quality of institutions is the settler mortality rate in colonial times (</w:t>
      </w:r>
      <w:r w:rsidR="000A78D8" w:rsidRPr="00D805AE">
        <w:rPr>
          <w:rFonts w:cs="BODEGM+TimesNewRoman"/>
          <w:color w:val="000000"/>
          <w:sz w:val="24"/>
          <w:szCs w:val="24"/>
        </w:rPr>
        <w:t>Acemoglu, Johnson, Robinson, 2001)</w:t>
      </w:r>
      <w:r w:rsidR="000A78D8" w:rsidRPr="00D805AE">
        <w:rPr>
          <w:sz w:val="24"/>
          <w:szCs w:val="24"/>
        </w:rPr>
        <w:t xml:space="preserve">. </w:t>
      </w:r>
      <w:r w:rsidR="00AA428A" w:rsidRPr="00D805AE">
        <w:rPr>
          <w:sz w:val="24"/>
          <w:szCs w:val="24"/>
        </w:rPr>
        <w:t xml:space="preserve">  </w:t>
      </w:r>
    </w:p>
    <w:p w:rsidR="007B1DBB" w:rsidRPr="00D805AE" w:rsidRDefault="00AA428A" w:rsidP="00293213">
      <w:pPr>
        <w:ind w:firstLine="720"/>
        <w:rPr>
          <w:sz w:val="24"/>
          <w:szCs w:val="24"/>
        </w:rPr>
      </w:pPr>
      <w:r w:rsidRPr="00D805AE">
        <w:rPr>
          <w:sz w:val="24"/>
          <w:szCs w:val="24"/>
        </w:rPr>
        <w:t xml:space="preserve">The famous Natural </w:t>
      </w:r>
      <w:r w:rsidR="008F261D" w:rsidRPr="00D805AE">
        <w:rPr>
          <w:sz w:val="24"/>
          <w:szCs w:val="24"/>
        </w:rPr>
        <w:t>Resource Curse is also relevant:</w:t>
      </w:r>
      <w:r w:rsidRPr="00D805AE">
        <w:rPr>
          <w:sz w:val="24"/>
          <w:szCs w:val="24"/>
        </w:rPr>
        <w:t xml:space="preserve"> one interpretation is that a country endowed with oil </w:t>
      </w:r>
      <w:r w:rsidR="008F261D" w:rsidRPr="00D805AE">
        <w:rPr>
          <w:sz w:val="24"/>
          <w:szCs w:val="24"/>
        </w:rPr>
        <w:t>or</w:t>
      </w:r>
      <w:r w:rsidRPr="00D805AE">
        <w:rPr>
          <w:sz w:val="24"/>
          <w:szCs w:val="24"/>
        </w:rPr>
        <w:t xml:space="preserve"> minerals tends </w:t>
      </w:r>
      <w:r w:rsidR="00E81DC1" w:rsidRPr="00D805AE">
        <w:rPr>
          <w:sz w:val="24"/>
          <w:szCs w:val="24"/>
        </w:rPr>
        <w:t xml:space="preserve">often </w:t>
      </w:r>
      <w:r w:rsidRPr="00D805AE">
        <w:rPr>
          <w:sz w:val="24"/>
          <w:szCs w:val="24"/>
        </w:rPr>
        <w:t>to develop poor institutions.</w:t>
      </w:r>
      <w:r w:rsidRPr="00D805AE">
        <w:rPr>
          <w:rStyle w:val="FootnoteReference"/>
          <w:sz w:val="24"/>
          <w:szCs w:val="24"/>
        </w:rPr>
        <w:footnoteReference w:id="1"/>
      </w:r>
    </w:p>
    <w:p w:rsidR="00AA428A" w:rsidRPr="00D805AE" w:rsidRDefault="000C316B" w:rsidP="00785EB3">
      <w:pPr>
        <w:ind w:firstLine="720"/>
        <w:rPr>
          <w:sz w:val="24"/>
          <w:szCs w:val="24"/>
        </w:rPr>
      </w:pPr>
      <w:r w:rsidRPr="00D805AE">
        <w:rPr>
          <w:sz w:val="24"/>
          <w:szCs w:val="24"/>
        </w:rPr>
        <w:t xml:space="preserve">A third view, in addition to </w:t>
      </w:r>
      <w:r w:rsidR="00AA428A" w:rsidRPr="00D805AE">
        <w:rPr>
          <w:sz w:val="24"/>
          <w:szCs w:val="24"/>
        </w:rPr>
        <w:t xml:space="preserve">those emphasizing </w:t>
      </w:r>
      <w:r w:rsidRPr="00D805AE">
        <w:rPr>
          <w:sz w:val="24"/>
          <w:szCs w:val="24"/>
        </w:rPr>
        <w:t xml:space="preserve">trade and institutions, is that tropical conditions are bad for economic performance.  Probably the best interpretation of why tropical location </w:t>
      </w:r>
      <w:r w:rsidR="00AA428A" w:rsidRPr="00D805AE">
        <w:rPr>
          <w:sz w:val="24"/>
          <w:szCs w:val="24"/>
        </w:rPr>
        <w:t xml:space="preserve">is observed to </w:t>
      </w:r>
      <w:r w:rsidR="00C22EB4">
        <w:rPr>
          <w:sz w:val="24"/>
          <w:szCs w:val="24"/>
        </w:rPr>
        <w:t xml:space="preserve">be </w:t>
      </w:r>
      <w:r w:rsidR="00AA428A" w:rsidRPr="00D805AE">
        <w:rPr>
          <w:sz w:val="24"/>
          <w:szCs w:val="24"/>
        </w:rPr>
        <w:t xml:space="preserve">negatively correlated with </w:t>
      </w:r>
      <w:r w:rsidRPr="00D805AE">
        <w:rPr>
          <w:sz w:val="24"/>
          <w:szCs w:val="24"/>
        </w:rPr>
        <w:t xml:space="preserve">growth is the presence of malaria and </w:t>
      </w:r>
      <w:r w:rsidRPr="00D805AE">
        <w:rPr>
          <w:sz w:val="24"/>
          <w:szCs w:val="24"/>
        </w:rPr>
        <w:lastRenderedPageBreak/>
        <w:t>other tropical diseases.  Sachs (2003) argues that specific geographic determinants of malaria are correlated with slow growth across countries.</w:t>
      </w:r>
      <w:r w:rsidR="00A815CA" w:rsidRPr="00D805AE">
        <w:rPr>
          <w:sz w:val="24"/>
          <w:szCs w:val="24"/>
        </w:rPr>
        <w:t xml:space="preserve"> </w:t>
      </w:r>
      <w:r w:rsidR="00A815CA" w:rsidRPr="00D805AE">
        <w:rPr>
          <w:rStyle w:val="FootnoteReference"/>
          <w:sz w:val="24"/>
          <w:szCs w:val="24"/>
        </w:rPr>
        <w:footnoteRef/>
      </w:r>
    </w:p>
    <w:p w:rsidR="007B1DBB" w:rsidRPr="00D805AE" w:rsidRDefault="007B1DBB" w:rsidP="000C316B">
      <w:pPr>
        <w:ind w:firstLine="720"/>
        <w:rPr>
          <w:sz w:val="24"/>
          <w:szCs w:val="24"/>
        </w:rPr>
      </w:pPr>
      <w:r w:rsidRPr="00D805AE">
        <w:rPr>
          <w:sz w:val="24"/>
          <w:szCs w:val="24"/>
        </w:rPr>
        <w:t xml:space="preserve">Some of the more robust </w:t>
      </w:r>
      <w:r w:rsidR="00E81DC1" w:rsidRPr="00D805AE">
        <w:rPr>
          <w:sz w:val="24"/>
          <w:szCs w:val="24"/>
        </w:rPr>
        <w:t xml:space="preserve">empirical </w:t>
      </w:r>
      <w:r w:rsidRPr="00D805AE">
        <w:rPr>
          <w:sz w:val="24"/>
          <w:szCs w:val="24"/>
        </w:rPr>
        <w:t xml:space="preserve">findings include that remoteness, </w:t>
      </w:r>
      <w:proofErr w:type="spellStart"/>
      <w:r w:rsidRPr="00D805AE">
        <w:rPr>
          <w:sz w:val="24"/>
          <w:szCs w:val="24"/>
        </w:rPr>
        <w:t>landlockedness</w:t>
      </w:r>
      <w:proofErr w:type="spellEnd"/>
      <w:r w:rsidRPr="00D805AE">
        <w:rPr>
          <w:sz w:val="24"/>
          <w:szCs w:val="24"/>
        </w:rPr>
        <w:t>, tropical location, and small population size</w:t>
      </w:r>
      <w:r w:rsidRPr="00D805AE">
        <w:rPr>
          <w:rStyle w:val="FootnoteReference"/>
          <w:rFonts w:ascii="Courier New" w:hAnsi="Courier New" w:cs="Courier New"/>
          <w:sz w:val="24"/>
          <w:szCs w:val="24"/>
        </w:rPr>
        <w:footnoteReference w:id="2"/>
      </w:r>
      <w:r w:rsidRPr="00D805AE">
        <w:rPr>
          <w:sz w:val="24"/>
          <w:szCs w:val="24"/>
        </w:rPr>
        <w:t>, are bad for economic performance, other things equal.  These variables help explain why incomes are lower in Africa than</w:t>
      </w:r>
      <w:r w:rsidR="00B81221">
        <w:rPr>
          <w:sz w:val="24"/>
          <w:szCs w:val="24"/>
        </w:rPr>
        <w:t xml:space="preserve"> in other parts of the world.  </w:t>
      </w:r>
      <w:r w:rsidRPr="00D805AE">
        <w:rPr>
          <w:sz w:val="24"/>
          <w:szCs w:val="24"/>
        </w:rPr>
        <w:t xml:space="preserve">Education and national saving tend to be good for economic performance.   </w:t>
      </w:r>
    </w:p>
    <w:p w:rsidR="00293213" w:rsidRPr="00D805AE" w:rsidRDefault="00B35B0E" w:rsidP="0025290A">
      <w:pPr>
        <w:ind w:firstLine="720"/>
        <w:rPr>
          <w:sz w:val="24"/>
          <w:szCs w:val="24"/>
        </w:rPr>
      </w:pPr>
      <w:r w:rsidRPr="00D805AE">
        <w:rPr>
          <w:sz w:val="24"/>
          <w:szCs w:val="24"/>
        </w:rPr>
        <w:t xml:space="preserve">Clearly a major reason that remoteness and </w:t>
      </w:r>
      <w:proofErr w:type="spellStart"/>
      <w:r w:rsidRPr="00D805AE">
        <w:rPr>
          <w:sz w:val="24"/>
          <w:szCs w:val="24"/>
        </w:rPr>
        <w:t>landlockedness</w:t>
      </w:r>
      <w:proofErr w:type="spellEnd"/>
      <w:r w:rsidRPr="00D805AE">
        <w:rPr>
          <w:sz w:val="24"/>
          <w:szCs w:val="24"/>
        </w:rPr>
        <w:t xml:space="preserve"> hurt economies is that they </w:t>
      </w:r>
      <w:r w:rsidR="000D468E" w:rsidRPr="00D805AE">
        <w:rPr>
          <w:sz w:val="24"/>
          <w:szCs w:val="24"/>
        </w:rPr>
        <w:t xml:space="preserve">impede international trade.   </w:t>
      </w:r>
    </w:p>
    <w:p w:rsidR="00B35B0E" w:rsidRPr="00D805AE" w:rsidRDefault="000D468E" w:rsidP="0025290A">
      <w:pPr>
        <w:ind w:firstLine="720"/>
        <w:rPr>
          <w:sz w:val="24"/>
          <w:szCs w:val="24"/>
        </w:rPr>
      </w:pPr>
      <w:r w:rsidRPr="00D805AE">
        <w:rPr>
          <w:sz w:val="24"/>
          <w:szCs w:val="24"/>
        </w:rPr>
        <w:t xml:space="preserve">Many </w:t>
      </w:r>
      <w:r w:rsidR="00380B39" w:rsidRPr="00D805AE">
        <w:rPr>
          <w:sz w:val="24"/>
          <w:szCs w:val="24"/>
        </w:rPr>
        <w:t xml:space="preserve">global </w:t>
      </w:r>
      <w:r w:rsidRPr="00D805AE">
        <w:rPr>
          <w:sz w:val="24"/>
          <w:szCs w:val="24"/>
        </w:rPr>
        <w:t xml:space="preserve">studies find </w:t>
      </w:r>
      <w:r w:rsidR="00B35B0E" w:rsidRPr="00D805AE">
        <w:rPr>
          <w:sz w:val="24"/>
          <w:szCs w:val="24"/>
        </w:rPr>
        <w:t>a negative dummy variable for Africa. It often can be attributed to some of the other variables</w:t>
      </w:r>
      <w:r w:rsidR="00785EB3" w:rsidRPr="00D805AE">
        <w:rPr>
          <w:sz w:val="24"/>
          <w:szCs w:val="24"/>
        </w:rPr>
        <w:t xml:space="preserve"> on the list</w:t>
      </w:r>
      <w:r w:rsidR="00B35B0E" w:rsidRPr="00D805AE">
        <w:rPr>
          <w:sz w:val="24"/>
          <w:szCs w:val="24"/>
        </w:rPr>
        <w:t>, however, especially tropical location, as becomes evident when the econometrician controls for them and the apparent Africa effect disappears.</w:t>
      </w:r>
    </w:p>
    <w:p w:rsidR="00B35B0E" w:rsidRPr="00D805AE" w:rsidRDefault="00B35B0E" w:rsidP="00376975">
      <w:pPr>
        <w:ind w:firstLine="720"/>
        <w:rPr>
          <w:sz w:val="24"/>
          <w:szCs w:val="24"/>
        </w:rPr>
      </w:pPr>
      <w:r w:rsidRPr="00D805AE">
        <w:rPr>
          <w:sz w:val="24"/>
          <w:szCs w:val="24"/>
        </w:rPr>
        <w:t xml:space="preserve">While some of these variables may help explain </w:t>
      </w:r>
      <w:r w:rsidR="00B94C06" w:rsidRPr="00D805AE">
        <w:rPr>
          <w:sz w:val="24"/>
          <w:szCs w:val="24"/>
        </w:rPr>
        <w:t>low GDP in</w:t>
      </w:r>
      <w:r w:rsidRPr="00D805AE">
        <w:rPr>
          <w:sz w:val="24"/>
          <w:szCs w:val="24"/>
        </w:rPr>
        <w:t xml:space="preserve"> Africa</w:t>
      </w:r>
      <w:r w:rsidR="00B94C06" w:rsidRPr="00D805AE">
        <w:rPr>
          <w:sz w:val="24"/>
          <w:szCs w:val="24"/>
        </w:rPr>
        <w:t xml:space="preserve"> as a whole</w:t>
      </w:r>
      <w:r w:rsidRPr="00D805AE">
        <w:rPr>
          <w:sz w:val="24"/>
          <w:szCs w:val="24"/>
        </w:rPr>
        <w:t xml:space="preserve">, they do not necessarily help explain variation </w:t>
      </w:r>
      <w:r w:rsidRPr="00D805AE">
        <w:rPr>
          <w:i/>
          <w:sz w:val="24"/>
          <w:szCs w:val="24"/>
        </w:rPr>
        <w:t>within</w:t>
      </w:r>
      <w:r w:rsidR="00B94C06" w:rsidRPr="00D805AE">
        <w:rPr>
          <w:sz w:val="24"/>
          <w:szCs w:val="24"/>
        </w:rPr>
        <w:t xml:space="preserve"> Africa. </w:t>
      </w:r>
      <w:r w:rsidRPr="00D805AE">
        <w:rPr>
          <w:sz w:val="24"/>
          <w:szCs w:val="24"/>
        </w:rPr>
        <w:t xml:space="preserve"> Indeed, when using regression analysis to learn about differences in growth performance among African countries, many of the variables that are most significant on global data sets do much less within the continent.</w:t>
      </w:r>
      <w:r w:rsidR="00376975" w:rsidRPr="00D805AE">
        <w:rPr>
          <w:rStyle w:val="FootnoteReference"/>
          <w:sz w:val="24"/>
          <w:szCs w:val="24"/>
        </w:rPr>
        <w:footnoteReference w:id="3"/>
      </w:r>
      <w:r w:rsidRPr="00D805AE">
        <w:rPr>
          <w:sz w:val="24"/>
          <w:szCs w:val="24"/>
        </w:rPr>
        <w:t xml:space="preserve">  </w:t>
      </w:r>
      <w:r w:rsidR="00376975" w:rsidRPr="00D805AE">
        <w:rPr>
          <w:sz w:val="24"/>
          <w:szCs w:val="24"/>
        </w:rPr>
        <w:t>T</w:t>
      </w:r>
      <w:r w:rsidRPr="00D805AE">
        <w:rPr>
          <w:sz w:val="24"/>
          <w:szCs w:val="24"/>
        </w:rPr>
        <w:t xml:space="preserve">he more robust determinants, however, </w:t>
      </w:r>
      <w:r w:rsidR="00376975" w:rsidRPr="00D805AE">
        <w:rPr>
          <w:sz w:val="24"/>
          <w:szCs w:val="24"/>
        </w:rPr>
        <w:t>include</w:t>
      </w:r>
      <w:r w:rsidRPr="00D805AE">
        <w:rPr>
          <w:sz w:val="24"/>
          <w:szCs w:val="24"/>
        </w:rPr>
        <w:t xml:space="preserve"> trade and </w:t>
      </w:r>
      <w:r w:rsidR="00376975" w:rsidRPr="00D805AE">
        <w:rPr>
          <w:sz w:val="24"/>
          <w:szCs w:val="24"/>
        </w:rPr>
        <w:t xml:space="preserve">an important </w:t>
      </w:r>
      <w:r w:rsidRPr="00D805AE">
        <w:rPr>
          <w:sz w:val="24"/>
          <w:szCs w:val="24"/>
        </w:rPr>
        <w:t>geographic</w:t>
      </w:r>
      <w:r w:rsidR="00376975" w:rsidRPr="00D805AE">
        <w:rPr>
          <w:sz w:val="24"/>
          <w:szCs w:val="24"/>
        </w:rPr>
        <w:t>al determinant of trade: access to the sea.</w:t>
      </w:r>
    </w:p>
    <w:p w:rsidR="00785EB3" w:rsidRDefault="00346AC3" w:rsidP="00376975">
      <w:pPr>
        <w:ind w:firstLine="720"/>
        <w:rPr>
          <w:sz w:val="24"/>
          <w:szCs w:val="24"/>
        </w:rPr>
      </w:pPr>
      <w:r w:rsidRPr="00D805AE">
        <w:rPr>
          <w:sz w:val="24"/>
          <w:szCs w:val="24"/>
        </w:rPr>
        <w:t>It would be a mistake to interpret the academic literature as implying that countries in Africa or elsewhere do not have the power to promote goo</w:t>
      </w:r>
      <w:r w:rsidR="008E3EE7" w:rsidRPr="00D805AE">
        <w:rPr>
          <w:sz w:val="24"/>
          <w:szCs w:val="24"/>
        </w:rPr>
        <w:t xml:space="preserve">d policies and institutions and thereby achieve good economic performance because it is all predetermined by their geography (such as </w:t>
      </w:r>
      <w:proofErr w:type="spellStart"/>
      <w:r w:rsidR="008E3EE7" w:rsidRPr="00D805AE">
        <w:rPr>
          <w:sz w:val="24"/>
          <w:szCs w:val="24"/>
        </w:rPr>
        <w:t>landlockedness</w:t>
      </w:r>
      <w:proofErr w:type="spellEnd"/>
      <w:r w:rsidR="008E3EE7" w:rsidRPr="00D805AE">
        <w:rPr>
          <w:sz w:val="24"/>
          <w:szCs w:val="24"/>
        </w:rPr>
        <w:t xml:space="preserve">), their history (such as the settler mortality rate), their climate (pre-disposition to tropical diseases) or their geology (such as oil deposits). Economists are interested in these deep structural determinants because they offer a way to address the endogeneity </w:t>
      </w:r>
      <w:r w:rsidR="00A23242" w:rsidRPr="00D805AE">
        <w:rPr>
          <w:sz w:val="24"/>
          <w:szCs w:val="24"/>
        </w:rPr>
        <w:t xml:space="preserve">problem. </w:t>
      </w:r>
      <w:r w:rsidR="005D1D13" w:rsidRPr="00D805AE">
        <w:rPr>
          <w:sz w:val="24"/>
          <w:szCs w:val="24"/>
        </w:rPr>
        <w:t xml:space="preserve"> But the hope is that national leaders and their publics </w:t>
      </w:r>
      <w:r w:rsidR="00D708B7" w:rsidRPr="00D805AE">
        <w:rPr>
          <w:sz w:val="24"/>
          <w:szCs w:val="24"/>
        </w:rPr>
        <w:t>can</w:t>
      </w:r>
      <w:r w:rsidR="008C2B95" w:rsidRPr="00D805AE">
        <w:rPr>
          <w:sz w:val="24"/>
          <w:szCs w:val="24"/>
        </w:rPr>
        <w:t xml:space="preserve"> make the deliberate decision -- regardless their history or geography -- to </w:t>
      </w:r>
      <w:r w:rsidR="00A02E31" w:rsidRPr="00D805AE">
        <w:rPr>
          <w:sz w:val="24"/>
          <w:szCs w:val="24"/>
        </w:rPr>
        <w:t>promote trade, for example by joining a free trade area</w:t>
      </w:r>
      <w:r w:rsidR="008C2B95" w:rsidRPr="00D805AE">
        <w:rPr>
          <w:sz w:val="24"/>
          <w:szCs w:val="24"/>
        </w:rPr>
        <w:t>; or to improve institu</w:t>
      </w:r>
      <w:r w:rsidR="008E3EE7" w:rsidRPr="00D805AE">
        <w:rPr>
          <w:sz w:val="24"/>
          <w:szCs w:val="24"/>
        </w:rPr>
        <w:t xml:space="preserve">tions, </w:t>
      </w:r>
      <w:r w:rsidR="008C2B95" w:rsidRPr="00D805AE">
        <w:rPr>
          <w:sz w:val="24"/>
          <w:szCs w:val="24"/>
        </w:rPr>
        <w:t xml:space="preserve">for example by legal reform; or to fight malaria, by eliminating mosquito breeding areas. </w:t>
      </w:r>
      <w:r w:rsidR="008E3EE7" w:rsidRPr="00D805AE">
        <w:rPr>
          <w:sz w:val="24"/>
          <w:szCs w:val="24"/>
        </w:rPr>
        <w:t xml:space="preserve"> The decisions </w:t>
      </w:r>
      <w:r w:rsidR="005D1D13" w:rsidRPr="00D805AE">
        <w:rPr>
          <w:sz w:val="24"/>
          <w:szCs w:val="24"/>
        </w:rPr>
        <w:t xml:space="preserve">whether to give independence to a central bank or </w:t>
      </w:r>
      <w:r w:rsidR="008E3EE7" w:rsidRPr="00D805AE">
        <w:rPr>
          <w:sz w:val="24"/>
          <w:szCs w:val="24"/>
        </w:rPr>
        <w:t>whet</w:t>
      </w:r>
      <w:r w:rsidR="008C2B95" w:rsidRPr="00D805AE">
        <w:rPr>
          <w:sz w:val="24"/>
          <w:szCs w:val="24"/>
        </w:rPr>
        <w:t xml:space="preserve">her to join a currency union </w:t>
      </w:r>
      <w:r w:rsidR="008E3EE7" w:rsidRPr="00D805AE">
        <w:rPr>
          <w:sz w:val="24"/>
          <w:szCs w:val="24"/>
        </w:rPr>
        <w:t xml:space="preserve">are </w:t>
      </w:r>
      <w:r w:rsidR="00C22EB4">
        <w:rPr>
          <w:sz w:val="24"/>
          <w:szCs w:val="24"/>
        </w:rPr>
        <w:t>among the institutional choice</w:t>
      </w:r>
      <w:r w:rsidR="008C2B95" w:rsidRPr="00D805AE">
        <w:rPr>
          <w:sz w:val="24"/>
          <w:szCs w:val="24"/>
        </w:rPr>
        <w:t>s</w:t>
      </w:r>
      <w:r w:rsidR="008E3EE7" w:rsidRPr="00D805AE">
        <w:rPr>
          <w:sz w:val="24"/>
          <w:szCs w:val="24"/>
        </w:rPr>
        <w:t xml:space="preserve"> that countries can and do make in real time. </w:t>
      </w:r>
    </w:p>
    <w:p w:rsidR="00020579" w:rsidRDefault="00020579" w:rsidP="00376975">
      <w:pPr>
        <w:ind w:firstLine="720"/>
        <w:rPr>
          <w:sz w:val="24"/>
          <w:szCs w:val="24"/>
        </w:rPr>
      </w:pPr>
    </w:p>
    <w:p w:rsidR="00E73E18" w:rsidRDefault="00E73E18" w:rsidP="00E73E18">
      <w:pPr>
        <w:pStyle w:val="ListParagraph"/>
        <w:rPr>
          <w:b/>
          <w:sz w:val="24"/>
          <w:szCs w:val="24"/>
        </w:rPr>
      </w:pPr>
    </w:p>
    <w:p w:rsidR="00CE2405" w:rsidRPr="00D805AE" w:rsidRDefault="00785EB3" w:rsidP="00787C2A">
      <w:pPr>
        <w:pStyle w:val="ListParagraph"/>
        <w:numPr>
          <w:ilvl w:val="0"/>
          <w:numId w:val="4"/>
        </w:numPr>
        <w:rPr>
          <w:b/>
          <w:sz w:val="24"/>
          <w:szCs w:val="24"/>
        </w:rPr>
      </w:pPr>
      <w:r w:rsidRPr="00D805AE">
        <w:rPr>
          <w:b/>
          <w:sz w:val="24"/>
          <w:szCs w:val="24"/>
        </w:rPr>
        <w:t>The Currency Union Question in Light of the Determinants of Economic Performance</w:t>
      </w:r>
    </w:p>
    <w:p w:rsidR="00421034" w:rsidRPr="00D805AE" w:rsidRDefault="00CE2405" w:rsidP="00376975">
      <w:pPr>
        <w:ind w:firstLine="720"/>
        <w:rPr>
          <w:sz w:val="24"/>
          <w:szCs w:val="24"/>
        </w:rPr>
      </w:pPr>
      <w:r w:rsidRPr="00D805AE">
        <w:rPr>
          <w:sz w:val="24"/>
          <w:szCs w:val="24"/>
        </w:rPr>
        <w:t>At first glance, the</w:t>
      </w:r>
      <w:r w:rsidR="00346AC3" w:rsidRPr="00D805AE">
        <w:rPr>
          <w:sz w:val="24"/>
          <w:szCs w:val="24"/>
        </w:rPr>
        <w:t xml:space="preserve">re seems to be a </w:t>
      </w:r>
      <w:r w:rsidRPr="00D805AE">
        <w:rPr>
          <w:sz w:val="24"/>
          <w:szCs w:val="24"/>
        </w:rPr>
        <w:t>chasm separating the Optimum Currency Area</w:t>
      </w:r>
      <w:r w:rsidR="00F07E3E" w:rsidRPr="00D805AE">
        <w:rPr>
          <w:sz w:val="24"/>
          <w:szCs w:val="24"/>
        </w:rPr>
        <w:t xml:space="preserve"> literature</w:t>
      </w:r>
      <w:r w:rsidRPr="00D805AE">
        <w:rPr>
          <w:sz w:val="24"/>
          <w:szCs w:val="24"/>
        </w:rPr>
        <w:t xml:space="preserve"> </w:t>
      </w:r>
      <w:r w:rsidR="00F07E3E" w:rsidRPr="00D805AE">
        <w:rPr>
          <w:sz w:val="24"/>
          <w:szCs w:val="24"/>
        </w:rPr>
        <w:t>(see Memo 1)</w:t>
      </w:r>
      <w:r w:rsidRPr="00D805AE">
        <w:rPr>
          <w:sz w:val="24"/>
          <w:szCs w:val="24"/>
        </w:rPr>
        <w:t xml:space="preserve"> from </w:t>
      </w:r>
      <w:r w:rsidR="00346AC3" w:rsidRPr="00D805AE">
        <w:rPr>
          <w:sz w:val="24"/>
          <w:szCs w:val="24"/>
        </w:rPr>
        <w:t>the research on trade and institutions as determinants of economic development</w:t>
      </w:r>
      <w:r w:rsidR="00E81DC1" w:rsidRPr="00D805AE">
        <w:rPr>
          <w:sz w:val="24"/>
          <w:szCs w:val="24"/>
        </w:rPr>
        <w:t xml:space="preserve"> (Section 2 above)</w:t>
      </w:r>
      <w:r w:rsidR="00346AC3" w:rsidRPr="00D805AE">
        <w:rPr>
          <w:sz w:val="24"/>
          <w:szCs w:val="24"/>
        </w:rPr>
        <w:t xml:space="preserve">.  But strong connections are there.  </w:t>
      </w:r>
      <w:r w:rsidR="00111FF1" w:rsidRPr="00D805AE">
        <w:rPr>
          <w:sz w:val="24"/>
          <w:szCs w:val="24"/>
        </w:rPr>
        <w:t xml:space="preserve"> </w:t>
      </w:r>
    </w:p>
    <w:p w:rsidR="00111FF1" w:rsidRPr="00D805AE" w:rsidRDefault="00421034" w:rsidP="00376975">
      <w:pPr>
        <w:ind w:firstLine="720"/>
        <w:rPr>
          <w:sz w:val="24"/>
          <w:szCs w:val="24"/>
        </w:rPr>
      </w:pPr>
      <w:r w:rsidRPr="00D805AE">
        <w:rPr>
          <w:sz w:val="24"/>
          <w:szCs w:val="24"/>
        </w:rPr>
        <w:t>The OCA literature</w:t>
      </w:r>
      <w:r w:rsidR="00E81DC1" w:rsidRPr="00D805AE">
        <w:rPr>
          <w:sz w:val="24"/>
          <w:szCs w:val="24"/>
        </w:rPr>
        <w:t xml:space="preserve"> (Optimum Currency Areas)</w:t>
      </w:r>
      <w:r w:rsidRPr="00D805AE">
        <w:rPr>
          <w:sz w:val="24"/>
          <w:szCs w:val="24"/>
        </w:rPr>
        <w:t xml:space="preserve"> sees a trade-off between the ability of national authorities to respond counter-cyclically to adverse shocks, on the one hand</w:t>
      </w:r>
      <w:r w:rsidR="00E81DC1" w:rsidRPr="00D805AE">
        <w:rPr>
          <w:sz w:val="24"/>
          <w:szCs w:val="24"/>
        </w:rPr>
        <w:t>,</w:t>
      </w:r>
      <w:r w:rsidRPr="00D805AE">
        <w:rPr>
          <w:sz w:val="24"/>
          <w:szCs w:val="24"/>
        </w:rPr>
        <w:t xml:space="preserve"> versus advantages of giving up one’s currency on the other hand</w:t>
      </w:r>
      <w:r w:rsidR="00E81DC1" w:rsidRPr="00D805AE">
        <w:rPr>
          <w:sz w:val="24"/>
          <w:szCs w:val="24"/>
        </w:rPr>
        <w:t>.  Counter-cyclical monetary policy is important to think about because countries give it up when joining a currency union (though they might retain some scope for co</w:t>
      </w:r>
      <w:r w:rsidR="00B81221">
        <w:rPr>
          <w:sz w:val="24"/>
          <w:szCs w:val="24"/>
        </w:rPr>
        <w:t xml:space="preserve">untercyclical fiscal policy).  </w:t>
      </w:r>
      <w:r w:rsidR="00E81DC1" w:rsidRPr="00D805AE">
        <w:rPr>
          <w:sz w:val="24"/>
          <w:szCs w:val="24"/>
        </w:rPr>
        <w:t xml:space="preserve">Advantages of giving up one’s currency include </w:t>
      </w:r>
      <w:r w:rsidRPr="00D805AE">
        <w:rPr>
          <w:sz w:val="24"/>
          <w:szCs w:val="24"/>
        </w:rPr>
        <w:t>a possibly more credible nominal anchor for monetary policy</w:t>
      </w:r>
      <w:r w:rsidR="00713F3F">
        <w:rPr>
          <w:sz w:val="24"/>
          <w:szCs w:val="24"/>
        </w:rPr>
        <w:t xml:space="preserve"> </w:t>
      </w:r>
      <w:r w:rsidR="00E81DC1" w:rsidRPr="00D805AE">
        <w:rPr>
          <w:sz w:val="24"/>
          <w:szCs w:val="24"/>
        </w:rPr>
        <w:t>and also</w:t>
      </w:r>
      <w:r w:rsidR="005E7649" w:rsidRPr="00D805AE">
        <w:rPr>
          <w:sz w:val="24"/>
          <w:szCs w:val="24"/>
        </w:rPr>
        <w:t xml:space="preserve"> facilitation of trade</w:t>
      </w:r>
      <w:r w:rsidRPr="00D805AE">
        <w:rPr>
          <w:sz w:val="24"/>
          <w:szCs w:val="24"/>
        </w:rPr>
        <w:t xml:space="preserve">.  </w:t>
      </w:r>
      <w:r w:rsidR="00111FF1" w:rsidRPr="00D805AE">
        <w:rPr>
          <w:sz w:val="24"/>
          <w:szCs w:val="24"/>
        </w:rPr>
        <w:t xml:space="preserve">Consider </w:t>
      </w:r>
      <w:r w:rsidR="00B506C7" w:rsidRPr="00D805AE">
        <w:rPr>
          <w:sz w:val="24"/>
          <w:szCs w:val="24"/>
        </w:rPr>
        <w:t xml:space="preserve">first the trade-off between </w:t>
      </w:r>
      <w:r w:rsidR="00111FF1" w:rsidRPr="00D805AE">
        <w:rPr>
          <w:sz w:val="24"/>
          <w:szCs w:val="24"/>
        </w:rPr>
        <w:t>countercyclical macroeconomic policy</w:t>
      </w:r>
      <w:r w:rsidR="00B506C7" w:rsidRPr="00D805AE">
        <w:rPr>
          <w:sz w:val="24"/>
          <w:szCs w:val="24"/>
        </w:rPr>
        <w:t xml:space="preserve"> and </w:t>
      </w:r>
      <w:r w:rsidR="00111FF1" w:rsidRPr="00D805AE">
        <w:rPr>
          <w:sz w:val="24"/>
          <w:szCs w:val="24"/>
        </w:rPr>
        <w:t>the need for a nominal anchor,</w:t>
      </w:r>
      <w:r w:rsidRPr="00D805AE">
        <w:rPr>
          <w:sz w:val="24"/>
          <w:szCs w:val="24"/>
        </w:rPr>
        <w:t xml:space="preserve"> and</w:t>
      </w:r>
      <w:r w:rsidR="00111FF1" w:rsidRPr="00D805AE">
        <w:rPr>
          <w:sz w:val="24"/>
          <w:szCs w:val="24"/>
        </w:rPr>
        <w:t xml:space="preserve"> </w:t>
      </w:r>
      <w:r w:rsidR="00B506C7" w:rsidRPr="00D805AE">
        <w:rPr>
          <w:sz w:val="24"/>
          <w:szCs w:val="24"/>
        </w:rPr>
        <w:t xml:space="preserve">secondly, the importance of </w:t>
      </w:r>
      <w:r w:rsidR="00E81DC1" w:rsidRPr="00D805AE">
        <w:rPr>
          <w:sz w:val="24"/>
          <w:szCs w:val="24"/>
        </w:rPr>
        <w:t xml:space="preserve">facilitating </w:t>
      </w:r>
      <w:r w:rsidR="00111FF1" w:rsidRPr="00D805AE">
        <w:rPr>
          <w:sz w:val="24"/>
          <w:szCs w:val="24"/>
        </w:rPr>
        <w:t>trade</w:t>
      </w:r>
      <w:r w:rsidRPr="00D805AE">
        <w:rPr>
          <w:sz w:val="24"/>
          <w:szCs w:val="24"/>
        </w:rPr>
        <w:t>.</w:t>
      </w:r>
    </w:p>
    <w:p w:rsidR="005E7649" w:rsidRPr="00D805AE" w:rsidRDefault="00421034" w:rsidP="00683DE7">
      <w:pPr>
        <w:ind w:firstLine="720"/>
        <w:rPr>
          <w:sz w:val="24"/>
          <w:szCs w:val="24"/>
        </w:rPr>
      </w:pPr>
      <w:r w:rsidRPr="00D805AE">
        <w:rPr>
          <w:sz w:val="24"/>
          <w:szCs w:val="24"/>
        </w:rPr>
        <w:t>How useful is t</w:t>
      </w:r>
      <w:r w:rsidR="00346AC3" w:rsidRPr="00D805AE">
        <w:rPr>
          <w:sz w:val="24"/>
          <w:szCs w:val="24"/>
        </w:rPr>
        <w:t>he ability of macroeconomic policy to respond counter-cyclically to adverse shocks such as a decline in a country’s export market</w:t>
      </w:r>
      <w:r w:rsidR="00E81DC1" w:rsidRPr="00D805AE">
        <w:rPr>
          <w:sz w:val="24"/>
          <w:szCs w:val="24"/>
        </w:rPr>
        <w:t xml:space="preserve"> (</w:t>
      </w:r>
      <w:r w:rsidRPr="00D805AE">
        <w:rPr>
          <w:sz w:val="24"/>
          <w:szCs w:val="24"/>
        </w:rPr>
        <w:t>particularly via monetary expansion, lower interest rates, and currency depreciation</w:t>
      </w:r>
      <w:r w:rsidR="00E81DC1" w:rsidRPr="00D805AE">
        <w:rPr>
          <w:sz w:val="24"/>
          <w:szCs w:val="24"/>
        </w:rPr>
        <w:t>)</w:t>
      </w:r>
      <w:r w:rsidR="005E7649" w:rsidRPr="00D805AE">
        <w:rPr>
          <w:sz w:val="24"/>
          <w:szCs w:val="24"/>
        </w:rPr>
        <w:t xml:space="preserve">? </w:t>
      </w:r>
      <w:r w:rsidR="00683DE7" w:rsidRPr="00D805AE">
        <w:rPr>
          <w:sz w:val="24"/>
          <w:szCs w:val="24"/>
        </w:rPr>
        <w:t xml:space="preserve"> In theory it can be very useful, particularly if the country suffers from asymmetric shocks and lacks alternative mechanisms to adjust to them</w:t>
      </w:r>
      <w:r w:rsidR="00E81DC1" w:rsidRPr="00D805AE">
        <w:rPr>
          <w:sz w:val="24"/>
          <w:szCs w:val="24"/>
        </w:rPr>
        <w:t xml:space="preserve">, </w:t>
      </w:r>
      <w:r w:rsidR="00683DE7" w:rsidRPr="00D805AE">
        <w:rPr>
          <w:sz w:val="24"/>
          <w:szCs w:val="24"/>
        </w:rPr>
        <w:t>such as labor mobility.  But s</w:t>
      </w:r>
      <w:r w:rsidR="005E7649" w:rsidRPr="00D805AE">
        <w:rPr>
          <w:sz w:val="24"/>
          <w:szCs w:val="24"/>
        </w:rPr>
        <w:t xml:space="preserve">ome countries in practice are chronically unable to apply </w:t>
      </w:r>
      <w:r w:rsidR="00683DE7" w:rsidRPr="00D805AE">
        <w:rPr>
          <w:sz w:val="24"/>
          <w:szCs w:val="24"/>
        </w:rPr>
        <w:t xml:space="preserve">the tools of </w:t>
      </w:r>
      <w:r w:rsidR="005E7649" w:rsidRPr="00D805AE">
        <w:rPr>
          <w:sz w:val="24"/>
          <w:szCs w:val="24"/>
        </w:rPr>
        <w:t>macroeconomic policy counter-cyclically</w:t>
      </w:r>
      <w:r w:rsidR="00683DE7" w:rsidRPr="00D805AE">
        <w:rPr>
          <w:sz w:val="24"/>
          <w:szCs w:val="24"/>
        </w:rPr>
        <w:t xml:space="preserve"> even when they have full control over them</w:t>
      </w:r>
      <w:r w:rsidR="005E7649" w:rsidRPr="00D805AE">
        <w:rPr>
          <w:sz w:val="24"/>
          <w:szCs w:val="24"/>
        </w:rPr>
        <w:t>.  Indeed, among developing countries, and particularly those that export commodities, macroeconomic policy is more often pro-cyclical: governments apply stimulus during booms and are forc</w:t>
      </w:r>
      <w:r w:rsidR="006A63EF" w:rsidRPr="00D805AE">
        <w:rPr>
          <w:sz w:val="24"/>
          <w:szCs w:val="24"/>
        </w:rPr>
        <w:t>ed to contract during downturns.  Pro-cyclical macroeconomic policy of this sort exacerbates</w:t>
      </w:r>
      <w:r w:rsidR="005E7649" w:rsidRPr="00D805AE">
        <w:rPr>
          <w:sz w:val="24"/>
          <w:szCs w:val="24"/>
        </w:rPr>
        <w:t xml:space="preserve"> the swings in the business cycle.  </w:t>
      </w:r>
      <w:r w:rsidR="00683DE7" w:rsidRPr="00D805AE">
        <w:rPr>
          <w:sz w:val="24"/>
          <w:szCs w:val="24"/>
        </w:rPr>
        <w:t>R</w:t>
      </w:r>
      <w:r w:rsidR="005E7649" w:rsidRPr="00D805AE">
        <w:rPr>
          <w:sz w:val="24"/>
          <w:szCs w:val="24"/>
        </w:rPr>
        <w:t>ecent research suggests that countries that systematically achieve counter-cyclical macroeconomic policy tend to be those that have good institutions</w:t>
      </w:r>
      <w:r w:rsidR="00683DE7" w:rsidRPr="00D805AE">
        <w:rPr>
          <w:sz w:val="24"/>
          <w:szCs w:val="24"/>
        </w:rPr>
        <w:t>.</w:t>
      </w:r>
      <w:r w:rsidR="005E7649" w:rsidRPr="00D805AE">
        <w:rPr>
          <w:rStyle w:val="FootnoteReference"/>
          <w:sz w:val="24"/>
          <w:szCs w:val="24"/>
        </w:rPr>
        <w:footnoteReference w:id="4"/>
      </w:r>
      <w:r w:rsidR="00683DE7" w:rsidRPr="00D805AE">
        <w:rPr>
          <w:sz w:val="24"/>
          <w:szCs w:val="24"/>
        </w:rPr>
        <w:t xml:space="preserve"> </w:t>
      </w:r>
      <w:r w:rsidR="00D805AE" w:rsidRPr="00D805AE">
        <w:rPr>
          <w:sz w:val="24"/>
          <w:szCs w:val="24"/>
        </w:rPr>
        <w:t xml:space="preserve"> This</w:t>
      </w:r>
      <w:r w:rsidR="00683DE7" w:rsidRPr="00D805AE">
        <w:rPr>
          <w:sz w:val="24"/>
          <w:szCs w:val="24"/>
        </w:rPr>
        <w:t xml:space="preserve"> brings us back to the fundamental determinants of economic performance.</w:t>
      </w:r>
    </w:p>
    <w:p w:rsidR="004E7895" w:rsidRPr="00AF5480" w:rsidRDefault="00421034" w:rsidP="00214E0C">
      <w:pPr>
        <w:ind w:firstLine="720"/>
        <w:rPr>
          <w:sz w:val="24"/>
          <w:szCs w:val="24"/>
        </w:rPr>
      </w:pPr>
      <w:r w:rsidRPr="00AF5480">
        <w:rPr>
          <w:sz w:val="24"/>
          <w:szCs w:val="24"/>
        </w:rPr>
        <w:t xml:space="preserve">Another theme </w:t>
      </w:r>
      <w:r w:rsidR="00683DE7" w:rsidRPr="00AF5480">
        <w:rPr>
          <w:sz w:val="24"/>
          <w:szCs w:val="24"/>
        </w:rPr>
        <w:t xml:space="preserve">in the currency literature </w:t>
      </w:r>
      <w:r w:rsidRPr="00AF5480">
        <w:rPr>
          <w:sz w:val="24"/>
          <w:szCs w:val="24"/>
        </w:rPr>
        <w:t>is the need for a nominal anchor for credible non-inflationary monetary policy.</w:t>
      </w:r>
      <w:r w:rsidR="00214E0C" w:rsidRPr="00AF5480">
        <w:rPr>
          <w:sz w:val="24"/>
          <w:szCs w:val="24"/>
        </w:rPr>
        <w:t xml:space="preserve">  Monetary theory suggests that any country has a potential bias toward excessive inflation because of a temptation toward monetary expansion in order to finance budget deficits or</w:t>
      </w:r>
      <w:r w:rsidR="004566E1">
        <w:rPr>
          <w:sz w:val="24"/>
          <w:szCs w:val="24"/>
        </w:rPr>
        <w:t xml:space="preserve"> toward</w:t>
      </w:r>
      <w:r w:rsidR="00214E0C" w:rsidRPr="00AF5480">
        <w:rPr>
          <w:sz w:val="24"/>
          <w:szCs w:val="24"/>
        </w:rPr>
        <w:t xml:space="preserve"> attempts </w:t>
      </w:r>
      <w:r w:rsidR="004566E1">
        <w:rPr>
          <w:sz w:val="24"/>
          <w:szCs w:val="24"/>
        </w:rPr>
        <w:t xml:space="preserve">-- </w:t>
      </w:r>
      <w:r w:rsidR="00214E0C" w:rsidRPr="00AF5480">
        <w:rPr>
          <w:sz w:val="24"/>
          <w:szCs w:val="24"/>
        </w:rPr>
        <w:t>chronic and ultimately unsuccessful</w:t>
      </w:r>
      <w:r w:rsidR="004566E1">
        <w:rPr>
          <w:sz w:val="24"/>
          <w:szCs w:val="24"/>
        </w:rPr>
        <w:t xml:space="preserve"> --</w:t>
      </w:r>
      <w:r w:rsidR="00214E0C" w:rsidRPr="00AF5480">
        <w:rPr>
          <w:sz w:val="24"/>
          <w:szCs w:val="24"/>
        </w:rPr>
        <w:t xml:space="preserve"> t</w:t>
      </w:r>
      <w:r w:rsidR="00B81221">
        <w:rPr>
          <w:sz w:val="24"/>
          <w:szCs w:val="24"/>
        </w:rPr>
        <w:t xml:space="preserve">o stimulate the real economy.  </w:t>
      </w:r>
      <w:r w:rsidR="00214E0C" w:rsidRPr="00AF5480">
        <w:rPr>
          <w:sz w:val="24"/>
          <w:szCs w:val="24"/>
        </w:rPr>
        <w:t xml:space="preserve">Examples of “good institutions” that can help overcome inflationary bias </w:t>
      </w:r>
      <w:r w:rsidR="00214E0C" w:rsidRPr="00AF5480">
        <w:rPr>
          <w:sz w:val="24"/>
          <w:szCs w:val="24"/>
        </w:rPr>
        <w:lastRenderedPageBreak/>
        <w:t xml:space="preserve">include: government spending that does not chronically exceed what can be financed by taxation or borrowing; a legally independent central bank, insulated from political pressures; and </w:t>
      </w:r>
      <w:r w:rsidR="00EA6066" w:rsidRPr="00AF5480">
        <w:rPr>
          <w:sz w:val="24"/>
          <w:szCs w:val="24"/>
        </w:rPr>
        <w:t>a credible nominal anchor such as an inflation target.  In a country that lacks these institutions, it may be easier to import monetary stability from abroad by adopting the currency of a larger neighbor or currency area, provided that currency does not itself suffer from inflationary bias.</w:t>
      </w:r>
      <w:r w:rsidR="004E7895" w:rsidRPr="00AF5480">
        <w:rPr>
          <w:sz w:val="24"/>
          <w:szCs w:val="24"/>
        </w:rPr>
        <w:t xml:space="preserve">  </w:t>
      </w:r>
    </w:p>
    <w:p w:rsidR="00B506C7" w:rsidRDefault="00AF5480" w:rsidP="00214E0C">
      <w:pPr>
        <w:ind w:firstLine="720"/>
      </w:pPr>
      <w:r>
        <w:rPr>
          <w:sz w:val="24"/>
          <w:szCs w:val="24"/>
        </w:rPr>
        <w:t>T</w:t>
      </w:r>
      <w:r w:rsidR="004E7895" w:rsidRPr="00AF5480">
        <w:rPr>
          <w:sz w:val="24"/>
          <w:szCs w:val="24"/>
        </w:rPr>
        <w:t xml:space="preserve">here is an obvious trade-off between </w:t>
      </w:r>
      <w:r w:rsidR="00137398" w:rsidRPr="00AF5480">
        <w:rPr>
          <w:sz w:val="24"/>
          <w:szCs w:val="24"/>
        </w:rPr>
        <w:t xml:space="preserve">the ability to conduct countercyclical </w:t>
      </w:r>
      <w:r w:rsidR="004E7895" w:rsidRPr="00AF5480">
        <w:rPr>
          <w:sz w:val="24"/>
          <w:szCs w:val="24"/>
        </w:rPr>
        <w:t>monetary policy</w:t>
      </w:r>
      <w:r w:rsidR="00DB51EB">
        <w:rPr>
          <w:sz w:val="24"/>
          <w:szCs w:val="24"/>
        </w:rPr>
        <w:t>,</w:t>
      </w:r>
      <w:r w:rsidR="004E7895" w:rsidRPr="00AF5480">
        <w:rPr>
          <w:sz w:val="24"/>
          <w:szCs w:val="24"/>
        </w:rPr>
        <w:t xml:space="preserve"> </w:t>
      </w:r>
      <w:r w:rsidR="00DB51EB">
        <w:rPr>
          <w:sz w:val="24"/>
          <w:szCs w:val="24"/>
        </w:rPr>
        <w:t xml:space="preserve">on the one hand, </w:t>
      </w:r>
      <w:r w:rsidR="004E7895" w:rsidRPr="00AF5480">
        <w:rPr>
          <w:sz w:val="24"/>
          <w:szCs w:val="24"/>
        </w:rPr>
        <w:t>and credible commitment to price stability</w:t>
      </w:r>
      <w:r>
        <w:rPr>
          <w:sz w:val="24"/>
          <w:szCs w:val="24"/>
        </w:rPr>
        <w:t xml:space="preserve"> as via a rule</w:t>
      </w:r>
      <w:r w:rsidR="00DB51EB">
        <w:rPr>
          <w:sz w:val="24"/>
          <w:szCs w:val="24"/>
        </w:rPr>
        <w:t>, on the other hand</w:t>
      </w:r>
      <w:r>
        <w:rPr>
          <w:sz w:val="24"/>
          <w:szCs w:val="24"/>
        </w:rPr>
        <w:t>.  I</w:t>
      </w:r>
      <w:r w:rsidR="002C3859" w:rsidRPr="00AF5480">
        <w:rPr>
          <w:sz w:val="24"/>
          <w:szCs w:val="24"/>
        </w:rPr>
        <w:t xml:space="preserve">t is </w:t>
      </w:r>
      <w:r>
        <w:rPr>
          <w:sz w:val="24"/>
          <w:szCs w:val="24"/>
        </w:rPr>
        <w:t xml:space="preserve">nevertheless </w:t>
      </w:r>
      <w:r w:rsidR="002C3859" w:rsidRPr="00AF5480">
        <w:rPr>
          <w:sz w:val="24"/>
          <w:szCs w:val="24"/>
        </w:rPr>
        <w:t>important to consider that strong institutions can help with both</w:t>
      </w:r>
      <w:r w:rsidR="00DB51EB">
        <w:rPr>
          <w:sz w:val="24"/>
          <w:szCs w:val="24"/>
        </w:rPr>
        <w:t xml:space="preserve"> efforts</w:t>
      </w:r>
      <w:r w:rsidR="002C3859" w:rsidRPr="00AF5480">
        <w:rPr>
          <w:sz w:val="24"/>
          <w:szCs w:val="24"/>
        </w:rPr>
        <w:t xml:space="preserve">.  </w:t>
      </w:r>
      <w:r w:rsidR="00DB51EB">
        <w:rPr>
          <w:sz w:val="24"/>
          <w:szCs w:val="24"/>
        </w:rPr>
        <w:t xml:space="preserve">That is, good institutions </w:t>
      </w:r>
      <w:r w:rsidR="002C3859" w:rsidRPr="00AF5480">
        <w:rPr>
          <w:sz w:val="24"/>
          <w:szCs w:val="24"/>
        </w:rPr>
        <w:t>may be able to improve the terms of the trade-off</w:t>
      </w:r>
      <w:r>
        <w:rPr>
          <w:sz w:val="24"/>
          <w:szCs w:val="24"/>
        </w:rPr>
        <w:t xml:space="preserve"> between rules and discretion</w:t>
      </w:r>
      <w:r w:rsidR="002C3859" w:rsidRPr="00AF5480">
        <w:rPr>
          <w:sz w:val="24"/>
          <w:szCs w:val="24"/>
        </w:rPr>
        <w:t>.</w:t>
      </w:r>
      <w:r w:rsidR="00DB51EB">
        <w:t xml:space="preserve">  </w:t>
      </w:r>
      <w:r w:rsidR="004E7895" w:rsidRPr="004E7895">
        <w:rPr>
          <w:sz w:val="24"/>
          <w:szCs w:val="24"/>
        </w:rPr>
        <w:t xml:space="preserve">Guillaume and </w:t>
      </w:r>
      <w:proofErr w:type="spellStart"/>
      <w:r w:rsidR="004E7895" w:rsidRPr="004E7895">
        <w:rPr>
          <w:sz w:val="24"/>
          <w:szCs w:val="24"/>
        </w:rPr>
        <w:t>Stasavage</w:t>
      </w:r>
      <w:proofErr w:type="spellEnd"/>
      <w:r w:rsidR="004E7895" w:rsidRPr="004E7895">
        <w:rPr>
          <w:sz w:val="24"/>
          <w:szCs w:val="24"/>
        </w:rPr>
        <w:t xml:space="preserve"> (2000)</w:t>
      </w:r>
      <w:r>
        <w:rPr>
          <w:sz w:val="24"/>
          <w:szCs w:val="24"/>
        </w:rPr>
        <w:t xml:space="preserve"> study political institutions in Africa, f</w:t>
      </w:r>
      <w:r w:rsidRPr="00AF5480">
        <w:rPr>
          <w:sz w:val="24"/>
          <w:szCs w:val="24"/>
        </w:rPr>
        <w:t>or</w:t>
      </w:r>
      <w:r w:rsidR="00365D20">
        <w:rPr>
          <w:sz w:val="24"/>
          <w:szCs w:val="24"/>
        </w:rPr>
        <w:t xml:space="preserve"> example</w:t>
      </w:r>
      <w:r w:rsidRPr="00AF5480">
        <w:rPr>
          <w:sz w:val="24"/>
          <w:szCs w:val="24"/>
        </w:rPr>
        <w:t xml:space="preserve"> </w:t>
      </w:r>
      <w:r>
        <w:rPr>
          <w:sz w:val="24"/>
          <w:szCs w:val="24"/>
        </w:rPr>
        <w:t>measuring</w:t>
      </w:r>
      <w:r w:rsidRPr="00AF5480">
        <w:rPr>
          <w:sz w:val="24"/>
          <w:szCs w:val="24"/>
        </w:rPr>
        <w:t xml:space="preserve"> the frequency of “political shocks” by counting coups and cabinet changes</w:t>
      </w:r>
      <w:r>
        <w:rPr>
          <w:sz w:val="24"/>
          <w:szCs w:val="24"/>
        </w:rPr>
        <w:t xml:space="preserve">.  They </w:t>
      </w:r>
      <w:r w:rsidR="004E7895" w:rsidRPr="004E7895">
        <w:rPr>
          <w:sz w:val="24"/>
          <w:szCs w:val="24"/>
        </w:rPr>
        <w:t xml:space="preserve">argue that some countries lack political institutions strong enough for </w:t>
      </w:r>
      <w:r w:rsidR="004E7895">
        <w:rPr>
          <w:sz w:val="24"/>
          <w:szCs w:val="24"/>
        </w:rPr>
        <w:t xml:space="preserve">credible </w:t>
      </w:r>
      <w:r w:rsidR="004E7895" w:rsidRPr="004E7895">
        <w:rPr>
          <w:sz w:val="24"/>
          <w:szCs w:val="24"/>
        </w:rPr>
        <w:t>commitment to macroecono</w:t>
      </w:r>
      <w:r w:rsidR="009F2099">
        <w:rPr>
          <w:sz w:val="24"/>
          <w:szCs w:val="24"/>
        </w:rPr>
        <w:t>mic and financial stability, and</w:t>
      </w:r>
      <w:r w:rsidR="004E7895" w:rsidRPr="004E7895">
        <w:rPr>
          <w:sz w:val="24"/>
          <w:szCs w:val="24"/>
        </w:rPr>
        <w:t xml:space="preserve"> that part</w:t>
      </w:r>
      <w:r w:rsidR="009F2099">
        <w:rPr>
          <w:sz w:val="24"/>
          <w:szCs w:val="24"/>
        </w:rPr>
        <w:t xml:space="preserve">icipation in </w:t>
      </w:r>
      <w:r w:rsidR="004E7895" w:rsidRPr="004E7895">
        <w:rPr>
          <w:sz w:val="24"/>
          <w:szCs w:val="24"/>
        </w:rPr>
        <w:t>the right monetary union might make up for it.</w:t>
      </w:r>
    </w:p>
    <w:p w:rsidR="00C66723" w:rsidRDefault="00EA6066" w:rsidP="00FD3E90">
      <w:pPr>
        <w:ind w:firstLine="720"/>
        <w:rPr>
          <w:sz w:val="24"/>
          <w:szCs w:val="24"/>
        </w:rPr>
      </w:pPr>
      <w:r>
        <w:t>There are other</w:t>
      </w:r>
      <w:r>
        <w:rPr>
          <w:sz w:val="24"/>
          <w:szCs w:val="24"/>
        </w:rPr>
        <w:t xml:space="preserve"> implications of the growth discussion </w:t>
      </w:r>
      <w:r w:rsidR="009F2099">
        <w:rPr>
          <w:sz w:val="24"/>
          <w:szCs w:val="24"/>
        </w:rPr>
        <w:t xml:space="preserve">in Section 2 </w:t>
      </w:r>
      <w:r>
        <w:rPr>
          <w:sz w:val="24"/>
          <w:szCs w:val="24"/>
        </w:rPr>
        <w:t xml:space="preserve">for the Currency Union question.  </w:t>
      </w:r>
      <w:r w:rsidR="00C66723">
        <w:rPr>
          <w:sz w:val="24"/>
          <w:szCs w:val="24"/>
        </w:rPr>
        <w:t xml:space="preserve">In the cross-country growth regressions, small country size was seen to be a negative determinant of economic performance and trade </w:t>
      </w:r>
      <w:r w:rsidR="009F2099">
        <w:rPr>
          <w:sz w:val="24"/>
          <w:szCs w:val="24"/>
        </w:rPr>
        <w:t xml:space="preserve">to be </w:t>
      </w:r>
      <w:r w:rsidR="00C66723">
        <w:rPr>
          <w:sz w:val="24"/>
          <w:szCs w:val="24"/>
        </w:rPr>
        <w:t>a positive determinant.  The two facts are closely related.  Small countries are likely to</w:t>
      </w:r>
      <w:r>
        <w:rPr>
          <w:sz w:val="24"/>
          <w:szCs w:val="24"/>
        </w:rPr>
        <w:t xml:space="preserve"> lack a diversified set of endowments or lack an internal market big enough to achie</w:t>
      </w:r>
      <w:r w:rsidR="00C66723">
        <w:rPr>
          <w:sz w:val="24"/>
          <w:szCs w:val="24"/>
        </w:rPr>
        <w:t xml:space="preserve">ve economies of scale, or lack </w:t>
      </w:r>
      <w:r>
        <w:rPr>
          <w:sz w:val="24"/>
          <w:szCs w:val="24"/>
        </w:rPr>
        <w:t xml:space="preserve">both. </w:t>
      </w:r>
      <w:r w:rsidR="00C66723">
        <w:rPr>
          <w:sz w:val="24"/>
          <w:szCs w:val="24"/>
        </w:rPr>
        <w:t xml:space="preserve">Trade is a way that small countries can make up for these limitations. Singapore is a spectacular example.  </w:t>
      </w:r>
    </w:p>
    <w:p w:rsidR="00FD3E90" w:rsidRDefault="00683DE7" w:rsidP="00FD3E90">
      <w:pPr>
        <w:ind w:firstLine="720"/>
        <w:rPr>
          <w:sz w:val="24"/>
          <w:szCs w:val="24"/>
        </w:rPr>
      </w:pPr>
      <w:r>
        <w:rPr>
          <w:sz w:val="24"/>
          <w:szCs w:val="24"/>
        </w:rPr>
        <w:t>Holding other factors</w:t>
      </w:r>
      <w:r w:rsidR="00FD3E90">
        <w:rPr>
          <w:sz w:val="24"/>
          <w:szCs w:val="24"/>
        </w:rPr>
        <w:t xml:space="preserve"> equal (like geographic location and trade policy)</w:t>
      </w:r>
      <w:proofErr w:type="gramStart"/>
      <w:r w:rsidR="00FD3E90">
        <w:rPr>
          <w:sz w:val="24"/>
          <w:szCs w:val="24"/>
        </w:rPr>
        <w:t>,</w:t>
      </w:r>
      <w:proofErr w:type="gramEnd"/>
      <w:r w:rsidR="00FD3E90">
        <w:rPr>
          <w:sz w:val="24"/>
          <w:szCs w:val="24"/>
        </w:rPr>
        <w:t xml:space="preserve"> small countries tend to have a much higher ratio of trade to GDP than large countries.  This is one reason why the McKinnon </w:t>
      </w:r>
      <w:r w:rsidR="00DB5DD9">
        <w:rPr>
          <w:sz w:val="24"/>
          <w:szCs w:val="24"/>
        </w:rPr>
        <w:t xml:space="preserve">(1963) </w:t>
      </w:r>
      <w:r w:rsidR="00FD3E90">
        <w:rPr>
          <w:sz w:val="24"/>
          <w:szCs w:val="24"/>
        </w:rPr>
        <w:t>condition telling a country to join a currency area</w:t>
      </w:r>
      <w:r w:rsidR="00DB5DD9">
        <w:rPr>
          <w:sz w:val="24"/>
          <w:szCs w:val="24"/>
        </w:rPr>
        <w:t xml:space="preserve"> if it is</w:t>
      </w:r>
      <w:r w:rsidR="00FD3E90">
        <w:rPr>
          <w:sz w:val="24"/>
          <w:szCs w:val="24"/>
        </w:rPr>
        <w:t xml:space="preserve"> “s</w:t>
      </w:r>
      <w:r w:rsidR="00DB5DD9">
        <w:rPr>
          <w:sz w:val="24"/>
          <w:szCs w:val="24"/>
        </w:rPr>
        <w:t>mall and open</w:t>
      </w:r>
      <w:r w:rsidR="009F2099">
        <w:rPr>
          <w:sz w:val="24"/>
          <w:szCs w:val="24"/>
        </w:rPr>
        <w:t>” so often is phrased</w:t>
      </w:r>
      <w:r w:rsidR="00FD3E90">
        <w:rPr>
          <w:sz w:val="24"/>
          <w:szCs w:val="24"/>
        </w:rPr>
        <w:t xml:space="preserve"> as one criterion rather than two.  But the two effects are logically distinct.  A country that is already open in the sense that </w:t>
      </w:r>
      <w:r>
        <w:rPr>
          <w:sz w:val="24"/>
          <w:szCs w:val="24"/>
        </w:rPr>
        <w:t xml:space="preserve">it </w:t>
      </w:r>
      <w:r w:rsidR="00FD3E90">
        <w:rPr>
          <w:sz w:val="24"/>
          <w:szCs w:val="24"/>
        </w:rPr>
        <w:t xml:space="preserve">has a high ratio of tradable goods will benefit a lot from giving up its own currency, because making things easy for importers and exporters matters more if they dominate the economy.  </w:t>
      </w:r>
      <w:proofErr w:type="gramStart"/>
      <w:r w:rsidR="00FD3E90">
        <w:rPr>
          <w:sz w:val="24"/>
          <w:szCs w:val="24"/>
        </w:rPr>
        <w:t>But what about a small country that does not already have a high tra</w:t>
      </w:r>
      <w:r w:rsidR="00B81221">
        <w:rPr>
          <w:sz w:val="24"/>
          <w:szCs w:val="24"/>
        </w:rPr>
        <w:t>de ratio?</w:t>
      </w:r>
      <w:proofErr w:type="gramEnd"/>
      <w:r w:rsidR="00B81221">
        <w:rPr>
          <w:sz w:val="24"/>
          <w:szCs w:val="24"/>
        </w:rPr>
        <w:t xml:space="preserve">  </w:t>
      </w:r>
      <w:r w:rsidR="00FD3E90">
        <w:rPr>
          <w:sz w:val="24"/>
          <w:szCs w:val="24"/>
        </w:rPr>
        <w:t>Such a country needs trade-promoting policies all the more</w:t>
      </w:r>
      <w:r>
        <w:rPr>
          <w:sz w:val="24"/>
          <w:szCs w:val="24"/>
        </w:rPr>
        <w:t>, to make up for its small internal market and lack of diversity in resources</w:t>
      </w:r>
      <w:r w:rsidR="00FD3E90">
        <w:rPr>
          <w:sz w:val="24"/>
          <w:szCs w:val="24"/>
        </w:rPr>
        <w:t>.</w:t>
      </w:r>
    </w:p>
    <w:p w:rsidR="00C66723" w:rsidRDefault="00C66723" w:rsidP="00C66723">
      <w:pPr>
        <w:ind w:firstLine="720"/>
        <w:rPr>
          <w:sz w:val="24"/>
          <w:szCs w:val="24"/>
        </w:rPr>
      </w:pPr>
      <w:r>
        <w:rPr>
          <w:sz w:val="24"/>
          <w:szCs w:val="24"/>
        </w:rPr>
        <w:t xml:space="preserve">Trade-promoting policies are especially important in countries that are less well-situated for trade, such as those that are landlocked or located in a remote part of the world.  Trade-promoting policies include most obviously </w:t>
      </w:r>
      <w:r w:rsidR="00FD3E90">
        <w:rPr>
          <w:sz w:val="24"/>
          <w:szCs w:val="24"/>
        </w:rPr>
        <w:t xml:space="preserve">the </w:t>
      </w:r>
      <w:r>
        <w:rPr>
          <w:sz w:val="24"/>
          <w:szCs w:val="24"/>
        </w:rPr>
        <w:t xml:space="preserve">elimination of tariffs and non-tariff trade barriers, either unilaterally or as part of an international agreement such as joining </w:t>
      </w:r>
      <w:r w:rsidR="00DB5DD9">
        <w:rPr>
          <w:sz w:val="24"/>
          <w:szCs w:val="24"/>
        </w:rPr>
        <w:t xml:space="preserve">the WTO and/or </w:t>
      </w:r>
      <w:r>
        <w:rPr>
          <w:sz w:val="24"/>
          <w:szCs w:val="24"/>
        </w:rPr>
        <w:t>a regional Free Trade Area.  Another trade-promoting policy is to joining a regional Currency Union.  We saw in Memo 1 the surprising robust econometric evidence that the trade-</w:t>
      </w:r>
      <w:r>
        <w:rPr>
          <w:sz w:val="24"/>
          <w:szCs w:val="24"/>
        </w:rPr>
        <w:lastRenderedPageBreak/>
        <w:t>creating effects of a currency union are approximately as strong as the trade-creating effects of a Free Trade Area.</w:t>
      </w:r>
      <w:r w:rsidR="000B7B6B">
        <w:rPr>
          <w:rStyle w:val="FootnoteReference"/>
          <w:sz w:val="24"/>
          <w:szCs w:val="24"/>
        </w:rPr>
        <w:footnoteReference w:id="5"/>
      </w:r>
      <w:r w:rsidR="00F64722">
        <w:rPr>
          <w:sz w:val="24"/>
          <w:szCs w:val="24"/>
        </w:rPr>
        <w:br/>
      </w:r>
    </w:p>
    <w:p w:rsidR="00F60F49" w:rsidRPr="00F60F49" w:rsidRDefault="00787C2A" w:rsidP="00670EA4">
      <w:pPr>
        <w:ind w:left="720"/>
        <w:rPr>
          <w:b/>
          <w:sz w:val="24"/>
          <w:szCs w:val="24"/>
        </w:rPr>
      </w:pPr>
      <w:r>
        <w:rPr>
          <w:b/>
          <w:sz w:val="24"/>
          <w:szCs w:val="24"/>
        </w:rPr>
        <w:t xml:space="preserve">4. A </w:t>
      </w:r>
      <w:r w:rsidR="00EB2EE7">
        <w:rPr>
          <w:b/>
          <w:sz w:val="24"/>
          <w:szCs w:val="24"/>
        </w:rPr>
        <w:t xml:space="preserve">Look at the Data </w:t>
      </w:r>
      <w:r w:rsidR="00F60F49" w:rsidRPr="00F60F49">
        <w:rPr>
          <w:b/>
          <w:sz w:val="24"/>
          <w:szCs w:val="24"/>
        </w:rPr>
        <w:t>for Sub-Saharan Africa</w:t>
      </w:r>
      <w:r w:rsidR="00EB2EE7">
        <w:rPr>
          <w:b/>
          <w:sz w:val="24"/>
          <w:szCs w:val="24"/>
        </w:rPr>
        <w:t>: Growth, Inflation, and Trade</w:t>
      </w:r>
    </w:p>
    <w:p w:rsidR="00F60F49" w:rsidRDefault="000B7B6B" w:rsidP="00F60F49">
      <w:pPr>
        <w:ind w:firstLine="360"/>
        <w:rPr>
          <w:sz w:val="24"/>
          <w:szCs w:val="24"/>
        </w:rPr>
      </w:pPr>
      <w:r>
        <w:rPr>
          <w:sz w:val="24"/>
          <w:szCs w:val="24"/>
        </w:rPr>
        <w:t>Table 1 reports some basic statistics for Sub-Saharan Africa alongside</w:t>
      </w:r>
      <w:r w:rsidR="000C33A7">
        <w:rPr>
          <w:sz w:val="24"/>
          <w:szCs w:val="24"/>
        </w:rPr>
        <w:t xml:space="preserve"> other major regions.  </w:t>
      </w:r>
      <w:r w:rsidR="00A11E88">
        <w:rPr>
          <w:sz w:val="24"/>
          <w:szCs w:val="24"/>
        </w:rPr>
        <w:t>On the one hand, i</w:t>
      </w:r>
      <w:r w:rsidR="000C33A7">
        <w:rPr>
          <w:sz w:val="24"/>
          <w:szCs w:val="24"/>
        </w:rPr>
        <w:t>ncome per capita is the lowest</w:t>
      </w:r>
      <w:r w:rsidR="00A11E88">
        <w:rPr>
          <w:sz w:val="24"/>
          <w:szCs w:val="24"/>
        </w:rPr>
        <w:t xml:space="preserve"> of any region</w:t>
      </w:r>
      <w:r w:rsidR="000C33A7">
        <w:rPr>
          <w:sz w:val="24"/>
          <w:szCs w:val="24"/>
        </w:rPr>
        <w:t xml:space="preserve">.  </w:t>
      </w:r>
      <w:r w:rsidR="00A11E88">
        <w:rPr>
          <w:sz w:val="24"/>
          <w:szCs w:val="24"/>
        </w:rPr>
        <w:t>On the other hand, g</w:t>
      </w:r>
      <w:r w:rsidR="000C33A7">
        <w:rPr>
          <w:sz w:val="24"/>
          <w:szCs w:val="24"/>
        </w:rPr>
        <w:t>ro</w:t>
      </w:r>
      <w:r w:rsidR="00DF1F73">
        <w:rPr>
          <w:sz w:val="24"/>
          <w:szCs w:val="24"/>
        </w:rPr>
        <w:t xml:space="preserve">wth during the </w:t>
      </w:r>
      <w:r w:rsidR="002B6623">
        <w:rPr>
          <w:sz w:val="24"/>
          <w:szCs w:val="24"/>
        </w:rPr>
        <w:t xml:space="preserve">recent </w:t>
      </w:r>
      <w:r w:rsidR="00DF1F73">
        <w:rPr>
          <w:sz w:val="24"/>
          <w:szCs w:val="24"/>
        </w:rPr>
        <w:t>five-year period</w:t>
      </w:r>
      <w:r w:rsidR="000C33A7">
        <w:rPr>
          <w:sz w:val="24"/>
          <w:szCs w:val="24"/>
        </w:rPr>
        <w:t xml:space="preserve"> </w:t>
      </w:r>
      <w:r w:rsidR="002B6623">
        <w:rPr>
          <w:sz w:val="24"/>
          <w:szCs w:val="24"/>
        </w:rPr>
        <w:t>2013-17</w:t>
      </w:r>
      <w:r w:rsidR="000C33A7">
        <w:rPr>
          <w:sz w:val="24"/>
          <w:szCs w:val="24"/>
        </w:rPr>
        <w:t xml:space="preserve">, </w:t>
      </w:r>
      <w:r w:rsidR="00DF1F73">
        <w:rPr>
          <w:sz w:val="24"/>
          <w:szCs w:val="24"/>
        </w:rPr>
        <w:t xml:space="preserve">at </w:t>
      </w:r>
      <w:r w:rsidR="00452796">
        <w:rPr>
          <w:sz w:val="24"/>
          <w:szCs w:val="24"/>
        </w:rPr>
        <w:t xml:space="preserve">4.0% (simple average across countries) or </w:t>
      </w:r>
      <w:r w:rsidR="00DF1F73">
        <w:rPr>
          <w:sz w:val="24"/>
          <w:szCs w:val="24"/>
        </w:rPr>
        <w:t>3.</w:t>
      </w:r>
      <w:r w:rsidR="008309A5">
        <w:rPr>
          <w:sz w:val="24"/>
          <w:szCs w:val="24"/>
        </w:rPr>
        <w:t>8</w:t>
      </w:r>
      <w:r w:rsidR="00DF1F73">
        <w:rPr>
          <w:sz w:val="24"/>
          <w:szCs w:val="24"/>
        </w:rPr>
        <w:t>%</w:t>
      </w:r>
      <w:r w:rsidR="008309A5">
        <w:rPr>
          <w:sz w:val="24"/>
          <w:szCs w:val="24"/>
        </w:rPr>
        <w:t xml:space="preserve"> (</w:t>
      </w:r>
      <w:r w:rsidR="00452796">
        <w:rPr>
          <w:sz w:val="24"/>
          <w:szCs w:val="24"/>
        </w:rPr>
        <w:t>size-</w:t>
      </w:r>
      <w:r w:rsidR="0035420B">
        <w:rPr>
          <w:sz w:val="24"/>
          <w:szCs w:val="24"/>
        </w:rPr>
        <w:t>weighted averag</w:t>
      </w:r>
      <w:r w:rsidR="00452796">
        <w:rPr>
          <w:sz w:val="24"/>
          <w:szCs w:val="24"/>
        </w:rPr>
        <w:t>e</w:t>
      </w:r>
      <w:r w:rsidR="0035420B">
        <w:rPr>
          <w:sz w:val="24"/>
          <w:szCs w:val="24"/>
        </w:rPr>
        <w:t>)</w:t>
      </w:r>
      <w:r w:rsidR="00DF1F73">
        <w:rPr>
          <w:sz w:val="24"/>
          <w:szCs w:val="24"/>
        </w:rPr>
        <w:t xml:space="preserve">, </w:t>
      </w:r>
      <w:r w:rsidR="000C33A7">
        <w:rPr>
          <w:sz w:val="24"/>
          <w:szCs w:val="24"/>
        </w:rPr>
        <w:t xml:space="preserve">was the second-highest, lagging only </w:t>
      </w:r>
      <w:r w:rsidR="00DB5DD9">
        <w:rPr>
          <w:sz w:val="24"/>
          <w:szCs w:val="24"/>
        </w:rPr>
        <w:t xml:space="preserve">the </w:t>
      </w:r>
      <w:r w:rsidR="000C33A7">
        <w:rPr>
          <w:sz w:val="24"/>
          <w:szCs w:val="24"/>
        </w:rPr>
        <w:t>Asia/Pacific</w:t>
      </w:r>
      <w:r w:rsidR="00DB5DD9">
        <w:rPr>
          <w:sz w:val="24"/>
          <w:szCs w:val="24"/>
        </w:rPr>
        <w:t xml:space="preserve"> region</w:t>
      </w:r>
      <w:r w:rsidR="000C33A7">
        <w:rPr>
          <w:sz w:val="24"/>
          <w:szCs w:val="24"/>
        </w:rPr>
        <w:t>.</w:t>
      </w:r>
      <w:r w:rsidR="006B7569">
        <w:rPr>
          <w:sz w:val="24"/>
          <w:szCs w:val="24"/>
        </w:rPr>
        <w:t xml:space="preserve">  </w:t>
      </w:r>
    </w:p>
    <w:p w:rsidR="008309A5" w:rsidRDefault="00A11E88" w:rsidP="008309A5">
      <w:pPr>
        <w:ind w:firstLine="360"/>
        <w:rPr>
          <w:sz w:val="24"/>
          <w:szCs w:val="24"/>
        </w:rPr>
      </w:pPr>
      <w:r>
        <w:rPr>
          <w:sz w:val="24"/>
          <w:szCs w:val="24"/>
        </w:rPr>
        <w:t>The Afric</w:t>
      </w:r>
      <w:r w:rsidR="00E73E18">
        <w:rPr>
          <w:sz w:val="24"/>
          <w:szCs w:val="24"/>
        </w:rPr>
        <w:t>an inflation rate averaged from 4.1 % to 8.8 %</w:t>
      </w:r>
      <w:r w:rsidR="008309A5">
        <w:rPr>
          <w:sz w:val="24"/>
          <w:szCs w:val="24"/>
        </w:rPr>
        <w:t xml:space="preserve"> during this recent 5-year period</w:t>
      </w:r>
      <w:r w:rsidR="00E73E18">
        <w:rPr>
          <w:sz w:val="24"/>
          <w:szCs w:val="24"/>
        </w:rPr>
        <w:t xml:space="preserve">, depending on whether we look at the GDP deflator or the CPI, whether we look at the </w:t>
      </w:r>
      <w:r w:rsidR="000E194C">
        <w:rPr>
          <w:sz w:val="24"/>
          <w:szCs w:val="24"/>
        </w:rPr>
        <w:t>median</w:t>
      </w:r>
      <w:r w:rsidR="00E73E18">
        <w:rPr>
          <w:sz w:val="24"/>
          <w:szCs w:val="24"/>
        </w:rPr>
        <w:t xml:space="preserve"> across countries or the mean, and  whether the mean is the simple arithmetic average or GDP-weighted.  </w:t>
      </w:r>
      <w:r w:rsidR="008309A5">
        <w:rPr>
          <w:sz w:val="24"/>
          <w:szCs w:val="24"/>
        </w:rPr>
        <w:t>In general it is better to look at the median inflation rate within a group, because the mean can be distorted by a single country with high inflation, such as the hyperinflations experienced by Zimbabwe (2006-09) and Venezuela (2017</w:t>
      </w:r>
      <w:proofErr w:type="gramStart"/>
      <w:r w:rsidR="008309A5">
        <w:rPr>
          <w:sz w:val="24"/>
          <w:szCs w:val="24"/>
        </w:rPr>
        <w:t>-  )</w:t>
      </w:r>
      <w:proofErr w:type="gramEnd"/>
      <w:r w:rsidR="008309A5">
        <w:rPr>
          <w:sz w:val="24"/>
          <w:szCs w:val="24"/>
        </w:rPr>
        <w:t>.</w:t>
      </w:r>
      <w:r w:rsidR="00B81221">
        <w:rPr>
          <w:sz w:val="24"/>
          <w:szCs w:val="24"/>
        </w:rPr>
        <w:t xml:space="preserve"> </w:t>
      </w:r>
    </w:p>
    <w:p w:rsidR="00A11E88" w:rsidRDefault="00E73E18" w:rsidP="00F60F49">
      <w:pPr>
        <w:ind w:firstLine="360"/>
        <w:rPr>
          <w:sz w:val="24"/>
          <w:szCs w:val="24"/>
        </w:rPr>
      </w:pPr>
      <w:r>
        <w:rPr>
          <w:sz w:val="24"/>
          <w:szCs w:val="24"/>
        </w:rPr>
        <w:t>Regardless of</w:t>
      </w:r>
      <w:r w:rsidR="008309A5">
        <w:rPr>
          <w:sz w:val="24"/>
          <w:szCs w:val="24"/>
        </w:rPr>
        <w:t xml:space="preserve"> the method of calculation, African inflation tends to be </w:t>
      </w:r>
      <w:r w:rsidR="00A11E88">
        <w:rPr>
          <w:sz w:val="24"/>
          <w:szCs w:val="24"/>
        </w:rPr>
        <w:t>substantially higher than the 1-2% numbers in North America, Europe or Asia/Pacific</w:t>
      </w:r>
      <w:r w:rsidR="005A13D6">
        <w:rPr>
          <w:sz w:val="24"/>
          <w:szCs w:val="24"/>
        </w:rPr>
        <w:t xml:space="preserve">. </w:t>
      </w:r>
      <w:r w:rsidR="00A11E88">
        <w:rPr>
          <w:sz w:val="24"/>
          <w:szCs w:val="24"/>
        </w:rPr>
        <w:t xml:space="preserve"> </w:t>
      </w:r>
      <w:r w:rsidR="008309A5">
        <w:rPr>
          <w:sz w:val="24"/>
          <w:szCs w:val="24"/>
        </w:rPr>
        <w:t xml:space="preserve">Even though the median African inflation rate </w:t>
      </w:r>
      <w:r w:rsidR="005A13D6">
        <w:rPr>
          <w:sz w:val="24"/>
          <w:szCs w:val="24"/>
        </w:rPr>
        <w:t>is lower than most developing countries experienced in the high-inflation 1970s and 1980s,</w:t>
      </w:r>
      <w:r w:rsidR="008309A5">
        <w:rPr>
          <w:sz w:val="24"/>
          <w:szCs w:val="24"/>
        </w:rPr>
        <w:t xml:space="preserve"> and even today is lower than among the CIS states reported in the last column of Table 1, </w:t>
      </w:r>
      <w:r w:rsidR="005A13D6">
        <w:rPr>
          <w:sz w:val="24"/>
          <w:szCs w:val="24"/>
        </w:rPr>
        <w:t>it is still higher than optimal.</w:t>
      </w:r>
      <w:r w:rsidR="00DF1F73">
        <w:rPr>
          <w:sz w:val="24"/>
          <w:szCs w:val="24"/>
        </w:rPr>
        <w:t xml:space="preserve">  It suggests that much of Africa has not yet achieved an institutional framew</w:t>
      </w:r>
      <w:r w:rsidR="00683DE7">
        <w:rPr>
          <w:sz w:val="24"/>
          <w:szCs w:val="24"/>
        </w:rPr>
        <w:t>ork for monetary policy that</w:t>
      </w:r>
      <w:r w:rsidR="00DF1F73">
        <w:rPr>
          <w:sz w:val="24"/>
          <w:szCs w:val="24"/>
        </w:rPr>
        <w:t xml:space="preserve"> deliver</w:t>
      </w:r>
      <w:r w:rsidR="00683DE7">
        <w:rPr>
          <w:sz w:val="24"/>
          <w:szCs w:val="24"/>
        </w:rPr>
        <w:t>s</w:t>
      </w:r>
      <w:r w:rsidR="00DF1F73">
        <w:rPr>
          <w:sz w:val="24"/>
          <w:szCs w:val="24"/>
        </w:rPr>
        <w:t xml:space="preserve"> </w:t>
      </w:r>
      <w:r w:rsidR="008309A5">
        <w:rPr>
          <w:sz w:val="24"/>
          <w:szCs w:val="24"/>
        </w:rPr>
        <w:t xml:space="preserve">full </w:t>
      </w:r>
      <w:r w:rsidR="00DF1F73">
        <w:rPr>
          <w:sz w:val="24"/>
          <w:szCs w:val="24"/>
        </w:rPr>
        <w:t xml:space="preserve">price stability. </w:t>
      </w:r>
    </w:p>
    <w:p w:rsidR="008A7C5E" w:rsidRDefault="00683DE7" w:rsidP="00F60F49">
      <w:pPr>
        <w:rPr>
          <w:sz w:val="24"/>
          <w:szCs w:val="24"/>
        </w:rPr>
      </w:pPr>
      <w:r>
        <w:rPr>
          <w:sz w:val="24"/>
          <w:szCs w:val="24"/>
        </w:rPr>
        <w:tab/>
      </w:r>
      <w:r w:rsidR="00A00A7E">
        <w:rPr>
          <w:sz w:val="24"/>
          <w:szCs w:val="24"/>
        </w:rPr>
        <w:t xml:space="preserve"> </w:t>
      </w:r>
    </w:p>
    <w:p w:rsidR="00E73E18" w:rsidRDefault="00E73E18">
      <w:r>
        <w:br w:type="page"/>
      </w:r>
    </w:p>
    <w:tbl>
      <w:tblPr>
        <w:tblpPr w:leftFromText="180" w:rightFromText="180" w:vertAnchor="text" w:horzAnchor="page" w:tblpX="1260" w:tblpY="905"/>
        <w:tblW w:w="9972" w:type="dxa"/>
        <w:tblLayout w:type="fixed"/>
        <w:tblLook w:val="04A0" w:firstRow="1" w:lastRow="0" w:firstColumn="1" w:lastColumn="0" w:noHBand="0" w:noVBand="1"/>
      </w:tblPr>
      <w:tblGrid>
        <w:gridCol w:w="9972"/>
      </w:tblGrid>
      <w:tr w:rsidR="00AE2B9A" w:rsidRPr="00247463" w:rsidTr="00AE2B9A">
        <w:trPr>
          <w:trHeight w:val="290"/>
        </w:trPr>
        <w:tc>
          <w:tcPr>
            <w:tcW w:w="9972" w:type="dxa"/>
            <w:tcBorders>
              <w:top w:val="nil"/>
              <w:left w:val="nil"/>
              <w:bottom w:val="nil"/>
              <w:right w:val="nil"/>
            </w:tcBorders>
            <w:shd w:val="clear" w:color="auto" w:fill="auto"/>
            <w:noWrap/>
            <w:vAlign w:val="bottom"/>
            <w:hideMark/>
          </w:tcPr>
          <w:p w:rsidR="00AE2B9A" w:rsidRDefault="00AE2B9A" w:rsidP="00AE2B9A">
            <w:pPr>
              <w:spacing w:after="0" w:line="240" w:lineRule="auto"/>
              <w:rPr>
                <w:rFonts w:ascii="Calibri" w:eastAsia="Times New Roman" w:hAnsi="Calibri" w:cs="Calibri"/>
                <w:b/>
                <w:bCs/>
                <w:sz w:val="24"/>
                <w:szCs w:val="24"/>
              </w:rPr>
            </w:pPr>
            <w:r w:rsidRPr="00424F5F">
              <w:rPr>
                <w:rFonts w:ascii="Calibri" w:eastAsia="Times New Roman" w:hAnsi="Calibri" w:cs="Calibri"/>
                <w:b/>
                <w:bCs/>
                <w:sz w:val="24"/>
                <w:szCs w:val="24"/>
              </w:rPr>
              <w:lastRenderedPageBreak/>
              <w:t xml:space="preserve">  Table 1:  Statistics on trade, GDP, and inflation, for continental groupings</w:t>
            </w:r>
          </w:p>
          <w:p w:rsidR="00020A4C" w:rsidRDefault="00020A4C" w:rsidP="00AE2B9A">
            <w:pPr>
              <w:spacing w:after="0" w:line="240" w:lineRule="auto"/>
              <w:rPr>
                <w:rFonts w:ascii="Calibri" w:eastAsia="Times New Roman" w:hAnsi="Calibri" w:cs="Calibri"/>
                <w:b/>
                <w:bCs/>
                <w:sz w:val="24"/>
                <w:szCs w:val="24"/>
              </w:rPr>
            </w:pPr>
          </w:p>
          <w:tbl>
            <w:tblPr>
              <w:tblW w:w="9848" w:type="dxa"/>
              <w:tblLayout w:type="fixed"/>
              <w:tblLook w:val="04A0" w:firstRow="1" w:lastRow="0" w:firstColumn="1" w:lastColumn="0" w:noHBand="0" w:noVBand="1"/>
            </w:tblPr>
            <w:tblGrid>
              <w:gridCol w:w="162"/>
              <w:gridCol w:w="2681"/>
              <w:gridCol w:w="1207"/>
              <w:gridCol w:w="1170"/>
              <w:gridCol w:w="1080"/>
              <w:gridCol w:w="900"/>
              <w:gridCol w:w="90"/>
              <w:gridCol w:w="900"/>
              <w:gridCol w:w="829"/>
              <w:gridCol w:w="341"/>
              <w:gridCol w:w="450"/>
              <w:gridCol w:w="38"/>
            </w:tblGrid>
            <w:tr w:rsidR="00020A4C" w:rsidRPr="007717DB" w:rsidTr="00020A4C">
              <w:trPr>
                <w:gridBefore w:val="1"/>
                <w:wBefore w:w="162" w:type="dxa"/>
                <w:trHeight w:val="300"/>
              </w:trPr>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i/>
                      <w:iCs/>
                      <w:color w:val="000000"/>
                      <w:sz w:val="20"/>
                      <w:szCs w:val="20"/>
                    </w:rPr>
                  </w:pPr>
                  <w:r w:rsidRPr="007717DB">
                    <w:rPr>
                      <w:rFonts w:ascii="Calibri" w:eastAsia="Times New Roman" w:hAnsi="Calibri" w:cs="Calibri"/>
                      <w:b/>
                      <w:bCs/>
                      <w:i/>
                      <w:iCs/>
                      <w:color w:val="000000"/>
                      <w:sz w:val="20"/>
                      <w:szCs w:val="20"/>
                    </w:rPr>
                    <w:t>5-Year Averages</w:t>
                  </w:r>
                  <w:r w:rsidRPr="007717DB">
                    <w:rPr>
                      <w:rFonts w:ascii="Calibri" w:eastAsia="Times New Roman" w:hAnsi="Calibri" w:cs="Calibri"/>
                      <w:b/>
                      <w:bCs/>
                      <w:i/>
                      <w:iCs/>
                      <w:color w:val="000000"/>
                      <w:sz w:val="20"/>
                      <w:szCs w:val="20"/>
                      <w:vertAlign w:val="superscript"/>
                    </w:rPr>
                    <w:t>1</w:t>
                  </w:r>
                  <w:r w:rsidRPr="007717DB">
                    <w:rPr>
                      <w:rFonts w:ascii="Calibri" w:eastAsia="Times New Roman" w:hAnsi="Calibri" w:cs="Calibri"/>
                      <w:b/>
                      <w:bCs/>
                      <w:i/>
                      <w:iCs/>
                      <w:color w:val="000000"/>
                      <w:sz w:val="20"/>
                      <w:szCs w:val="20"/>
                    </w:rPr>
                    <w:t xml:space="preserve"> (2013-17)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Sub-Saharan Africa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Latin America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North America</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Europe</w:t>
                  </w:r>
                </w:p>
              </w:tc>
              <w:tc>
                <w:tcPr>
                  <w:tcW w:w="990" w:type="dxa"/>
                  <w:gridSpan w:val="2"/>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Asia &amp; Pacific</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Arab States</w:t>
                  </w:r>
                </w:p>
              </w:tc>
              <w:tc>
                <w:tcPr>
                  <w:tcW w:w="829" w:type="dxa"/>
                  <w:gridSpan w:val="3"/>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b/>
                      <w:bCs/>
                      <w:color w:val="000000"/>
                    </w:rPr>
                  </w:pPr>
                  <w:r w:rsidRPr="007717DB">
                    <w:rPr>
                      <w:rFonts w:ascii="Calibri" w:eastAsia="Times New Roman" w:hAnsi="Calibri" w:cs="Calibri"/>
                      <w:b/>
                      <w:bCs/>
                      <w:color w:val="000000"/>
                    </w:rPr>
                    <w:t>CIS</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Intraregional Trade (trillion$)</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0.07</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0.14</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1.20</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4.51</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3.25</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0.12</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0.10</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000000" w:fill="FFFFFF"/>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Member Trade with the World</w:t>
                  </w:r>
                  <w:r w:rsidRPr="007717DB">
                    <w:rPr>
                      <w:rFonts w:ascii="Calibri" w:eastAsia="Times New Roman" w:hAnsi="Calibri" w:cs="Calibri"/>
                      <w:b/>
                      <w:bCs/>
                      <w:color w:val="000000"/>
                      <w:sz w:val="20"/>
                      <w:szCs w:val="20"/>
                      <w:vertAlign w:val="superscript"/>
                    </w:rPr>
                    <w:t>2</w:t>
                  </w:r>
                  <w:r w:rsidRPr="007717DB">
                    <w:rPr>
                      <w:rFonts w:ascii="Calibri" w:eastAsia="Times New Roman" w:hAnsi="Calibri" w:cs="Calibri"/>
                      <w:b/>
                      <w:bCs/>
                      <w:color w:val="000000"/>
                      <w:sz w:val="20"/>
                      <w:szCs w:val="20"/>
                    </w:rPr>
                    <w:t xml:space="preserve"> (trillion$)</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0.65</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1.10</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4.15</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8.36</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7.90</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1.61</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0.91</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000000" w:fill="FFFFFF"/>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World Trade (trillion $)</w:t>
                  </w:r>
                </w:p>
              </w:tc>
              <w:tc>
                <w:tcPr>
                  <w:tcW w:w="7005"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35.85</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Population (millions)</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496</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482</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625</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4,063</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314</w:t>
                  </w:r>
                </w:p>
              </w:tc>
              <w:tc>
                <w:tcPr>
                  <w:tcW w:w="829" w:type="dxa"/>
                  <w:gridSpan w:val="3"/>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286</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GDP (current trillion$)</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1.70</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4.58</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21.09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20.50</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24.96</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2.59</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2.54</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World GDP (current trillion$)</w:t>
                  </w:r>
                </w:p>
              </w:tc>
              <w:tc>
                <w:tcPr>
                  <w:tcW w:w="7005"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77.96</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Average Annual Growth</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3.97%</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2.60%</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0.96%</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1.80%</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4.17%</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2.92%</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3.48%</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GDP-Weighted Annual Growth</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3.78%</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0.61%</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2.12%</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1.84%</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5.01%</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3.22%</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0.48%</w:t>
                  </w:r>
                </w:p>
              </w:tc>
            </w:tr>
            <w:tr w:rsidR="00020A4C" w:rsidRPr="007717DB" w:rsidTr="00020A4C">
              <w:trPr>
                <w:gridBefore w:val="1"/>
                <w:wBefore w:w="162" w:type="dxa"/>
                <w:trHeight w:val="300"/>
              </w:trPr>
              <w:tc>
                <w:tcPr>
                  <w:tcW w:w="2681"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 </w:t>
                  </w:r>
                </w:p>
              </w:tc>
              <w:tc>
                <w:tcPr>
                  <w:tcW w:w="1207"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117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108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90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829"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829" w:type="dxa"/>
                  <w:gridSpan w:val="3"/>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 xml:space="preserve">Average Annual Inflation (%), </w:t>
                  </w:r>
                  <w:r>
                    <w:rPr>
                      <w:rFonts w:ascii="Calibri" w:eastAsia="Times New Roman" w:hAnsi="Calibri" w:cs="Calibri"/>
                      <w:b/>
                      <w:bCs/>
                      <w:color w:val="000000"/>
                      <w:sz w:val="20"/>
                      <w:szCs w:val="20"/>
                    </w:rPr>
                    <w:t xml:space="preserve">GDP </w:t>
                  </w:r>
                  <w:r w:rsidRPr="007717DB">
                    <w:rPr>
                      <w:rFonts w:ascii="Calibri" w:eastAsia="Times New Roman" w:hAnsi="Calibri" w:cs="Calibri"/>
                      <w:b/>
                      <w:bCs/>
                      <w:color w:val="000000"/>
                      <w:sz w:val="20"/>
                      <w:szCs w:val="20"/>
                    </w:rPr>
                    <w:t>deflator</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4.93</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4.71</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2.17</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1.54</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3.20</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0.18</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7.86</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GDP-Weighted Annual Inflation (%), deflator</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6.72</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10.33</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1.59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1.45</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1.87</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-1.21</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7.56</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Average Median Annual Inflation</w:t>
                  </w:r>
                  <w:r w:rsidRPr="007717DB">
                    <w:rPr>
                      <w:rFonts w:ascii="Calibri" w:eastAsia="Times New Roman" w:hAnsi="Calibri" w:cs="Calibri"/>
                      <w:b/>
                      <w:bCs/>
                      <w:color w:val="000000"/>
                      <w:sz w:val="20"/>
                      <w:szCs w:val="20"/>
                      <w:vertAlign w:val="superscript"/>
                    </w:rPr>
                    <w:t>3</w:t>
                  </w:r>
                  <w:r w:rsidRPr="007717DB">
                    <w:rPr>
                      <w:rFonts w:ascii="Calibri" w:eastAsia="Times New Roman" w:hAnsi="Calibri" w:cs="Calibri"/>
                      <w:b/>
                      <w:bCs/>
                      <w:color w:val="000000"/>
                      <w:sz w:val="20"/>
                      <w:szCs w:val="20"/>
                    </w:rPr>
                    <w:t xml:space="preserve"> (%), deflator</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4.10</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3.06</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1.94</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1.33</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2.67</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0.05</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5.68</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 xml:space="preserve">Average Annual Inflation (%), </w:t>
                  </w:r>
                  <w:r>
                    <w:rPr>
                      <w:rFonts w:ascii="Calibri" w:eastAsia="Times New Roman" w:hAnsi="Calibri" w:cs="Calibri"/>
                      <w:b/>
                      <w:bCs/>
                      <w:color w:val="000000"/>
                      <w:sz w:val="20"/>
                      <w:szCs w:val="20"/>
                    </w:rPr>
                    <w:t>CPI</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8.18</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6.76</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2.06</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1.18</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4.38</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3.42</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7.89</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 xml:space="preserve">GDP-Weighted Annual Inflation (%), </w:t>
                  </w:r>
                  <w:r>
                    <w:rPr>
                      <w:rFonts w:ascii="Calibri" w:eastAsia="Times New Roman" w:hAnsi="Calibri" w:cs="Calibri"/>
                      <w:b/>
                      <w:bCs/>
                      <w:color w:val="000000"/>
                      <w:sz w:val="20"/>
                      <w:szCs w:val="20"/>
                    </w:rPr>
                    <w:t xml:space="preserve"> CPI</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8.82</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7.33</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1.43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1.27</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2.81</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3.74</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8.39</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Average Median Annual Inflation</w:t>
                  </w:r>
                  <w:r w:rsidRPr="007717DB">
                    <w:rPr>
                      <w:rFonts w:ascii="Calibri" w:eastAsia="Times New Roman" w:hAnsi="Calibri" w:cs="Calibri"/>
                      <w:b/>
                      <w:bCs/>
                      <w:color w:val="000000"/>
                      <w:sz w:val="20"/>
                      <w:szCs w:val="20"/>
                      <w:vertAlign w:val="superscript"/>
                    </w:rPr>
                    <w:t>3</w:t>
                  </w:r>
                  <w:r w:rsidRPr="007717DB">
                    <w:rPr>
                      <w:rFonts w:ascii="Calibri" w:eastAsia="Times New Roman" w:hAnsi="Calibri" w:cs="Calibri"/>
                      <w:b/>
                      <w:bCs/>
                      <w:color w:val="000000"/>
                      <w:sz w:val="20"/>
                      <w:szCs w:val="20"/>
                    </w:rPr>
                    <w:t xml:space="preserve"> (%), </w:t>
                  </w:r>
                  <w:r>
                    <w:rPr>
                      <w:rFonts w:ascii="Calibri" w:eastAsia="Times New Roman" w:hAnsi="Calibri" w:cs="Calibri"/>
                      <w:b/>
                      <w:bCs/>
                      <w:color w:val="000000"/>
                      <w:sz w:val="20"/>
                      <w:szCs w:val="20"/>
                    </w:rPr>
                    <w:t xml:space="preserve"> CPI</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4.86</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2.96</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1.60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0.97</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3.30</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2.88</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5.65</w:t>
                  </w:r>
                </w:p>
              </w:tc>
            </w:tr>
            <w:tr w:rsidR="00020A4C" w:rsidRPr="007717DB" w:rsidTr="00020A4C">
              <w:trPr>
                <w:gridBefore w:val="1"/>
                <w:wBefore w:w="162" w:type="dxa"/>
                <w:trHeight w:val="300"/>
              </w:trPr>
              <w:tc>
                <w:tcPr>
                  <w:tcW w:w="2681"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 </w:t>
                  </w:r>
                </w:p>
              </w:tc>
              <w:tc>
                <w:tcPr>
                  <w:tcW w:w="1207"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117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108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900"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829" w:type="dxa"/>
                  <w:tcBorders>
                    <w:top w:val="nil"/>
                    <w:left w:val="nil"/>
                    <w:bottom w:val="single" w:sz="4" w:space="0" w:color="auto"/>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w:t>
                  </w:r>
                </w:p>
              </w:tc>
              <w:tc>
                <w:tcPr>
                  <w:tcW w:w="829" w:type="dxa"/>
                  <w:gridSpan w:val="3"/>
                  <w:tcBorders>
                    <w:top w:val="nil"/>
                    <w:left w:val="nil"/>
                    <w:bottom w:val="nil"/>
                    <w:right w:val="nil"/>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Trade per Capita</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$667 </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$2,212 </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$8,615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$13,375 </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$1,945 </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$5,135 </w:t>
                  </w:r>
                </w:p>
              </w:tc>
              <w:tc>
                <w:tcPr>
                  <w:tcW w:w="829" w:type="dxa"/>
                  <w:gridSpan w:val="3"/>
                  <w:tcBorders>
                    <w:top w:val="single" w:sz="4" w:space="0" w:color="auto"/>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$3,179 </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GDP per Capita (current $)</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$1,742 </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$9,237 </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$43,759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$32,776 </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$6,142 </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$8,267 </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 xml:space="preserve">$8,891 </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Intraregional Trade / Member Trade with World</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0.11</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0.13</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0.29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0.54</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0.41</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0.08</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0.11</w:t>
                  </w:r>
                </w:p>
              </w:tc>
            </w:tr>
            <w:tr w:rsidR="00020A4C" w:rsidRPr="007717DB" w:rsidTr="00020A4C">
              <w:trPr>
                <w:gridBefore w:val="1"/>
                <w:wBefore w:w="162" w:type="dxa"/>
                <w:trHeight w:val="300"/>
              </w:trPr>
              <w:tc>
                <w:tcPr>
                  <w:tcW w:w="2681" w:type="dxa"/>
                  <w:tcBorders>
                    <w:top w:val="nil"/>
                    <w:left w:val="single" w:sz="4" w:space="0" w:color="auto"/>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Member Trade with the World / World Trade</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0.02</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0.03</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0.12</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0.23</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0.22</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0.04</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0.03</w:t>
                  </w:r>
                </w:p>
              </w:tc>
            </w:tr>
            <w:tr w:rsidR="00020A4C" w:rsidRPr="007717DB" w:rsidTr="00020A4C">
              <w:trPr>
                <w:gridBefore w:val="1"/>
                <w:wBefore w:w="162" w:type="dxa"/>
                <w:trHeight w:val="510"/>
              </w:trPr>
              <w:tc>
                <w:tcPr>
                  <w:tcW w:w="2681" w:type="dxa"/>
                  <w:tcBorders>
                    <w:top w:val="nil"/>
                    <w:left w:val="single" w:sz="4" w:space="0" w:color="auto"/>
                    <w:bottom w:val="single" w:sz="4" w:space="0" w:color="auto"/>
                    <w:right w:val="single" w:sz="4" w:space="0" w:color="auto"/>
                  </w:tcBorders>
                  <w:shd w:val="clear" w:color="auto" w:fill="auto"/>
                  <w:vAlign w:val="center"/>
                  <w:hideMark/>
                </w:tcPr>
                <w:p w:rsidR="00020A4C" w:rsidRPr="007717DB" w:rsidRDefault="00020A4C" w:rsidP="006C4CB1">
                  <w:pPr>
                    <w:framePr w:hSpace="180" w:wrap="around" w:vAnchor="text" w:hAnchor="page" w:x="1260" w:y="905"/>
                    <w:spacing w:after="0" w:line="240" w:lineRule="auto"/>
                    <w:rPr>
                      <w:rFonts w:ascii="Calibri" w:eastAsia="Times New Roman" w:hAnsi="Calibri" w:cs="Calibri"/>
                      <w:b/>
                      <w:bCs/>
                      <w:color w:val="000000"/>
                      <w:sz w:val="20"/>
                      <w:szCs w:val="20"/>
                    </w:rPr>
                  </w:pPr>
                  <w:r w:rsidRPr="007717DB">
                    <w:rPr>
                      <w:rFonts w:ascii="Calibri" w:eastAsia="Times New Roman" w:hAnsi="Calibri" w:cs="Calibri"/>
                      <w:b/>
                      <w:bCs/>
                      <w:color w:val="000000"/>
                      <w:sz w:val="20"/>
                      <w:szCs w:val="20"/>
                    </w:rPr>
                    <w:t>Trade Concentration Ratio</w:t>
                  </w:r>
                  <w:r w:rsidRPr="007717DB">
                    <w:rPr>
                      <w:rFonts w:ascii="Calibri" w:eastAsia="Times New Roman" w:hAnsi="Calibri" w:cs="Calibri"/>
                      <w:b/>
                      <w:bCs/>
                      <w:color w:val="000000"/>
                      <w:sz w:val="20"/>
                      <w:szCs w:val="20"/>
                    </w:rPr>
                    <w:br/>
                    <w:t>(Ratio of Preceding 2 Rows)</w:t>
                  </w:r>
                </w:p>
              </w:tc>
              <w:tc>
                <w:tcPr>
                  <w:tcW w:w="1207"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4.13</w:t>
                  </w:r>
                </w:p>
              </w:tc>
              <w:tc>
                <w:tcPr>
                  <w:tcW w:w="108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2.51</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2.31</w:t>
                  </w:r>
                </w:p>
              </w:tc>
              <w:tc>
                <w:tcPr>
                  <w:tcW w:w="900"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1.86</w:t>
                  </w:r>
                </w:p>
              </w:tc>
              <w:tc>
                <w:tcPr>
                  <w:tcW w:w="829" w:type="dxa"/>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1.68</w:t>
                  </w:r>
                </w:p>
              </w:tc>
              <w:tc>
                <w:tcPr>
                  <w:tcW w:w="829" w:type="dxa"/>
                  <w:gridSpan w:val="3"/>
                  <w:tcBorders>
                    <w:top w:val="nil"/>
                    <w:left w:val="nil"/>
                    <w:bottom w:val="single" w:sz="4" w:space="0" w:color="auto"/>
                    <w:right w:val="single" w:sz="4" w:space="0" w:color="auto"/>
                  </w:tcBorders>
                  <w:shd w:val="clear" w:color="auto" w:fill="auto"/>
                  <w:noWrap/>
                  <w:vAlign w:val="center"/>
                  <w:hideMark/>
                </w:tcPr>
                <w:p w:rsidR="00020A4C" w:rsidRPr="007717DB" w:rsidRDefault="00020A4C" w:rsidP="006C4CB1">
                  <w:pPr>
                    <w:framePr w:hSpace="180" w:wrap="around" w:vAnchor="text" w:hAnchor="page" w:x="1260" w:y="905"/>
                    <w:spacing w:after="0" w:line="240" w:lineRule="auto"/>
                    <w:jc w:val="center"/>
                    <w:rPr>
                      <w:rFonts w:ascii="Calibri" w:eastAsia="Times New Roman" w:hAnsi="Calibri" w:cs="Calibri"/>
                      <w:color w:val="000000"/>
                    </w:rPr>
                  </w:pPr>
                  <w:r w:rsidRPr="007717DB">
                    <w:rPr>
                      <w:rFonts w:ascii="Calibri" w:eastAsia="Times New Roman" w:hAnsi="Calibri" w:cs="Calibri"/>
                      <w:color w:val="000000"/>
                    </w:rPr>
                    <w:t>4.44</w:t>
                  </w:r>
                </w:p>
              </w:tc>
            </w:tr>
            <w:tr w:rsidR="00020A4C" w:rsidRPr="007717DB" w:rsidTr="00020A4C">
              <w:trPr>
                <w:gridAfter w:val="1"/>
                <w:wAfter w:w="38" w:type="dxa"/>
                <w:trHeight w:val="615"/>
              </w:trPr>
              <w:tc>
                <w:tcPr>
                  <w:tcW w:w="9810" w:type="dxa"/>
                  <w:gridSpan w:val="11"/>
                  <w:tcBorders>
                    <w:top w:val="nil"/>
                    <w:left w:val="nil"/>
                    <w:right w:val="nil"/>
                  </w:tcBorders>
                  <w:shd w:val="clear" w:color="auto" w:fill="auto"/>
                  <w:noWrap/>
                  <w:vAlign w:val="bottom"/>
                  <w:hideMark/>
                </w:tcPr>
                <w:p w:rsidR="00020A4C" w:rsidRPr="00020A4C" w:rsidRDefault="00020A4C" w:rsidP="006C4CB1">
                  <w:pPr>
                    <w:framePr w:hSpace="180" w:wrap="around" w:vAnchor="text" w:hAnchor="page" w:x="1260" w:y="905"/>
                    <w:spacing w:after="0" w:line="240" w:lineRule="auto"/>
                    <w:rPr>
                      <w:rFonts w:eastAsia="Times New Roman" w:cs="Calibri"/>
                      <w:sz w:val="20"/>
                      <w:szCs w:val="20"/>
                    </w:rPr>
                  </w:pPr>
                  <w:r w:rsidRPr="00020A4C">
                    <w:rPr>
                      <w:rFonts w:eastAsia="Times New Roman" w:cs="Calibri"/>
                      <w:sz w:val="20"/>
                      <w:szCs w:val="20"/>
                      <w:vertAlign w:val="superscript"/>
                    </w:rPr>
                    <w:t>1</w:t>
                  </w:r>
                  <w:r w:rsidRPr="00020A4C">
                    <w:rPr>
                      <w:rFonts w:eastAsia="Times New Roman" w:cs="Calibri"/>
                      <w:sz w:val="20"/>
                      <w:szCs w:val="20"/>
                    </w:rPr>
                    <w:t xml:space="preserve"> Trade data from IMF DOTS. Other data from WB WDI   Exports and imports only include merchandise.</w:t>
                  </w:r>
                </w:p>
              </w:tc>
            </w:tr>
            <w:tr w:rsidR="00020A4C" w:rsidRPr="00020A4C" w:rsidTr="00020A4C">
              <w:trPr>
                <w:gridAfter w:val="2"/>
                <w:wAfter w:w="488" w:type="dxa"/>
                <w:trHeight w:val="315"/>
              </w:trPr>
              <w:tc>
                <w:tcPr>
                  <w:tcW w:w="9360" w:type="dxa"/>
                  <w:gridSpan w:val="10"/>
                  <w:tcBorders>
                    <w:top w:val="nil"/>
                    <w:left w:val="nil"/>
                    <w:bottom w:val="nil"/>
                    <w:right w:val="nil"/>
                  </w:tcBorders>
                  <w:shd w:val="clear" w:color="auto" w:fill="auto"/>
                  <w:noWrap/>
                  <w:vAlign w:val="bottom"/>
                  <w:hideMark/>
                </w:tcPr>
                <w:p w:rsidR="00020A4C" w:rsidRPr="00020A4C" w:rsidRDefault="00020A4C" w:rsidP="006C4CB1">
                  <w:pPr>
                    <w:framePr w:hSpace="180" w:wrap="around" w:vAnchor="text" w:hAnchor="page" w:x="1260" w:y="905"/>
                    <w:spacing w:after="0" w:line="240" w:lineRule="auto"/>
                    <w:rPr>
                      <w:rFonts w:eastAsia="Times New Roman" w:cs="Calibri"/>
                      <w:sz w:val="20"/>
                      <w:szCs w:val="20"/>
                    </w:rPr>
                  </w:pPr>
                  <w:r w:rsidRPr="00020A4C">
                    <w:rPr>
                      <w:rFonts w:eastAsia="Times New Roman" w:cs="Calibri"/>
                      <w:sz w:val="20"/>
                      <w:szCs w:val="20"/>
                      <w:vertAlign w:val="superscript"/>
                    </w:rPr>
                    <w:t>2</w:t>
                  </w:r>
                  <w:r w:rsidRPr="00020A4C">
                    <w:rPr>
                      <w:rFonts w:eastAsia="Times New Roman" w:cs="Calibri"/>
                      <w:sz w:val="20"/>
                      <w:szCs w:val="20"/>
                    </w:rPr>
                    <w:t xml:space="preserve"> The member countries' total trade, including trade with each other.</w:t>
                  </w:r>
                </w:p>
              </w:tc>
            </w:tr>
            <w:tr w:rsidR="00020A4C" w:rsidRPr="00020A4C" w:rsidTr="00020A4C">
              <w:trPr>
                <w:gridAfter w:val="2"/>
                <w:wAfter w:w="488" w:type="dxa"/>
                <w:trHeight w:val="315"/>
              </w:trPr>
              <w:tc>
                <w:tcPr>
                  <w:tcW w:w="9360" w:type="dxa"/>
                  <w:gridSpan w:val="10"/>
                  <w:tcBorders>
                    <w:top w:val="nil"/>
                    <w:left w:val="nil"/>
                    <w:bottom w:val="nil"/>
                    <w:right w:val="nil"/>
                  </w:tcBorders>
                  <w:shd w:val="clear" w:color="auto" w:fill="auto"/>
                  <w:noWrap/>
                  <w:vAlign w:val="bottom"/>
                  <w:hideMark/>
                </w:tcPr>
                <w:p w:rsidR="008309A5" w:rsidRDefault="00020A4C" w:rsidP="006C4CB1">
                  <w:pPr>
                    <w:framePr w:hSpace="180" w:wrap="around" w:vAnchor="text" w:hAnchor="page" w:x="1260" w:y="905"/>
                    <w:rPr>
                      <w:sz w:val="16"/>
                      <w:szCs w:val="16"/>
                    </w:rPr>
                  </w:pPr>
                  <w:r w:rsidRPr="00020A4C">
                    <w:rPr>
                      <w:rFonts w:eastAsia="Times New Roman" w:cs="Calibri"/>
                      <w:sz w:val="20"/>
                      <w:szCs w:val="20"/>
                      <w:vertAlign w:val="superscript"/>
                    </w:rPr>
                    <w:t>3</w:t>
                  </w:r>
                  <w:r w:rsidRPr="00020A4C">
                    <w:rPr>
                      <w:rFonts w:eastAsia="Times New Roman" w:cs="Calibri"/>
                      <w:sz w:val="20"/>
                      <w:szCs w:val="20"/>
                    </w:rPr>
                    <w:t xml:space="preserve"> Starting from the median of annual inflation for countries in the region, we calculate the average</w:t>
                  </w:r>
                  <w:r w:rsidR="00B81221">
                    <w:rPr>
                      <w:rFonts w:eastAsia="Times New Roman" w:cs="Calibri"/>
                      <w:sz w:val="20"/>
                      <w:szCs w:val="20"/>
                    </w:rPr>
                    <w:t xml:space="preserve"> of the medians over five years</w:t>
                  </w:r>
                  <w:r w:rsidR="008309A5">
                    <w:rPr>
                      <w:sz w:val="16"/>
                      <w:szCs w:val="16"/>
                    </w:rPr>
                    <w:br/>
                  </w:r>
                </w:p>
                <w:p w:rsidR="00020A4C" w:rsidRDefault="00020A4C" w:rsidP="006C4CB1">
                  <w:pPr>
                    <w:framePr w:hSpace="180" w:wrap="around" w:vAnchor="text" w:hAnchor="page" w:x="1260" w:y="905"/>
                    <w:spacing w:after="0" w:line="240" w:lineRule="auto"/>
                    <w:rPr>
                      <w:rFonts w:eastAsia="Times New Roman" w:cs="Calibri"/>
                      <w:sz w:val="20"/>
                      <w:szCs w:val="20"/>
                    </w:rPr>
                  </w:pPr>
                </w:p>
                <w:p w:rsidR="008309A5" w:rsidRDefault="008309A5" w:rsidP="006C4CB1">
                  <w:pPr>
                    <w:framePr w:hSpace="180" w:wrap="around" w:vAnchor="text" w:hAnchor="page" w:x="1260" w:y="905"/>
                    <w:spacing w:after="0" w:line="240" w:lineRule="auto"/>
                    <w:rPr>
                      <w:rFonts w:eastAsia="Times New Roman" w:cs="Calibri"/>
                      <w:sz w:val="20"/>
                      <w:szCs w:val="20"/>
                    </w:rPr>
                  </w:pPr>
                </w:p>
                <w:p w:rsidR="008309A5" w:rsidRPr="00020A4C" w:rsidRDefault="008309A5" w:rsidP="006C4CB1">
                  <w:pPr>
                    <w:framePr w:hSpace="180" w:wrap="around" w:vAnchor="text" w:hAnchor="page" w:x="1260" w:y="905"/>
                    <w:spacing w:after="0" w:line="240" w:lineRule="auto"/>
                    <w:rPr>
                      <w:rFonts w:eastAsia="Times New Roman" w:cs="Calibri"/>
                      <w:sz w:val="20"/>
                      <w:szCs w:val="20"/>
                    </w:rPr>
                  </w:pPr>
                </w:p>
              </w:tc>
            </w:tr>
          </w:tbl>
          <w:p w:rsidR="00020A4C" w:rsidRPr="00424F5F" w:rsidRDefault="00020A4C" w:rsidP="00AE2B9A">
            <w:pPr>
              <w:spacing w:after="0" w:line="240" w:lineRule="auto"/>
              <w:rPr>
                <w:rFonts w:ascii="Times New Roman" w:eastAsia="Times New Roman" w:hAnsi="Times New Roman" w:cs="Times New Roman"/>
                <w:sz w:val="24"/>
                <w:szCs w:val="24"/>
              </w:rPr>
            </w:pPr>
          </w:p>
        </w:tc>
      </w:tr>
    </w:tbl>
    <w:p w:rsidR="00E73E18" w:rsidRDefault="00E73E18" w:rsidP="00E73E18">
      <w:pPr>
        <w:ind w:firstLine="720"/>
        <w:rPr>
          <w:sz w:val="24"/>
          <w:szCs w:val="24"/>
        </w:rPr>
      </w:pPr>
      <w:r>
        <w:rPr>
          <w:sz w:val="24"/>
          <w:szCs w:val="24"/>
        </w:rPr>
        <w:lastRenderedPageBreak/>
        <w:t>Table 1 also illustrates that the countries of Sub-Saharan Africa have a low level of intra</w:t>
      </w:r>
      <w:r w:rsidR="000467CB">
        <w:rPr>
          <w:sz w:val="24"/>
          <w:szCs w:val="24"/>
        </w:rPr>
        <w:t>-</w:t>
      </w:r>
      <w:r>
        <w:rPr>
          <w:sz w:val="24"/>
          <w:szCs w:val="24"/>
        </w:rPr>
        <w:t>regional trade as a share of their total trade: 11 %. That is well below the intra-regional trade shares calculated here for North America (29 %), Asia/Pacific (41 %), or Europe (54 %).   The low share of intra-African trade is widely noted.</w:t>
      </w:r>
      <w:r>
        <w:rPr>
          <w:rStyle w:val="FootnoteReference"/>
          <w:sz w:val="24"/>
          <w:szCs w:val="24"/>
        </w:rPr>
        <w:footnoteReference w:id="6"/>
      </w:r>
      <w:r>
        <w:rPr>
          <w:sz w:val="24"/>
          <w:szCs w:val="24"/>
        </w:rPr>
        <w:t xml:space="preserve"> It has been variously attributed to the similarity of export products, to a lack of good transportation infrastructure, or to the legacy of colonialism.</w:t>
      </w:r>
      <w:r>
        <w:rPr>
          <w:rStyle w:val="FootnoteReference"/>
          <w:sz w:val="24"/>
          <w:szCs w:val="24"/>
        </w:rPr>
        <w:footnoteReference w:id="7"/>
      </w:r>
      <w:r>
        <w:rPr>
          <w:sz w:val="24"/>
          <w:szCs w:val="24"/>
        </w:rPr>
        <w:t xml:space="preserve">    </w:t>
      </w:r>
    </w:p>
    <w:p w:rsidR="00E73E18" w:rsidRDefault="00E73E18" w:rsidP="00E73E18">
      <w:pPr>
        <w:ind w:firstLine="720"/>
        <w:rPr>
          <w:sz w:val="24"/>
          <w:szCs w:val="24"/>
        </w:rPr>
      </w:pPr>
      <w:r>
        <w:rPr>
          <w:sz w:val="24"/>
          <w:szCs w:val="24"/>
        </w:rPr>
        <w:t>It is important to realize, however, that countries tend to trade with each other in proportion to their economic size.  (This is the principle underlying the basic gravity model of trade.)  It is natural that Zambia trades less with Gambia and more with the United States simply because the US economy is so much larger than Gambia’s.  African countries constitute only 2% of world trade.</w:t>
      </w:r>
      <w:r>
        <w:rPr>
          <w:rStyle w:val="FootnoteReference"/>
          <w:sz w:val="24"/>
          <w:szCs w:val="24"/>
        </w:rPr>
        <w:footnoteReference w:id="8"/>
      </w:r>
      <w:r w:rsidR="00B81221">
        <w:rPr>
          <w:sz w:val="24"/>
          <w:szCs w:val="24"/>
        </w:rPr>
        <w:t xml:space="preserve">  </w:t>
      </w:r>
      <w:r>
        <w:rPr>
          <w:sz w:val="24"/>
          <w:szCs w:val="24"/>
        </w:rPr>
        <w:t>As a simple indication whether there is any bias in African countries trade away from the others with whom they share the continent, or toward them, we can normalize the countries’ intra</w:t>
      </w:r>
      <w:r w:rsidR="000467CB">
        <w:rPr>
          <w:sz w:val="24"/>
          <w:szCs w:val="24"/>
        </w:rPr>
        <w:t>-</w:t>
      </w:r>
      <w:r>
        <w:rPr>
          <w:sz w:val="24"/>
          <w:szCs w:val="24"/>
        </w:rPr>
        <w:t xml:space="preserve">regional trade shares by their importance in world trade.  The last row of Table 1 reports intra-regional concentration, defined as the intraregional trade share divided by the region’s share of world trade.  Notice that the concentration ratio is greater than one for every region, meaning that countries have a greater propensity to trade more with their neighbors than with those far away, reflecting some combination of transport costs and preferential trading arrangements.  In this calculation, Africa, far from exhibiting bias away from intra-continental trade, appears to have the highest bias </w:t>
      </w:r>
      <w:r w:rsidRPr="00D042F2">
        <w:rPr>
          <w:i/>
          <w:sz w:val="24"/>
          <w:szCs w:val="24"/>
        </w:rPr>
        <w:t>toward</w:t>
      </w:r>
      <w:r>
        <w:rPr>
          <w:sz w:val="24"/>
          <w:szCs w:val="24"/>
        </w:rPr>
        <w:t xml:space="preserve"> intra-regional trade of all regions!  This goes beyond earlier findings.</w:t>
      </w:r>
      <w:r>
        <w:rPr>
          <w:rStyle w:val="FootnoteReference"/>
          <w:sz w:val="24"/>
          <w:szCs w:val="24"/>
        </w:rPr>
        <w:footnoteReference w:id="9"/>
      </w:r>
      <w:r>
        <w:rPr>
          <w:sz w:val="24"/>
          <w:szCs w:val="24"/>
        </w:rPr>
        <w:t xml:space="preserve">  </w:t>
      </w:r>
    </w:p>
    <w:p w:rsidR="00E73E18" w:rsidRPr="003B22DB" w:rsidRDefault="00E73E18" w:rsidP="00E73E18">
      <w:pPr>
        <w:ind w:firstLine="720"/>
        <w:rPr>
          <w:color w:val="2A2A2A"/>
          <w:sz w:val="24"/>
          <w:szCs w:val="24"/>
          <w:shd w:val="clear" w:color="auto" w:fill="EFF2F7"/>
        </w:rPr>
      </w:pPr>
      <w:r>
        <w:rPr>
          <w:sz w:val="24"/>
          <w:szCs w:val="24"/>
        </w:rPr>
        <w:lastRenderedPageBreak/>
        <w:t>A more complete calculation would use the full gravity model</w:t>
      </w:r>
      <w:r>
        <w:rPr>
          <w:rStyle w:val="FootnoteReference"/>
          <w:sz w:val="24"/>
          <w:szCs w:val="24"/>
        </w:rPr>
        <w:footnoteReference w:id="10"/>
      </w:r>
      <w:r>
        <w:rPr>
          <w:sz w:val="24"/>
          <w:szCs w:val="24"/>
        </w:rPr>
        <w:t xml:space="preserve">, and would then estimate dummy variables for intra-regional trade in Africa and various other groupings. These points were first developed by </w:t>
      </w:r>
      <w:proofErr w:type="spellStart"/>
      <w:r>
        <w:rPr>
          <w:sz w:val="24"/>
          <w:szCs w:val="24"/>
        </w:rPr>
        <w:t>Foroutan</w:t>
      </w:r>
      <w:proofErr w:type="spellEnd"/>
      <w:r>
        <w:rPr>
          <w:sz w:val="24"/>
          <w:szCs w:val="24"/>
        </w:rPr>
        <w:t xml:space="preserve"> and Pritchett (</w:t>
      </w:r>
      <w:r w:rsidRPr="00CC1C37">
        <w:rPr>
          <w:sz w:val="24"/>
          <w:szCs w:val="24"/>
        </w:rPr>
        <w:t>1993</w:t>
      </w:r>
      <w:r>
        <w:rPr>
          <w:sz w:val="24"/>
          <w:szCs w:val="24"/>
        </w:rPr>
        <w:t>), who reported that the actual share of SSA imports plus exports was an average of 8.1 per cent, while the gravity model predicted a slightly lower, not higher mean of 7.5 per cent</w:t>
      </w:r>
      <w:r w:rsidRPr="003B22DB">
        <w:rPr>
          <w:sz w:val="24"/>
          <w:szCs w:val="24"/>
        </w:rPr>
        <w:t xml:space="preserve">.  Others finding that Africa’s </w:t>
      </w:r>
      <w:r w:rsidRPr="003B22DB">
        <w:rPr>
          <w:b/>
          <w:sz w:val="24"/>
          <w:szCs w:val="24"/>
        </w:rPr>
        <w:t>l</w:t>
      </w:r>
      <w:r w:rsidRPr="003B22DB">
        <w:rPr>
          <w:sz w:val="24"/>
          <w:szCs w:val="24"/>
        </w:rPr>
        <w:t>ow intra-regional trade can be explained by gravity include</w:t>
      </w:r>
      <w:r w:rsidRPr="003B22DB">
        <w:rPr>
          <w:b/>
          <w:sz w:val="24"/>
          <w:szCs w:val="24"/>
        </w:rPr>
        <w:t xml:space="preserve"> </w:t>
      </w:r>
      <w:r w:rsidRPr="003B22DB">
        <w:rPr>
          <w:sz w:val="24"/>
          <w:szCs w:val="24"/>
        </w:rPr>
        <w:t xml:space="preserve">Masson and </w:t>
      </w:r>
      <w:proofErr w:type="spellStart"/>
      <w:r w:rsidRPr="003B22DB">
        <w:rPr>
          <w:sz w:val="24"/>
          <w:szCs w:val="24"/>
        </w:rPr>
        <w:t>Pattillo</w:t>
      </w:r>
      <w:proofErr w:type="spellEnd"/>
      <w:r w:rsidRPr="003B22DB">
        <w:rPr>
          <w:sz w:val="24"/>
          <w:szCs w:val="24"/>
        </w:rPr>
        <w:t xml:space="preserve"> (2004)</w:t>
      </w:r>
      <w:r w:rsidRPr="003B22DB">
        <w:rPr>
          <w:b/>
          <w:sz w:val="24"/>
          <w:szCs w:val="24"/>
        </w:rPr>
        <w:t>,</w:t>
      </w:r>
      <w:r w:rsidRPr="003B22DB">
        <w:rPr>
          <w:sz w:val="24"/>
          <w:szCs w:val="24"/>
        </w:rPr>
        <w:t xml:space="preserve"> </w:t>
      </w:r>
      <w:proofErr w:type="spellStart"/>
      <w:r w:rsidRPr="003B22DB">
        <w:rPr>
          <w:sz w:val="24"/>
          <w:szCs w:val="24"/>
        </w:rPr>
        <w:t>Debrun</w:t>
      </w:r>
      <w:proofErr w:type="spellEnd"/>
      <w:r w:rsidRPr="003B22DB">
        <w:rPr>
          <w:sz w:val="24"/>
          <w:szCs w:val="24"/>
        </w:rPr>
        <w:t xml:space="preserve">, Masson and </w:t>
      </w:r>
      <w:proofErr w:type="spellStart"/>
      <w:r w:rsidRPr="003B22DB">
        <w:rPr>
          <w:sz w:val="24"/>
          <w:szCs w:val="24"/>
        </w:rPr>
        <w:t>Pattillo</w:t>
      </w:r>
      <w:proofErr w:type="spellEnd"/>
      <w:r w:rsidRPr="003B22DB">
        <w:rPr>
          <w:sz w:val="24"/>
          <w:szCs w:val="24"/>
        </w:rPr>
        <w:t xml:space="preserve"> (2005), and Masson (2008).</w:t>
      </w:r>
    </w:p>
    <w:p w:rsidR="00AE2B9A" w:rsidRDefault="00E73E18" w:rsidP="00E73E18">
      <w:pPr>
        <w:rPr>
          <w:sz w:val="24"/>
          <w:szCs w:val="24"/>
        </w:rPr>
      </w:pPr>
      <w:r>
        <w:rPr>
          <w:sz w:val="24"/>
          <w:szCs w:val="24"/>
        </w:rPr>
        <w:tab/>
        <w:t xml:space="preserve">The point isn’t that African countries trade enough with each other already.  The point is, rather, that they don’t trade enough with </w:t>
      </w:r>
      <w:r w:rsidRPr="00C67BF6">
        <w:rPr>
          <w:i/>
          <w:sz w:val="24"/>
          <w:szCs w:val="24"/>
        </w:rPr>
        <w:t>anybody</w:t>
      </w:r>
      <w:r w:rsidR="00576952">
        <w:rPr>
          <w:sz w:val="24"/>
          <w:szCs w:val="24"/>
        </w:rPr>
        <w:t xml:space="preserve">. </w:t>
      </w:r>
      <w:r w:rsidR="00F90E56">
        <w:rPr>
          <w:sz w:val="24"/>
          <w:szCs w:val="24"/>
        </w:rPr>
        <w:t>African trade is only $6</w:t>
      </w:r>
      <w:r>
        <w:rPr>
          <w:sz w:val="24"/>
          <w:szCs w:val="24"/>
        </w:rPr>
        <w:t>6</w:t>
      </w:r>
      <w:r w:rsidR="00F90E56">
        <w:rPr>
          <w:sz w:val="24"/>
          <w:szCs w:val="24"/>
        </w:rPr>
        <w:t>7</w:t>
      </w:r>
      <w:r>
        <w:rPr>
          <w:sz w:val="24"/>
          <w:szCs w:val="24"/>
        </w:rPr>
        <w:t xml:space="preserve"> per capita</w:t>
      </w:r>
      <w:r w:rsidR="00F90E56">
        <w:rPr>
          <w:sz w:val="24"/>
          <w:szCs w:val="24"/>
        </w:rPr>
        <w:t>,</w:t>
      </w:r>
      <w:r>
        <w:rPr>
          <w:sz w:val="24"/>
          <w:szCs w:val="24"/>
        </w:rPr>
        <w:t xml:space="preserve"> much the lowest of any region.  Among the landlocked African countries, of which there are quite a few, trade is even lower than this overall average.</w:t>
      </w:r>
    </w:p>
    <w:p w:rsidR="00184E48" w:rsidRPr="00184E48" w:rsidRDefault="00184E48" w:rsidP="00452796">
      <w:pPr>
        <w:pStyle w:val="Heading1"/>
        <w:shd w:val="clear" w:color="auto" w:fill="FCFCFC"/>
        <w:spacing w:before="0"/>
        <w:ind w:firstLine="720"/>
        <w:rPr>
          <w:rFonts w:asciiTheme="minorHAnsi" w:hAnsiTheme="minorHAnsi"/>
          <w:b w:val="0"/>
          <w:color w:val="auto"/>
          <w:spacing w:val="2"/>
          <w:sz w:val="24"/>
          <w:szCs w:val="24"/>
          <w:shd w:val="clear" w:color="auto" w:fill="FCFCFC"/>
        </w:rPr>
      </w:pPr>
      <w:r w:rsidRPr="00184E48">
        <w:rPr>
          <w:rFonts w:asciiTheme="minorHAnsi" w:hAnsiTheme="minorHAnsi"/>
          <w:b w:val="0"/>
          <w:color w:val="auto"/>
          <w:sz w:val="24"/>
          <w:szCs w:val="24"/>
        </w:rPr>
        <w:t xml:space="preserve">As with Africa’s low level of intra-regional trade, its low level of overall trade can be explained by the geographic and other natural determinants of the gravity model.  It is not surprising that trade per capita is low, given that income per capita is low. Coe and </w:t>
      </w:r>
      <w:proofErr w:type="spellStart"/>
      <w:r w:rsidRPr="00184E48">
        <w:rPr>
          <w:rFonts w:asciiTheme="minorHAnsi" w:hAnsiTheme="minorHAnsi"/>
          <w:b w:val="0"/>
          <w:color w:val="auto"/>
          <w:sz w:val="24"/>
          <w:szCs w:val="24"/>
        </w:rPr>
        <w:t>Hoffmaister</w:t>
      </w:r>
      <w:proofErr w:type="spellEnd"/>
      <w:r w:rsidRPr="00184E48">
        <w:rPr>
          <w:rFonts w:asciiTheme="minorHAnsi" w:hAnsiTheme="minorHAnsi"/>
          <w:b w:val="0"/>
          <w:color w:val="auto"/>
          <w:sz w:val="24"/>
          <w:szCs w:val="24"/>
        </w:rPr>
        <w:t xml:space="preserve"> (1999), for example, conclude “that the unusually low level of African trade is explained by economic size, geographic distance and population.  This result holds after controlling for a country’s access to the sea, composition of exports, linguistic ties with industrial c</w:t>
      </w:r>
      <w:r w:rsidR="00B81221">
        <w:rPr>
          <w:rFonts w:asciiTheme="minorHAnsi" w:hAnsiTheme="minorHAnsi"/>
          <w:b w:val="0"/>
          <w:color w:val="auto"/>
          <w:sz w:val="24"/>
          <w:szCs w:val="24"/>
        </w:rPr>
        <w:t xml:space="preserve">ountries and trade policies.”  </w:t>
      </w:r>
      <w:r w:rsidRPr="00184E48">
        <w:rPr>
          <w:rFonts w:asciiTheme="minorHAnsi" w:hAnsiTheme="minorHAnsi"/>
          <w:b w:val="0"/>
          <w:color w:val="auto"/>
          <w:sz w:val="24"/>
          <w:szCs w:val="24"/>
        </w:rPr>
        <w:t>Tariffs and other government-influenced barriers to trade have played an important role as well,</w:t>
      </w:r>
      <w:r w:rsidRPr="00184E48">
        <w:rPr>
          <w:rStyle w:val="FootnoteReference"/>
          <w:rFonts w:asciiTheme="minorHAnsi" w:hAnsiTheme="minorHAnsi"/>
          <w:b w:val="0"/>
          <w:color w:val="auto"/>
          <w:sz w:val="24"/>
          <w:szCs w:val="24"/>
        </w:rPr>
        <w:footnoteReference w:id="11"/>
      </w:r>
      <w:r w:rsidRPr="00184E48">
        <w:rPr>
          <w:rFonts w:asciiTheme="minorHAnsi" w:hAnsiTheme="minorHAnsi"/>
          <w:b w:val="0"/>
          <w:color w:val="auto"/>
          <w:sz w:val="24"/>
          <w:szCs w:val="24"/>
        </w:rPr>
        <w:t xml:space="preserve"> especially in the past. But this, too, is typical of less developed countries.</w:t>
      </w:r>
    </w:p>
    <w:p w:rsidR="00184E48" w:rsidRDefault="00184E48" w:rsidP="00CE0DAD">
      <w:pPr>
        <w:pStyle w:val="Heading1"/>
        <w:shd w:val="clear" w:color="auto" w:fill="FCFCFC"/>
        <w:spacing w:before="0"/>
        <w:ind w:firstLine="720"/>
        <w:rPr>
          <w:rFonts w:asciiTheme="minorHAnsi" w:hAnsiTheme="minorHAnsi"/>
          <w:b w:val="0"/>
          <w:color w:val="333333"/>
          <w:spacing w:val="2"/>
          <w:sz w:val="24"/>
          <w:szCs w:val="24"/>
          <w:shd w:val="clear" w:color="auto" w:fill="FCFCFC"/>
        </w:rPr>
      </w:pPr>
    </w:p>
    <w:p w:rsidR="00452796" w:rsidRDefault="00CE0DAD" w:rsidP="00CE0DAD">
      <w:pPr>
        <w:pStyle w:val="Heading1"/>
        <w:shd w:val="clear" w:color="auto" w:fill="FCFCFC"/>
        <w:spacing w:before="0"/>
        <w:ind w:firstLine="720"/>
        <w:rPr>
          <w:rFonts w:asciiTheme="minorHAnsi" w:hAnsiTheme="minorHAnsi"/>
          <w:b w:val="0"/>
          <w:color w:val="333333"/>
          <w:sz w:val="24"/>
          <w:szCs w:val="24"/>
          <w:shd w:val="clear" w:color="auto" w:fill="FCFCFC"/>
        </w:rPr>
      </w:pPr>
      <w:r w:rsidRPr="00063ECE">
        <w:rPr>
          <w:rFonts w:asciiTheme="minorHAnsi" w:hAnsiTheme="minorHAnsi"/>
          <w:b w:val="0"/>
          <w:color w:val="333333"/>
          <w:spacing w:val="2"/>
          <w:sz w:val="24"/>
          <w:szCs w:val="24"/>
          <w:shd w:val="clear" w:color="auto" w:fill="FCFCFC"/>
        </w:rPr>
        <w:t xml:space="preserve">Subramanian and </w:t>
      </w:r>
      <w:proofErr w:type="spellStart"/>
      <w:r w:rsidRPr="00063ECE">
        <w:rPr>
          <w:rFonts w:asciiTheme="minorHAnsi" w:hAnsiTheme="minorHAnsi"/>
          <w:b w:val="0"/>
          <w:color w:val="333333"/>
          <w:spacing w:val="2"/>
          <w:sz w:val="24"/>
          <w:szCs w:val="24"/>
          <w:shd w:val="clear" w:color="auto" w:fill="FCFCFC"/>
        </w:rPr>
        <w:t>Tamrisa</w:t>
      </w:r>
      <w:proofErr w:type="spellEnd"/>
      <w:r w:rsidRPr="00063ECE">
        <w:rPr>
          <w:rFonts w:asciiTheme="minorHAnsi" w:hAnsiTheme="minorHAnsi"/>
          <w:b w:val="0"/>
          <w:color w:val="333333"/>
          <w:spacing w:val="2"/>
          <w:sz w:val="24"/>
          <w:szCs w:val="24"/>
          <w:shd w:val="clear" w:color="auto" w:fill="FCFCFC"/>
        </w:rPr>
        <w:t xml:space="preserve"> (2003)</w:t>
      </w:r>
      <w:r>
        <w:rPr>
          <w:rFonts w:asciiTheme="minorHAnsi" w:hAnsiTheme="minorHAnsi"/>
          <w:b w:val="0"/>
          <w:color w:val="333333"/>
          <w:spacing w:val="2"/>
          <w:sz w:val="24"/>
          <w:szCs w:val="24"/>
          <w:shd w:val="clear" w:color="auto" w:fill="FCFCFC"/>
        </w:rPr>
        <w:t xml:space="preserve"> find different </w:t>
      </w:r>
      <w:r w:rsidR="00244C3E">
        <w:rPr>
          <w:rFonts w:asciiTheme="minorHAnsi" w:hAnsiTheme="minorHAnsi"/>
          <w:b w:val="0"/>
          <w:color w:val="333333"/>
          <w:spacing w:val="2"/>
          <w:sz w:val="24"/>
          <w:szCs w:val="24"/>
          <w:shd w:val="clear" w:color="auto" w:fill="FCFCFC"/>
        </w:rPr>
        <w:t xml:space="preserve">trends with respect to </w:t>
      </w:r>
      <w:r>
        <w:rPr>
          <w:rFonts w:asciiTheme="minorHAnsi" w:hAnsiTheme="minorHAnsi"/>
          <w:b w:val="0"/>
          <w:color w:val="333333"/>
          <w:spacing w:val="2"/>
          <w:sz w:val="24"/>
          <w:szCs w:val="24"/>
          <w:shd w:val="clear" w:color="auto" w:fill="FCFCFC"/>
        </w:rPr>
        <w:t xml:space="preserve">trade </w:t>
      </w:r>
      <w:r w:rsidR="00244C3E">
        <w:rPr>
          <w:rFonts w:asciiTheme="minorHAnsi" w:hAnsiTheme="minorHAnsi"/>
          <w:b w:val="0"/>
          <w:color w:val="333333"/>
          <w:spacing w:val="2"/>
          <w:sz w:val="24"/>
          <w:szCs w:val="24"/>
          <w:shd w:val="clear" w:color="auto" w:fill="FCFCFC"/>
        </w:rPr>
        <w:t xml:space="preserve">integration </w:t>
      </w:r>
      <w:r>
        <w:rPr>
          <w:rFonts w:asciiTheme="minorHAnsi" w:hAnsiTheme="minorHAnsi"/>
          <w:b w:val="0"/>
          <w:color w:val="333333"/>
          <w:spacing w:val="2"/>
          <w:sz w:val="24"/>
          <w:szCs w:val="24"/>
          <w:shd w:val="clear" w:color="auto" w:fill="FCFCFC"/>
        </w:rPr>
        <w:t xml:space="preserve">policy in two different sets of </w:t>
      </w:r>
      <w:r w:rsidR="00244C3E">
        <w:rPr>
          <w:rFonts w:asciiTheme="minorHAnsi" w:hAnsiTheme="minorHAnsi"/>
          <w:b w:val="0"/>
          <w:color w:val="333333"/>
          <w:spacing w:val="2"/>
          <w:sz w:val="24"/>
          <w:szCs w:val="24"/>
          <w:shd w:val="clear" w:color="auto" w:fill="FCFCFC"/>
        </w:rPr>
        <w:t xml:space="preserve">African </w:t>
      </w:r>
      <w:r>
        <w:rPr>
          <w:rFonts w:asciiTheme="minorHAnsi" w:hAnsiTheme="minorHAnsi"/>
          <w:b w:val="0"/>
          <w:color w:val="333333"/>
          <w:spacing w:val="2"/>
          <w:sz w:val="24"/>
          <w:szCs w:val="24"/>
          <w:shd w:val="clear" w:color="auto" w:fill="FCFCFC"/>
        </w:rPr>
        <w:t>countries.</w:t>
      </w:r>
      <w:r w:rsidRPr="00063ECE">
        <w:rPr>
          <w:rFonts w:asciiTheme="minorHAnsi" w:hAnsiTheme="minorHAnsi"/>
          <w:b w:val="0"/>
          <w:color w:val="333333"/>
          <w:spacing w:val="2"/>
          <w:sz w:val="24"/>
          <w:szCs w:val="24"/>
          <w:shd w:val="clear" w:color="auto" w:fill="FCFCFC"/>
        </w:rPr>
        <w:t xml:space="preserve"> </w:t>
      </w:r>
      <w:r>
        <w:rPr>
          <w:rFonts w:asciiTheme="minorHAnsi" w:hAnsiTheme="minorHAnsi"/>
          <w:b w:val="0"/>
          <w:color w:val="333333"/>
          <w:spacing w:val="2"/>
          <w:sz w:val="24"/>
          <w:szCs w:val="24"/>
          <w:shd w:val="clear" w:color="auto" w:fill="FCFCFC"/>
        </w:rPr>
        <w:t xml:space="preserve">They </w:t>
      </w:r>
      <w:r w:rsidRPr="00063ECE">
        <w:rPr>
          <w:rFonts w:asciiTheme="minorHAnsi" w:hAnsiTheme="minorHAnsi"/>
          <w:b w:val="0"/>
          <w:color w:val="333333"/>
          <w:spacing w:val="2"/>
          <w:sz w:val="24"/>
          <w:szCs w:val="24"/>
          <w:shd w:val="clear" w:color="auto" w:fill="FCFCFC"/>
        </w:rPr>
        <w:t>find that “</w:t>
      </w:r>
      <w:r w:rsidRPr="00063ECE">
        <w:rPr>
          <w:rFonts w:asciiTheme="minorHAnsi" w:hAnsiTheme="minorHAnsi" w:cs="Arial"/>
          <w:b w:val="0"/>
          <w:color w:val="222222"/>
          <w:sz w:val="24"/>
          <w:szCs w:val="24"/>
          <w:shd w:val="clear" w:color="auto" w:fill="FFFFFF"/>
        </w:rPr>
        <w:t>countries in Francophone Africa…are currently underexploiting their trading opportunities and have witnessed disintegration over time, a trend that is most pronounced in their trade with tec</w:t>
      </w:r>
      <w:r w:rsidR="00443E5B">
        <w:rPr>
          <w:rFonts w:asciiTheme="minorHAnsi" w:hAnsiTheme="minorHAnsi" w:cs="Arial"/>
          <w:b w:val="0"/>
          <w:color w:val="222222"/>
          <w:sz w:val="24"/>
          <w:szCs w:val="24"/>
          <w:shd w:val="clear" w:color="auto" w:fill="FFFFFF"/>
        </w:rPr>
        <w:t>hnologically advanced countries.</w:t>
      </w:r>
      <w:r w:rsidRPr="00063ECE">
        <w:rPr>
          <w:rFonts w:asciiTheme="minorHAnsi" w:hAnsiTheme="minorHAnsi" w:cs="Arial"/>
          <w:b w:val="0"/>
          <w:color w:val="222222"/>
          <w:sz w:val="24"/>
          <w:szCs w:val="24"/>
          <w:shd w:val="clear" w:color="auto" w:fill="FFFFFF"/>
        </w:rPr>
        <w:t xml:space="preserve">” </w:t>
      </w:r>
      <w:r w:rsidR="00443E5B">
        <w:rPr>
          <w:rFonts w:asciiTheme="minorHAnsi" w:hAnsiTheme="minorHAnsi" w:cs="Arial"/>
          <w:b w:val="0"/>
          <w:color w:val="222222"/>
          <w:sz w:val="24"/>
          <w:szCs w:val="24"/>
          <w:shd w:val="clear" w:color="auto" w:fill="FFFFFF"/>
        </w:rPr>
        <w:t>B</w:t>
      </w:r>
      <w:r w:rsidRPr="00063ECE">
        <w:rPr>
          <w:rFonts w:asciiTheme="minorHAnsi" w:hAnsiTheme="minorHAnsi" w:cs="Arial"/>
          <w:b w:val="0"/>
          <w:color w:val="222222"/>
          <w:sz w:val="24"/>
          <w:szCs w:val="24"/>
          <w:shd w:val="clear" w:color="auto" w:fill="FFFFFF"/>
        </w:rPr>
        <w:t xml:space="preserve">ut </w:t>
      </w:r>
      <w:r w:rsidR="00443E5B">
        <w:rPr>
          <w:rFonts w:asciiTheme="minorHAnsi" w:hAnsiTheme="minorHAnsi" w:cs="Arial"/>
          <w:b w:val="0"/>
          <w:color w:val="222222"/>
          <w:sz w:val="24"/>
          <w:szCs w:val="24"/>
          <w:shd w:val="clear" w:color="auto" w:fill="FFFFFF"/>
        </w:rPr>
        <w:t xml:space="preserve">they find </w:t>
      </w:r>
      <w:r w:rsidRPr="00063ECE">
        <w:rPr>
          <w:rFonts w:asciiTheme="minorHAnsi" w:hAnsiTheme="minorHAnsi" w:cs="Arial"/>
          <w:b w:val="0"/>
          <w:color w:val="222222"/>
          <w:sz w:val="24"/>
          <w:szCs w:val="24"/>
          <w:shd w:val="clear" w:color="auto" w:fill="FFFFFF"/>
        </w:rPr>
        <w:t>that the Anglophone countries have reversed that trend.</w:t>
      </w:r>
      <w:r>
        <w:rPr>
          <w:rFonts w:asciiTheme="minorHAnsi" w:hAnsiTheme="minorHAnsi" w:cs="Arial"/>
          <w:b w:val="0"/>
          <w:color w:val="222222"/>
          <w:sz w:val="24"/>
          <w:szCs w:val="24"/>
          <w:shd w:val="clear" w:color="auto" w:fill="FFFFFF"/>
        </w:rPr>
        <w:br/>
      </w:r>
    </w:p>
    <w:p w:rsidR="00452796" w:rsidRDefault="00452796">
      <w:pPr>
        <w:rPr>
          <w:rFonts w:eastAsiaTheme="majorEastAsia" w:cstheme="majorBidi"/>
          <w:bCs/>
          <w:color w:val="333333"/>
          <w:sz w:val="24"/>
          <w:szCs w:val="24"/>
          <w:shd w:val="clear" w:color="auto" w:fill="FCFCFC"/>
        </w:rPr>
      </w:pPr>
      <w:r>
        <w:rPr>
          <w:b/>
          <w:color w:val="333333"/>
          <w:sz w:val="24"/>
          <w:szCs w:val="24"/>
          <w:shd w:val="clear" w:color="auto" w:fill="FCFCFC"/>
        </w:rPr>
        <w:br w:type="page"/>
      </w:r>
    </w:p>
    <w:p w:rsidR="003227F5" w:rsidRDefault="003227F5" w:rsidP="00F60F49">
      <w:pPr>
        <w:rPr>
          <w:sz w:val="24"/>
          <w:szCs w:val="24"/>
        </w:rPr>
      </w:pPr>
      <w:r>
        <w:rPr>
          <w:sz w:val="24"/>
          <w:szCs w:val="24"/>
        </w:rPr>
        <w:lastRenderedPageBreak/>
        <w:tab/>
      </w:r>
      <w:r w:rsidR="00BA60D6">
        <w:rPr>
          <w:sz w:val="24"/>
          <w:szCs w:val="24"/>
        </w:rPr>
        <w:t xml:space="preserve">The important point for </w:t>
      </w:r>
      <w:r w:rsidR="003E06FB">
        <w:rPr>
          <w:sz w:val="24"/>
          <w:szCs w:val="24"/>
        </w:rPr>
        <w:t xml:space="preserve">policy purposes </w:t>
      </w:r>
      <w:r w:rsidR="00BA60D6">
        <w:rPr>
          <w:sz w:val="24"/>
          <w:szCs w:val="24"/>
        </w:rPr>
        <w:t>is that, l</w:t>
      </w:r>
      <w:r>
        <w:rPr>
          <w:sz w:val="24"/>
          <w:szCs w:val="24"/>
        </w:rPr>
        <w:t xml:space="preserve">ike </w:t>
      </w:r>
      <w:r w:rsidR="005839E1">
        <w:rPr>
          <w:sz w:val="24"/>
          <w:szCs w:val="24"/>
        </w:rPr>
        <w:t>most</w:t>
      </w:r>
      <w:r>
        <w:rPr>
          <w:sz w:val="24"/>
          <w:szCs w:val="24"/>
        </w:rPr>
        <w:t xml:space="preserve"> countries, especially small ones, African countries </w:t>
      </w:r>
      <w:r w:rsidR="005839E1">
        <w:rPr>
          <w:sz w:val="24"/>
          <w:szCs w:val="24"/>
        </w:rPr>
        <w:t>w</w:t>
      </w:r>
      <w:r>
        <w:rPr>
          <w:sz w:val="24"/>
          <w:szCs w:val="24"/>
        </w:rPr>
        <w:t xml:space="preserve">ould benefit from more international trade.  To the extent that trade is inhibited by inconvenient geography and inadequate transportation infrastructure, removal of any government-inflicted barriers is all the more important.  Joining a regional free trade area is one way to promote trade.  Joining a regional currency union </w:t>
      </w:r>
      <w:r w:rsidR="00BA60D6">
        <w:rPr>
          <w:sz w:val="24"/>
          <w:szCs w:val="24"/>
        </w:rPr>
        <w:t>may be</w:t>
      </w:r>
      <w:r>
        <w:rPr>
          <w:sz w:val="24"/>
          <w:szCs w:val="24"/>
        </w:rPr>
        <w:t xml:space="preserve"> another way to do it.</w:t>
      </w:r>
    </w:p>
    <w:p w:rsidR="001E3325" w:rsidRDefault="003227F5" w:rsidP="00B73C3F">
      <w:pPr>
        <w:ind w:firstLine="720"/>
        <w:rPr>
          <w:sz w:val="24"/>
          <w:szCs w:val="24"/>
        </w:rPr>
      </w:pPr>
      <w:r>
        <w:rPr>
          <w:sz w:val="24"/>
          <w:szCs w:val="24"/>
        </w:rPr>
        <w:t xml:space="preserve">Why </w:t>
      </w:r>
      <w:r w:rsidR="00BA60D6">
        <w:rPr>
          <w:sz w:val="24"/>
          <w:szCs w:val="24"/>
        </w:rPr>
        <w:t xml:space="preserve">pursue </w:t>
      </w:r>
      <w:r w:rsidRPr="00443E5B">
        <w:rPr>
          <w:i/>
          <w:sz w:val="24"/>
          <w:szCs w:val="24"/>
        </w:rPr>
        <w:t>regional</w:t>
      </w:r>
      <w:r>
        <w:rPr>
          <w:sz w:val="24"/>
          <w:szCs w:val="24"/>
        </w:rPr>
        <w:t xml:space="preserve"> arrangements, rather than free trade areas or currency unions with countries in other parts o</w:t>
      </w:r>
      <w:r w:rsidR="00BA60D6">
        <w:rPr>
          <w:sz w:val="24"/>
          <w:szCs w:val="24"/>
        </w:rPr>
        <w:t>f</w:t>
      </w:r>
      <w:r>
        <w:rPr>
          <w:sz w:val="24"/>
          <w:szCs w:val="24"/>
        </w:rPr>
        <w:t xml:space="preserve"> the world?</w:t>
      </w:r>
      <w:r w:rsidR="00B73C3F">
        <w:rPr>
          <w:sz w:val="24"/>
          <w:szCs w:val="24"/>
        </w:rPr>
        <w:t xml:space="preserve"> </w:t>
      </w:r>
      <w:proofErr w:type="gramStart"/>
      <w:r w:rsidR="005D23E1">
        <w:rPr>
          <w:sz w:val="24"/>
          <w:szCs w:val="24"/>
        </w:rPr>
        <w:t>As a general rule, the wider the set of countries that reduce their trade frictions with each othe</w:t>
      </w:r>
      <w:r w:rsidR="00B353B7">
        <w:rPr>
          <w:sz w:val="24"/>
          <w:szCs w:val="24"/>
        </w:rPr>
        <w:t>r, the better.</w:t>
      </w:r>
      <w:proofErr w:type="gramEnd"/>
      <w:r w:rsidR="00682149">
        <w:rPr>
          <w:rStyle w:val="FootnoteReference"/>
          <w:sz w:val="24"/>
          <w:szCs w:val="24"/>
        </w:rPr>
        <w:footnoteReference w:id="12"/>
      </w:r>
      <w:r w:rsidR="00B353B7">
        <w:rPr>
          <w:sz w:val="24"/>
          <w:szCs w:val="24"/>
        </w:rPr>
        <w:t xml:space="preserve">  But there exist</w:t>
      </w:r>
      <w:r w:rsidR="00BA60D6">
        <w:rPr>
          <w:sz w:val="24"/>
          <w:szCs w:val="24"/>
        </w:rPr>
        <w:t xml:space="preserve"> </w:t>
      </w:r>
      <w:r w:rsidR="005D23E1">
        <w:rPr>
          <w:sz w:val="24"/>
          <w:szCs w:val="24"/>
        </w:rPr>
        <w:t>both a political argume</w:t>
      </w:r>
      <w:r w:rsidR="003B26C6">
        <w:rPr>
          <w:sz w:val="24"/>
          <w:szCs w:val="24"/>
        </w:rPr>
        <w:t>nt and an economic argument for</w:t>
      </w:r>
      <w:r w:rsidR="00443E5B">
        <w:rPr>
          <w:sz w:val="24"/>
          <w:szCs w:val="24"/>
        </w:rPr>
        <w:t xml:space="preserve"> pursuing </w:t>
      </w:r>
      <w:r w:rsidR="005D23E1">
        <w:rPr>
          <w:sz w:val="24"/>
          <w:szCs w:val="24"/>
        </w:rPr>
        <w:t xml:space="preserve">agreements with countries that are geographic neighbors.  The political argument is simply that there is often more </w:t>
      </w:r>
      <w:r w:rsidR="00B353B7">
        <w:rPr>
          <w:sz w:val="24"/>
          <w:szCs w:val="24"/>
        </w:rPr>
        <w:t xml:space="preserve">political </w:t>
      </w:r>
      <w:r w:rsidR="005D23E1">
        <w:rPr>
          <w:sz w:val="24"/>
          <w:szCs w:val="24"/>
        </w:rPr>
        <w:t>support for regional arrangements than for analogous arrangements with countries that are remote geographically, h</w:t>
      </w:r>
      <w:r w:rsidR="00BA60D6">
        <w:rPr>
          <w:sz w:val="24"/>
          <w:szCs w:val="24"/>
        </w:rPr>
        <w:t xml:space="preserve">istorically and culturally.  </w:t>
      </w:r>
      <w:r w:rsidR="005D23E1">
        <w:rPr>
          <w:sz w:val="24"/>
          <w:szCs w:val="24"/>
        </w:rPr>
        <w:t xml:space="preserve">The economic argument is that because transport costs are lower with neighbors, regional trading blocs are </w:t>
      </w:r>
      <w:r w:rsidR="00B353B7">
        <w:rPr>
          <w:sz w:val="24"/>
          <w:szCs w:val="24"/>
        </w:rPr>
        <w:t>“</w:t>
      </w:r>
      <w:r w:rsidR="005D23E1">
        <w:rPr>
          <w:sz w:val="24"/>
          <w:szCs w:val="24"/>
        </w:rPr>
        <w:t>natural</w:t>
      </w:r>
      <w:r w:rsidR="00B353B7">
        <w:rPr>
          <w:sz w:val="24"/>
          <w:szCs w:val="24"/>
        </w:rPr>
        <w:t>”</w:t>
      </w:r>
      <w:r w:rsidR="00BA60D6">
        <w:rPr>
          <w:sz w:val="24"/>
          <w:szCs w:val="24"/>
        </w:rPr>
        <w:t xml:space="preserve"> in a very specific sense</w:t>
      </w:r>
      <w:r w:rsidR="005D23E1">
        <w:rPr>
          <w:sz w:val="24"/>
          <w:szCs w:val="24"/>
        </w:rPr>
        <w:t xml:space="preserve">: they are likely to promote trade-creation </w:t>
      </w:r>
      <w:r w:rsidR="00BA60D6">
        <w:rPr>
          <w:sz w:val="24"/>
          <w:szCs w:val="24"/>
        </w:rPr>
        <w:t xml:space="preserve">more </w:t>
      </w:r>
      <w:r w:rsidR="005D23E1">
        <w:rPr>
          <w:sz w:val="24"/>
          <w:szCs w:val="24"/>
        </w:rPr>
        <w:t>than trade-diversion and thus to rais</w:t>
      </w:r>
      <w:r w:rsidR="00244C3E">
        <w:rPr>
          <w:sz w:val="24"/>
          <w:szCs w:val="24"/>
        </w:rPr>
        <w:t>e total trade and to raise</w:t>
      </w:r>
      <w:r w:rsidR="005D23E1">
        <w:rPr>
          <w:sz w:val="24"/>
          <w:szCs w:val="24"/>
        </w:rPr>
        <w:t xml:space="preserve"> economic welfare.</w:t>
      </w:r>
      <w:r w:rsidR="008652DB">
        <w:rPr>
          <w:rStyle w:val="FootnoteReference"/>
          <w:sz w:val="24"/>
          <w:szCs w:val="24"/>
        </w:rPr>
        <w:footnoteReference w:id="13"/>
      </w:r>
    </w:p>
    <w:p w:rsidR="00401568" w:rsidRDefault="001E3325" w:rsidP="001E3325">
      <w:pPr>
        <w:rPr>
          <w:sz w:val="24"/>
          <w:szCs w:val="24"/>
        </w:rPr>
      </w:pPr>
      <w:r>
        <w:rPr>
          <w:sz w:val="24"/>
          <w:szCs w:val="24"/>
        </w:rPr>
        <w:tab/>
        <w:t>Table 2 reports similar statistics as Table 1, but for regional sub-sets of countries in Sub-Saharan Africa.  We are especially interested in the comparison between the currency unions and other country groupings, in particular between UEMOA (the CFA countries of West Africa) and the others in that region, i.e., the non-CFA ECOWAS countries.</w:t>
      </w:r>
    </w:p>
    <w:p w:rsidR="00401568" w:rsidRDefault="00401568" w:rsidP="00401568">
      <w:pPr>
        <w:rPr>
          <w:sz w:val="24"/>
          <w:szCs w:val="24"/>
        </w:rPr>
      </w:pPr>
      <w:r>
        <w:rPr>
          <w:sz w:val="24"/>
          <w:szCs w:val="24"/>
        </w:rPr>
        <w:tab/>
        <w:t xml:space="preserve">Southern Africa has the highest levels of income per capita and trade per capita within Sub-Saharan Africa.  But economic performance in any given country is dominated by many factors, beyond the monetary regime.  </w:t>
      </w:r>
    </w:p>
    <w:p w:rsidR="00452796" w:rsidRDefault="00452796">
      <w:pPr>
        <w:rPr>
          <w:rFonts w:ascii="Calibri" w:eastAsia="Times New Roman" w:hAnsi="Calibri" w:cs="Calibri"/>
          <w:b/>
          <w:bCs/>
          <w:color w:val="002060"/>
          <w:sz w:val="24"/>
          <w:szCs w:val="24"/>
        </w:rPr>
      </w:pPr>
      <w:r>
        <w:rPr>
          <w:rFonts w:ascii="Calibri" w:eastAsia="Times New Roman" w:hAnsi="Calibri" w:cs="Calibri"/>
          <w:b/>
          <w:bCs/>
          <w:color w:val="002060"/>
          <w:sz w:val="24"/>
          <w:szCs w:val="24"/>
        </w:rPr>
        <w:br w:type="page"/>
      </w:r>
    </w:p>
    <w:p w:rsidR="00452796" w:rsidRDefault="00452796" w:rsidP="00452796">
      <w:pPr>
        <w:spacing w:after="0" w:line="240" w:lineRule="auto"/>
        <w:rPr>
          <w:rFonts w:ascii="Calibri" w:eastAsia="Times New Roman" w:hAnsi="Calibri" w:cs="Calibri"/>
          <w:b/>
          <w:bCs/>
          <w:color w:val="002060"/>
          <w:sz w:val="24"/>
          <w:szCs w:val="24"/>
        </w:rPr>
      </w:pPr>
      <w:r w:rsidRPr="00401568">
        <w:rPr>
          <w:rFonts w:ascii="Calibri" w:eastAsia="Times New Roman" w:hAnsi="Calibri" w:cs="Calibri"/>
          <w:b/>
          <w:bCs/>
          <w:color w:val="002060"/>
          <w:sz w:val="24"/>
          <w:szCs w:val="24"/>
        </w:rPr>
        <w:lastRenderedPageBreak/>
        <w:t>Table 2: Statistics for groupings within Sub-Saharan Africa</w:t>
      </w:r>
    </w:p>
    <w:tbl>
      <w:tblPr>
        <w:tblW w:w="15995" w:type="dxa"/>
        <w:tblInd w:w="-810" w:type="dxa"/>
        <w:tblLook w:val="04A0" w:firstRow="1" w:lastRow="0" w:firstColumn="1" w:lastColumn="0" w:noHBand="0" w:noVBand="1"/>
      </w:tblPr>
      <w:tblGrid>
        <w:gridCol w:w="810"/>
        <w:gridCol w:w="1638"/>
        <w:gridCol w:w="990"/>
        <w:gridCol w:w="90"/>
        <w:gridCol w:w="900"/>
        <w:gridCol w:w="772"/>
        <w:gridCol w:w="128"/>
        <w:gridCol w:w="900"/>
        <w:gridCol w:w="988"/>
        <w:gridCol w:w="1026"/>
        <w:gridCol w:w="1059"/>
        <w:gridCol w:w="977"/>
        <w:gridCol w:w="608"/>
        <w:gridCol w:w="222"/>
        <w:gridCol w:w="43"/>
        <w:gridCol w:w="866"/>
        <w:gridCol w:w="2256"/>
        <w:gridCol w:w="996"/>
        <w:gridCol w:w="836"/>
      </w:tblGrid>
      <w:tr w:rsidR="009433DA" w:rsidRPr="00F27920" w:rsidTr="00975388">
        <w:trPr>
          <w:gridBefore w:val="1"/>
          <w:wBefore w:w="810" w:type="dxa"/>
          <w:trHeight w:val="300"/>
        </w:trPr>
        <w:tc>
          <w:tcPr>
            <w:tcW w:w="4390" w:type="dxa"/>
            <w:gridSpan w:val="5"/>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Calibri" w:eastAsia="Times New Roman" w:hAnsi="Calibri" w:cs="Calibri"/>
                <w:b/>
                <w:bCs/>
                <w:color w:val="002060"/>
              </w:rPr>
            </w:pPr>
          </w:p>
        </w:tc>
        <w:tc>
          <w:tcPr>
            <w:tcW w:w="1028" w:type="dxa"/>
            <w:gridSpan w:val="2"/>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Calibri" w:eastAsia="Times New Roman" w:hAnsi="Calibri" w:cs="Calibri"/>
                <w:b/>
                <w:bCs/>
                <w:color w:val="002060"/>
              </w:rPr>
            </w:pPr>
          </w:p>
        </w:tc>
        <w:tc>
          <w:tcPr>
            <w:tcW w:w="988" w:type="dxa"/>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2085" w:type="dxa"/>
            <w:gridSpan w:val="2"/>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1504" w:type="dxa"/>
            <w:gridSpan w:val="2"/>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996" w:type="dxa"/>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rsidR="009433DA" w:rsidRPr="00F27920" w:rsidRDefault="009433DA" w:rsidP="00975388">
            <w:pPr>
              <w:spacing w:after="0" w:line="240" w:lineRule="auto"/>
              <w:rPr>
                <w:rFonts w:ascii="Times New Roman" w:eastAsia="Times New Roman" w:hAnsi="Times New Roman" w:cs="Times New Roman"/>
                <w:sz w:val="20"/>
                <w:szCs w:val="20"/>
              </w:rPr>
            </w:pPr>
          </w:p>
        </w:tc>
      </w:tr>
      <w:tr w:rsidR="009433DA" w:rsidRPr="00F27920" w:rsidTr="00975388">
        <w:trPr>
          <w:gridAfter w:val="5"/>
          <w:wAfter w:w="4997" w:type="dxa"/>
          <w:trHeight w:val="289"/>
        </w:trPr>
        <w:tc>
          <w:tcPr>
            <w:tcW w:w="244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bCs/>
                <w:i/>
                <w:iCs/>
                <w:color w:val="000000"/>
                <w:sz w:val="20"/>
              </w:rPr>
            </w:pPr>
            <w:r w:rsidRPr="00F27920">
              <w:rPr>
                <w:rFonts w:ascii="Calibri" w:eastAsia="Times New Roman" w:hAnsi="Calibri" w:cs="Calibri"/>
                <w:b/>
                <w:bCs/>
                <w:i/>
                <w:iCs/>
                <w:color w:val="000000"/>
                <w:sz w:val="20"/>
              </w:rPr>
              <w:t>5-Year Averages</w:t>
            </w:r>
            <w:r w:rsidRPr="00F27920">
              <w:rPr>
                <w:rFonts w:ascii="Calibri" w:eastAsia="Times New Roman" w:hAnsi="Calibri" w:cs="Calibri"/>
                <w:b/>
                <w:bCs/>
                <w:i/>
                <w:iCs/>
                <w:color w:val="000000"/>
                <w:sz w:val="20"/>
                <w:vertAlign w:val="superscript"/>
              </w:rPr>
              <w:t>1</w:t>
            </w:r>
            <w:r w:rsidRPr="00F27920">
              <w:rPr>
                <w:rFonts w:ascii="Calibri" w:eastAsia="Times New Roman" w:hAnsi="Calibri" w:cs="Calibri"/>
                <w:b/>
                <w:bCs/>
                <w:i/>
                <w:iCs/>
                <w:color w:val="000000"/>
                <w:sz w:val="20"/>
              </w:rPr>
              <w:t xml:space="preserve"> </w:t>
            </w:r>
            <w:r>
              <w:rPr>
                <w:rFonts w:ascii="Calibri" w:eastAsia="Times New Roman" w:hAnsi="Calibri" w:cs="Calibri"/>
                <w:b/>
                <w:bCs/>
                <w:i/>
                <w:iCs/>
                <w:color w:val="000000"/>
                <w:sz w:val="20"/>
              </w:rPr>
              <w:br/>
            </w:r>
            <w:r w:rsidRPr="00F27920">
              <w:rPr>
                <w:rFonts w:ascii="Calibri" w:eastAsia="Times New Roman" w:hAnsi="Calibri" w:cs="Calibri"/>
                <w:b/>
                <w:bCs/>
                <w:i/>
                <w:iCs/>
                <w:color w:val="000000"/>
                <w:sz w:val="20"/>
              </w:rPr>
              <w:t>(2013-17)</w:t>
            </w:r>
          </w:p>
        </w:tc>
        <w:tc>
          <w:tcPr>
            <w:tcW w:w="37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Geographic Region</w:t>
            </w:r>
          </w:p>
        </w:tc>
        <w:tc>
          <w:tcPr>
            <w:tcW w:w="477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Economic Region</w:t>
            </w:r>
          </w:p>
        </w:tc>
      </w:tr>
      <w:tr w:rsidR="009433DA" w:rsidRPr="00F27920" w:rsidTr="00975388">
        <w:trPr>
          <w:gridAfter w:val="5"/>
          <w:wAfter w:w="4997" w:type="dxa"/>
          <w:trHeight w:val="300"/>
        </w:trPr>
        <w:tc>
          <w:tcPr>
            <w:tcW w:w="2448" w:type="dxa"/>
            <w:gridSpan w:val="2"/>
            <w:vMerge/>
            <w:tcBorders>
              <w:top w:val="single" w:sz="4" w:space="0" w:color="auto"/>
              <w:left w:val="single" w:sz="4" w:space="0" w:color="auto"/>
              <w:bottom w:val="single" w:sz="4" w:space="0" w:color="000000"/>
              <w:right w:val="single" w:sz="4" w:space="0" w:color="auto"/>
            </w:tcBorders>
            <w:vAlign w:val="center"/>
            <w:hideMark/>
          </w:tcPr>
          <w:p w:rsidR="009433DA" w:rsidRPr="00F27920" w:rsidRDefault="009433DA" w:rsidP="00975388">
            <w:pPr>
              <w:spacing w:after="0" w:line="240" w:lineRule="auto"/>
              <w:rPr>
                <w:rFonts w:ascii="Calibri" w:eastAsia="Times New Roman" w:hAnsi="Calibri" w:cs="Calibri"/>
                <w:b/>
                <w:bCs/>
                <w:i/>
                <w:iCs/>
                <w:color w:val="000000"/>
                <w:sz w:val="20"/>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Southern Africa</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East Africa</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Central Africa</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West Africa</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CEMAC</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ECOWAS</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Non-CFA ECOWAS</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UEMOA</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b/>
                <w:bCs/>
                <w:color w:val="000000"/>
              </w:rPr>
            </w:pPr>
            <w:r w:rsidRPr="00F27920">
              <w:rPr>
                <w:rFonts w:ascii="Calibri" w:eastAsia="Times New Roman" w:hAnsi="Calibri" w:cs="Calibri"/>
                <w:b/>
                <w:bCs/>
                <w:color w:val="000000"/>
              </w:rPr>
              <w:t>CFA</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Intraregional Trade (trillion$)</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0.0332</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0.0055</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0.0005</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0.0129</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0.0004</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0.0119</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0.0020</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0.0034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0.0045</w:t>
            </w:r>
          </w:p>
        </w:tc>
      </w:tr>
      <w:tr w:rsidR="009433DA" w:rsidRPr="00F27920" w:rsidTr="00975388">
        <w:trPr>
          <w:gridAfter w:val="5"/>
          <w:wAfter w:w="4997" w:type="dxa"/>
          <w:trHeight w:val="345"/>
        </w:trPr>
        <w:tc>
          <w:tcPr>
            <w:tcW w:w="2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Member Trade with the World</w:t>
            </w:r>
            <w:r w:rsidRPr="00F27920">
              <w:rPr>
                <w:rFonts w:ascii="Calibri" w:eastAsia="Times New Roman" w:hAnsi="Calibri" w:cs="Calibri"/>
                <w:b/>
                <w:color w:val="000000"/>
                <w:sz w:val="20"/>
                <w:vertAlign w:val="superscript"/>
              </w:rPr>
              <w:t>2</w:t>
            </w:r>
            <w:r w:rsidRPr="00F27920">
              <w:rPr>
                <w:rFonts w:ascii="Calibri" w:eastAsia="Times New Roman" w:hAnsi="Calibri" w:cs="Calibri"/>
                <w:b/>
                <w:color w:val="000000"/>
                <w:sz w:val="20"/>
              </w:rPr>
              <w:t xml:space="preserve"> (trillion$)</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0.2833</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0.1048</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0.0471</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0.2297</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0.0343</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0.2313</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0.1674</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0.0640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0.0982</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World Trade (trillion $)</w:t>
            </w:r>
          </w:p>
        </w:tc>
        <w:tc>
          <w:tcPr>
            <w:tcW w:w="855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35.85</w:t>
            </w:r>
          </w:p>
        </w:tc>
      </w:tr>
      <w:tr w:rsidR="009433DA" w:rsidRPr="00F27920" w:rsidTr="00975388">
        <w:trPr>
          <w:gridAfter w:val="5"/>
          <w:wAfter w:w="4997" w:type="dxa"/>
          <w:trHeight w:val="300"/>
        </w:trPr>
        <w:tc>
          <w:tcPr>
            <w:tcW w:w="2448"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 </w:t>
            </w:r>
          </w:p>
        </w:tc>
        <w:tc>
          <w:tcPr>
            <w:tcW w:w="99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88"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26"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59" w:type="dxa"/>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p>
        </w:tc>
        <w:tc>
          <w:tcPr>
            <w:tcW w:w="977" w:type="dxa"/>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Times New Roman" w:eastAsia="Times New Roman" w:hAnsi="Times New Roman" w:cs="Times New Roman"/>
                <w:sz w:val="20"/>
                <w:szCs w:val="20"/>
              </w:rPr>
            </w:pPr>
          </w:p>
        </w:tc>
        <w:tc>
          <w:tcPr>
            <w:tcW w:w="720" w:type="dxa"/>
            <w:gridSpan w:val="2"/>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Times New Roman" w:eastAsia="Times New Roman" w:hAnsi="Times New Roman" w:cs="Times New Roman"/>
                <w:sz w:val="20"/>
                <w:szCs w:val="20"/>
              </w:rPr>
            </w:pP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Population (millions)</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165</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345</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122</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343</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48</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343</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233</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110</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158</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GDP (current trillion$)</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0.57</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0.33</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0.13</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0.67</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0.09</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0.66</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0.57</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0.19</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World GDP (current trillion$)</w:t>
            </w:r>
          </w:p>
        </w:tc>
        <w:tc>
          <w:tcPr>
            <w:tcW w:w="8550" w:type="dxa"/>
            <w:gridSpan w:val="12"/>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77.96</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Average Annual Growth</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4.07%</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3.96%</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2.49%</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4.68%</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1.43%</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4.89%</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4.25%</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5.37%</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3.68%</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GDP-Weighted Annual Growth</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2.60%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5.11%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4.11%</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4.08%</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3.06%</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4.09%</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3.65%</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6.43%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4.84%</w:t>
            </w:r>
          </w:p>
        </w:tc>
      </w:tr>
      <w:tr w:rsidR="009433DA" w:rsidRPr="00F27920" w:rsidTr="00975388">
        <w:trPr>
          <w:gridAfter w:val="5"/>
          <w:wAfter w:w="4997" w:type="dxa"/>
          <w:trHeight w:val="300"/>
        </w:trPr>
        <w:tc>
          <w:tcPr>
            <w:tcW w:w="2448"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 </w:t>
            </w:r>
          </w:p>
        </w:tc>
        <w:tc>
          <w:tcPr>
            <w:tcW w:w="99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88"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26"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59"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77"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72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Average Annual Inflation (%), deflator</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7.54</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7.32</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-0.21</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3.89</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-2.41</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4.14</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6.61</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1.98</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0.09</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GDP-Weighted Annual Inflation (%), deflator</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6.08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12.17</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-0.55</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6.34</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-2.51</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6.36</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7.13</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2.02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-0.14</w:t>
            </w:r>
          </w:p>
        </w:tc>
      </w:tr>
      <w:tr w:rsidR="009433DA" w:rsidRPr="00F27920" w:rsidTr="00975388">
        <w:trPr>
          <w:gridAfter w:val="5"/>
          <w:wAfter w:w="4997" w:type="dxa"/>
          <w:trHeight w:val="345"/>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Average Median Annual Inflation</w:t>
            </w:r>
            <w:r w:rsidRPr="00F27920">
              <w:rPr>
                <w:rFonts w:ascii="Calibri" w:eastAsia="Times New Roman" w:hAnsi="Calibri" w:cs="Calibri"/>
                <w:b/>
                <w:color w:val="000000"/>
                <w:sz w:val="20"/>
                <w:vertAlign w:val="superscript"/>
              </w:rPr>
              <w:t>1</w:t>
            </w:r>
            <w:r w:rsidRPr="00F27920">
              <w:rPr>
                <w:rFonts w:ascii="Calibri" w:eastAsia="Times New Roman" w:hAnsi="Calibri" w:cs="Calibri"/>
                <w:b/>
                <w:color w:val="000000"/>
                <w:sz w:val="20"/>
              </w:rPr>
              <w:t xml:space="preserve"> (%), deflator</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6.39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5.49</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6.39</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0.25</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-2.62</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3.43</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5.30</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1.57</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0.62</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GDP-Weighted Annual Inflation (%), consumer price</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7.54</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13.10</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2.62</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9.30</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2.84</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9.33</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10.80</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1.02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1.93</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Average Annual Inflation (%), consumer price</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7.98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14.56</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5.29</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4.24</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4.81</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4.49</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8.49</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0.99</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2.59</w:t>
            </w:r>
          </w:p>
        </w:tc>
      </w:tr>
      <w:tr w:rsidR="009433DA" w:rsidRPr="00F27920" w:rsidTr="00975388">
        <w:trPr>
          <w:gridAfter w:val="5"/>
          <w:wAfter w:w="4997" w:type="dxa"/>
          <w:trHeight w:val="345"/>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Average Median Annual Inflation</w:t>
            </w:r>
            <w:r w:rsidRPr="00F27920">
              <w:rPr>
                <w:rFonts w:ascii="Calibri" w:eastAsia="Times New Roman" w:hAnsi="Calibri" w:cs="Calibri"/>
                <w:b/>
                <w:color w:val="000000"/>
                <w:sz w:val="20"/>
                <w:vertAlign w:val="superscript"/>
              </w:rPr>
              <w:t>1</w:t>
            </w:r>
            <w:r>
              <w:rPr>
                <w:rFonts w:ascii="Calibri" w:eastAsia="Times New Roman" w:hAnsi="Calibri" w:cs="Calibri"/>
                <w:b/>
                <w:color w:val="000000"/>
                <w:sz w:val="20"/>
              </w:rPr>
              <w:t xml:space="preserve"> (%), CPI</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5.83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5.75</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6.54</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0.51</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2.83</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2.27</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7.82</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0.89</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1.37</w:t>
            </w:r>
          </w:p>
        </w:tc>
      </w:tr>
      <w:tr w:rsidR="009433DA" w:rsidRPr="00F27920" w:rsidTr="00975388">
        <w:trPr>
          <w:gridAfter w:val="5"/>
          <w:wAfter w:w="4997" w:type="dxa"/>
          <w:trHeight w:val="300"/>
        </w:trPr>
        <w:tc>
          <w:tcPr>
            <w:tcW w:w="2448"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 </w:t>
            </w:r>
          </w:p>
        </w:tc>
        <w:tc>
          <w:tcPr>
            <w:tcW w:w="99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9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gridSpan w:val="2"/>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00"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988"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26" w:type="dxa"/>
            <w:tcBorders>
              <w:top w:val="nil"/>
              <w:left w:val="nil"/>
              <w:bottom w:val="single" w:sz="4" w:space="0" w:color="auto"/>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w:t>
            </w:r>
          </w:p>
        </w:tc>
        <w:tc>
          <w:tcPr>
            <w:tcW w:w="1059" w:type="dxa"/>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p>
        </w:tc>
        <w:tc>
          <w:tcPr>
            <w:tcW w:w="977" w:type="dxa"/>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Times New Roman" w:eastAsia="Times New Roman" w:hAnsi="Times New Roman" w:cs="Times New Roman"/>
                <w:sz w:val="20"/>
                <w:szCs w:val="20"/>
              </w:rPr>
            </w:pPr>
          </w:p>
        </w:tc>
        <w:tc>
          <w:tcPr>
            <w:tcW w:w="720" w:type="dxa"/>
            <w:gridSpan w:val="2"/>
            <w:tcBorders>
              <w:top w:val="nil"/>
              <w:left w:val="nil"/>
              <w:bottom w:val="nil"/>
              <w:right w:val="nil"/>
            </w:tcBorders>
            <w:shd w:val="clear" w:color="auto" w:fill="auto"/>
            <w:noWrap/>
            <w:vAlign w:val="center"/>
            <w:hideMark/>
          </w:tcPr>
          <w:p w:rsidR="009433DA" w:rsidRPr="00F27920" w:rsidRDefault="009433DA" w:rsidP="00975388">
            <w:pPr>
              <w:spacing w:after="0" w:line="240" w:lineRule="auto"/>
              <w:jc w:val="center"/>
              <w:rPr>
                <w:rFonts w:ascii="Times New Roman" w:eastAsia="Times New Roman" w:hAnsi="Times New Roman" w:cs="Times New Roman"/>
                <w:sz w:val="20"/>
                <w:szCs w:val="20"/>
              </w:rPr>
            </w:pP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Trade per Capita</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$1,719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$303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$385 </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$669 </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$710 </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$675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$719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$581 </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$620 </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GDP per Capita (current $)</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$3,478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$957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$1,063 </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$1,939 </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$1,963 </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$1,936 </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$2,437 </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$879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 xml:space="preserve">$1,209 </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Intraregiona</w:t>
            </w:r>
            <w:r>
              <w:rPr>
                <w:rFonts w:ascii="Calibri" w:eastAsia="Times New Roman" w:hAnsi="Calibri" w:cs="Calibri"/>
                <w:b/>
                <w:color w:val="000000"/>
                <w:sz w:val="20"/>
              </w:rPr>
              <w:t xml:space="preserve">l Trade / Member Trade with </w:t>
            </w:r>
            <w:r w:rsidRPr="00F27920">
              <w:rPr>
                <w:rFonts w:ascii="Calibri" w:eastAsia="Times New Roman" w:hAnsi="Calibri" w:cs="Calibri"/>
                <w:b/>
                <w:color w:val="000000"/>
                <w:sz w:val="20"/>
              </w:rPr>
              <w:t>World</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0.117</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0.053</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0.010</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0.056</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0.012</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0.052</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0.012</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0.054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0.046</w:t>
            </w:r>
          </w:p>
        </w:tc>
      </w:tr>
      <w:tr w:rsidR="009433DA" w:rsidRPr="00F27920" w:rsidTr="00975388">
        <w:trPr>
          <w:gridAfter w:val="5"/>
          <w:wAfter w:w="4997" w:type="dxa"/>
          <w:trHeight w:val="300"/>
        </w:trPr>
        <w:tc>
          <w:tcPr>
            <w:tcW w:w="2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Member Trade with the World / World Trade</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0.003</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0.001</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0.006</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0.001</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0.006</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0.005</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0.002</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0.003</w:t>
            </w:r>
          </w:p>
        </w:tc>
      </w:tr>
      <w:tr w:rsidR="009433DA" w:rsidRPr="00F27920" w:rsidTr="00975388">
        <w:trPr>
          <w:gridAfter w:val="5"/>
          <w:wAfter w:w="4997" w:type="dxa"/>
          <w:trHeight w:val="555"/>
        </w:trPr>
        <w:tc>
          <w:tcPr>
            <w:tcW w:w="2448" w:type="dxa"/>
            <w:gridSpan w:val="2"/>
            <w:tcBorders>
              <w:top w:val="nil"/>
              <w:left w:val="single" w:sz="4" w:space="0" w:color="auto"/>
              <w:bottom w:val="single" w:sz="4" w:space="0" w:color="auto"/>
              <w:right w:val="single" w:sz="4" w:space="0" w:color="auto"/>
            </w:tcBorders>
            <w:shd w:val="clear" w:color="auto" w:fill="auto"/>
            <w:vAlign w:val="center"/>
            <w:hideMark/>
          </w:tcPr>
          <w:p w:rsidR="009433DA" w:rsidRPr="00F27920" w:rsidRDefault="009433DA" w:rsidP="000359D4">
            <w:pPr>
              <w:spacing w:after="0" w:line="240" w:lineRule="auto"/>
              <w:rPr>
                <w:rFonts w:ascii="Calibri" w:eastAsia="Times New Roman" w:hAnsi="Calibri" w:cs="Calibri"/>
                <w:b/>
                <w:color w:val="000000"/>
                <w:sz w:val="20"/>
              </w:rPr>
            </w:pPr>
            <w:r w:rsidRPr="00F27920">
              <w:rPr>
                <w:rFonts w:ascii="Calibri" w:eastAsia="Times New Roman" w:hAnsi="Calibri" w:cs="Calibri"/>
                <w:b/>
                <w:color w:val="000000"/>
                <w:sz w:val="20"/>
              </w:rPr>
              <w:t>Trade Concentration Ratio</w:t>
            </w:r>
            <w:r w:rsidRPr="00F27920">
              <w:rPr>
                <w:rFonts w:ascii="Calibri" w:eastAsia="Times New Roman" w:hAnsi="Calibri" w:cs="Calibri"/>
                <w:b/>
                <w:color w:val="000000"/>
                <w:sz w:val="20"/>
              </w:rPr>
              <w:br/>
            </w:r>
            <w:r>
              <w:rPr>
                <w:rFonts w:ascii="Calibri" w:eastAsia="Times New Roman" w:hAnsi="Calibri" w:cs="Calibri"/>
                <w:b/>
                <w:color w:val="000000"/>
                <w:sz w:val="20"/>
                <w:szCs w:val="20"/>
              </w:rPr>
              <w:t xml:space="preserve">(ratio of </w:t>
            </w:r>
            <w:r w:rsidR="000359D4">
              <w:rPr>
                <w:rFonts w:ascii="Calibri" w:eastAsia="Times New Roman" w:hAnsi="Calibri" w:cs="Calibri"/>
                <w:b/>
                <w:color w:val="000000"/>
                <w:sz w:val="20"/>
                <w:szCs w:val="20"/>
              </w:rPr>
              <w:t>p</w:t>
            </w:r>
            <w:r>
              <w:rPr>
                <w:rFonts w:ascii="Calibri" w:eastAsia="Times New Roman" w:hAnsi="Calibri" w:cs="Calibri"/>
                <w:b/>
                <w:color w:val="000000"/>
                <w:sz w:val="20"/>
                <w:szCs w:val="20"/>
              </w:rPr>
              <w:t>receding 2 r</w:t>
            </w:r>
            <w:r w:rsidRPr="00F27920">
              <w:rPr>
                <w:rFonts w:ascii="Calibri" w:eastAsia="Times New Roman" w:hAnsi="Calibri" w:cs="Calibri"/>
                <w:b/>
                <w:color w:val="000000"/>
                <w:sz w:val="20"/>
                <w:szCs w:val="20"/>
              </w:rPr>
              <w:t>ows)</w:t>
            </w:r>
          </w:p>
        </w:tc>
        <w:tc>
          <w:tcPr>
            <w:tcW w:w="99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14.83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18.00</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7.75</w:t>
            </w:r>
          </w:p>
        </w:tc>
        <w:tc>
          <w:tcPr>
            <w:tcW w:w="900"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8.79</w:t>
            </w:r>
          </w:p>
        </w:tc>
        <w:tc>
          <w:tcPr>
            <w:tcW w:w="988"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12.62</w:t>
            </w:r>
          </w:p>
        </w:tc>
        <w:tc>
          <w:tcPr>
            <w:tcW w:w="1026"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7.99</w:t>
            </w:r>
          </w:p>
        </w:tc>
        <w:tc>
          <w:tcPr>
            <w:tcW w:w="1059"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2.61</w:t>
            </w:r>
          </w:p>
        </w:tc>
        <w:tc>
          <w:tcPr>
            <w:tcW w:w="977" w:type="dxa"/>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30.00</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9433DA" w:rsidRPr="00F27920" w:rsidRDefault="009433DA" w:rsidP="00975388">
            <w:pPr>
              <w:spacing w:after="0" w:line="240" w:lineRule="auto"/>
              <w:jc w:val="center"/>
              <w:rPr>
                <w:rFonts w:ascii="Calibri" w:eastAsia="Times New Roman" w:hAnsi="Calibri" w:cs="Calibri"/>
                <w:color w:val="000000"/>
              </w:rPr>
            </w:pPr>
            <w:r w:rsidRPr="00F27920">
              <w:rPr>
                <w:rFonts w:ascii="Calibri" w:eastAsia="Times New Roman" w:hAnsi="Calibri" w:cs="Calibri"/>
                <w:color w:val="000000"/>
              </w:rPr>
              <w:t>16.82</w:t>
            </w:r>
          </w:p>
        </w:tc>
      </w:tr>
    </w:tbl>
    <w:p w:rsidR="009433DA" w:rsidRPr="009433DA" w:rsidRDefault="009433DA" w:rsidP="009433DA">
      <w:pPr>
        <w:spacing w:after="0" w:line="240" w:lineRule="auto"/>
        <w:rPr>
          <w:rFonts w:eastAsia="Times New Roman" w:cs="Calibri"/>
          <w:sz w:val="20"/>
          <w:szCs w:val="20"/>
        </w:rPr>
      </w:pPr>
      <w:r>
        <w:rPr>
          <w:rFonts w:eastAsia="Times New Roman" w:cs="Calibri"/>
          <w:sz w:val="20"/>
          <w:szCs w:val="20"/>
          <w:vertAlign w:val="superscript"/>
        </w:rPr>
        <w:br/>
      </w:r>
      <w:r w:rsidRPr="009433DA">
        <w:rPr>
          <w:rFonts w:eastAsia="Times New Roman" w:cs="Calibri"/>
          <w:sz w:val="20"/>
          <w:szCs w:val="20"/>
          <w:vertAlign w:val="superscript"/>
        </w:rPr>
        <w:t>1</w:t>
      </w:r>
      <w:r w:rsidRPr="009433DA">
        <w:rPr>
          <w:rFonts w:eastAsia="Times New Roman" w:cs="Calibri"/>
          <w:sz w:val="20"/>
          <w:szCs w:val="20"/>
        </w:rPr>
        <w:t xml:space="preserve"> Starting from the median of annual inflation</w:t>
      </w:r>
      <w:r>
        <w:rPr>
          <w:rFonts w:eastAsia="Times New Roman" w:cs="Calibri"/>
          <w:sz w:val="20"/>
          <w:szCs w:val="20"/>
        </w:rPr>
        <w:t xml:space="preserve"> rate</w:t>
      </w:r>
      <w:r w:rsidRPr="009433DA">
        <w:rPr>
          <w:rFonts w:eastAsia="Times New Roman" w:cs="Calibri"/>
          <w:sz w:val="20"/>
          <w:szCs w:val="20"/>
        </w:rPr>
        <w:t xml:space="preserve">s for countries in the region, we calculate the average of </w:t>
      </w:r>
      <w:proofErr w:type="gramStart"/>
      <w:r w:rsidRPr="009433DA">
        <w:rPr>
          <w:rFonts w:eastAsia="Times New Roman" w:cs="Calibri"/>
          <w:sz w:val="20"/>
          <w:szCs w:val="20"/>
        </w:rPr>
        <w:t>the  medians</w:t>
      </w:r>
      <w:proofErr w:type="gramEnd"/>
      <w:r w:rsidRPr="009433DA">
        <w:rPr>
          <w:rFonts w:eastAsia="Times New Roman" w:cs="Calibri"/>
          <w:sz w:val="20"/>
          <w:szCs w:val="20"/>
        </w:rPr>
        <w:t xml:space="preserve"> over five years.</w:t>
      </w:r>
      <w:r w:rsidR="007455CA">
        <w:rPr>
          <w:rFonts w:eastAsia="Times New Roman" w:cs="Calibri"/>
          <w:sz w:val="20"/>
          <w:szCs w:val="20"/>
        </w:rPr>
        <w:t xml:space="preserve">                      </w:t>
      </w:r>
    </w:p>
    <w:p w:rsidR="00401568" w:rsidRDefault="00401568" w:rsidP="009433DA">
      <w:pPr>
        <w:rPr>
          <w:sz w:val="24"/>
          <w:szCs w:val="24"/>
        </w:rPr>
      </w:pPr>
    </w:p>
    <w:p w:rsidR="00401568" w:rsidRDefault="00401568">
      <w:pPr>
        <w:rPr>
          <w:sz w:val="24"/>
          <w:szCs w:val="24"/>
        </w:rPr>
      </w:pPr>
      <w:r>
        <w:rPr>
          <w:sz w:val="24"/>
          <w:szCs w:val="24"/>
        </w:rPr>
        <w:br w:type="page"/>
      </w:r>
    </w:p>
    <w:p w:rsidR="00424F5F" w:rsidRDefault="00424F5F" w:rsidP="00EA6066">
      <w:pPr>
        <w:ind w:firstLine="720"/>
        <w:rPr>
          <w:sz w:val="24"/>
          <w:szCs w:val="24"/>
        </w:rPr>
      </w:pPr>
    </w:p>
    <w:p w:rsidR="007329C2" w:rsidRDefault="00452796" w:rsidP="00452796">
      <w:pPr>
        <w:ind w:firstLine="720"/>
        <w:rPr>
          <w:sz w:val="24"/>
          <w:szCs w:val="24"/>
        </w:rPr>
      </w:pPr>
      <w:r>
        <w:rPr>
          <w:sz w:val="24"/>
          <w:szCs w:val="24"/>
        </w:rPr>
        <w:t>Macroeconomic performance was very good among the CFA countries of West Africa during the 5-year period 2013-17, compared in particular to their non-CFA neighbors.</w:t>
      </w:r>
      <w:r w:rsidR="009433DA">
        <w:rPr>
          <w:sz w:val="24"/>
          <w:szCs w:val="24"/>
        </w:rPr>
        <w:t xml:space="preserve">  The annual growth rate was an impressive 6.4</w:t>
      </w:r>
      <w:r>
        <w:rPr>
          <w:sz w:val="24"/>
          <w:szCs w:val="24"/>
        </w:rPr>
        <w:t xml:space="preserve"> </w:t>
      </w:r>
      <w:r w:rsidR="00D236DC">
        <w:rPr>
          <w:sz w:val="24"/>
          <w:szCs w:val="24"/>
        </w:rPr>
        <w:t xml:space="preserve">% </w:t>
      </w:r>
      <w:r>
        <w:rPr>
          <w:sz w:val="24"/>
          <w:szCs w:val="24"/>
        </w:rPr>
        <w:t>in UEMOA</w:t>
      </w:r>
      <w:r w:rsidR="009433DA">
        <w:rPr>
          <w:sz w:val="24"/>
          <w:szCs w:val="24"/>
        </w:rPr>
        <w:t xml:space="preserve"> (size-weighted average)</w:t>
      </w:r>
      <w:r w:rsidR="007329C2">
        <w:rPr>
          <w:sz w:val="24"/>
          <w:szCs w:val="24"/>
        </w:rPr>
        <w:t xml:space="preserve"> or 5.4% (simple arithmetic average).  Either way, that </w:t>
      </w:r>
      <w:r w:rsidR="009433DA">
        <w:rPr>
          <w:sz w:val="24"/>
          <w:szCs w:val="24"/>
        </w:rPr>
        <w:t>is</w:t>
      </w:r>
      <w:r>
        <w:rPr>
          <w:sz w:val="24"/>
          <w:szCs w:val="24"/>
        </w:rPr>
        <w:t xml:space="preserve"> above the growth recorded by the non-CFA ECOWAS states.</w:t>
      </w:r>
      <w:r>
        <w:rPr>
          <w:rStyle w:val="FootnoteReference"/>
          <w:sz w:val="24"/>
          <w:szCs w:val="24"/>
        </w:rPr>
        <w:footnoteReference w:id="14"/>
      </w:r>
      <w:r>
        <w:rPr>
          <w:sz w:val="24"/>
          <w:szCs w:val="24"/>
        </w:rPr>
        <w:t xml:space="preserve">  It is tempting to attribute some of the superior economic performance to the CFA</w:t>
      </w:r>
      <w:r w:rsidR="007329C2">
        <w:rPr>
          <w:sz w:val="24"/>
          <w:szCs w:val="24"/>
        </w:rPr>
        <w:t>.</w:t>
      </w:r>
      <w:r>
        <w:rPr>
          <w:sz w:val="24"/>
          <w:szCs w:val="24"/>
        </w:rPr>
        <w:t xml:space="preserve"> </w:t>
      </w:r>
      <w:r w:rsidR="007329C2">
        <w:rPr>
          <w:sz w:val="24"/>
          <w:szCs w:val="24"/>
        </w:rPr>
        <w:t>If the strong growth were due</w:t>
      </w:r>
      <w:r>
        <w:rPr>
          <w:sz w:val="24"/>
          <w:szCs w:val="24"/>
        </w:rPr>
        <w:t xml:space="preserve">, for example, </w:t>
      </w:r>
      <w:r w:rsidR="007329C2">
        <w:rPr>
          <w:sz w:val="24"/>
          <w:szCs w:val="24"/>
        </w:rPr>
        <w:t xml:space="preserve">to </w:t>
      </w:r>
      <w:r>
        <w:rPr>
          <w:sz w:val="24"/>
          <w:szCs w:val="24"/>
        </w:rPr>
        <w:t>a demand boom</w:t>
      </w:r>
      <w:r w:rsidR="007329C2">
        <w:rPr>
          <w:sz w:val="24"/>
          <w:szCs w:val="24"/>
        </w:rPr>
        <w:t>, then it should also have shown up in inflation.  But i</w:t>
      </w:r>
      <w:r>
        <w:rPr>
          <w:sz w:val="24"/>
          <w:szCs w:val="24"/>
        </w:rPr>
        <w:t>nflation</w:t>
      </w:r>
      <w:r w:rsidR="000D612A">
        <w:rPr>
          <w:sz w:val="24"/>
          <w:szCs w:val="24"/>
        </w:rPr>
        <w:t xml:space="preserve"> was </w:t>
      </w:r>
      <w:r>
        <w:rPr>
          <w:sz w:val="24"/>
          <w:szCs w:val="24"/>
        </w:rPr>
        <w:t>admirably low in UEMOA</w:t>
      </w:r>
      <w:r w:rsidR="000D612A">
        <w:rPr>
          <w:sz w:val="24"/>
          <w:szCs w:val="24"/>
        </w:rPr>
        <w:t xml:space="preserve"> at about 1 % for the CPI and 2 % for the GDP deflator</w:t>
      </w:r>
      <w:r>
        <w:rPr>
          <w:sz w:val="24"/>
          <w:szCs w:val="24"/>
        </w:rPr>
        <w:t xml:space="preserve">, well below the </w:t>
      </w:r>
      <w:r w:rsidR="007329C2">
        <w:rPr>
          <w:sz w:val="24"/>
          <w:szCs w:val="24"/>
        </w:rPr>
        <w:t>8</w:t>
      </w:r>
      <w:r w:rsidR="000D612A">
        <w:rPr>
          <w:sz w:val="24"/>
          <w:szCs w:val="24"/>
        </w:rPr>
        <w:t xml:space="preserve"> to 11 % </w:t>
      </w:r>
      <w:r w:rsidR="007329C2">
        <w:rPr>
          <w:sz w:val="24"/>
          <w:szCs w:val="24"/>
        </w:rPr>
        <w:t xml:space="preserve">CPI </w:t>
      </w:r>
      <w:r w:rsidR="000D612A">
        <w:rPr>
          <w:sz w:val="24"/>
          <w:szCs w:val="24"/>
        </w:rPr>
        <w:t>inflation rates i</w:t>
      </w:r>
      <w:r>
        <w:rPr>
          <w:sz w:val="24"/>
          <w:szCs w:val="24"/>
        </w:rPr>
        <w:t>n the non-CFA countries of West Africa</w:t>
      </w:r>
      <w:r w:rsidR="007329C2">
        <w:rPr>
          <w:sz w:val="24"/>
          <w:szCs w:val="24"/>
        </w:rPr>
        <w:t>, or even the 5 to 7 % rates of increase in the GDP deflator</w:t>
      </w:r>
      <w:r>
        <w:rPr>
          <w:sz w:val="24"/>
          <w:szCs w:val="24"/>
        </w:rPr>
        <w:t xml:space="preserve">. </w:t>
      </w:r>
      <w:r w:rsidR="007329C2">
        <w:rPr>
          <w:sz w:val="24"/>
          <w:szCs w:val="24"/>
        </w:rPr>
        <w:t xml:space="preserve">  The implication is that the CFA franc has delivered price stability for its West African adherents.</w:t>
      </w:r>
    </w:p>
    <w:p w:rsidR="00747781" w:rsidRDefault="000D612A" w:rsidP="00576952">
      <w:pPr>
        <w:spacing w:after="0"/>
        <w:ind w:firstLine="720"/>
        <w:rPr>
          <w:sz w:val="24"/>
          <w:szCs w:val="24"/>
        </w:rPr>
      </w:pPr>
      <w:r>
        <w:rPr>
          <w:sz w:val="24"/>
          <w:szCs w:val="24"/>
        </w:rPr>
        <w:t>T</w:t>
      </w:r>
      <w:r w:rsidR="00452796">
        <w:rPr>
          <w:sz w:val="24"/>
          <w:szCs w:val="24"/>
        </w:rPr>
        <w:t xml:space="preserve">he </w:t>
      </w:r>
      <w:r>
        <w:rPr>
          <w:sz w:val="24"/>
          <w:szCs w:val="24"/>
        </w:rPr>
        <w:t xml:space="preserve">GDP-weighted average of the </w:t>
      </w:r>
      <w:r w:rsidR="00452796">
        <w:rPr>
          <w:sz w:val="24"/>
          <w:szCs w:val="24"/>
        </w:rPr>
        <w:t>non</w:t>
      </w:r>
      <w:r>
        <w:rPr>
          <w:sz w:val="24"/>
          <w:szCs w:val="24"/>
        </w:rPr>
        <w:t>-CFA countries of West Africa</w:t>
      </w:r>
      <w:r w:rsidR="00452796">
        <w:rPr>
          <w:sz w:val="24"/>
          <w:szCs w:val="24"/>
        </w:rPr>
        <w:t xml:space="preserve"> </w:t>
      </w:r>
      <w:r>
        <w:rPr>
          <w:sz w:val="24"/>
          <w:szCs w:val="24"/>
        </w:rPr>
        <w:t>is</w:t>
      </w:r>
      <w:r w:rsidR="00452796">
        <w:rPr>
          <w:sz w:val="24"/>
          <w:szCs w:val="24"/>
        </w:rPr>
        <w:t xml:space="preserve"> dominated in size by Nigeria which rode the commodity price boom in 2013-14, but then crashed in 2016, with a delayed and unwanted devaluation, following the 2014-16 crash in commodity prices.  Perhaps the constraints of the CFA currency union prevented the UEMOA countries from getting overextended when commodity prices were high and thus from crashing when prices went down. Recall from Memo 1, Section 6.3, however, that we usually think that it is an advantage for a currency to appreciate and depreciate freely in order to accommodate big ups and downs of a dominant export commodity. </w:t>
      </w:r>
    </w:p>
    <w:p w:rsidR="00747781" w:rsidRDefault="00747781" w:rsidP="00747781">
      <w:pPr>
        <w:spacing w:after="0" w:line="240" w:lineRule="auto"/>
        <w:rPr>
          <w:sz w:val="24"/>
          <w:szCs w:val="24"/>
        </w:rPr>
      </w:pPr>
    </w:p>
    <w:p w:rsidR="00747781" w:rsidRDefault="00747781" w:rsidP="00747781">
      <w:pPr>
        <w:spacing w:after="0" w:line="240" w:lineRule="auto"/>
        <w:rPr>
          <w:rFonts w:ascii="Calibri" w:eastAsia="Times New Roman" w:hAnsi="Calibri" w:cs="Calibri"/>
          <w:b/>
          <w:bCs/>
          <w:sz w:val="24"/>
          <w:szCs w:val="24"/>
        </w:rPr>
      </w:pPr>
      <w:r>
        <w:rPr>
          <w:sz w:val="24"/>
          <w:szCs w:val="24"/>
        </w:rPr>
        <w:br/>
      </w:r>
      <w:r w:rsidRPr="00401568">
        <w:rPr>
          <w:rFonts w:ascii="Calibri" w:eastAsia="Times New Roman" w:hAnsi="Calibri" w:cs="Calibri"/>
          <w:b/>
          <w:bCs/>
          <w:sz w:val="24"/>
          <w:szCs w:val="24"/>
        </w:rPr>
        <w:t>Table 3 Inflation rate by year (GDP deflator)</w:t>
      </w:r>
    </w:p>
    <w:tbl>
      <w:tblPr>
        <w:tblW w:w="9252" w:type="dxa"/>
        <w:tblInd w:w="90" w:type="dxa"/>
        <w:tblLook w:val="04A0" w:firstRow="1" w:lastRow="0" w:firstColumn="1" w:lastColumn="0" w:noHBand="0" w:noVBand="1"/>
      </w:tblPr>
      <w:tblGrid>
        <w:gridCol w:w="1619"/>
        <w:gridCol w:w="961"/>
        <w:gridCol w:w="710"/>
        <w:gridCol w:w="803"/>
        <w:gridCol w:w="837"/>
        <w:gridCol w:w="806"/>
        <w:gridCol w:w="932"/>
        <w:gridCol w:w="1002"/>
        <w:gridCol w:w="794"/>
        <w:gridCol w:w="68"/>
        <w:gridCol w:w="720"/>
      </w:tblGrid>
      <w:tr w:rsidR="00747781" w:rsidRPr="00270315" w:rsidTr="006C4CB1">
        <w:trPr>
          <w:trHeight w:val="300"/>
        </w:trPr>
        <w:tc>
          <w:tcPr>
            <w:tcW w:w="1619"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Calibri" w:eastAsia="Times New Roman" w:hAnsi="Calibri" w:cs="Calibri"/>
                <w:b/>
                <w:bCs/>
                <w:color w:val="002060"/>
              </w:rPr>
            </w:pPr>
          </w:p>
        </w:tc>
        <w:tc>
          <w:tcPr>
            <w:tcW w:w="961"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Calibri" w:eastAsia="Times New Roman" w:hAnsi="Calibri" w:cs="Calibri"/>
                <w:b/>
                <w:bCs/>
                <w:color w:val="002060"/>
              </w:rPr>
            </w:pPr>
          </w:p>
        </w:tc>
        <w:tc>
          <w:tcPr>
            <w:tcW w:w="710"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806"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794" w:type="dxa"/>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c>
          <w:tcPr>
            <w:tcW w:w="788" w:type="dxa"/>
            <w:gridSpan w:val="2"/>
            <w:tcBorders>
              <w:top w:val="nil"/>
              <w:left w:val="nil"/>
              <w:bottom w:val="nil"/>
              <w:right w:val="nil"/>
            </w:tcBorders>
            <w:shd w:val="clear" w:color="auto" w:fill="auto"/>
            <w:noWrap/>
            <w:vAlign w:val="bottom"/>
            <w:hideMark/>
          </w:tcPr>
          <w:p w:rsidR="00747781" w:rsidRPr="00270315" w:rsidRDefault="00747781" w:rsidP="006C4CB1">
            <w:pPr>
              <w:spacing w:after="0" w:line="240" w:lineRule="auto"/>
              <w:rPr>
                <w:rFonts w:ascii="Times New Roman" w:eastAsia="Times New Roman" w:hAnsi="Times New Roman" w:cs="Times New Roman"/>
                <w:sz w:val="20"/>
                <w:szCs w:val="20"/>
              </w:rPr>
            </w:pPr>
          </w:p>
        </w:tc>
      </w:tr>
      <w:tr w:rsidR="00747781" w:rsidRPr="00270315" w:rsidTr="006C4CB1">
        <w:trPr>
          <w:trHeight w:val="300"/>
        </w:trPr>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781" w:rsidRPr="00270315" w:rsidRDefault="00747781" w:rsidP="006C4CB1">
            <w:pPr>
              <w:spacing w:after="0" w:line="240" w:lineRule="auto"/>
              <w:jc w:val="center"/>
              <w:rPr>
                <w:rFonts w:ascii="Calibri" w:eastAsia="Times New Roman" w:hAnsi="Calibri" w:cs="Calibri"/>
                <w:b/>
                <w:bCs/>
                <w:i/>
                <w:iCs/>
                <w:color w:val="000000"/>
                <w:sz w:val="20"/>
              </w:rPr>
            </w:pPr>
            <w:r w:rsidRPr="00270315">
              <w:rPr>
                <w:rFonts w:ascii="Calibri" w:eastAsia="Times New Roman" w:hAnsi="Calibri" w:cs="Calibri"/>
                <w:b/>
                <w:bCs/>
                <w:i/>
                <w:iCs/>
                <w:color w:val="000000"/>
                <w:sz w:val="20"/>
              </w:rPr>
              <w:t>Median Inflation (annual %)</w:t>
            </w:r>
          </w:p>
        </w:tc>
        <w:tc>
          <w:tcPr>
            <w:tcW w:w="3311" w:type="dxa"/>
            <w:gridSpan w:val="4"/>
            <w:tcBorders>
              <w:top w:val="single" w:sz="4" w:space="0" w:color="auto"/>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sz w:val="20"/>
              </w:rPr>
            </w:pPr>
            <w:r w:rsidRPr="00270315">
              <w:rPr>
                <w:rFonts w:ascii="Calibri" w:eastAsia="Times New Roman" w:hAnsi="Calibri" w:cs="Calibri"/>
                <w:b/>
                <w:bCs/>
                <w:color w:val="000000"/>
                <w:sz w:val="20"/>
              </w:rPr>
              <w:t>Geographic Region</w:t>
            </w:r>
          </w:p>
        </w:tc>
        <w:tc>
          <w:tcPr>
            <w:tcW w:w="4322" w:type="dxa"/>
            <w:gridSpan w:val="6"/>
            <w:tcBorders>
              <w:top w:val="single" w:sz="4" w:space="0" w:color="auto"/>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sz w:val="20"/>
              </w:rPr>
            </w:pPr>
            <w:r w:rsidRPr="00270315">
              <w:rPr>
                <w:rFonts w:ascii="Calibri" w:eastAsia="Times New Roman" w:hAnsi="Calibri" w:cs="Calibri"/>
                <w:b/>
                <w:bCs/>
                <w:color w:val="000000"/>
                <w:sz w:val="20"/>
              </w:rPr>
              <w:t>Economic Region</w:t>
            </w:r>
          </w:p>
        </w:tc>
      </w:tr>
      <w:tr w:rsidR="00747781" w:rsidRPr="00270315" w:rsidTr="006C4CB1">
        <w:trPr>
          <w:trHeight w:val="300"/>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747781" w:rsidRPr="00270315" w:rsidRDefault="00747781" w:rsidP="006C4CB1">
            <w:pPr>
              <w:spacing w:after="0" w:line="240" w:lineRule="auto"/>
              <w:rPr>
                <w:rFonts w:ascii="Calibri" w:eastAsia="Times New Roman" w:hAnsi="Calibri" w:cs="Calibri"/>
                <w:b/>
                <w:bCs/>
                <w:i/>
                <w:iCs/>
                <w:color w:val="000000"/>
                <w:sz w:val="20"/>
              </w:rPr>
            </w:pP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Southern Africa</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East Africa</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Central Africa</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West Africa</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CEMAC</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ECOWAS</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Non-CFA ECOWAS</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UEMOA</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CFA</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2013</w:t>
            </w: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6.42</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9.38</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10.55</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0.55</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1.84</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4.81</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7.85</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4.71</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3.39</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2014</w:t>
            </w: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5.31</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4.90</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10.21</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1.43</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-2.37</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2.75</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5.87</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-0.12</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-1.00</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2015</w:t>
            </w: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5.80</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3.40</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4.61</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-0.15</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-0.10</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1.80</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2.75</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-0.13</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-0.13</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2016</w:t>
            </w: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4.69</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4.86</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1.58</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0.28</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-8.88</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2.82</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2.86</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1.85</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0.25</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2017</w:t>
            </w:r>
          </w:p>
        </w:tc>
        <w:tc>
          <w:tcPr>
            <w:tcW w:w="961"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9.70</w:t>
            </w:r>
          </w:p>
        </w:tc>
        <w:tc>
          <w:tcPr>
            <w:tcW w:w="71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4.89</w:t>
            </w:r>
          </w:p>
        </w:tc>
        <w:tc>
          <w:tcPr>
            <w:tcW w:w="803"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5.00</w:t>
            </w:r>
          </w:p>
        </w:tc>
        <w:tc>
          <w:tcPr>
            <w:tcW w:w="837"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-0.87</w:t>
            </w:r>
          </w:p>
        </w:tc>
        <w:tc>
          <w:tcPr>
            <w:tcW w:w="806"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-3.61</w:t>
            </w:r>
          </w:p>
        </w:tc>
        <w:tc>
          <w:tcPr>
            <w:tcW w:w="93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4.97</w:t>
            </w:r>
          </w:p>
        </w:tc>
        <w:tc>
          <w:tcPr>
            <w:tcW w:w="1002"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7.14</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1.55</w:t>
            </w:r>
          </w:p>
        </w:tc>
        <w:tc>
          <w:tcPr>
            <w:tcW w:w="720" w:type="dxa"/>
            <w:tcBorders>
              <w:top w:val="nil"/>
              <w:left w:val="nil"/>
              <w:bottom w:val="single" w:sz="4" w:space="0" w:color="auto"/>
              <w:right w:val="single" w:sz="4" w:space="0" w:color="auto"/>
            </w:tcBorders>
            <w:shd w:val="clear" w:color="auto" w:fill="auto"/>
            <w:noWrap/>
            <w:vAlign w:val="center"/>
            <w:hideMark/>
          </w:tcPr>
          <w:p w:rsidR="00747781" w:rsidRPr="00270315" w:rsidRDefault="00747781" w:rsidP="006C4CB1">
            <w:pPr>
              <w:spacing w:after="0" w:line="240" w:lineRule="auto"/>
              <w:jc w:val="center"/>
              <w:rPr>
                <w:rFonts w:ascii="Calibri" w:eastAsia="Times New Roman" w:hAnsi="Calibri" w:cs="Calibri"/>
                <w:color w:val="000000"/>
              </w:rPr>
            </w:pPr>
            <w:r w:rsidRPr="00270315">
              <w:rPr>
                <w:rFonts w:ascii="Calibri" w:eastAsia="Times New Roman" w:hAnsi="Calibri" w:cs="Calibri"/>
                <w:color w:val="000000"/>
              </w:rPr>
              <w:t>0.57</w:t>
            </w:r>
          </w:p>
        </w:tc>
      </w:tr>
      <w:tr w:rsidR="00747781" w:rsidRPr="00270315" w:rsidTr="006C4CB1">
        <w:trPr>
          <w:trHeight w:val="30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D61A14">
              <w:rPr>
                <w:rFonts w:ascii="Calibri" w:eastAsia="Times New Roman" w:hAnsi="Calibri" w:cs="Calibri"/>
                <w:b/>
                <w:bCs/>
                <w:color w:val="000000"/>
                <w:sz w:val="20"/>
              </w:rPr>
              <w:t>5-Year Average</w:t>
            </w:r>
          </w:p>
        </w:tc>
        <w:tc>
          <w:tcPr>
            <w:tcW w:w="961"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6.39</w:t>
            </w:r>
          </w:p>
        </w:tc>
        <w:tc>
          <w:tcPr>
            <w:tcW w:w="710"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5.49</w:t>
            </w:r>
          </w:p>
        </w:tc>
        <w:tc>
          <w:tcPr>
            <w:tcW w:w="803"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6.39</w:t>
            </w:r>
          </w:p>
        </w:tc>
        <w:tc>
          <w:tcPr>
            <w:tcW w:w="837"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0.25</w:t>
            </w:r>
          </w:p>
        </w:tc>
        <w:tc>
          <w:tcPr>
            <w:tcW w:w="806"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-2.62</w:t>
            </w:r>
          </w:p>
        </w:tc>
        <w:tc>
          <w:tcPr>
            <w:tcW w:w="932"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3.43</w:t>
            </w:r>
          </w:p>
        </w:tc>
        <w:tc>
          <w:tcPr>
            <w:tcW w:w="1002"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5.30</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1.57</w:t>
            </w:r>
          </w:p>
        </w:tc>
        <w:tc>
          <w:tcPr>
            <w:tcW w:w="720" w:type="dxa"/>
            <w:tcBorders>
              <w:top w:val="nil"/>
              <w:left w:val="nil"/>
              <w:bottom w:val="single" w:sz="4" w:space="0" w:color="auto"/>
              <w:right w:val="single" w:sz="4" w:space="0" w:color="auto"/>
            </w:tcBorders>
            <w:shd w:val="clear" w:color="auto" w:fill="auto"/>
            <w:noWrap/>
            <w:vAlign w:val="bottom"/>
            <w:hideMark/>
          </w:tcPr>
          <w:p w:rsidR="00747781" w:rsidRPr="00270315" w:rsidRDefault="00747781" w:rsidP="006C4CB1">
            <w:pPr>
              <w:spacing w:after="0" w:line="240" w:lineRule="auto"/>
              <w:jc w:val="center"/>
              <w:rPr>
                <w:rFonts w:ascii="Calibri" w:eastAsia="Times New Roman" w:hAnsi="Calibri" w:cs="Calibri"/>
                <w:b/>
                <w:bCs/>
                <w:color w:val="000000"/>
              </w:rPr>
            </w:pPr>
            <w:r w:rsidRPr="00270315">
              <w:rPr>
                <w:rFonts w:ascii="Calibri" w:eastAsia="Times New Roman" w:hAnsi="Calibri" w:cs="Calibri"/>
                <w:b/>
                <w:bCs/>
                <w:color w:val="000000"/>
              </w:rPr>
              <w:t>0.62</w:t>
            </w:r>
          </w:p>
        </w:tc>
      </w:tr>
    </w:tbl>
    <w:p w:rsidR="00747781" w:rsidRDefault="00747781" w:rsidP="00747781"/>
    <w:p w:rsidR="00747781" w:rsidRDefault="00747781" w:rsidP="00747781"/>
    <w:p w:rsidR="00747781" w:rsidRDefault="00747781" w:rsidP="00747781">
      <w:pPr>
        <w:spacing w:after="0" w:line="240" w:lineRule="auto"/>
        <w:rPr>
          <w:rFonts w:ascii="Calibri" w:eastAsia="Times New Roman" w:hAnsi="Calibri" w:cs="Calibri"/>
          <w:b/>
          <w:bCs/>
        </w:rPr>
      </w:pPr>
      <w:r w:rsidRPr="00652AE9">
        <w:rPr>
          <w:rFonts w:ascii="Calibri" w:eastAsia="Times New Roman" w:hAnsi="Calibri" w:cs="Calibri"/>
          <w:b/>
          <w:bCs/>
        </w:rPr>
        <w:lastRenderedPageBreak/>
        <w:t xml:space="preserve">   </w:t>
      </w:r>
    </w:p>
    <w:p w:rsidR="00747781" w:rsidRPr="00652AE9" w:rsidRDefault="00747781" w:rsidP="00747781">
      <w:pPr>
        <w:spacing w:after="0" w:line="240" w:lineRule="auto"/>
        <w:rPr>
          <w:rFonts w:ascii="Calibri" w:eastAsia="Times New Roman" w:hAnsi="Calibri" w:cs="Calibri"/>
          <w:b/>
          <w:bCs/>
        </w:rPr>
      </w:pPr>
      <w:r w:rsidRPr="00652AE9">
        <w:rPr>
          <w:rFonts w:ascii="Calibri" w:eastAsia="Times New Roman" w:hAnsi="Calibri" w:cs="Calibri"/>
          <w:b/>
          <w:bCs/>
        </w:rPr>
        <w:t>Table 4: GDP growth rate</w:t>
      </w:r>
      <w:r w:rsidRPr="00652AE9">
        <w:rPr>
          <w:rFonts w:ascii="Calibri" w:eastAsia="Times New Roman" w:hAnsi="Calibri" w:cs="Calibri"/>
          <w:b/>
          <w:bCs/>
        </w:rPr>
        <w:br/>
      </w:r>
    </w:p>
    <w:tbl>
      <w:tblPr>
        <w:tblW w:w="9450" w:type="dxa"/>
        <w:tblInd w:w="85" w:type="dxa"/>
        <w:tblLook w:val="04A0" w:firstRow="1" w:lastRow="0" w:firstColumn="1" w:lastColumn="0" w:noHBand="0" w:noVBand="1"/>
      </w:tblPr>
      <w:tblGrid>
        <w:gridCol w:w="1705"/>
        <w:gridCol w:w="982"/>
        <w:gridCol w:w="823"/>
        <w:gridCol w:w="819"/>
        <w:gridCol w:w="801"/>
        <w:gridCol w:w="822"/>
        <w:gridCol w:w="952"/>
        <w:gridCol w:w="952"/>
        <w:gridCol w:w="876"/>
        <w:gridCol w:w="718"/>
      </w:tblGrid>
      <w:tr w:rsidR="00747781" w:rsidRPr="00B66925" w:rsidTr="006C4CB1">
        <w:trPr>
          <w:trHeight w:val="300"/>
        </w:trPr>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781" w:rsidRPr="00B66925" w:rsidRDefault="00747781" w:rsidP="006C4CB1">
            <w:pPr>
              <w:spacing w:after="0" w:line="240" w:lineRule="auto"/>
              <w:jc w:val="center"/>
              <w:rPr>
                <w:rFonts w:ascii="Calibri" w:eastAsia="Times New Roman" w:hAnsi="Calibri" w:cs="Calibri"/>
                <w:b/>
                <w:bCs/>
                <w:i/>
                <w:iCs/>
                <w:color w:val="000000"/>
                <w:sz w:val="19"/>
                <w:szCs w:val="19"/>
              </w:rPr>
            </w:pPr>
            <w:r w:rsidRPr="00D61A14">
              <w:rPr>
                <w:rFonts w:ascii="Calibri" w:eastAsia="Times New Roman" w:hAnsi="Calibri" w:cs="Calibri"/>
                <w:b/>
                <w:bCs/>
                <w:i/>
                <w:iCs/>
                <w:color w:val="000000"/>
                <w:sz w:val="18"/>
                <w:szCs w:val="19"/>
              </w:rPr>
              <w:t>GDP-Weighted Growth (annual %)</w:t>
            </w:r>
          </w:p>
        </w:tc>
        <w:tc>
          <w:tcPr>
            <w:tcW w:w="3425" w:type="dxa"/>
            <w:gridSpan w:val="4"/>
            <w:tcBorders>
              <w:top w:val="single" w:sz="4" w:space="0" w:color="auto"/>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Geographic Region</w:t>
            </w:r>
          </w:p>
        </w:tc>
        <w:tc>
          <w:tcPr>
            <w:tcW w:w="4320" w:type="dxa"/>
            <w:gridSpan w:val="5"/>
            <w:tcBorders>
              <w:top w:val="single" w:sz="4" w:space="0" w:color="auto"/>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Economic Region</w:t>
            </w:r>
          </w:p>
        </w:tc>
      </w:tr>
      <w:tr w:rsidR="00747781" w:rsidRPr="00B66925" w:rsidTr="006C4CB1">
        <w:trPr>
          <w:trHeight w:val="300"/>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747781" w:rsidRPr="00B66925" w:rsidRDefault="00747781" w:rsidP="006C4CB1">
            <w:pPr>
              <w:spacing w:after="0" w:line="240" w:lineRule="auto"/>
              <w:rPr>
                <w:rFonts w:ascii="Calibri" w:eastAsia="Times New Roman" w:hAnsi="Calibri" w:cs="Calibri"/>
                <w:b/>
                <w:bCs/>
                <w:i/>
                <w:iCs/>
                <w:color w:val="000000"/>
                <w:sz w:val="20"/>
              </w:rPr>
            </w:pP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Southern Africa</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East Africa</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Central Africa</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West Africa</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CEMAC</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ECOWAS</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Non-CFA ECOWAS</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UEMOA</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D61A14" w:rsidRDefault="00747781" w:rsidP="006C4CB1">
            <w:pPr>
              <w:spacing w:after="0" w:line="240" w:lineRule="auto"/>
              <w:jc w:val="center"/>
              <w:rPr>
                <w:rFonts w:ascii="Calibri" w:eastAsia="Times New Roman" w:hAnsi="Calibri" w:cs="Calibri"/>
                <w:b/>
                <w:bCs/>
                <w:color w:val="000000"/>
                <w:sz w:val="18"/>
              </w:rPr>
            </w:pPr>
            <w:r w:rsidRPr="00D61A14">
              <w:rPr>
                <w:rFonts w:ascii="Calibri" w:eastAsia="Times New Roman" w:hAnsi="Calibri" w:cs="Calibri"/>
                <w:b/>
                <w:bCs/>
                <w:color w:val="000000"/>
                <w:sz w:val="18"/>
              </w:rPr>
              <w:t>CFA</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2013</w:t>
            </w: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3.56</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2.28</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6.23</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5.04</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5.98</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5.05</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4.81</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6.51</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rPr>
            </w:pPr>
            <w:r w:rsidRPr="00B66925">
              <w:rPr>
                <w:rFonts w:ascii="Calibri" w:eastAsia="Times New Roman" w:hAnsi="Calibri" w:cs="Calibri"/>
                <w:color w:val="000000"/>
              </w:rPr>
              <w:t>6.23</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2014</w:t>
            </w: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4.07</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6.22</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3.95</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5.70</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2.49</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5.71</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5.68</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5.95</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rPr>
            </w:pPr>
            <w:r w:rsidRPr="00B66925">
              <w:rPr>
                <w:rFonts w:ascii="Calibri" w:eastAsia="Times New Roman" w:hAnsi="Calibri" w:cs="Calibri"/>
                <w:color w:val="000000"/>
              </w:rPr>
              <w:t>4.15</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2015</w:t>
            </w: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2.92</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5.47</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5.89</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6.16</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4.65</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6.17</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6.09</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6.73</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rPr>
            </w:pPr>
            <w:r w:rsidRPr="00B66925">
              <w:rPr>
                <w:rFonts w:ascii="Calibri" w:eastAsia="Times New Roman" w:hAnsi="Calibri" w:cs="Calibri"/>
                <w:color w:val="000000"/>
              </w:rPr>
              <w:t>5.67</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2016</w:t>
            </w: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1.91</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5.90</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3.67</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3.09</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2.11</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3.10</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2.55</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6.31</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rPr>
            </w:pPr>
            <w:r w:rsidRPr="00B66925">
              <w:rPr>
                <w:rFonts w:ascii="Calibri" w:eastAsia="Times New Roman" w:hAnsi="Calibri" w:cs="Calibri"/>
                <w:color w:val="000000"/>
              </w:rPr>
              <w:t>4.36</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000000" w:fill="FFFFFF"/>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2017</w:t>
            </w:r>
          </w:p>
        </w:tc>
        <w:tc>
          <w:tcPr>
            <w:tcW w:w="98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0.52</w:t>
            </w:r>
          </w:p>
        </w:tc>
        <w:tc>
          <w:tcPr>
            <w:tcW w:w="823"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5.67</w:t>
            </w:r>
          </w:p>
        </w:tc>
        <w:tc>
          <w:tcPr>
            <w:tcW w:w="819"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0.83</w:t>
            </w:r>
          </w:p>
        </w:tc>
        <w:tc>
          <w:tcPr>
            <w:tcW w:w="801"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0.43</w:t>
            </w:r>
          </w:p>
        </w:tc>
        <w:tc>
          <w:tcPr>
            <w:tcW w:w="82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0.08</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0.42</w:t>
            </w:r>
          </w:p>
        </w:tc>
        <w:tc>
          <w:tcPr>
            <w:tcW w:w="952"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-0.89</w:t>
            </w:r>
          </w:p>
        </w:tc>
        <w:tc>
          <w:tcPr>
            <w:tcW w:w="876"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sz w:val="20"/>
              </w:rPr>
            </w:pPr>
            <w:r w:rsidRPr="00B66925">
              <w:rPr>
                <w:rFonts w:ascii="Calibri" w:eastAsia="Times New Roman" w:hAnsi="Calibri" w:cs="Calibri"/>
                <w:color w:val="000000"/>
                <w:sz w:val="20"/>
              </w:rPr>
              <w:t>6.64</w:t>
            </w:r>
          </w:p>
        </w:tc>
        <w:tc>
          <w:tcPr>
            <w:tcW w:w="718" w:type="dxa"/>
            <w:tcBorders>
              <w:top w:val="nil"/>
              <w:left w:val="nil"/>
              <w:bottom w:val="single" w:sz="4" w:space="0" w:color="auto"/>
              <w:right w:val="single" w:sz="4" w:space="0" w:color="auto"/>
            </w:tcBorders>
            <w:shd w:val="clear" w:color="auto" w:fill="auto"/>
            <w:noWrap/>
            <w:vAlign w:val="center"/>
            <w:hideMark/>
          </w:tcPr>
          <w:p w:rsidR="00747781" w:rsidRPr="00B66925" w:rsidRDefault="00747781" w:rsidP="006C4CB1">
            <w:pPr>
              <w:spacing w:after="0" w:line="240" w:lineRule="auto"/>
              <w:jc w:val="center"/>
              <w:rPr>
                <w:rFonts w:ascii="Calibri" w:eastAsia="Times New Roman" w:hAnsi="Calibri" w:cs="Calibri"/>
                <w:color w:val="000000"/>
              </w:rPr>
            </w:pPr>
            <w:r w:rsidRPr="00B66925">
              <w:rPr>
                <w:rFonts w:ascii="Calibri" w:eastAsia="Times New Roman" w:hAnsi="Calibri" w:cs="Calibri"/>
                <w:color w:val="000000"/>
              </w:rPr>
              <w:t>3.78</w:t>
            </w:r>
          </w:p>
        </w:tc>
      </w:tr>
      <w:tr w:rsidR="00747781" w:rsidRPr="00B66925" w:rsidTr="006C4CB1">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5-Year Average</w:t>
            </w:r>
          </w:p>
        </w:tc>
        <w:tc>
          <w:tcPr>
            <w:tcW w:w="982"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2.60</w:t>
            </w:r>
          </w:p>
        </w:tc>
        <w:tc>
          <w:tcPr>
            <w:tcW w:w="823"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5.11</w:t>
            </w:r>
          </w:p>
        </w:tc>
        <w:tc>
          <w:tcPr>
            <w:tcW w:w="819"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4.11</w:t>
            </w:r>
          </w:p>
        </w:tc>
        <w:tc>
          <w:tcPr>
            <w:tcW w:w="801"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4.08</w:t>
            </w:r>
          </w:p>
        </w:tc>
        <w:tc>
          <w:tcPr>
            <w:tcW w:w="822"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3.06</w:t>
            </w:r>
          </w:p>
        </w:tc>
        <w:tc>
          <w:tcPr>
            <w:tcW w:w="952"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4.09</w:t>
            </w:r>
          </w:p>
        </w:tc>
        <w:tc>
          <w:tcPr>
            <w:tcW w:w="952"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3.65</w:t>
            </w:r>
          </w:p>
        </w:tc>
        <w:tc>
          <w:tcPr>
            <w:tcW w:w="876"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sz w:val="20"/>
              </w:rPr>
            </w:pPr>
            <w:r w:rsidRPr="00B66925">
              <w:rPr>
                <w:rFonts w:ascii="Calibri" w:eastAsia="Times New Roman" w:hAnsi="Calibri" w:cs="Calibri"/>
                <w:b/>
                <w:bCs/>
                <w:color w:val="000000"/>
                <w:sz w:val="20"/>
              </w:rPr>
              <w:t>6.43</w:t>
            </w:r>
          </w:p>
        </w:tc>
        <w:tc>
          <w:tcPr>
            <w:tcW w:w="718" w:type="dxa"/>
            <w:tcBorders>
              <w:top w:val="nil"/>
              <w:left w:val="nil"/>
              <w:bottom w:val="single" w:sz="4" w:space="0" w:color="auto"/>
              <w:right w:val="single" w:sz="4" w:space="0" w:color="auto"/>
            </w:tcBorders>
            <w:shd w:val="clear" w:color="auto" w:fill="auto"/>
            <w:noWrap/>
            <w:vAlign w:val="bottom"/>
            <w:hideMark/>
          </w:tcPr>
          <w:p w:rsidR="00747781" w:rsidRPr="00B66925" w:rsidRDefault="00747781" w:rsidP="006C4CB1">
            <w:pPr>
              <w:spacing w:after="0" w:line="240" w:lineRule="auto"/>
              <w:jc w:val="center"/>
              <w:rPr>
                <w:rFonts w:ascii="Calibri" w:eastAsia="Times New Roman" w:hAnsi="Calibri" w:cs="Calibri"/>
                <w:b/>
                <w:bCs/>
                <w:color w:val="000000"/>
              </w:rPr>
            </w:pPr>
            <w:r w:rsidRPr="00B66925">
              <w:rPr>
                <w:rFonts w:ascii="Calibri" w:eastAsia="Times New Roman" w:hAnsi="Calibri" w:cs="Calibri"/>
                <w:b/>
                <w:bCs/>
                <w:color w:val="000000"/>
              </w:rPr>
              <w:t>4.84</w:t>
            </w:r>
          </w:p>
        </w:tc>
      </w:tr>
    </w:tbl>
    <w:p w:rsidR="00452796" w:rsidRDefault="00452796" w:rsidP="00452796">
      <w:pPr>
        <w:ind w:firstLine="720"/>
        <w:rPr>
          <w:sz w:val="24"/>
          <w:szCs w:val="24"/>
        </w:rPr>
      </w:pPr>
    </w:p>
    <w:p w:rsidR="00747781" w:rsidRDefault="00747781" w:rsidP="00452796">
      <w:pPr>
        <w:ind w:firstLine="720"/>
        <w:rPr>
          <w:sz w:val="24"/>
          <w:szCs w:val="24"/>
        </w:rPr>
      </w:pPr>
    </w:p>
    <w:p w:rsidR="006F44A6" w:rsidRDefault="00452796" w:rsidP="006F44A6">
      <w:pPr>
        <w:rPr>
          <w:rFonts w:ascii="Calibri" w:eastAsia="Times New Roman" w:hAnsi="Calibri" w:cs="Calibri"/>
          <w:b/>
          <w:bCs/>
          <w:color w:val="002060"/>
          <w:sz w:val="20"/>
        </w:rPr>
      </w:pPr>
      <w:r>
        <w:rPr>
          <w:rFonts w:ascii="Calibri" w:eastAsia="Times New Roman" w:hAnsi="Calibri" w:cs="Calibri"/>
          <w:b/>
          <w:bCs/>
          <w:color w:val="002060"/>
          <w:sz w:val="20"/>
        </w:rPr>
        <w:t>Graph 1</w:t>
      </w:r>
    </w:p>
    <w:p w:rsidR="006F44A6" w:rsidRPr="0030224B" w:rsidRDefault="006F44A6" w:rsidP="006F44A6">
      <w:pPr>
        <w:rPr>
          <w:sz w:val="20"/>
        </w:rPr>
      </w:pPr>
      <w:r>
        <w:rPr>
          <w:noProof/>
        </w:rPr>
        <w:drawing>
          <wp:inline distT="0" distB="0" distL="0" distR="0" wp14:anchorId="5A0EA6FD" wp14:editId="7F290C5A">
            <wp:extent cx="6000750" cy="41243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2796" w:rsidRDefault="00452796" w:rsidP="006F44A6">
      <w:pPr>
        <w:rPr>
          <w:rFonts w:ascii="Calibri" w:eastAsia="Times New Roman" w:hAnsi="Calibri" w:cs="Calibri"/>
          <w:b/>
          <w:bCs/>
          <w:color w:val="002060"/>
          <w:sz w:val="20"/>
        </w:rPr>
      </w:pPr>
    </w:p>
    <w:p w:rsidR="00452796" w:rsidRDefault="00452796" w:rsidP="006F44A6">
      <w:pPr>
        <w:rPr>
          <w:rFonts w:ascii="Calibri" w:eastAsia="Times New Roman" w:hAnsi="Calibri" w:cs="Calibri"/>
          <w:b/>
          <w:bCs/>
          <w:color w:val="002060"/>
          <w:sz w:val="20"/>
        </w:rPr>
      </w:pPr>
    </w:p>
    <w:p w:rsidR="00452796" w:rsidRDefault="00452796" w:rsidP="006F44A6">
      <w:pPr>
        <w:rPr>
          <w:rFonts w:ascii="Calibri" w:eastAsia="Times New Roman" w:hAnsi="Calibri" w:cs="Calibri"/>
          <w:b/>
          <w:bCs/>
          <w:color w:val="002060"/>
          <w:sz w:val="20"/>
        </w:rPr>
      </w:pPr>
    </w:p>
    <w:p w:rsidR="006F44A6" w:rsidRPr="00A925F9" w:rsidRDefault="00452796" w:rsidP="006F44A6">
      <w:pPr>
        <w:rPr>
          <w:sz w:val="20"/>
        </w:rPr>
      </w:pPr>
      <w:r>
        <w:rPr>
          <w:rFonts w:ascii="Calibri" w:eastAsia="Times New Roman" w:hAnsi="Calibri" w:cs="Calibri"/>
          <w:b/>
          <w:bCs/>
          <w:color w:val="002060"/>
          <w:sz w:val="20"/>
        </w:rPr>
        <w:lastRenderedPageBreak/>
        <w:t>Graph 2</w:t>
      </w:r>
    </w:p>
    <w:p w:rsidR="00987490" w:rsidRDefault="006F44A6" w:rsidP="006F44A6">
      <w:pPr>
        <w:rPr>
          <w:sz w:val="20"/>
        </w:rPr>
      </w:pPr>
      <w:r>
        <w:rPr>
          <w:noProof/>
        </w:rPr>
        <w:drawing>
          <wp:inline distT="0" distB="0" distL="0" distR="0" wp14:anchorId="64CBCDBB" wp14:editId="79A0747E">
            <wp:extent cx="6000750" cy="34099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433DA">
        <w:rPr>
          <w:sz w:val="20"/>
        </w:rPr>
        <w:br/>
      </w:r>
      <w:r w:rsidR="00401568">
        <w:rPr>
          <w:sz w:val="20"/>
        </w:rPr>
        <w:t>Graph 3</w:t>
      </w:r>
      <w:r w:rsidR="00452796">
        <w:rPr>
          <w:sz w:val="20"/>
        </w:rPr>
        <w:br/>
      </w:r>
      <w:r>
        <w:rPr>
          <w:noProof/>
        </w:rPr>
        <w:drawing>
          <wp:inline distT="0" distB="0" distL="0" distR="0" wp14:anchorId="3EE34AD4" wp14:editId="30BA825B">
            <wp:extent cx="5943600" cy="37433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24F5F" w:rsidRDefault="00E62A33" w:rsidP="00E62A33">
      <w:pPr>
        <w:ind w:firstLine="720"/>
        <w:jc w:val="right"/>
        <w:rPr>
          <w:sz w:val="24"/>
          <w:szCs w:val="24"/>
        </w:rPr>
      </w:pPr>
      <w:r>
        <w:rPr>
          <w:sz w:val="16"/>
          <w:szCs w:val="16"/>
        </w:rPr>
        <w:t xml:space="preserve">(Graphs are </w:t>
      </w:r>
      <w:r w:rsidRPr="005D438E">
        <w:rPr>
          <w:sz w:val="16"/>
          <w:szCs w:val="16"/>
        </w:rPr>
        <w:t>thanks to Haiyang Zhang</w:t>
      </w:r>
      <w:r>
        <w:rPr>
          <w:sz w:val="16"/>
          <w:szCs w:val="16"/>
        </w:rPr>
        <w:t>.)</w:t>
      </w:r>
    </w:p>
    <w:p w:rsidR="00401568" w:rsidRDefault="00401568" w:rsidP="00EA6066">
      <w:pPr>
        <w:ind w:firstLine="720"/>
        <w:rPr>
          <w:sz w:val="24"/>
          <w:szCs w:val="24"/>
        </w:rPr>
      </w:pPr>
    </w:p>
    <w:p w:rsidR="007E31C0" w:rsidRDefault="002B30A5" w:rsidP="00EA6066">
      <w:pPr>
        <w:ind w:firstLine="720"/>
        <w:rPr>
          <w:sz w:val="24"/>
          <w:szCs w:val="24"/>
        </w:rPr>
      </w:pPr>
      <w:r>
        <w:rPr>
          <w:sz w:val="24"/>
          <w:szCs w:val="24"/>
        </w:rPr>
        <w:t>Turning to trade patterns, trade per capita in the UEMOA countries is slightly lower than among their non-CFA neighbors.  But that likely reflects that income per capita is lower</w:t>
      </w:r>
      <w:r w:rsidR="005B40B7">
        <w:rPr>
          <w:sz w:val="24"/>
          <w:szCs w:val="24"/>
        </w:rPr>
        <w:t xml:space="preserve"> (which </w:t>
      </w:r>
      <w:r w:rsidR="00656808">
        <w:rPr>
          <w:sz w:val="24"/>
          <w:szCs w:val="24"/>
        </w:rPr>
        <w:t>ma</w:t>
      </w:r>
      <w:r w:rsidR="005B40B7">
        <w:rPr>
          <w:sz w:val="24"/>
          <w:szCs w:val="24"/>
        </w:rPr>
        <w:t xml:space="preserve">y in turn reflects Nigeria’s oil wealth).  The trade/GDP ratio is higher in UEMOA than in any of the other regions.  The CFA effect we most expect to see </w:t>
      </w:r>
      <w:r w:rsidR="00656808">
        <w:rPr>
          <w:sz w:val="24"/>
          <w:szCs w:val="24"/>
        </w:rPr>
        <w:t xml:space="preserve">is </w:t>
      </w:r>
      <w:r w:rsidR="005B40B7">
        <w:rPr>
          <w:sz w:val="24"/>
          <w:szCs w:val="24"/>
        </w:rPr>
        <w:t xml:space="preserve">an intra-regional concentration of trade and, indeed, it is there:  The last row of Table 2 shows that the concentration ratio, at </w:t>
      </w:r>
      <w:r w:rsidR="00713F3F">
        <w:rPr>
          <w:sz w:val="24"/>
          <w:szCs w:val="24"/>
        </w:rPr>
        <w:br/>
        <w:t>30.0 for UEMOA (</w:t>
      </w:r>
      <w:r w:rsidR="005B40B7">
        <w:rPr>
          <w:sz w:val="24"/>
          <w:szCs w:val="24"/>
        </w:rPr>
        <w:t>and 12.</w:t>
      </w:r>
      <w:r w:rsidR="00713F3F">
        <w:rPr>
          <w:sz w:val="24"/>
          <w:szCs w:val="24"/>
        </w:rPr>
        <w:t>6</w:t>
      </w:r>
      <w:r w:rsidR="005B40B7">
        <w:rPr>
          <w:sz w:val="24"/>
          <w:szCs w:val="24"/>
        </w:rPr>
        <w:t xml:space="preserve"> for CEMAC, </w:t>
      </w:r>
      <w:r w:rsidR="00713F3F">
        <w:rPr>
          <w:sz w:val="24"/>
          <w:szCs w:val="24"/>
        </w:rPr>
        <w:t>work</w:t>
      </w:r>
      <w:r w:rsidR="005B40B7">
        <w:rPr>
          <w:sz w:val="24"/>
          <w:szCs w:val="24"/>
        </w:rPr>
        <w:t>ing out to 16.</w:t>
      </w:r>
      <w:r w:rsidR="00713F3F">
        <w:rPr>
          <w:sz w:val="24"/>
          <w:szCs w:val="24"/>
        </w:rPr>
        <w:t xml:space="preserve">8 </w:t>
      </w:r>
      <w:r w:rsidR="005B40B7">
        <w:rPr>
          <w:sz w:val="24"/>
          <w:szCs w:val="24"/>
        </w:rPr>
        <w:t>for the CFA zone as a whole</w:t>
      </w:r>
      <w:r w:rsidR="00713F3F">
        <w:rPr>
          <w:sz w:val="24"/>
          <w:szCs w:val="24"/>
        </w:rPr>
        <w:t>)</w:t>
      </w:r>
      <w:r w:rsidR="005B40B7">
        <w:rPr>
          <w:sz w:val="24"/>
          <w:szCs w:val="24"/>
        </w:rPr>
        <w:t>, is far higher than for ECOWAS</w:t>
      </w:r>
      <w:r w:rsidR="00713F3F">
        <w:rPr>
          <w:sz w:val="24"/>
          <w:szCs w:val="24"/>
        </w:rPr>
        <w:t xml:space="preserve"> (2.6)</w:t>
      </w:r>
      <w:r w:rsidR="005B40B7">
        <w:rPr>
          <w:sz w:val="24"/>
          <w:szCs w:val="24"/>
        </w:rPr>
        <w:t xml:space="preserve">.  On the one hand, this finding is consistent with </w:t>
      </w:r>
      <w:r w:rsidR="00656808">
        <w:rPr>
          <w:sz w:val="24"/>
          <w:szCs w:val="24"/>
        </w:rPr>
        <w:t>other</w:t>
      </w:r>
      <w:r w:rsidR="005B40B7">
        <w:rPr>
          <w:sz w:val="24"/>
          <w:szCs w:val="24"/>
        </w:rPr>
        <w:t xml:space="preserve"> empirical findings globally: </w:t>
      </w:r>
      <w:r w:rsidR="002B677B">
        <w:rPr>
          <w:sz w:val="24"/>
          <w:szCs w:val="24"/>
        </w:rPr>
        <w:t xml:space="preserve"> (i) </w:t>
      </w:r>
      <w:r w:rsidR="005B40B7">
        <w:rPr>
          <w:sz w:val="24"/>
          <w:szCs w:val="24"/>
        </w:rPr>
        <w:t xml:space="preserve">currency unions promote trade creation </w:t>
      </w:r>
      <w:r w:rsidR="002B677B">
        <w:rPr>
          <w:sz w:val="24"/>
          <w:szCs w:val="24"/>
        </w:rPr>
        <w:t xml:space="preserve">and (ii) </w:t>
      </w:r>
      <w:r w:rsidR="005B40B7">
        <w:rPr>
          <w:sz w:val="24"/>
          <w:szCs w:val="24"/>
        </w:rPr>
        <w:t>trade-diversion</w:t>
      </w:r>
      <w:r w:rsidR="002B677B">
        <w:rPr>
          <w:sz w:val="24"/>
          <w:szCs w:val="24"/>
        </w:rPr>
        <w:t xml:space="preserve">, if any, is so small </w:t>
      </w:r>
      <w:r w:rsidR="005B40B7">
        <w:rPr>
          <w:sz w:val="24"/>
          <w:szCs w:val="24"/>
        </w:rPr>
        <w:t xml:space="preserve">that total trade/GDP </w:t>
      </w:r>
      <w:r w:rsidR="00656808">
        <w:rPr>
          <w:sz w:val="24"/>
          <w:szCs w:val="24"/>
        </w:rPr>
        <w:t>comes out</w:t>
      </w:r>
      <w:r w:rsidR="005B40B7">
        <w:rPr>
          <w:sz w:val="24"/>
          <w:szCs w:val="24"/>
        </w:rPr>
        <w:t xml:space="preserve"> higher.  On the other hand the high trade intensity among the UEMOA countries could</w:t>
      </w:r>
      <w:r w:rsidR="00EA1310">
        <w:rPr>
          <w:sz w:val="24"/>
          <w:szCs w:val="24"/>
        </w:rPr>
        <w:t xml:space="preserve"> easily be due to other factors --</w:t>
      </w:r>
      <w:r w:rsidR="005B40B7">
        <w:rPr>
          <w:sz w:val="24"/>
          <w:szCs w:val="24"/>
        </w:rPr>
        <w:t xml:space="preserve"> such as the contiguity, French language, and colonial heritage that most of them share.  </w:t>
      </w:r>
      <w:r w:rsidR="002B677B">
        <w:rPr>
          <w:sz w:val="24"/>
          <w:szCs w:val="24"/>
        </w:rPr>
        <w:t xml:space="preserve">(The non-CFA countries are generally not contiguous, although a majority </w:t>
      </w:r>
      <w:r w:rsidR="009433DA">
        <w:rPr>
          <w:sz w:val="24"/>
          <w:szCs w:val="24"/>
        </w:rPr>
        <w:t xml:space="preserve">of them </w:t>
      </w:r>
      <w:r w:rsidR="002B677B">
        <w:rPr>
          <w:sz w:val="24"/>
          <w:szCs w:val="24"/>
        </w:rPr>
        <w:t xml:space="preserve">share an English colonial history.)  </w:t>
      </w:r>
      <w:r w:rsidR="005B40B7">
        <w:rPr>
          <w:sz w:val="24"/>
          <w:szCs w:val="24"/>
        </w:rPr>
        <w:t>We need to control for such factors</w:t>
      </w:r>
      <w:r w:rsidR="00D46895">
        <w:rPr>
          <w:sz w:val="24"/>
          <w:szCs w:val="24"/>
        </w:rPr>
        <w:t xml:space="preserve"> before we can draw conclusions.  </w:t>
      </w:r>
      <w:r w:rsidR="00DA685B">
        <w:rPr>
          <w:sz w:val="24"/>
          <w:szCs w:val="24"/>
        </w:rPr>
        <w:t xml:space="preserve">For this, we need the gravity model.  </w:t>
      </w:r>
      <w:r w:rsidR="00D46895">
        <w:rPr>
          <w:sz w:val="24"/>
          <w:szCs w:val="24"/>
        </w:rPr>
        <w:t>In the following section we</w:t>
      </w:r>
      <w:r w:rsidR="0047290A">
        <w:rPr>
          <w:sz w:val="24"/>
          <w:szCs w:val="24"/>
        </w:rPr>
        <w:t xml:space="preserve"> see what is to be learned from</w:t>
      </w:r>
      <w:r w:rsidR="005B40B7">
        <w:rPr>
          <w:sz w:val="24"/>
          <w:szCs w:val="24"/>
        </w:rPr>
        <w:t xml:space="preserve"> the full estimation of the gravity equation</w:t>
      </w:r>
      <w:r w:rsidR="00713F3F">
        <w:rPr>
          <w:sz w:val="24"/>
          <w:szCs w:val="24"/>
        </w:rPr>
        <w:t>.</w:t>
      </w:r>
    </w:p>
    <w:p w:rsidR="009F56F3" w:rsidRDefault="006B2A7D" w:rsidP="009F56F3">
      <w:pPr>
        <w:ind w:firstLine="720"/>
        <w:rPr>
          <w:sz w:val="24"/>
          <w:szCs w:val="24"/>
        </w:rPr>
      </w:pPr>
      <w:r>
        <w:rPr>
          <w:sz w:val="24"/>
          <w:szCs w:val="24"/>
        </w:rPr>
        <w:t>A simple way to test the effect of membership in the CFA zone</w:t>
      </w:r>
      <w:r w:rsidR="00FE29CA">
        <w:rPr>
          <w:sz w:val="24"/>
          <w:szCs w:val="24"/>
        </w:rPr>
        <w:t xml:space="preserve"> </w:t>
      </w:r>
      <w:r w:rsidR="009F56F3">
        <w:rPr>
          <w:sz w:val="24"/>
          <w:szCs w:val="24"/>
        </w:rPr>
        <w:t xml:space="preserve">would be </w:t>
      </w:r>
      <w:r>
        <w:rPr>
          <w:sz w:val="24"/>
          <w:szCs w:val="24"/>
        </w:rPr>
        <w:t xml:space="preserve">to look at </w:t>
      </w:r>
      <w:r w:rsidR="00FE29CA">
        <w:rPr>
          <w:sz w:val="24"/>
          <w:szCs w:val="24"/>
        </w:rPr>
        <w:t xml:space="preserve">before-and-after comparisons for </w:t>
      </w:r>
      <w:r>
        <w:rPr>
          <w:sz w:val="24"/>
          <w:szCs w:val="24"/>
        </w:rPr>
        <w:t xml:space="preserve">the few cases of countries that have joined it or left it.  </w:t>
      </w:r>
      <w:r w:rsidR="00AD28B3">
        <w:rPr>
          <w:sz w:val="24"/>
          <w:szCs w:val="24"/>
        </w:rPr>
        <w:t>Guinea exited the CFA in 1960 and Mali</w:t>
      </w:r>
      <w:r w:rsidR="009F56F3">
        <w:rPr>
          <w:sz w:val="24"/>
          <w:szCs w:val="24"/>
        </w:rPr>
        <w:t xml:space="preserve"> did so</w:t>
      </w:r>
      <w:r w:rsidR="00AD28B3">
        <w:rPr>
          <w:sz w:val="24"/>
          <w:szCs w:val="24"/>
        </w:rPr>
        <w:t xml:space="preserve"> in 1961</w:t>
      </w:r>
      <w:r w:rsidR="00DA685B">
        <w:rPr>
          <w:sz w:val="24"/>
          <w:szCs w:val="24"/>
        </w:rPr>
        <w:t>.</w:t>
      </w:r>
      <w:r w:rsidR="009F56F3">
        <w:rPr>
          <w:sz w:val="24"/>
          <w:szCs w:val="24"/>
        </w:rPr>
        <w:t xml:space="preserve"> </w:t>
      </w:r>
      <w:r w:rsidR="00AD28B3">
        <w:rPr>
          <w:sz w:val="24"/>
          <w:szCs w:val="24"/>
        </w:rPr>
        <w:t>Equatorial Guinea joined in 1985</w:t>
      </w:r>
      <w:r w:rsidR="009F56F3">
        <w:rPr>
          <w:sz w:val="24"/>
          <w:szCs w:val="24"/>
        </w:rPr>
        <w:t>.  Unfortunately we lack bilateral trade data preceding these three dates for these countries. That leaves four cases:  the exits of Madagascar and Mauritania in 1973, the re-entry of Mali in 1984, and the entry of Guinea-Bissau in 1997.  Madagascar is a particularly interesting case because it is far removed from the others geographically</w:t>
      </w:r>
      <w:r w:rsidR="00DA685B">
        <w:rPr>
          <w:sz w:val="24"/>
          <w:szCs w:val="24"/>
        </w:rPr>
        <w:t>,</w:t>
      </w:r>
      <w:r w:rsidR="009F56F3">
        <w:rPr>
          <w:sz w:val="24"/>
          <w:szCs w:val="24"/>
        </w:rPr>
        <w:t xml:space="preserve"> </w:t>
      </w:r>
      <w:r w:rsidR="00DA685B">
        <w:rPr>
          <w:sz w:val="24"/>
          <w:szCs w:val="24"/>
        </w:rPr>
        <w:t>while</w:t>
      </w:r>
      <w:r w:rsidR="009F56F3">
        <w:rPr>
          <w:sz w:val="24"/>
          <w:szCs w:val="24"/>
        </w:rPr>
        <w:t xml:space="preserve"> Guinea-Bissau is </w:t>
      </w:r>
      <w:r w:rsidR="00DA685B">
        <w:rPr>
          <w:sz w:val="24"/>
          <w:szCs w:val="24"/>
        </w:rPr>
        <w:t xml:space="preserve">an interesting case because it is not Francophone </w:t>
      </w:r>
      <w:r w:rsidR="009F56F3">
        <w:rPr>
          <w:sz w:val="24"/>
          <w:szCs w:val="24"/>
        </w:rPr>
        <w:t xml:space="preserve">but rather was a Portuguese colony.  </w:t>
      </w:r>
      <w:r w:rsidR="00713F3F">
        <w:rPr>
          <w:sz w:val="24"/>
          <w:szCs w:val="24"/>
        </w:rPr>
        <w:t>(</w:t>
      </w:r>
      <w:r w:rsidR="002D45E3">
        <w:rPr>
          <w:sz w:val="24"/>
          <w:szCs w:val="24"/>
        </w:rPr>
        <w:t>E</w:t>
      </w:r>
      <w:r w:rsidR="009F56F3">
        <w:rPr>
          <w:sz w:val="24"/>
          <w:szCs w:val="24"/>
        </w:rPr>
        <w:t>quatorial Guinea would also have been an interesting ca</w:t>
      </w:r>
      <w:r w:rsidR="00713F3F">
        <w:rPr>
          <w:sz w:val="24"/>
          <w:szCs w:val="24"/>
        </w:rPr>
        <w:t>se, as a former Spanish colony.)</w:t>
      </w:r>
    </w:p>
    <w:p w:rsidR="007329C2" w:rsidRDefault="007329C2" w:rsidP="00AA0543">
      <w:pPr>
        <w:rPr>
          <w:sz w:val="24"/>
          <w:szCs w:val="24"/>
        </w:rPr>
      </w:pPr>
    </w:p>
    <w:p w:rsidR="00D1567C" w:rsidRDefault="00AA0543" w:rsidP="00AA0543">
      <w:pPr>
        <w:rPr>
          <w:sz w:val="24"/>
          <w:szCs w:val="24"/>
        </w:rPr>
      </w:pPr>
      <w:r w:rsidRPr="00D02C5D">
        <w:rPr>
          <w:rFonts w:ascii="-webkit-standard" w:eastAsia="Times New Roman" w:hAnsi="-webkit-standard"/>
          <w:noProof/>
          <w:color w:val="000000"/>
        </w:rPr>
        <w:lastRenderedPageBreak/>
        <w:drawing>
          <wp:inline distT="0" distB="0" distL="0" distR="0" wp14:anchorId="388BA63F" wp14:editId="607582EC">
            <wp:extent cx="2771775" cy="22643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0645" cy="2287937"/>
                    </a:xfrm>
                    <a:prstGeom prst="rect">
                      <a:avLst/>
                    </a:prstGeom>
                  </pic:spPr>
                </pic:pic>
              </a:graphicData>
            </a:graphic>
          </wp:inline>
        </w:drawing>
      </w:r>
      <w:r>
        <w:rPr>
          <w:sz w:val="24"/>
          <w:szCs w:val="24"/>
        </w:rPr>
        <w:t xml:space="preserve">    </w:t>
      </w:r>
      <w:r w:rsidRPr="00D02C5D">
        <w:rPr>
          <w:rFonts w:ascii="-webkit-standard" w:eastAsia="Times New Roman" w:hAnsi="-webkit-standard"/>
          <w:noProof/>
          <w:color w:val="000000"/>
        </w:rPr>
        <w:drawing>
          <wp:inline distT="0" distB="0" distL="0" distR="0" wp14:anchorId="71595C3A" wp14:editId="0C34042D">
            <wp:extent cx="2943225" cy="22167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64882" cy="2233039"/>
                    </a:xfrm>
                    <a:prstGeom prst="rect">
                      <a:avLst/>
                    </a:prstGeom>
                  </pic:spPr>
                </pic:pic>
              </a:graphicData>
            </a:graphic>
          </wp:inline>
        </w:drawing>
      </w:r>
    </w:p>
    <w:p w:rsidR="00E62A33" w:rsidRPr="007329C2" w:rsidRDefault="00AA0543" w:rsidP="007329C2">
      <w:pPr>
        <w:jc w:val="center"/>
        <w:rPr>
          <w:sz w:val="20"/>
          <w:szCs w:val="20"/>
        </w:rPr>
      </w:pPr>
      <w:r w:rsidRPr="00AA0543">
        <w:rPr>
          <w:sz w:val="20"/>
          <w:szCs w:val="20"/>
        </w:rPr>
        <w:t>Figure 1a</w:t>
      </w:r>
      <w:r w:rsidR="00157341">
        <w:rPr>
          <w:sz w:val="20"/>
          <w:szCs w:val="20"/>
        </w:rPr>
        <w:t xml:space="preserve">: CFA trade when Madagascar </w:t>
      </w:r>
      <w:r w:rsidRPr="00AA0543">
        <w:rPr>
          <w:sz w:val="20"/>
          <w:szCs w:val="20"/>
        </w:rPr>
        <w:t>exited</w:t>
      </w:r>
      <w:r w:rsidRPr="00AA0543">
        <w:rPr>
          <w:sz w:val="20"/>
          <w:szCs w:val="20"/>
        </w:rPr>
        <w:tab/>
      </w:r>
      <w:r>
        <w:rPr>
          <w:sz w:val="20"/>
          <w:szCs w:val="20"/>
        </w:rPr>
        <w:t xml:space="preserve">                 </w:t>
      </w:r>
      <w:r w:rsidR="00E62A33">
        <w:rPr>
          <w:sz w:val="20"/>
          <w:szCs w:val="20"/>
        </w:rPr>
        <w:t xml:space="preserve">Figure 1b: CFA trade when </w:t>
      </w:r>
      <w:r w:rsidRPr="00AA0543">
        <w:rPr>
          <w:sz w:val="20"/>
          <w:szCs w:val="20"/>
        </w:rPr>
        <w:t>Mali re-entered</w:t>
      </w:r>
      <w:r w:rsidR="00E62A33" w:rsidRPr="00E62A33">
        <w:rPr>
          <w:sz w:val="4"/>
          <w:szCs w:val="4"/>
        </w:rPr>
        <w:br/>
      </w:r>
      <w:r w:rsidR="00E62A33" w:rsidRPr="00E62A33">
        <w:rPr>
          <w:sz w:val="4"/>
          <w:szCs w:val="4"/>
        </w:rPr>
        <w:br/>
      </w:r>
      <w:r w:rsidR="00E62A33">
        <w:rPr>
          <w:sz w:val="20"/>
          <w:szCs w:val="20"/>
        </w:rPr>
        <w:t xml:space="preserve">                                                                                                                 (Graphs are thanks to Na Zhang.)</w:t>
      </w:r>
      <w:r w:rsidR="007329C2">
        <w:rPr>
          <w:sz w:val="20"/>
          <w:szCs w:val="20"/>
        </w:rPr>
        <w:br/>
      </w:r>
    </w:p>
    <w:p w:rsidR="009F56F3" w:rsidRPr="00D70C60" w:rsidRDefault="009F56F3" w:rsidP="002D45E3">
      <w:pPr>
        <w:shd w:val="clear" w:color="auto" w:fill="FFFFFF"/>
        <w:spacing w:after="0"/>
        <w:ind w:firstLine="720"/>
        <w:rPr>
          <w:rFonts w:ascii="Calibri" w:eastAsia="Times New Roman" w:hAnsi="Calibri" w:cs="Times New Roman"/>
          <w:color w:val="222222"/>
        </w:rPr>
      </w:pPr>
      <w:r>
        <w:rPr>
          <w:sz w:val="24"/>
          <w:szCs w:val="24"/>
        </w:rPr>
        <w:t xml:space="preserve">The four cases </w:t>
      </w:r>
      <w:r w:rsidR="00510C53">
        <w:rPr>
          <w:sz w:val="24"/>
          <w:szCs w:val="24"/>
        </w:rPr>
        <w:t>show varied outcomes.  As hypothesized the share of Madagascar’s trade with CFA countries as a share of its total trade fell abruptly when it left</w:t>
      </w:r>
      <w:r w:rsidR="007C697F">
        <w:rPr>
          <w:sz w:val="24"/>
          <w:szCs w:val="24"/>
        </w:rPr>
        <w:t xml:space="preserve"> the currency area</w:t>
      </w:r>
      <w:r w:rsidR="00510C53">
        <w:rPr>
          <w:sz w:val="24"/>
          <w:szCs w:val="24"/>
        </w:rPr>
        <w:t xml:space="preserve"> in 1973. </w:t>
      </w:r>
      <w:r w:rsidR="007C697F">
        <w:rPr>
          <w:sz w:val="24"/>
          <w:szCs w:val="24"/>
        </w:rPr>
        <w:t xml:space="preserve"> </w:t>
      </w:r>
      <w:proofErr w:type="gramStart"/>
      <w:r w:rsidR="007C697F">
        <w:rPr>
          <w:sz w:val="24"/>
          <w:szCs w:val="24"/>
        </w:rPr>
        <w:t xml:space="preserve">(See </w:t>
      </w:r>
      <w:r w:rsidR="00AA0543">
        <w:rPr>
          <w:sz w:val="24"/>
          <w:szCs w:val="24"/>
        </w:rPr>
        <w:t>F</w:t>
      </w:r>
      <w:r w:rsidR="007C697F">
        <w:rPr>
          <w:sz w:val="24"/>
          <w:szCs w:val="24"/>
        </w:rPr>
        <w:t>igure 1a.)</w:t>
      </w:r>
      <w:proofErr w:type="gramEnd"/>
      <w:r w:rsidR="00510C53">
        <w:rPr>
          <w:sz w:val="24"/>
          <w:szCs w:val="24"/>
        </w:rPr>
        <w:t xml:space="preserve"> The case of Mauritania </w:t>
      </w:r>
      <w:r w:rsidR="00FE1630">
        <w:rPr>
          <w:sz w:val="24"/>
          <w:szCs w:val="24"/>
        </w:rPr>
        <w:t>seem</w:t>
      </w:r>
      <w:r w:rsidR="00510C53">
        <w:rPr>
          <w:sz w:val="24"/>
          <w:szCs w:val="24"/>
        </w:rPr>
        <w:t xml:space="preserve">s tainted because the data </w:t>
      </w:r>
      <w:r w:rsidR="00934636">
        <w:rPr>
          <w:sz w:val="24"/>
          <w:szCs w:val="24"/>
        </w:rPr>
        <w:t>are missing in the first six years</w:t>
      </w:r>
      <w:r w:rsidR="00510C53">
        <w:rPr>
          <w:sz w:val="24"/>
          <w:szCs w:val="24"/>
        </w:rPr>
        <w:t xml:space="preserve"> after its exit in 1973.</w:t>
      </w:r>
      <w:r w:rsidR="00510C53">
        <w:rPr>
          <w:rStyle w:val="FootnoteReference"/>
          <w:sz w:val="24"/>
          <w:szCs w:val="24"/>
        </w:rPr>
        <w:footnoteReference w:id="15"/>
      </w:r>
      <w:r w:rsidR="00AA0543">
        <w:rPr>
          <w:sz w:val="24"/>
          <w:szCs w:val="24"/>
        </w:rPr>
        <w:t xml:space="preserve"> </w:t>
      </w:r>
      <w:r w:rsidR="007C697F">
        <w:rPr>
          <w:sz w:val="24"/>
          <w:szCs w:val="24"/>
        </w:rPr>
        <w:t>Mali shows a surprising fall in its CFA trade share after re-joining in 1984</w:t>
      </w:r>
      <w:r w:rsidR="005A6C6C">
        <w:rPr>
          <w:sz w:val="24"/>
          <w:szCs w:val="24"/>
        </w:rPr>
        <w:t>.  I</w:t>
      </w:r>
      <w:r w:rsidR="007C697F">
        <w:rPr>
          <w:sz w:val="24"/>
          <w:szCs w:val="24"/>
        </w:rPr>
        <w:t xml:space="preserve">n many years the trade seems negligible (Figure 1b). </w:t>
      </w:r>
      <w:r w:rsidR="005A6C6C">
        <w:rPr>
          <w:sz w:val="24"/>
          <w:szCs w:val="24"/>
        </w:rPr>
        <w:t>This could well be due to missing data for some country pa</w:t>
      </w:r>
      <w:r w:rsidR="00AD2098">
        <w:rPr>
          <w:sz w:val="24"/>
          <w:szCs w:val="24"/>
        </w:rPr>
        <w:t>ir</w:t>
      </w:r>
      <w:r w:rsidR="005A6C6C">
        <w:rPr>
          <w:sz w:val="24"/>
          <w:szCs w:val="24"/>
        </w:rPr>
        <w:t>s.</w:t>
      </w:r>
      <w:r w:rsidR="007C697F">
        <w:rPr>
          <w:sz w:val="24"/>
          <w:szCs w:val="24"/>
        </w:rPr>
        <w:t xml:space="preserve"> Guinea-Bissau shows no clear p</w:t>
      </w:r>
      <w:r w:rsidR="00453E77">
        <w:rPr>
          <w:sz w:val="24"/>
          <w:szCs w:val="24"/>
        </w:rPr>
        <w:t xml:space="preserve">attern comparing the few years </w:t>
      </w:r>
      <w:r w:rsidR="007C697F">
        <w:rPr>
          <w:sz w:val="24"/>
          <w:szCs w:val="24"/>
        </w:rPr>
        <w:t>before and after its entry in 1997.</w:t>
      </w:r>
      <w:r w:rsidR="007C697F">
        <w:rPr>
          <w:rStyle w:val="FootnoteReference"/>
          <w:sz w:val="24"/>
          <w:szCs w:val="24"/>
        </w:rPr>
        <w:footnoteReference w:id="16"/>
      </w:r>
      <w:r w:rsidR="007C697F">
        <w:rPr>
          <w:sz w:val="24"/>
          <w:szCs w:val="24"/>
        </w:rPr>
        <w:t xml:space="preserve">  </w:t>
      </w:r>
      <w:r w:rsidR="00D70C60" w:rsidRPr="00D70C60">
        <w:rPr>
          <w:rFonts w:ascii="Calibri" w:eastAsia="Times New Roman" w:hAnsi="Calibri" w:cs="Times New Roman"/>
          <w:color w:val="222222"/>
          <w:sz w:val="24"/>
          <w:szCs w:val="24"/>
        </w:rPr>
        <w:t xml:space="preserve">In all </w:t>
      </w:r>
      <w:r w:rsidR="00DA685B">
        <w:rPr>
          <w:rFonts w:ascii="Calibri" w:eastAsia="Times New Roman" w:hAnsi="Calibri" w:cs="Times New Roman"/>
          <w:color w:val="222222"/>
          <w:sz w:val="24"/>
          <w:szCs w:val="24"/>
        </w:rPr>
        <w:t xml:space="preserve">these </w:t>
      </w:r>
      <w:r w:rsidR="00D70C60" w:rsidRPr="00D70C60">
        <w:rPr>
          <w:rFonts w:ascii="Calibri" w:eastAsia="Times New Roman" w:hAnsi="Calibri" w:cs="Times New Roman"/>
          <w:color w:val="222222"/>
          <w:sz w:val="24"/>
          <w:szCs w:val="24"/>
        </w:rPr>
        <w:t xml:space="preserve">cases, the results may be heavily distorted by missing bilateral data, in addition to </w:t>
      </w:r>
      <w:r w:rsidR="005A6C6C">
        <w:rPr>
          <w:rFonts w:ascii="Calibri" w:eastAsia="Times New Roman" w:hAnsi="Calibri" w:cs="Times New Roman"/>
          <w:color w:val="222222"/>
          <w:sz w:val="24"/>
          <w:szCs w:val="24"/>
        </w:rPr>
        <w:t xml:space="preserve">the usual sort of </w:t>
      </w:r>
      <w:r w:rsidR="00D70C60" w:rsidRPr="00D70C60">
        <w:rPr>
          <w:rFonts w:ascii="Calibri" w:eastAsia="Times New Roman" w:hAnsi="Calibri" w:cs="Times New Roman"/>
          <w:color w:val="222222"/>
          <w:sz w:val="24"/>
          <w:szCs w:val="24"/>
        </w:rPr>
        <w:t>measurement error.</w:t>
      </w:r>
    </w:p>
    <w:p w:rsidR="00D46895" w:rsidRDefault="009F56F3" w:rsidP="009F56F3">
      <w:pPr>
        <w:ind w:firstLine="720"/>
        <w:rPr>
          <w:sz w:val="24"/>
          <w:szCs w:val="24"/>
        </w:rPr>
      </w:pPr>
      <w:r>
        <w:rPr>
          <w:sz w:val="24"/>
          <w:szCs w:val="24"/>
        </w:rPr>
        <w:t xml:space="preserve"> </w:t>
      </w:r>
      <w:r w:rsidR="007C697F">
        <w:rPr>
          <w:sz w:val="24"/>
          <w:szCs w:val="24"/>
        </w:rPr>
        <w:t xml:space="preserve">The weak results for this experiment </w:t>
      </w:r>
      <w:r w:rsidR="00D1567C">
        <w:rPr>
          <w:sz w:val="24"/>
          <w:szCs w:val="24"/>
        </w:rPr>
        <w:t>c</w:t>
      </w:r>
      <w:r w:rsidR="007C697F">
        <w:rPr>
          <w:sz w:val="24"/>
          <w:szCs w:val="24"/>
        </w:rPr>
        <w:t xml:space="preserve">ould perhaps be attributed </w:t>
      </w:r>
      <w:r w:rsidR="00D70C60">
        <w:rPr>
          <w:sz w:val="24"/>
          <w:szCs w:val="24"/>
        </w:rPr>
        <w:t xml:space="preserve">not only </w:t>
      </w:r>
      <w:r w:rsidR="007C697F">
        <w:rPr>
          <w:sz w:val="24"/>
          <w:szCs w:val="24"/>
        </w:rPr>
        <w:t>to limitation</w:t>
      </w:r>
      <w:r w:rsidR="00D1567C">
        <w:rPr>
          <w:sz w:val="24"/>
          <w:szCs w:val="24"/>
        </w:rPr>
        <w:t>s</w:t>
      </w:r>
      <w:r w:rsidR="007C697F">
        <w:rPr>
          <w:sz w:val="24"/>
          <w:szCs w:val="24"/>
        </w:rPr>
        <w:t xml:space="preserve"> in the data </w:t>
      </w:r>
      <w:r w:rsidR="00D70C60">
        <w:rPr>
          <w:sz w:val="24"/>
          <w:szCs w:val="24"/>
        </w:rPr>
        <w:t>but also to</w:t>
      </w:r>
      <w:r w:rsidR="007C697F">
        <w:rPr>
          <w:sz w:val="24"/>
          <w:szCs w:val="24"/>
        </w:rPr>
        <w:t xml:space="preserve"> unknown </w:t>
      </w:r>
      <w:r w:rsidR="00D1567C">
        <w:rPr>
          <w:sz w:val="24"/>
          <w:szCs w:val="24"/>
        </w:rPr>
        <w:t>idiosyncras</w:t>
      </w:r>
      <w:r w:rsidR="007C697F">
        <w:rPr>
          <w:sz w:val="24"/>
          <w:szCs w:val="24"/>
        </w:rPr>
        <w:t xml:space="preserve">ies of particular country experiences.  </w:t>
      </w:r>
      <w:r w:rsidR="00D46895">
        <w:rPr>
          <w:sz w:val="24"/>
          <w:szCs w:val="24"/>
        </w:rPr>
        <w:t xml:space="preserve">We need to bring </w:t>
      </w:r>
      <w:r w:rsidR="006B2A7D">
        <w:rPr>
          <w:sz w:val="24"/>
          <w:szCs w:val="24"/>
        </w:rPr>
        <w:t>a lot more data to bear</w:t>
      </w:r>
      <w:r w:rsidR="007C697F">
        <w:rPr>
          <w:sz w:val="24"/>
          <w:szCs w:val="24"/>
        </w:rPr>
        <w:t xml:space="preserve"> on this question</w:t>
      </w:r>
      <w:r w:rsidR="006B2A7D">
        <w:rPr>
          <w:sz w:val="24"/>
          <w:szCs w:val="24"/>
        </w:rPr>
        <w:t>.  The gravity model does that.</w:t>
      </w:r>
      <w:r w:rsidR="00EB2EE7">
        <w:rPr>
          <w:sz w:val="24"/>
          <w:szCs w:val="24"/>
        </w:rPr>
        <w:br/>
      </w:r>
    </w:p>
    <w:p w:rsidR="007329C2" w:rsidRDefault="007329C2" w:rsidP="009F56F3">
      <w:pPr>
        <w:ind w:firstLine="720"/>
        <w:rPr>
          <w:sz w:val="24"/>
          <w:szCs w:val="24"/>
        </w:rPr>
      </w:pPr>
    </w:p>
    <w:p w:rsidR="007329C2" w:rsidRDefault="007329C2">
      <w:pPr>
        <w:rPr>
          <w:b/>
          <w:sz w:val="24"/>
          <w:szCs w:val="24"/>
        </w:rPr>
      </w:pPr>
      <w:r>
        <w:rPr>
          <w:b/>
          <w:sz w:val="24"/>
          <w:szCs w:val="24"/>
        </w:rPr>
        <w:br w:type="page"/>
      </w:r>
    </w:p>
    <w:p w:rsidR="00EB2EE7" w:rsidRPr="00EB2EE7" w:rsidRDefault="00EB2EE7" w:rsidP="00EB2EE7">
      <w:pPr>
        <w:rPr>
          <w:b/>
          <w:sz w:val="24"/>
          <w:szCs w:val="24"/>
        </w:rPr>
      </w:pPr>
      <w:r>
        <w:rPr>
          <w:b/>
          <w:sz w:val="24"/>
          <w:szCs w:val="24"/>
        </w:rPr>
        <w:lastRenderedPageBreak/>
        <w:t xml:space="preserve">5. </w:t>
      </w:r>
      <w:r w:rsidRPr="00EB2EE7">
        <w:rPr>
          <w:b/>
          <w:sz w:val="24"/>
          <w:szCs w:val="24"/>
        </w:rPr>
        <w:t>CFA Trade Creation, Estimated from the Gravity Model</w:t>
      </w:r>
    </w:p>
    <w:p w:rsidR="006E6B2F" w:rsidRDefault="00A544A8" w:rsidP="00EA6066">
      <w:pPr>
        <w:ind w:firstLine="720"/>
        <w:rPr>
          <w:sz w:val="24"/>
          <w:szCs w:val="24"/>
        </w:rPr>
      </w:pPr>
      <w:r>
        <w:rPr>
          <w:sz w:val="24"/>
          <w:szCs w:val="24"/>
        </w:rPr>
        <w:t xml:space="preserve">The gravity equation has been highly successful as the appropriate framework for modeling bilateral trade data, as judged </w:t>
      </w:r>
      <w:r w:rsidR="009C0BD6">
        <w:rPr>
          <w:sz w:val="24"/>
          <w:szCs w:val="24"/>
        </w:rPr>
        <w:t xml:space="preserve">either </w:t>
      </w:r>
      <w:r>
        <w:rPr>
          <w:sz w:val="24"/>
          <w:szCs w:val="24"/>
        </w:rPr>
        <w:t xml:space="preserve">by empirical fit or </w:t>
      </w:r>
      <w:r w:rsidR="009C0BD6">
        <w:rPr>
          <w:sz w:val="24"/>
          <w:szCs w:val="24"/>
        </w:rPr>
        <w:t xml:space="preserve">by </w:t>
      </w:r>
      <w:r>
        <w:rPr>
          <w:sz w:val="24"/>
          <w:szCs w:val="24"/>
        </w:rPr>
        <w:t>theoretical foundations.</w:t>
      </w:r>
      <w:r>
        <w:rPr>
          <w:rStyle w:val="FootnoteReference"/>
          <w:sz w:val="24"/>
          <w:szCs w:val="24"/>
        </w:rPr>
        <w:footnoteReference w:id="17"/>
      </w:r>
      <w:r>
        <w:rPr>
          <w:sz w:val="24"/>
          <w:szCs w:val="24"/>
        </w:rPr>
        <w:t xml:space="preserve"> Just as the gravity theory of Newtonian physics says that attraction between two bodies is proportionate to the product of their masses and inversely related to the distance between them, so the gravity theory of international economics says that trade</w:t>
      </w:r>
      <w:r w:rsidR="00361D38">
        <w:rPr>
          <w:sz w:val="24"/>
          <w:szCs w:val="24"/>
        </w:rPr>
        <w:t xml:space="preserve"> between two countries (or other geographical units) is proportionate to the product of their sizes and inversely related to the distance between them.   </w:t>
      </w:r>
    </w:p>
    <w:p w:rsidR="007E31C0" w:rsidRDefault="00361D38" w:rsidP="00EA6066">
      <w:pPr>
        <w:ind w:firstLine="720"/>
        <w:rPr>
          <w:sz w:val="24"/>
          <w:szCs w:val="24"/>
        </w:rPr>
      </w:pPr>
      <w:r>
        <w:rPr>
          <w:sz w:val="24"/>
          <w:szCs w:val="24"/>
        </w:rPr>
        <w:t>“Size” is usually measured by GDP, but population is also used and occasionally land area.  “Distance” between the two countries is usually measured by straight-line distance.  But occasionally more sophisticated measures of transport costs are used.</w:t>
      </w:r>
      <w:r w:rsidR="006E6B2F">
        <w:rPr>
          <w:sz w:val="24"/>
          <w:szCs w:val="24"/>
        </w:rPr>
        <w:t xml:space="preserve"> </w:t>
      </w:r>
      <w:r>
        <w:rPr>
          <w:sz w:val="24"/>
          <w:szCs w:val="24"/>
        </w:rPr>
        <w:t xml:space="preserve">Distance </w:t>
      </w:r>
      <w:r w:rsidR="006E6B2F">
        <w:rPr>
          <w:sz w:val="24"/>
          <w:szCs w:val="24"/>
        </w:rPr>
        <w:t xml:space="preserve">in itself </w:t>
      </w:r>
      <w:r>
        <w:rPr>
          <w:sz w:val="24"/>
          <w:szCs w:val="24"/>
        </w:rPr>
        <w:t>works less well for many African countries than elsewhere in the world</w:t>
      </w:r>
      <w:r w:rsidR="006E6B2F">
        <w:rPr>
          <w:sz w:val="24"/>
          <w:szCs w:val="24"/>
        </w:rPr>
        <w:t xml:space="preserve">. (The air distance from Mali to </w:t>
      </w:r>
      <w:r w:rsidR="009C0BD6">
        <w:rPr>
          <w:sz w:val="24"/>
          <w:szCs w:val="24"/>
        </w:rPr>
        <w:t xml:space="preserve">Spain is only 2,500 kilometers </w:t>
      </w:r>
      <w:r w:rsidR="006E6B2F">
        <w:rPr>
          <w:sz w:val="24"/>
          <w:szCs w:val="24"/>
        </w:rPr>
        <w:t>or 1</w:t>
      </w:r>
      <w:r w:rsidR="00551A4B">
        <w:rPr>
          <w:sz w:val="24"/>
          <w:szCs w:val="24"/>
        </w:rPr>
        <w:t>,</w:t>
      </w:r>
      <w:r w:rsidR="006E6B2F">
        <w:rPr>
          <w:sz w:val="24"/>
          <w:szCs w:val="24"/>
        </w:rPr>
        <w:t>600 miles, but t</w:t>
      </w:r>
      <w:r w:rsidR="009C0BD6">
        <w:rPr>
          <w:sz w:val="24"/>
          <w:szCs w:val="24"/>
        </w:rPr>
        <w:t>he transport costs are high.)  D</w:t>
      </w:r>
      <w:r w:rsidR="006E6B2F">
        <w:rPr>
          <w:sz w:val="24"/>
          <w:szCs w:val="24"/>
        </w:rPr>
        <w:t xml:space="preserve">istance is supplemented </w:t>
      </w:r>
      <w:r w:rsidR="009C0BD6">
        <w:rPr>
          <w:sz w:val="24"/>
          <w:szCs w:val="24"/>
        </w:rPr>
        <w:t xml:space="preserve">in the equation </w:t>
      </w:r>
      <w:r w:rsidR="006E6B2F">
        <w:rPr>
          <w:sz w:val="24"/>
          <w:szCs w:val="24"/>
        </w:rPr>
        <w:t>by other geographical determinants of bilateral transport costs</w:t>
      </w:r>
      <w:r w:rsidR="009C0BD6">
        <w:rPr>
          <w:sz w:val="24"/>
          <w:szCs w:val="24"/>
        </w:rPr>
        <w:t xml:space="preserve"> and frictions</w:t>
      </w:r>
      <w:r w:rsidR="006E6B2F">
        <w:rPr>
          <w:sz w:val="24"/>
          <w:szCs w:val="24"/>
        </w:rPr>
        <w:t>, particularly dummy variable</w:t>
      </w:r>
      <w:r w:rsidR="009C0BD6">
        <w:rPr>
          <w:sz w:val="24"/>
          <w:szCs w:val="24"/>
        </w:rPr>
        <w:t xml:space="preserve">s for contiguous country pairs (common border) </w:t>
      </w:r>
      <w:r w:rsidR="006E6B2F">
        <w:rPr>
          <w:sz w:val="24"/>
          <w:szCs w:val="24"/>
        </w:rPr>
        <w:t xml:space="preserve">and landlocked countries, and sometimes a measure of the length of the </w:t>
      </w:r>
      <w:r w:rsidR="009C0BD6">
        <w:rPr>
          <w:sz w:val="24"/>
          <w:szCs w:val="24"/>
        </w:rPr>
        <w:t xml:space="preserve">country’s </w:t>
      </w:r>
      <w:r w:rsidR="006E6B2F">
        <w:rPr>
          <w:sz w:val="24"/>
          <w:szCs w:val="24"/>
        </w:rPr>
        <w:t>coastline.  Other variables that are commonly used are dummy variables representing country pairs that share a common language, colonial pa</w:t>
      </w:r>
      <w:r w:rsidR="00964431">
        <w:rPr>
          <w:sz w:val="24"/>
          <w:szCs w:val="24"/>
        </w:rPr>
        <w:t xml:space="preserve">st, </w:t>
      </w:r>
      <w:r w:rsidR="006E6B2F">
        <w:rPr>
          <w:sz w:val="24"/>
          <w:szCs w:val="24"/>
        </w:rPr>
        <w:t>current political links</w:t>
      </w:r>
      <w:r w:rsidR="00964431">
        <w:rPr>
          <w:sz w:val="24"/>
          <w:szCs w:val="24"/>
        </w:rPr>
        <w:t>, or trade preferences</w:t>
      </w:r>
      <w:r w:rsidR="006E6B2F">
        <w:rPr>
          <w:sz w:val="24"/>
          <w:szCs w:val="24"/>
        </w:rPr>
        <w:t>.</w:t>
      </w:r>
    </w:p>
    <w:p w:rsidR="00430305" w:rsidRDefault="006E6B2F" w:rsidP="00C36CA0">
      <w:pPr>
        <w:ind w:firstLine="720"/>
        <w:rPr>
          <w:sz w:val="24"/>
          <w:szCs w:val="24"/>
        </w:rPr>
      </w:pPr>
      <w:r>
        <w:rPr>
          <w:sz w:val="24"/>
          <w:szCs w:val="24"/>
        </w:rPr>
        <w:t xml:space="preserve">A great virtue of the gravity model is the </w:t>
      </w:r>
      <w:r w:rsidR="003D4FD9">
        <w:rPr>
          <w:sz w:val="24"/>
          <w:szCs w:val="24"/>
        </w:rPr>
        <w:t>number of observations that bilateral trade data afford</w:t>
      </w:r>
      <w:r>
        <w:rPr>
          <w:sz w:val="24"/>
          <w:szCs w:val="24"/>
        </w:rPr>
        <w:t xml:space="preserve">.  If there are 200 countries in the data set, </w:t>
      </w:r>
      <w:r w:rsidR="003D4FD9">
        <w:rPr>
          <w:sz w:val="24"/>
          <w:szCs w:val="24"/>
        </w:rPr>
        <w:t xml:space="preserve">then </w:t>
      </w:r>
      <w:r>
        <w:rPr>
          <w:sz w:val="24"/>
          <w:szCs w:val="24"/>
        </w:rPr>
        <w:t>there are</w:t>
      </w:r>
      <w:r w:rsidR="003D4FD9">
        <w:rPr>
          <w:sz w:val="24"/>
          <w:szCs w:val="24"/>
        </w:rPr>
        <w:t xml:space="preserve"> </w:t>
      </w:r>
      <w:r>
        <w:rPr>
          <w:sz w:val="24"/>
          <w:szCs w:val="24"/>
        </w:rPr>
        <w:t>39</w:t>
      </w:r>
      <w:r w:rsidR="009C0BD6">
        <w:rPr>
          <w:sz w:val="24"/>
          <w:szCs w:val="24"/>
        </w:rPr>
        <w:t>,</w:t>
      </w:r>
      <w:r>
        <w:rPr>
          <w:sz w:val="24"/>
          <w:szCs w:val="24"/>
        </w:rPr>
        <w:t>8</w:t>
      </w:r>
      <w:r w:rsidR="009C0BD6">
        <w:rPr>
          <w:sz w:val="24"/>
          <w:szCs w:val="24"/>
        </w:rPr>
        <w:t>0</w:t>
      </w:r>
      <w:r>
        <w:rPr>
          <w:sz w:val="24"/>
          <w:szCs w:val="24"/>
        </w:rPr>
        <w:t xml:space="preserve">0 </w:t>
      </w:r>
      <w:r w:rsidR="003D4FD9">
        <w:rPr>
          <w:sz w:val="24"/>
          <w:szCs w:val="24"/>
        </w:rPr>
        <w:t xml:space="preserve">pairs </w:t>
      </w:r>
      <w:r>
        <w:rPr>
          <w:sz w:val="24"/>
          <w:szCs w:val="24"/>
        </w:rPr>
        <w:t>(200x199) for every year.</w:t>
      </w:r>
      <w:r w:rsidR="009C0BD6">
        <w:rPr>
          <w:sz w:val="24"/>
          <w:szCs w:val="24"/>
        </w:rPr>
        <w:t xml:space="preserve">  </w:t>
      </w:r>
      <w:r w:rsidR="00713F3F">
        <w:rPr>
          <w:sz w:val="24"/>
          <w:szCs w:val="24"/>
        </w:rPr>
        <w:t>(</w:t>
      </w:r>
      <w:r w:rsidR="009C0BD6">
        <w:rPr>
          <w:sz w:val="24"/>
          <w:szCs w:val="24"/>
        </w:rPr>
        <w:t>D</w:t>
      </w:r>
      <w:r w:rsidR="0047290A">
        <w:rPr>
          <w:sz w:val="24"/>
          <w:szCs w:val="24"/>
        </w:rPr>
        <w:t>ata are</w:t>
      </w:r>
      <w:r w:rsidR="003D4FD9">
        <w:rPr>
          <w:sz w:val="24"/>
          <w:szCs w:val="24"/>
        </w:rPr>
        <w:t xml:space="preserve"> sometimes missing for small countries, </w:t>
      </w:r>
      <w:r w:rsidR="009C0BD6">
        <w:rPr>
          <w:sz w:val="24"/>
          <w:szCs w:val="24"/>
        </w:rPr>
        <w:t xml:space="preserve">especially </w:t>
      </w:r>
      <w:r w:rsidR="00713F3F">
        <w:rPr>
          <w:sz w:val="24"/>
          <w:szCs w:val="24"/>
        </w:rPr>
        <w:t xml:space="preserve">relevant for Africa.)  </w:t>
      </w:r>
      <w:r w:rsidR="003D4FD9">
        <w:rPr>
          <w:sz w:val="24"/>
          <w:szCs w:val="24"/>
        </w:rPr>
        <w:t xml:space="preserve">The large number of data points makes it possible to allow for the effects of all those variables (size, distance, common language, etc.), and to find that they all have significant effects on bilateral trade.  Most importantly for our purposes, there is enough explanatory power left over that one can add such dummy variables as one </w:t>
      </w:r>
      <w:r w:rsidR="00383952">
        <w:rPr>
          <w:sz w:val="24"/>
          <w:szCs w:val="24"/>
        </w:rPr>
        <w:t>to represent membership in</w:t>
      </w:r>
      <w:r w:rsidR="003D4FD9">
        <w:rPr>
          <w:sz w:val="24"/>
          <w:szCs w:val="24"/>
        </w:rPr>
        <w:t xml:space="preserve"> the CFA currency zone </w:t>
      </w:r>
      <w:r w:rsidR="00430305">
        <w:rPr>
          <w:sz w:val="24"/>
          <w:szCs w:val="24"/>
        </w:rPr>
        <w:t xml:space="preserve">and test for its effects on bilateral trade conditional on the other variables.  Even though there is heavy overlap between the </w:t>
      </w:r>
      <w:r w:rsidR="00C36CA0">
        <w:rPr>
          <w:sz w:val="24"/>
          <w:szCs w:val="24"/>
        </w:rPr>
        <w:t xml:space="preserve">three </w:t>
      </w:r>
      <w:r w:rsidR="00430305">
        <w:rPr>
          <w:sz w:val="24"/>
          <w:szCs w:val="24"/>
        </w:rPr>
        <w:t xml:space="preserve">criteria </w:t>
      </w:r>
      <w:r w:rsidR="00383952">
        <w:rPr>
          <w:sz w:val="24"/>
          <w:szCs w:val="24"/>
        </w:rPr>
        <w:t xml:space="preserve">of </w:t>
      </w:r>
      <w:r w:rsidR="00430305">
        <w:rPr>
          <w:sz w:val="24"/>
          <w:szCs w:val="24"/>
        </w:rPr>
        <w:t xml:space="preserve">CFA membership, </w:t>
      </w:r>
      <w:r w:rsidR="00C36CA0">
        <w:rPr>
          <w:sz w:val="24"/>
          <w:szCs w:val="24"/>
        </w:rPr>
        <w:t xml:space="preserve">former French colonial status, and </w:t>
      </w:r>
      <w:r w:rsidR="00430305">
        <w:rPr>
          <w:sz w:val="24"/>
          <w:szCs w:val="24"/>
        </w:rPr>
        <w:t>sharing of the French language</w:t>
      </w:r>
      <w:r w:rsidR="00383952">
        <w:rPr>
          <w:sz w:val="24"/>
          <w:szCs w:val="24"/>
        </w:rPr>
        <w:t>,</w:t>
      </w:r>
      <w:r w:rsidR="00430305">
        <w:rPr>
          <w:sz w:val="24"/>
          <w:szCs w:val="24"/>
        </w:rPr>
        <w:t xml:space="preserve"> </w:t>
      </w:r>
      <w:r w:rsidR="00C36CA0">
        <w:rPr>
          <w:sz w:val="24"/>
          <w:szCs w:val="24"/>
        </w:rPr>
        <w:t>it may be possible to distinguish the independent trade effects of each of these three determinants</w:t>
      </w:r>
      <w:r w:rsidR="00383952">
        <w:rPr>
          <w:sz w:val="24"/>
          <w:szCs w:val="24"/>
        </w:rPr>
        <w:t xml:space="preserve"> so long as the overlap is not complete</w:t>
      </w:r>
      <w:r w:rsidR="00C36CA0">
        <w:rPr>
          <w:sz w:val="24"/>
          <w:szCs w:val="24"/>
        </w:rPr>
        <w:t>.</w:t>
      </w:r>
    </w:p>
    <w:p w:rsidR="003A20B8" w:rsidRPr="00797BE4" w:rsidRDefault="003A20B8" w:rsidP="00797BE4">
      <w:pPr>
        <w:pStyle w:val="Heading1"/>
        <w:shd w:val="clear" w:color="auto" w:fill="FCFCFC"/>
        <w:spacing w:before="0"/>
        <w:ind w:firstLine="720"/>
        <w:rPr>
          <w:rFonts w:asciiTheme="minorHAnsi" w:hAnsiTheme="minorHAnsi"/>
          <w:b w:val="0"/>
          <w:color w:val="333333"/>
          <w:sz w:val="24"/>
          <w:szCs w:val="24"/>
          <w:shd w:val="clear" w:color="auto" w:fill="FCFCFC"/>
        </w:rPr>
      </w:pPr>
      <w:r>
        <w:rPr>
          <w:rFonts w:asciiTheme="minorHAnsi" w:hAnsiTheme="minorHAnsi"/>
          <w:b w:val="0"/>
          <w:color w:val="333333"/>
          <w:sz w:val="24"/>
          <w:szCs w:val="24"/>
          <w:shd w:val="clear" w:color="auto" w:fill="FCFCFC"/>
        </w:rPr>
        <w:lastRenderedPageBreak/>
        <w:t xml:space="preserve">One </w:t>
      </w:r>
      <w:r w:rsidR="00383952">
        <w:rPr>
          <w:rFonts w:asciiTheme="minorHAnsi" w:hAnsiTheme="minorHAnsi"/>
          <w:b w:val="0"/>
          <w:color w:val="333333"/>
          <w:sz w:val="24"/>
          <w:szCs w:val="24"/>
          <w:shd w:val="clear" w:color="auto" w:fill="FCFCFC"/>
        </w:rPr>
        <w:t>might</w:t>
      </w:r>
      <w:r>
        <w:rPr>
          <w:rFonts w:asciiTheme="minorHAnsi" w:hAnsiTheme="minorHAnsi"/>
          <w:b w:val="0"/>
          <w:color w:val="333333"/>
          <w:sz w:val="24"/>
          <w:szCs w:val="24"/>
          <w:shd w:val="clear" w:color="auto" w:fill="FCFCFC"/>
        </w:rPr>
        <w:t xml:space="preserve"> ask the purpose of studying currency unions and trade among all countries, if the goal is only to draw conclusions about Africa.  We have already noted the benefits of bringing a lot of data to bear.  Even if we want to allow the trade effect of the CFA zone to differ from the analogous effects of currency unions elsewhere in the world, the more observations we have, the better </w:t>
      </w:r>
      <w:r w:rsidR="00315660">
        <w:rPr>
          <w:rFonts w:asciiTheme="minorHAnsi" w:hAnsiTheme="minorHAnsi"/>
          <w:b w:val="0"/>
          <w:color w:val="333333"/>
          <w:sz w:val="24"/>
          <w:szCs w:val="24"/>
          <w:shd w:val="clear" w:color="auto" w:fill="FCFCFC"/>
        </w:rPr>
        <w:t xml:space="preserve">will be </w:t>
      </w:r>
      <w:r>
        <w:rPr>
          <w:rFonts w:asciiTheme="minorHAnsi" w:hAnsiTheme="minorHAnsi"/>
          <w:b w:val="0"/>
          <w:color w:val="333333"/>
          <w:sz w:val="24"/>
          <w:szCs w:val="24"/>
          <w:shd w:val="clear" w:color="auto" w:fill="FCFCFC"/>
        </w:rPr>
        <w:t xml:space="preserve">our estimates of the gravity parameters (the effects of distance, etc.), the better we can control for these other factors, and the more accurate will be our estimates of the </w:t>
      </w:r>
      <w:r w:rsidR="00315660">
        <w:rPr>
          <w:rFonts w:asciiTheme="minorHAnsi" w:hAnsiTheme="minorHAnsi"/>
          <w:b w:val="0"/>
          <w:color w:val="333333"/>
          <w:sz w:val="24"/>
          <w:szCs w:val="24"/>
          <w:shd w:val="clear" w:color="auto" w:fill="FCFCFC"/>
        </w:rPr>
        <w:t xml:space="preserve">remaining influence </w:t>
      </w:r>
      <w:r>
        <w:rPr>
          <w:rFonts w:asciiTheme="minorHAnsi" w:hAnsiTheme="minorHAnsi"/>
          <w:b w:val="0"/>
          <w:color w:val="333333"/>
          <w:sz w:val="24"/>
          <w:szCs w:val="24"/>
          <w:shd w:val="clear" w:color="auto" w:fill="FCFCFC"/>
        </w:rPr>
        <w:t>of the African currency union.</w:t>
      </w:r>
      <w:r>
        <w:rPr>
          <w:rStyle w:val="FootnoteReference"/>
          <w:rFonts w:asciiTheme="minorHAnsi" w:hAnsiTheme="minorHAnsi"/>
          <w:b w:val="0"/>
          <w:color w:val="333333"/>
          <w:sz w:val="24"/>
          <w:szCs w:val="24"/>
          <w:shd w:val="clear" w:color="auto" w:fill="FCFCFC"/>
        </w:rPr>
        <w:footnoteReference w:id="18"/>
      </w:r>
      <w:r>
        <w:rPr>
          <w:rFonts w:asciiTheme="minorHAnsi" w:hAnsiTheme="minorHAnsi"/>
          <w:b w:val="0"/>
          <w:color w:val="333333"/>
          <w:sz w:val="24"/>
          <w:szCs w:val="24"/>
          <w:shd w:val="clear" w:color="auto" w:fill="FCFCFC"/>
        </w:rPr>
        <w:t xml:space="preserve">  </w:t>
      </w:r>
      <w:r w:rsidR="00797BE4">
        <w:rPr>
          <w:rFonts w:asciiTheme="minorHAnsi" w:hAnsiTheme="minorHAnsi"/>
          <w:b w:val="0"/>
          <w:color w:val="333333"/>
          <w:sz w:val="24"/>
          <w:szCs w:val="24"/>
          <w:shd w:val="clear" w:color="auto" w:fill="FCFCFC"/>
        </w:rPr>
        <w:br/>
      </w:r>
    </w:p>
    <w:p w:rsidR="008440C2" w:rsidRPr="00157341" w:rsidRDefault="00383952" w:rsidP="00157341">
      <w:pPr>
        <w:ind w:firstLine="720"/>
        <w:rPr>
          <w:sz w:val="24"/>
          <w:szCs w:val="24"/>
        </w:rPr>
      </w:pPr>
      <w:r>
        <w:rPr>
          <w:color w:val="333333"/>
          <w:sz w:val="24"/>
          <w:szCs w:val="24"/>
          <w:shd w:val="clear" w:color="auto" w:fill="FCFCFC"/>
        </w:rPr>
        <w:t xml:space="preserve">A number of authors have applied the gravity model to investigate the effects of regional trading and currency arrangements.  </w:t>
      </w:r>
      <w:proofErr w:type="spellStart"/>
      <w:r w:rsidR="008440C2">
        <w:rPr>
          <w:color w:val="333333"/>
          <w:sz w:val="24"/>
          <w:szCs w:val="24"/>
          <w:shd w:val="clear" w:color="auto" w:fill="FCFCFC"/>
        </w:rPr>
        <w:t>Elbadawi</w:t>
      </w:r>
      <w:proofErr w:type="spellEnd"/>
      <w:r w:rsidR="008440C2">
        <w:rPr>
          <w:color w:val="333333"/>
          <w:sz w:val="24"/>
          <w:szCs w:val="24"/>
          <w:shd w:val="clear" w:color="auto" w:fill="FCFCFC"/>
        </w:rPr>
        <w:t xml:space="preserve"> (1997) and </w:t>
      </w:r>
      <w:proofErr w:type="spellStart"/>
      <w:r w:rsidR="008440C2" w:rsidRPr="00151D1B">
        <w:rPr>
          <w:color w:val="333333"/>
          <w:sz w:val="24"/>
          <w:szCs w:val="24"/>
          <w:shd w:val="clear" w:color="auto" w:fill="FCFCFC"/>
        </w:rPr>
        <w:t>Elbadawi</w:t>
      </w:r>
      <w:proofErr w:type="spellEnd"/>
      <w:r w:rsidR="008440C2" w:rsidRPr="00151D1B">
        <w:rPr>
          <w:color w:val="333333"/>
          <w:sz w:val="24"/>
          <w:szCs w:val="24"/>
          <w:shd w:val="clear" w:color="auto" w:fill="FCFCFC"/>
        </w:rPr>
        <w:t xml:space="preserve"> and </w:t>
      </w:r>
      <w:proofErr w:type="spellStart"/>
      <w:r w:rsidR="008440C2" w:rsidRPr="00151D1B">
        <w:rPr>
          <w:color w:val="333333"/>
          <w:sz w:val="24"/>
          <w:szCs w:val="24"/>
          <w:shd w:val="clear" w:color="auto" w:fill="FCFCFC"/>
        </w:rPr>
        <w:t>Mwega</w:t>
      </w:r>
      <w:proofErr w:type="spellEnd"/>
      <w:r w:rsidR="008440C2">
        <w:rPr>
          <w:color w:val="333333"/>
          <w:sz w:val="24"/>
          <w:szCs w:val="24"/>
          <w:shd w:val="clear" w:color="auto" w:fill="FCFCFC"/>
        </w:rPr>
        <w:t xml:space="preserve"> (</w:t>
      </w:r>
      <w:r w:rsidR="008440C2" w:rsidRPr="00151D1B">
        <w:rPr>
          <w:rFonts w:cs="Arial"/>
          <w:color w:val="333333"/>
          <w:sz w:val="24"/>
          <w:szCs w:val="24"/>
        </w:rPr>
        <w:t>1998</w:t>
      </w:r>
      <w:r w:rsidR="008440C2">
        <w:rPr>
          <w:rFonts w:cs="Arial"/>
          <w:color w:val="333333"/>
          <w:sz w:val="24"/>
          <w:szCs w:val="24"/>
        </w:rPr>
        <w:t>)</w:t>
      </w:r>
      <w:r w:rsidR="00F86850">
        <w:rPr>
          <w:rFonts w:cs="Arial"/>
          <w:color w:val="333333"/>
          <w:sz w:val="24"/>
          <w:szCs w:val="24"/>
        </w:rPr>
        <w:t xml:space="preserve"> fou</w:t>
      </w:r>
      <w:r w:rsidR="008440C2" w:rsidRPr="00151D1B">
        <w:rPr>
          <w:rFonts w:cs="Arial"/>
          <w:color w:val="333333"/>
          <w:sz w:val="24"/>
          <w:szCs w:val="24"/>
        </w:rPr>
        <w:t xml:space="preserve">nd in the gravity </w:t>
      </w:r>
      <w:r>
        <w:rPr>
          <w:rFonts w:cs="Arial"/>
          <w:color w:val="333333"/>
          <w:sz w:val="24"/>
          <w:szCs w:val="24"/>
        </w:rPr>
        <w:t>equation</w:t>
      </w:r>
      <w:r w:rsidR="008440C2" w:rsidRPr="00151D1B">
        <w:rPr>
          <w:rFonts w:cs="Arial"/>
          <w:color w:val="333333"/>
          <w:sz w:val="24"/>
          <w:szCs w:val="24"/>
        </w:rPr>
        <w:t xml:space="preserve"> a fall-off </w:t>
      </w:r>
      <w:r w:rsidR="008440C2">
        <w:rPr>
          <w:rFonts w:cs="Arial"/>
          <w:color w:val="333333"/>
          <w:sz w:val="24"/>
          <w:szCs w:val="24"/>
        </w:rPr>
        <w:t>in</w:t>
      </w:r>
      <w:r w:rsidR="008440C2" w:rsidRPr="00151D1B">
        <w:rPr>
          <w:rFonts w:cs="Arial"/>
          <w:color w:val="333333"/>
          <w:sz w:val="24"/>
          <w:szCs w:val="24"/>
        </w:rPr>
        <w:t xml:space="preserve"> the </w:t>
      </w:r>
      <w:r w:rsidR="008440C2">
        <w:rPr>
          <w:rFonts w:cs="Arial"/>
          <w:color w:val="333333"/>
          <w:sz w:val="24"/>
          <w:szCs w:val="24"/>
        </w:rPr>
        <w:t xml:space="preserve">estimated </w:t>
      </w:r>
      <w:r w:rsidR="008440C2" w:rsidRPr="00151D1B">
        <w:rPr>
          <w:rFonts w:cs="Arial"/>
          <w:color w:val="333333"/>
          <w:sz w:val="24"/>
          <w:szCs w:val="24"/>
        </w:rPr>
        <w:t>effect of African regional arrang</w:t>
      </w:r>
      <w:r w:rsidR="008440C2">
        <w:rPr>
          <w:rFonts w:cs="Arial"/>
          <w:color w:val="333333"/>
          <w:sz w:val="24"/>
          <w:szCs w:val="24"/>
        </w:rPr>
        <w:t xml:space="preserve">ements </w:t>
      </w:r>
      <w:r w:rsidR="008440C2" w:rsidRPr="00151D1B">
        <w:rPr>
          <w:rFonts w:cs="Arial"/>
          <w:color w:val="333333"/>
          <w:sz w:val="24"/>
          <w:szCs w:val="24"/>
        </w:rPr>
        <w:t>in the second half of the 1980s.</w:t>
      </w:r>
      <w:r w:rsidR="008440C2">
        <w:rPr>
          <w:rFonts w:cs="Arial"/>
          <w:color w:val="333333"/>
          <w:sz w:val="24"/>
          <w:szCs w:val="24"/>
        </w:rPr>
        <w:t xml:space="preserve">  The two CFA currency unions, in particular, seem</w:t>
      </w:r>
      <w:r w:rsidR="00C65934">
        <w:rPr>
          <w:rFonts w:cs="Arial"/>
          <w:color w:val="333333"/>
          <w:sz w:val="24"/>
          <w:szCs w:val="24"/>
        </w:rPr>
        <w:t>ed</w:t>
      </w:r>
      <w:r w:rsidR="008440C2">
        <w:rPr>
          <w:rFonts w:cs="Arial"/>
          <w:color w:val="333333"/>
          <w:sz w:val="24"/>
          <w:szCs w:val="24"/>
        </w:rPr>
        <w:t xml:space="preserve"> to </w:t>
      </w:r>
      <w:r w:rsidR="00C65934">
        <w:rPr>
          <w:rFonts w:cs="Arial"/>
          <w:color w:val="333333"/>
          <w:sz w:val="24"/>
          <w:szCs w:val="24"/>
        </w:rPr>
        <w:t xml:space="preserve">have </w:t>
      </w:r>
      <w:r w:rsidR="008440C2">
        <w:rPr>
          <w:rFonts w:cs="Arial"/>
          <w:color w:val="333333"/>
          <w:sz w:val="24"/>
          <w:szCs w:val="24"/>
        </w:rPr>
        <w:t>suffer</w:t>
      </w:r>
      <w:r w:rsidR="00C65934">
        <w:rPr>
          <w:rFonts w:cs="Arial"/>
          <w:color w:val="333333"/>
          <w:sz w:val="24"/>
          <w:szCs w:val="24"/>
        </w:rPr>
        <w:t>ed</w:t>
      </w:r>
      <w:r w:rsidR="008440C2">
        <w:rPr>
          <w:rFonts w:cs="Arial"/>
          <w:color w:val="333333"/>
          <w:sz w:val="24"/>
          <w:szCs w:val="24"/>
        </w:rPr>
        <w:t xml:space="preserve"> trade-diversion in 1986-90, without trade-creation.</w:t>
      </w:r>
      <w:r w:rsidR="00157341">
        <w:rPr>
          <w:rFonts w:cs="Arial"/>
          <w:color w:val="333333"/>
          <w:sz w:val="24"/>
          <w:szCs w:val="24"/>
        </w:rPr>
        <w:t xml:space="preserve">  Later authors have had more encouraging findings, perhaps due to longer or better data sets</w:t>
      </w:r>
      <w:r w:rsidR="00157341" w:rsidRPr="009C5626">
        <w:rPr>
          <w:rFonts w:cs="Arial"/>
          <w:color w:val="333333"/>
          <w:sz w:val="24"/>
          <w:szCs w:val="24"/>
        </w:rPr>
        <w:t>.</w:t>
      </w:r>
      <w:r w:rsidR="009C5626" w:rsidRPr="009C5626">
        <w:rPr>
          <w:rFonts w:cs="Arial"/>
          <w:color w:val="333333"/>
          <w:sz w:val="24"/>
          <w:szCs w:val="24"/>
        </w:rPr>
        <w:t xml:space="preserve">  </w:t>
      </w:r>
    </w:p>
    <w:p w:rsidR="008440C2" w:rsidRPr="008440C2" w:rsidRDefault="00556AA1" w:rsidP="008440C2">
      <w:pPr>
        <w:pStyle w:val="Heading1"/>
        <w:shd w:val="clear" w:color="auto" w:fill="FCFCFC"/>
        <w:spacing w:before="0"/>
        <w:ind w:firstLine="720"/>
        <w:rPr>
          <w:rFonts w:asciiTheme="minorHAnsi" w:hAnsiTheme="minorHAnsi"/>
          <w:b w:val="0"/>
          <w:color w:val="333333"/>
          <w:sz w:val="24"/>
          <w:szCs w:val="24"/>
          <w:shd w:val="clear" w:color="auto" w:fill="FCFCFC"/>
        </w:rPr>
      </w:pPr>
      <w:proofErr w:type="spellStart"/>
      <w:proofErr w:type="gramStart"/>
      <w:r w:rsidRPr="00EC650F">
        <w:rPr>
          <w:rFonts w:asciiTheme="minorHAnsi" w:hAnsiTheme="minorHAnsi"/>
          <w:b w:val="0"/>
          <w:color w:val="333333"/>
          <w:sz w:val="24"/>
          <w:szCs w:val="24"/>
          <w:shd w:val="clear" w:color="auto" w:fill="FCFCFC"/>
        </w:rPr>
        <w:t>Carrère</w:t>
      </w:r>
      <w:proofErr w:type="spellEnd"/>
      <w:r w:rsidRPr="00310848">
        <w:rPr>
          <w:rFonts w:asciiTheme="minorHAnsi" w:hAnsiTheme="minorHAnsi"/>
          <w:b w:val="0"/>
          <w:color w:val="333333"/>
          <w:sz w:val="24"/>
          <w:szCs w:val="24"/>
          <w:shd w:val="clear" w:color="auto" w:fill="FCFCFC"/>
        </w:rPr>
        <w:t xml:space="preserve"> </w:t>
      </w:r>
      <w:r w:rsidR="009B24F8" w:rsidRPr="00310848">
        <w:rPr>
          <w:rFonts w:asciiTheme="minorHAnsi" w:hAnsiTheme="minorHAnsi"/>
          <w:b w:val="0"/>
          <w:color w:val="333333"/>
          <w:sz w:val="24"/>
          <w:szCs w:val="24"/>
          <w:shd w:val="clear" w:color="auto" w:fill="FCFCFC"/>
        </w:rPr>
        <w:t>(2004)</w:t>
      </w:r>
      <w:r w:rsidR="009B24F8">
        <w:rPr>
          <w:rFonts w:asciiTheme="minorHAnsi" w:hAnsiTheme="minorHAnsi"/>
          <w:b w:val="0"/>
          <w:color w:val="333333"/>
          <w:sz w:val="24"/>
          <w:szCs w:val="24"/>
          <w:shd w:val="clear" w:color="auto" w:fill="FCFCFC"/>
        </w:rPr>
        <w:t xml:space="preserve"> attempts to dis</w:t>
      </w:r>
      <w:r>
        <w:rPr>
          <w:rFonts w:asciiTheme="minorHAnsi" w:hAnsiTheme="minorHAnsi"/>
          <w:b w:val="0"/>
          <w:color w:val="333333"/>
          <w:sz w:val="24"/>
          <w:szCs w:val="24"/>
          <w:shd w:val="clear" w:color="auto" w:fill="FCFCFC"/>
        </w:rPr>
        <w:t xml:space="preserve">entangle </w:t>
      </w:r>
      <w:r w:rsidR="00C81D81">
        <w:rPr>
          <w:rFonts w:asciiTheme="minorHAnsi" w:hAnsiTheme="minorHAnsi"/>
          <w:b w:val="0"/>
          <w:color w:val="333333"/>
          <w:sz w:val="24"/>
          <w:szCs w:val="24"/>
          <w:shd w:val="clear" w:color="auto" w:fill="FCFCFC"/>
        </w:rPr>
        <w:t xml:space="preserve">the effect of </w:t>
      </w:r>
      <w:r w:rsidR="009B24F8">
        <w:rPr>
          <w:rFonts w:asciiTheme="minorHAnsi" w:hAnsiTheme="minorHAnsi"/>
          <w:b w:val="0"/>
          <w:color w:val="333333"/>
          <w:sz w:val="24"/>
          <w:szCs w:val="24"/>
          <w:shd w:val="clear" w:color="auto" w:fill="FCFCFC"/>
        </w:rPr>
        <w:t xml:space="preserve">membership </w:t>
      </w:r>
      <w:r w:rsidR="00C81D81">
        <w:rPr>
          <w:rFonts w:asciiTheme="minorHAnsi" w:hAnsiTheme="minorHAnsi"/>
          <w:b w:val="0"/>
          <w:color w:val="333333"/>
          <w:sz w:val="24"/>
          <w:szCs w:val="24"/>
          <w:shd w:val="clear" w:color="auto" w:fill="FCFCFC"/>
        </w:rPr>
        <w:t xml:space="preserve">in the CFA or other currency zones </w:t>
      </w:r>
      <w:r w:rsidR="009B24F8">
        <w:rPr>
          <w:rFonts w:asciiTheme="minorHAnsi" w:hAnsiTheme="minorHAnsi"/>
          <w:b w:val="0"/>
          <w:color w:val="333333"/>
          <w:sz w:val="24"/>
          <w:szCs w:val="24"/>
          <w:shd w:val="clear" w:color="auto" w:fill="FCFCFC"/>
        </w:rPr>
        <w:t xml:space="preserve">on </w:t>
      </w:r>
      <w:r w:rsidR="009B24F8" w:rsidRPr="00310848">
        <w:rPr>
          <w:rFonts w:asciiTheme="minorHAnsi" w:hAnsiTheme="minorHAnsi"/>
          <w:b w:val="0"/>
          <w:color w:val="333333"/>
          <w:sz w:val="24"/>
          <w:szCs w:val="24"/>
          <w:shd w:val="clear" w:color="auto" w:fill="FCFCFC"/>
        </w:rPr>
        <w:t xml:space="preserve">intra-regional trade </w:t>
      </w:r>
      <w:r w:rsidR="009B24F8">
        <w:rPr>
          <w:rFonts w:asciiTheme="minorHAnsi" w:hAnsiTheme="minorHAnsi"/>
          <w:b w:val="0"/>
          <w:color w:val="333333"/>
          <w:sz w:val="24"/>
          <w:szCs w:val="24"/>
          <w:shd w:val="clear" w:color="auto" w:fill="FCFCFC"/>
        </w:rPr>
        <w:t>from the effect of Preferential Trading Arrangements (PTA), despite heavily overlapping membership</w:t>
      </w:r>
      <w:r>
        <w:rPr>
          <w:rFonts w:asciiTheme="minorHAnsi" w:hAnsiTheme="minorHAnsi"/>
          <w:b w:val="0"/>
          <w:color w:val="333333"/>
          <w:sz w:val="24"/>
          <w:szCs w:val="24"/>
          <w:shd w:val="clear" w:color="auto" w:fill="FCFCFC"/>
        </w:rPr>
        <w:t>.</w:t>
      </w:r>
      <w:proofErr w:type="gramEnd"/>
      <w:r>
        <w:rPr>
          <w:rFonts w:asciiTheme="minorHAnsi" w:hAnsiTheme="minorHAnsi"/>
          <w:b w:val="0"/>
          <w:color w:val="333333"/>
          <w:sz w:val="24"/>
          <w:szCs w:val="24"/>
          <w:shd w:val="clear" w:color="auto" w:fill="FCFCFC"/>
        </w:rPr>
        <w:t xml:space="preserve"> </w:t>
      </w:r>
      <w:r w:rsidR="009B24F8">
        <w:rPr>
          <w:rFonts w:asciiTheme="minorHAnsi" w:hAnsiTheme="minorHAnsi"/>
          <w:b w:val="0"/>
          <w:color w:val="333333"/>
          <w:sz w:val="24"/>
          <w:szCs w:val="24"/>
          <w:shd w:val="clear" w:color="auto" w:fill="FCFCFC"/>
        </w:rPr>
        <w:t xml:space="preserve">This is particularly difficult to do if one seeks to </w:t>
      </w:r>
      <w:r w:rsidR="00C65934">
        <w:rPr>
          <w:rFonts w:asciiTheme="minorHAnsi" w:hAnsiTheme="minorHAnsi"/>
          <w:b w:val="0"/>
          <w:color w:val="333333"/>
          <w:sz w:val="24"/>
          <w:szCs w:val="24"/>
          <w:shd w:val="clear" w:color="auto" w:fill="FCFCFC"/>
        </w:rPr>
        <w:t xml:space="preserve">also </w:t>
      </w:r>
      <w:r w:rsidR="009B24F8">
        <w:rPr>
          <w:rFonts w:asciiTheme="minorHAnsi" w:hAnsiTheme="minorHAnsi"/>
          <w:b w:val="0"/>
          <w:color w:val="333333"/>
          <w:sz w:val="24"/>
          <w:szCs w:val="24"/>
          <w:shd w:val="clear" w:color="auto" w:fill="FCFCFC"/>
        </w:rPr>
        <w:t>distinguish the effects of Currency Union membership (which does away with different currencies alto</w:t>
      </w:r>
      <w:r w:rsidR="00394C37">
        <w:rPr>
          <w:rFonts w:asciiTheme="minorHAnsi" w:hAnsiTheme="minorHAnsi"/>
          <w:b w:val="0"/>
          <w:color w:val="333333"/>
          <w:sz w:val="24"/>
          <w:szCs w:val="24"/>
          <w:shd w:val="clear" w:color="auto" w:fill="FCFCFC"/>
        </w:rPr>
        <w:t>g</w:t>
      </w:r>
      <w:r w:rsidR="009B24F8">
        <w:rPr>
          <w:rFonts w:asciiTheme="minorHAnsi" w:hAnsiTheme="minorHAnsi"/>
          <w:b w:val="0"/>
          <w:color w:val="333333"/>
          <w:sz w:val="24"/>
          <w:szCs w:val="24"/>
          <w:shd w:val="clear" w:color="auto" w:fill="FCFCFC"/>
        </w:rPr>
        <w:t xml:space="preserve">ether) from reducing bilateral exchange rate variability to zero (as </w:t>
      </w:r>
      <w:r>
        <w:rPr>
          <w:rFonts w:asciiTheme="minorHAnsi" w:hAnsiTheme="minorHAnsi"/>
          <w:b w:val="0"/>
          <w:color w:val="333333"/>
          <w:sz w:val="24"/>
          <w:szCs w:val="24"/>
          <w:shd w:val="clear" w:color="auto" w:fill="FCFCFC"/>
        </w:rPr>
        <w:t>with</w:t>
      </w:r>
      <w:r w:rsidR="009B24F8">
        <w:rPr>
          <w:rFonts w:asciiTheme="minorHAnsi" w:hAnsiTheme="minorHAnsi"/>
          <w:b w:val="0"/>
          <w:color w:val="333333"/>
          <w:sz w:val="24"/>
          <w:szCs w:val="24"/>
          <w:shd w:val="clear" w:color="auto" w:fill="FCFCFC"/>
        </w:rPr>
        <w:t xml:space="preserve"> an ordinary fixed exchange rate).</w:t>
      </w:r>
      <w:r>
        <w:rPr>
          <w:rFonts w:asciiTheme="minorHAnsi" w:hAnsiTheme="minorHAnsi"/>
          <w:b w:val="0"/>
          <w:color w:val="333333"/>
          <w:sz w:val="24"/>
          <w:szCs w:val="24"/>
          <w:shd w:val="clear" w:color="auto" w:fill="FCFCFC"/>
        </w:rPr>
        <w:t xml:space="preserve">  </w:t>
      </w:r>
      <w:r w:rsidR="00C65934">
        <w:rPr>
          <w:rFonts w:asciiTheme="minorHAnsi" w:hAnsiTheme="minorHAnsi"/>
          <w:b w:val="0"/>
          <w:color w:val="333333"/>
          <w:sz w:val="24"/>
          <w:szCs w:val="24"/>
          <w:shd w:val="clear" w:color="auto" w:fill="FCFCFC"/>
        </w:rPr>
        <w:t>Her</w:t>
      </w:r>
      <w:r>
        <w:rPr>
          <w:rFonts w:asciiTheme="minorHAnsi" w:hAnsiTheme="minorHAnsi"/>
          <w:b w:val="0"/>
          <w:color w:val="333333"/>
          <w:sz w:val="24"/>
          <w:szCs w:val="24"/>
          <w:shd w:val="clear" w:color="auto" w:fill="FCFCFC"/>
        </w:rPr>
        <w:t xml:space="preserve"> takeaway conclusio</w:t>
      </w:r>
      <w:r w:rsidR="009B24F8">
        <w:rPr>
          <w:rFonts w:asciiTheme="minorHAnsi" w:hAnsiTheme="minorHAnsi"/>
          <w:b w:val="0"/>
          <w:color w:val="333333"/>
          <w:sz w:val="24"/>
          <w:szCs w:val="24"/>
          <w:shd w:val="clear" w:color="auto" w:fill="FCFCFC"/>
        </w:rPr>
        <w:t>n is that</w:t>
      </w:r>
      <w:r>
        <w:rPr>
          <w:rFonts w:asciiTheme="minorHAnsi" w:hAnsiTheme="minorHAnsi"/>
          <w:b w:val="0"/>
          <w:color w:val="333333"/>
          <w:sz w:val="24"/>
          <w:szCs w:val="24"/>
          <w:shd w:val="clear" w:color="auto" w:fill="FCFCFC"/>
        </w:rPr>
        <w:t>,</w:t>
      </w:r>
      <w:r w:rsidR="009B24F8">
        <w:rPr>
          <w:rFonts w:asciiTheme="minorHAnsi" w:hAnsiTheme="minorHAnsi"/>
          <w:b w:val="0"/>
          <w:color w:val="333333"/>
          <w:sz w:val="24"/>
          <w:szCs w:val="24"/>
          <w:shd w:val="clear" w:color="auto" w:fill="FCFCFC"/>
        </w:rPr>
        <w:t xml:space="preserve"> o</w:t>
      </w:r>
      <w:r w:rsidR="009B24F8" w:rsidRPr="00310848">
        <w:rPr>
          <w:rFonts w:asciiTheme="minorHAnsi" w:hAnsiTheme="minorHAnsi"/>
          <w:b w:val="0"/>
          <w:color w:val="333333"/>
          <w:sz w:val="24"/>
          <w:szCs w:val="24"/>
          <w:shd w:val="clear" w:color="auto" w:fill="FCFCFC"/>
        </w:rPr>
        <w:t xml:space="preserve">f </w:t>
      </w:r>
      <w:r w:rsidR="009B24F8">
        <w:rPr>
          <w:rFonts w:asciiTheme="minorHAnsi" w:hAnsiTheme="minorHAnsi"/>
          <w:b w:val="0"/>
          <w:color w:val="333333"/>
          <w:sz w:val="24"/>
          <w:szCs w:val="24"/>
          <w:shd w:val="clear" w:color="auto" w:fill="FCFCFC"/>
        </w:rPr>
        <w:t xml:space="preserve">an </w:t>
      </w:r>
      <w:r w:rsidR="009B24F8" w:rsidRPr="00310848">
        <w:rPr>
          <w:rFonts w:asciiTheme="minorHAnsi" w:hAnsiTheme="minorHAnsi"/>
          <w:b w:val="0"/>
          <w:color w:val="333333"/>
          <w:sz w:val="24"/>
          <w:szCs w:val="24"/>
          <w:shd w:val="clear" w:color="auto" w:fill="FCFCFC"/>
        </w:rPr>
        <w:t xml:space="preserve">estimated doubling </w:t>
      </w:r>
      <w:r w:rsidR="009B24F8">
        <w:rPr>
          <w:rFonts w:asciiTheme="minorHAnsi" w:hAnsiTheme="minorHAnsi"/>
          <w:b w:val="0"/>
          <w:color w:val="333333"/>
          <w:sz w:val="24"/>
          <w:szCs w:val="24"/>
          <w:shd w:val="clear" w:color="auto" w:fill="FCFCFC"/>
        </w:rPr>
        <w:t xml:space="preserve">in intra-regional trade, </w:t>
      </w:r>
      <w:r w:rsidR="009B24F8" w:rsidRPr="00310848">
        <w:rPr>
          <w:rFonts w:asciiTheme="minorHAnsi" w:hAnsiTheme="minorHAnsi"/>
          <w:b w:val="0"/>
          <w:color w:val="333333"/>
          <w:sz w:val="24"/>
          <w:szCs w:val="24"/>
          <w:shd w:val="clear" w:color="auto" w:fill="FCFCFC"/>
        </w:rPr>
        <w:t>it seems that about</w:t>
      </w:r>
      <w:r w:rsidR="009B24F8">
        <w:rPr>
          <w:rFonts w:asciiTheme="minorHAnsi" w:hAnsiTheme="minorHAnsi"/>
          <w:b w:val="0"/>
          <w:color w:val="333333"/>
          <w:sz w:val="24"/>
          <w:szCs w:val="24"/>
          <w:shd w:val="clear" w:color="auto" w:fill="FCFCFC"/>
        </w:rPr>
        <w:t xml:space="preserve"> half is attributable to the </w:t>
      </w:r>
      <w:r w:rsidR="009B24F8" w:rsidRPr="00310848">
        <w:rPr>
          <w:rFonts w:asciiTheme="minorHAnsi" w:hAnsiTheme="minorHAnsi"/>
          <w:b w:val="0"/>
          <w:color w:val="333333"/>
          <w:sz w:val="24"/>
          <w:szCs w:val="24"/>
          <w:shd w:val="clear" w:color="auto" w:fill="FCFCFC"/>
        </w:rPr>
        <w:t xml:space="preserve">PTA and half </w:t>
      </w:r>
      <w:r w:rsidR="009B24F8">
        <w:rPr>
          <w:rFonts w:asciiTheme="minorHAnsi" w:hAnsiTheme="minorHAnsi"/>
          <w:b w:val="0"/>
          <w:color w:val="333333"/>
          <w:sz w:val="24"/>
          <w:szCs w:val="24"/>
          <w:shd w:val="clear" w:color="auto" w:fill="FCFCFC"/>
        </w:rPr>
        <w:t xml:space="preserve">to the common currency. </w:t>
      </w:r>
      <w:r w:rsidR="00C65934">
        <w:rPr>
          <w:rFonts w:asciiTheme="minorHAnsi" w:hAnsiTheme="minorHAnsi"/>
          <w:b w:val="0"/>
          <w:color w:val="333333"/>
          <w:sz w:val="24"/>
          <w:szCs w:val="24"/>
          <w:shd w:val="clear" w:color="auto" w:fill="FCFCFC"/>
        </w:rPr>
        <w:t xml:space="preserve"> </w:t>
      </w:r>
      <w:r>
        <w:rPr>
          <w:rFonts w:asciiTheme="minorHAnsi" w:hAnsiTheme="minorHAnsi"/>
          <w:b w:val="0"/>
          <w:color w:val="333333"/>
          <w:sz w:val="24"/>
          <w:szCs w:val="24"/>
          <w:shd w:val="clear" w:color="auto" w:fill="FCFCFC"/>
        </w:rPr>
        <w:t>Sh</w:t>
      </w:r>
      <w:r w:rsidR="00B808BF">
        <w:rPr>
          <w:rFonts w:asciiTheme="minorHAnsi" w:hAnsiTheme="minorHAnsi"/>
          <w:b w:val="0"/>
          <w:color w:val="333333"/>
          <w:sz w:val="24"/>
          <w:szCs w:val="24"/>
          <w:shd w:val="clear" w:color="auto" w:fill="FCFCFC"/>
        </w:rPr>
        <w:t xml:space="preserve">e also makes the interesting observation that African customs unions </w:t>
      </w:r>
      <w:r w:rsidR="00B808BF" w:rsidRPr="00310848">
        <w:rPr>
          <w:rFonts w:asciiTheme="minorHAnsi" w:hAnsiTheme="minorHAnsi"/>
          <w:b w:val="0"/>
          <w:color w:val="333333"/>
          <w:sz w:val="24"/>
          <w:szCs w:val="24"/>
          <w:shd w:val="clear" w:color="auto" w:fill="FCFCFC"/>
        </w:rPr>
        <w:t xml:space="preserve">are </w:t>
      </w:r>
      <w:r w:rsidR="00B808BF">
        <w:rPr>
          <w:rFonts w:asciiTheme="minorHAnsi" w:hAnsiTheme="minorHAnsi"/>
          <w:b w:val="0"/>
          <w:color w:val="333333"/>
          <w:sz w:val="24"/>
          <w:szCs w:val="24"/>
          <w:shd w:val="clear" w:color="auto" w:fill="FCFCFC"/>
        </w:rPr>
        <w:t xml:space="preserve">more </w:t>
      </w:r>
      <w:r w:rsidR="00C65934">
        <w:rPr>
          <w:rFonts w:asciiTheme="minorHAnsi" w:hAnsiTheme="minorHAnsi"/>
          <w:b w:val="0"/>
          <w:color w:val="333333"/>
          <w:sz w:val="24"/>
          <w:szCs w:val="24"/>
          <w:shd w:val="clear" w:color="auto" w:fill="FCFCFC"/>
        </w:rPr>
        <w:t>suscepti</w:t>
      </w:r>
      <w:r w:rsidR="00B808BF" w:rsidRPr="00310848">
        <w:rPr>
          <w:rFonts w:asciiTheme="minorHAnsi" w:hAnsiTheme="minorHAnsi"/>
          <w:b w:val="0"/>
          <w:color w:val="333333"/>
          <w:sz w:val="24"/>
          <w:szCs w:val="24"/>
          <w:shd w:val="clear" w:color="auto" w:fill="FCFCFC"/>
        </w:rPr>
        <w:t>ble to trade diversion</w:t>
      </w:r>
      <w:r w:rsidR="00B808BF">
        <w:rPr>
          <w:rFonts w:asciiTheme="minorHAnsi" w:hAnsiTheme="minorHAnsi"/>
          <w:b w:val="0"/>
          <w:color w:val="333333"/>
          <w:sz w:val="24"/>
          <w:szCs w:val="24"/>
          <w:shd w:val="clear" w:color="auto" w:fill="FCFCFC"/>
        </w:rPr>
        <w:t xml:space="preserve"> than those in richer countries</w:t>
      </w:r>
      <w:r w:rsidR="00B808BF" w:rsidRPr="00310848">
        <w:rPr>
          <w:rFonts w:asciiTheme="minorHAnsi" w:hAnsiTheme="minorHAnsi"/>
          <w:b w:val="0"/>
          <w:color w:val="333333"/>
          <w:sz w:val="24"/>
          <w:szCs w:val="24"/>
          <w:shd w:val="clear" w:color="auto" w:fill="FCFCFC"/>
        </w:rPr>
        <w:t xml:space="preserve">, because </w:t>
      </w:r>
      <w:r w:rsidR="00B808BF">
        <w:rPr>
          <w:rFonts w:asciiTheme="minorHAnsi" w:hAnsiTheme="minorHAnsi"/>
          <w:b w:val="0"/>
          <w:color w:val="333333"/>
          <w:sz w:val="24"/>
          <w:szCs w:val="24"/>
          <w:shd w:val="clear" w:color="auto" w:fill="FCFCFC"/>
        </w:rPr>
        <w:t xml:space="preserve">governments feel the </w:t>
      </w:r>
      <w:r w:rsidR="00B808BF" w:rsidRPr="00310848">
        <w:rPr>
          <w:rFonts w:asciiTheme="minorHAnsi" w:hAnsiTheme="minorHAnsi"/>
          <w:b w:val="0"/>
          <w:color w:val="333333"/>
          <w:sz w:val="24"/>
          <w:szCs w:val="24"/>
          <w:shd w:val="clear" w:color="auto" w:fill="FCFCFC"/>
        </w:rPr>
        <w:t xml:space="preserve">need to make up </w:t>
      </w:r>
      <w:r w:rsidR="00B808BF">
        <w:rPr>
          <w:rFonts w:asciiTheme="minorHAnsi" w:hAnsiTheme="minorHAnsi"/>
          <w:b w:val="0"/>
          <w:color w:val="333333"/>
          <w:sz w:val="24"/>
          <w:szCs w:val="24"/>
          <w:shd w:val="clear" w:color="auto" w:fill="FCFCFC"/>
        </w:rPr>
        <w:t xml:space="preserve">lost </w:t>
      </w:r>
      <w:r w:rsidR="00151D1B">
        <w:rPr>
          <w:rFonts w:asciiTheme="minorHAnsi" w:hAnsiTheme="minorHAnsi"/>
          <w:b w:val="0"/>
          <w:color w:val="333333"/>
          <w:sz w:val="24"/>
          <w:szCs w:val="24"/>
          <w:shd w:val="clear" w:color="auto" w:fill="FCFCFC"/>
        </w:rPr>
        <w:t>tariff revenue</w:t>
      </w:r>
      <w:r w:rsidR="00F65E8F">
        <w:rPr>
          <w:rFonts w:asciiTheme="minorHAnsi" w:hAnsiTheme="minorHAnsi"/>
          <w:b w:val="0"/>
          <w:color w:val="333333"/>
          <w:sz w:val="24"/>
          <w:szCs w:val="24"/>
          <w:shd w:val="clear" w:color="auto" w:fill="FCFCFC"/>
        </w:rPr>
        <w:t xml:space="preserve"> by raising tariffs on non-members</w:t>
      </w:r>
      <w:r w:rsidR="00151D1B">
        <w:rPr>
          <w:rFonts w:asciiTheme="minorHAnsi" w:hAnsiTheme="minorHAnsi"/>
          <w:b w:val="0"/>
          <w:color w:val="333333"/>
          <w:sz w:val="24"/>
          <w:szCs w:val="24"/>
          <w:shd w:val="clear" w:color="auto" w:fill="FCFCFC"/>
        </w:rPr>
        <w:t xml:space="preserve">. </w:t>
      </w:r>
      <w:r w:rsidR="0007327F">
        <w:rPr>
          <w:rFonts w:asciiTheme="minorHAnsi" w:hAnsiTheme="minorHAnsi"/>
          <w:b w:val="0"/>
          <w:color w:val="333333"/>
          <w:sz w:val="24"/>
          <w:szCs w:val="24"/>
          <w:shd w:val="clear" w:color="auto" w:fill="FCFCFC"/>
        </w:rPr>
        <w:br/>
      </w:r>
    </w:p>
    <w:p w:rsidR="00C65934" w:rsidRDefault="008440C2" w:rsidP="00C65934">
      <w:pPr>
        <w:ind w:firstLine="720"/>
        <w:rPr>
          <w:rFonts w:cs="Helvetica"/>
          <w:color w:val="333333"/>
          <w:sz w:val="24"/>
          <w:szCs w:val="24"/>
        </w:rPr>
      </w:pPr>
      <w:r w:rsidRPr="008440C2">
        <w:rPr>
          <w:sz w:val="24"/>
          <w:szCs w:val="24"/>
        </w:rPr>
        <w:t xml:space="preserve">Masson and </w:t>
      </w:r>
      <w:proofErr w:type="spellStart"/>
      <w:r w:rsidRPr="008440C2">
        <w:rPr>
          <w:sz w:val="24"/>
          <w:szCs w:val="24"/>
        </w:rPr>
        <w:t>Pattillo</w:t>
      </w:r>
      <w:proofErr w:type="spellEnd"/>
      <w:r w:rsidRPr="008440C2">
        <w:rPr>
          <w:sz w:val="24"/>
          <w:szCs w:val="24"/>
        </w:rPr>
        <w:t xml:space="preserve"> (2004) and Tsangarides</w:t>
      </w:r>
      <w:r>
        <w:rPr>
          <w:sz w:val="24"/>
          <w:szCs w:val="24"/>
        </w:rPr>
        <w:t xml:space="preserve">, </w:t>
      </w:r>
      <w:proofErr w:type="spellStart"/>
      <w:r>
        <w:rPr>
          <w:sz w:val="24"/>
          <w:szCs w:val="24"/>
        </w:rPr>
        <w:t>Ewennczyk</w:t>
      </w:r>
      <w:proofErr w:type="spellEnd"/>
      <w:r w:rsidR="003A20B8">
        <w:rPr>
          <w:sz w:val="24"/>
          <w:szCs w:val="24"/>
        </w:rPr>
        <w:t>,</w:t>
      </w:r>
      <w:r w:rsidRPr="008440C2">
        <w:rPr>
          <w:sz w:val="24"/>
          <w:szCs w:val="24"/>
        </w:rPr>
        <w:t xml:space="preserve"> and </w:t>
      </w:r>
      <w:proofErr w:type="spellStart"/>
      <w:r w:rsidRPr="008440C2">
        <w:rPr>
          <w:sz w:val="24"/>
          <w:szCs w:val="24"/>
        </w:rPr>
        <w:t>Hulej</w:t>
      </w:r>
      <w:proofErr w:type="spellEnd"/>
      <w:r w:rsidRPr="008440C2">
        <w:rPr>
          <w:sz w:val="24"/>
          <w:szCs w:val="24"/>
        </w:rPr>
        <w:t xml:space="preserve"> (2006)</w:t>
      </w:r>
      <w:r w:rsidR="00BD5A31">
        <w:rPr>
          <w:sz w:val="24"/>
          <w:szCs w:val="24"/>
        </w:rPr>
        <w:t xml:space="preserve">, </w:t>
      </w:r>
      <w:r w:rsidR="00BD5A31" w:rsidRPr="00BD5A31">
        <w:rPr>
          <w:sz w:val="24"/>
          <w:szCs w:val="24"/>
        </w:rPr>
        <w:t xml:space="preserve">and </w:t>
      </w:r>
      <w:r w:rsidR="009C5626">
        <w:rPr>
          <w:rFonts w:cs="Helvetica"/>
          <w:color w:val="333333"/>
          <w:sz w:val="24"/>
          <w:szCs w:val="24"/>
        </w:rPr>
        <w:t xml:space="preserve">Tsangarides, et al </w:t>
      </w:r>
      <w:r w:rsidR="00BD5A31" w:rsidRPr="00BD5A31">
        <w:rPr>
          <w:rFonts w:cs="Helvetica"/>
          <w:color w:val="333333"/>
          <w:sz w:val="24"/>
          <w:szCs w:val="24"/>
        </w:rPr>
        <w:t xml:space="preserve">(2009) </w:t>
      </w:r>
      <w:r w:rsidRPr="008440C2">
        <w:rPr>
          <w:sz w:val="24"/>
          <w:szCs w:val="24"/>
        </w:rPr>
        <w:t>find estimated trade effects of African currency unions, controlling for other factors, that are roughly similar to the standard estimates by Rose (2000) an</w:t>
      </w:r>
      <w:r w:rsidR="009C5626">
        <w:rPr>
          <w:sz w:val="24"/>
          <w:szCs w:val="24"/>
        </w:rPr>
        <w:t xml:space="preserve">d </w:t>
      </w:r>
      <w:r w:rsidR="00A91C42">
        <w:rPr>
          <w:sz w:val="24"/>
          <w:szCs w:val="24"/>
        </w:rPr>
        <w:t>those who came after</w:t>
      </w:r>
      <w:r w:rsidRPr="008440C2">
        <w:rPr>
          <w:sz w:val="24"/>
          <w:szCs w:val="24"/>
        </w:rPr>
        <w:t>.</w:t>
      </w:r>
      <w:r w:rsidR="00C65934">
        <w:rPr>
          <w:b/>
          <w:sz w:val="24"/>
          <w:szCs w:val="24"/>
        </w:rPr>
        <w:t xml:space="preserve">  </w:t>
      </w:r>
      <w:r w:rsidR="00C65934" w:rsidRPr="009C5626">
        <w:rPr>
          <w:rFonts w:cs="Helvetica"/>
          <w:color w:val="333333"/>
          <w:sz w:val="24"/>
          <w:szCs w:val="24"/>
        </w:rPr>
        <w:t xml:space="preserve">Tsangarides, </w:t>
      </w:r>
      <w:proofErr w:type="spellStart"/>
      <w:r w:rsidR="00C65934" w:rsidRPr="00BD5A31">
        <w:rPr>
          <w:rFonts w:cs="Helvetica"/>
          <w:color w:val="333333"/>
          <w:sz w:val="24"/>
          <w:szCs w:val="24"/>
        </w:rPr>
        <w:t>Ewenczyk</w:t>
      </w:r>
      <w:proofErr w:type="spellEnd"/>
      <w:r w:rsidR="00C65934" w:rsidRPr="00BD5A31">
        <w:rPr>
          <w:rFonts w:cs="Helvetica"/>
          <w:color w:val="333333"/>
          <w:sz w:val="24"/>
          <w:szCs w:val="24"/>
        </w:rPr>
        <w:t xml:space="preserve">, </w:t>
      </w:r>
      <w:proofErr w:type="spellStart"/>
      <w:r w:rsidR="00C65934" w:rsidRPr="009C5626">
        <w:rPr>
          <w:rFonts w:cs="Helvetica"/>
          <w:color w:val="333333"/>
          <w:sz w:val="24"/>
          <w:szCs w:val="24"/>
        </w:rPr>
        <w:t>Hulej</w:t>
      </w:r>
      <w:proofErr w:type="spellEnd"/>
      <w:r w:rsidR="00C65934" w:rsidRPr="009C5626">
        <w:rPr>
          <w:rFonts w:cs="Helvetica"/>
          <w:color w:val="333333"/>
          <w:sz w:val="24"/>
          <w:szCs w:val="24"/>
        </w:rPr>
        <w:t>, and</w:t>
      </w:r>
      <w:r w:rsidR="00C65934" w:rsidRPr="00BD5A31">
        <w:rPr>
          <w:rFonts w:cs="Helvetica"/>
          <w:b/>
          <w:color w:val="333333"/>
          <w:sz w:val="24"/>
          <w:szCs w:val="24"/>
        </w:rPr>
        <w:t xml:space="preserve"> </w:t>
      </w:r>
      <w:r w:rsidR="00C65934" w:rsidRPr="00BD5A31">
        <w:rPr>
          <w:rFonts w:cs="Helvetica"/>
          <w:color w:val="333333"/>
          <w:sz w:val="24"/>
          <w:szCs w:val="24"/>
        </w:rPr>
        <w:t>Qureshi</w:t>
      </w:r>
      <w:r w:rsidR="00C65934" w:rsidRPr="00BD5A31">
        <w:rPr>
          <w:rFonts w:cs="Helvetica"/>
          <w:b/>
          <w:color w:val="333333"/>
          <w:sz w:val="24"/>
          <w:szCs w:val="24"/>
        </w:rPr>
        <w:t xml:space="preserve"> </w:t>
      </w:r>
      <w:r w:rsidR="00C65934" w:rsidRPr="009C5626">
        <w:rPr>
          <w:rFonts w:cs="Helvetica"/>
          <w:color w:val="333333"/>
          <w:sz w:val="24"/>
          <w:szCs w:val="24"/>
        </w:rPr>
        <w:t>(2009) find that the trade benefits of membership in the African currency unions increase with the passage of time.</w:t>
      </w:r>
    </w:p>
    <w:p w:rsidR="00975388" w:rsidRDefault="00975388">
      <w:pPr>
        <w:rPr>
          <w:sz w:val="24"/>
          <w:szCs w:val="24"/>
        </w:rPr>
      </w:pPr>
      <w:r>
        <w:rPr>
          <w:sz w:val="24"/>
          <w:szCs w:val="24"/>
        </w:rPr>
        <w:br w:type="page"/>
      </w:r>
    </w:p>
    <w:p w:rsidR="00975388" w:rsidRPr="00685CE9" w:rsidRDefault="00975388" w:rsidP="00975388">
      <w:pPr>
        <w:rPr>
          <w:rFonts w:ascii="Times New Roman" w:hAnsi="Times New Roman" w:cs="Times New Roman"/>
          <w:b/>
        </w:rPr>
      </w:pPr>
      <w:r w:rsidRPr="00685CE9">
        <w:rPr>
          <w:b/>
          <w:sz w:val="24"/>
          <w:szCs w:val="24"/>
        </w:rPr>
        <w:lastRenderedPageBreak/>
        <w:t xml:space="preserve">Table 5:  Estimation of Effects on Log Bilateral Exports </w:t>
      </w:r>
      <w:r w:rsidR="00AB5B23" w:rsidRPr="00685CE9">
        <w:rPr>
          <w:b/>
          <w:sz w:val="24"/>
          <w:szCs w:val="24"/>
        </w:rPr>
        <w:t>i</w:t>
      </w:r>
      <w:r w:rsidRPr="00685CE9">
        <w:rPr>
          <w:b/>
          <w:sz w:val="24"/>
          <w:szCs w:val="24"/>
        </w:rPr>
        <w:t>n the Gravity Model, Panel 1948-2017</w:t>
      </w:r>
    </w:p>
    <w:tbl>
      <w:tblPr>
        <w:tblStyle w:val="TableGrid"/>
        <w:tblpPr w:leftFromText="180" w:rightFromText="180" w:vertAnchor="text" w:horzAnchor="page" w:tblpX="1090" w:tblpY="516"/>
        <w:tblW w:w="10008" w:type="dxa"/>
        <w:tblLayout w:type="fixed"/>
        <w:tblLook w:val="04A0" w:firstRow="1" w:lastRow="0" w:firstColumn="1" w:lastColumn="0" w:noHBand="0" w:noVBand="1"/>
      </w:tblPr>
      <w:tblGrid>
        <w:gridCol w:w="2538"/>
        <w:gridCol w:w="1080"/>
        <w:gridCol w:w="1440"/>
        <w:gridCol w:w="1170"/>
        <w:gridCol w:w="1170"/>
        <w:gridCol w:w="1440"/>
        <w:gridCol w:w="1170"/>
      </w:tblGrid>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 xml:space="preserve">Fixed Effects: </w:t>
            </w:r>
          </w:p>
        </w:tc>
        <w:tc>
          <w:tcPr>
            <w:tcW w:w="3690" w:type="dxa"/>
            <w:gridSpan w:val="3"/>
          </w:tcPr>
          <w:p w:rsidR="00975388" w:rsidRPr="0054046A" w:rsidRDefault="00975388" w:rsidP="00975388">
            <w:pPr>
              <w:spacing w:line="276" w:lineRule="auto"/>
              <w:rPr>
                <w:rFonts w:cs="Times New Roman"/>
                <w:sz w:val="22"/>
                <w:szCs w:val="22"/>
              </w:rPr>
            </w:pPr>
            <w:r w:rsidRPr="0054046A">
              <w:rPr>
                <w:rFonts w:cs="Times New Roman"/>
                <w:sz w:val="22"/>
                <w:szCs w:val="22"/>
              </w:rPr>
              <w:t>Exporter</w:t>
            </w:r>
            <w:r w:rsidRPr="0054046A">
              <w:rPr>
                <w:rFonts w:cs="Times New Roman"/>
                <w:sz w:val="22"/>
                <w:szCs w:val="22"/>
              </w:rPr>
              <w:sym w:font="Symbol" w:char="F0B4"/>
            </w:r>
            <w:r w:rsidRPr="0054046A">
              <w:rPr>
                <w:rFonts w:cs="Times New Roman"/>
                <w:sz w:val="22"/>
                <w:szCs w:val="22"/>
              </w:rPr>
              <w:t>year, Importer</w:t>
            </w:r>
            <w:r w:rsidRPr="0054046A">
              <w:rPr>
                <w:rFonts w:cs="Times New Roman"/>
                <w:sz w:val="22"/>
                <w:szCs w:val="22"/>
              </w:rPr>
              <w:sym w:font="Symbol" w:char="F0B4"/>
            </w:r>
            <w:r w:rsidRPr="0054046A">
              <w:rPr>
                <w:rFonts w:cs="Times New Roman"/>
                <w:sz w:val="22"/>
                <w:szCs w:val="22"/>
              </w:rPr>
              <w:t>year</w:t>
            </w:r>
          </w:p>
        </w:tc>
        <w:tc>
          <w:tcPr>
            <w:tcW w:w="3780" w:type="dxa"/>
            <w:gridSpan w:val="3"/>
            <w:tcBorders>
              <w:righ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Exporter</w:t>
            </w:r>
            <w:r w:rsidRPr="0054046A">
              <w:rPr>
                <w:rFonts w:cs="Times New Roman"/>
                <w:sz w:val="22"/>
                <w:szCs w:val="22"/>
              </w:rPr>
              <w:sym w:font="Symbol" w:char="F0B4"/>
            </w:r>
            <w:r w:rsidRPr="0054046A">
              <w:rPr>
                <w:rFonts w:cs="Times New Roman"/>
                <w:sz w:val="22"/>
                <w:szCs w:val="22"/>
              </w:rPr>
              <w:t>year, Importer</w:t>
            </w:r>
            <w:r w:rsidRPr="0054046A">
              <w:rPr>
                <w:rFonts w:cs="Times New Roman"/>
                <w:sz w:val="22"/>
                <w:szCs w:val="22"/>
              </w:rPr>
              <w:sym w:font="Symbol" w:char="F0B4"/>
            </w:r>
            <w:r w:rsidRPr="0054046A">
              <w:rPr>
                <w:rFonts w:cs="Times New Roman"/>
                <w:sz w:val="22"/>
                <w:szCs w:val="22"/>
              </w:rPr>
              <w:t>year, Dyadic</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All CUs</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Disaggregate CFA</w:t>
            </w:r>
          </w:p>
        </w:tc>
        <w:tc>
          <w:tcPr>
            <w:tcW w:w="1170" w:type="dxa"/>
          </w:tcPr>
          <w:p w:rsidR="00975388" w:rsidRPr="0054046A" w:rsidRDefault="00975388" w:rsidP="00975388">
            <w:pPr>
              <w:spacing w:line="276" w:lineRule="auto"/>
              <w:jc w:val="center"/>
              <w:rPr>
                <w:rFonts w:cs="Times New Roman"/>
                <w:sz w:val="22"/>
                <w:szCs w:val="22"/>
              </w:rPr>
            </w:pPr>
            <w:proofErr w:type="spellStart"/>
            <w:r w:rsidRPr="0054046A">
              <w:rPr>
                <w:rFonts w:cs="Times New Roman"/>
                <w:sz w:val="22"/>
                <w:szCs w:val="22"/>
              </w:rPr>
              <w:t>Disagg</w:t>
            </w:r>
            <w:proofErr w:type="spellEnd"/>
            <w:r w:rsidRPr="0054046A">
              <w:rPr>
                <w:rFonts w:cs="Times New Roman"/>
                <w:sz w:val="22"/>
                <w:szCs w:val="22"/>
              </w:rPr>
              <w:t>. CFA and EMU</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All CUs</w:t>
            </w:r>
          </w:p>
        </w:tc>
        <w:tc>
          <w:tcPr>
            <w:tcW w:w="1440" w:type="dxa"/>
          </w:tcPr>
          <w:p w:rsidR="00975388" w:rsidRPr="0054046A" w:rsidRDefault="00975388" w:rsidP="0054046A">
            <w:pPr>
              <w:spacing w:line="276" w:lineRule="auto"/>
              <w:jc w:val="center"/>
              <w:rPr>
                <w:rFonts w:cs="Times New Roman"/>
                <w:sz w:val="22"/>
                <w:szCs w:val="22"/>
              </w:rPr>
            </w:pPr>
            <w:r w:rsidRPr="0054046A">
              <w:rPr>
                <w:rFonts w:cs="Times New Roman"/>
                <w:sz w:val="22"/>
                <w:szCs w:val="22"/>
              </w:rPr>
              <w:t>Disaggregate CFA</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roofErr w:type="spellStart"/>
            <w:r w:rsidRPr="0054046A">
              <w:rPr>
                <w:rFonts w:cs="Times New Roman"/>
                <w:sz w:val="22"/>
                <w:szCs w:val="22"/>
              </w:rPr>
              <w:t>Disagg</w:t>
            </w:r>
            <w:proofErr w:type="spellEnd"/>
            <w:r w:rsidRPr="0054046A">
              <w:rPr>
                <w:rFonts w:cs="Times New Roman"/>
                <w:sz w:val="22"/>
                <w:szCs w:val="22"/>
              </w:rPr>
              <w:t>. CFA and EMU</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All CUs</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0.472</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(0.017)</w:t>
            </w:r>
          </w:p>
        </w:tc>
        <w:tc>
          <w:tcPr>
            <w:tcW w:w="1440" w:type="dxa"/>
          </w:tcPr>
          <w:p w:rsidR="00975388" w:rsidRPr="0054046A" w:rsidRDefault="00975388" w:rsidP="00975388">
            <w:pPr>
              <w:spacing w:line="276" w:lineRule="auto"/>
              <w:jc w:val="center"/>
              <w:rPr>
                <w:rFonts w:cs="Times New Roman"/>
                <w:sz w:val="22"/>
                <w:szCs w:val="22"/>
              </w:rPr>
            </w:pPr>
          </w:p>
        </w:tc>
        <w:tc>
          <w:tcPr>
            <w:tcW w:w="1170" w:type="dxa"/>
          </w:tcPr>
          <w:p w:rsidR="00975388" w:rsidRPr="0054046A" w:rsidRDefault="00975388" w:rsidP="00975388">
            <w:pPr>
              <w:spacing w:line="276" w:lineRule="auto"/>
              <w:jc w:val="center"/>
              <w:rPr>
                <w:rFonts w:cs="Times New Roman"/>
                <w:sz w:val="22"/>
                <w:szCs w:val="22"/>
              </w:rPr>
            </w:pP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0.338</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(0.018)</w:t>
            </w: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rPr>
          <w:trHeight w:val="498"/>
        </w:trPr>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CUs without CFA</w:t>
            </w:r>
          </w:p>
        </w:tc>
        <w:tc>
          <w:tcPr>
            <w:tcW w:w="108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0.407</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(0.019)</w:t>
            </w:r>
          </w:p>
        </w:tc>
        <w:tc>
          <w:tcPr>
            <w:tcW w:w="1170" w:type="dxa"/>
          </w:tcPr>
          <w:p w:rsidR="00975388" w:rsidRPr="0054046A" w:rsidRDefault="00975388" w:rsidP="00975388">
            <w:pPr>
              <w:spacing w:line="276" w:lineRule="auto"/>
              <w:jc w:val="center"/>
              <w:rPr>
                <w:rFonts w:cs="Times New Roman"/>
                <w:sz w:val="22"/>
                <w:szCs w:val="22"/>
              </w:rPr>
            </w:pP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0.333</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(0.017)</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CUs without CFA &amp; EMU</w:t>
            </w:r>
          </w:p>
        </w:tc>
        <w:tc>
          <w:tcPr>
            <w:tcW w:w="108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0.726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(0.022)</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0.282</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(0.023)</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CFA franc zone</w:t>
            </w:r>
          </w:p>
        </w:tc>
        <w:tc>
          <w:tcPr>
            <w:tcW w:w="108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0.631</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(0.034)</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0.643 (0.034)</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0.421</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(0.083)</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0.398</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(0.083)</w:t>
            </w:r>
          </w:p>
        </w:tc>
      </w:tr>
      <w:tr w:rsidR="00975388" w:rsidRPr="0054046A" w:rsidTr="0054046A">
        <w:trPr>
          <w:trHeight w:val="543"/>
        </w:trPr>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EMU</w:t>
            </w:r>
          </w:p>
        </w:tc>
        <w:tc>
          <w:tcPr>
            <w:tcW w:w="108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-0.697</w:t>
            </w:r>
            <w:r w:rsidRPr="0054046A">
              <w:rPr>
                <w:rFonts w:cs="Times New Roman"/>
                <w:color w:val="FF0000"/>
                <w:sz w:val="22"/>
                <w:szCs w:val="22"/>
              </w:rPr>
              <w:t xml:space="preserve"> </w:t>
            </w:r>
            <w:r w:rsidRPr="0054046A">
              <w:rPr>
                <w:rFonts w:cs="Times New Roman"/>
                <w:sz w:val="22"/>
                <w:szCs w:val="22"/>
              </w:rPr>
              <w:t>(0.034)</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0.444</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(0.021)</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 xml:space="preserve">RTA (regional) </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0.598</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(0.009)</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 xml:space="preserve">0.598 </w:t>
            </w:r>
            <w:r w:rsidR="00685CE9">
              <w:rPr>
                <w:rFonts w:cs="Times New Roman"/>
                <w:sz w:val="22"/>
                <w:szCs w:val="22"/>
              </w:rPr>
              <w:br/>
            </w:r>
            <w:r w:rsidRPr="0054046A">
              <w:rPr>
                <w:rFonts w:cs="Times New Roman"/>
                <w:sz w:val="22"/>
                <w:szCs w:val="22"/>
              </w:rPr>
              <w:t>(0.009)</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0.620 (0.009)</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0.396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(0.009)</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0.396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(0.009)</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0.393</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(0.009)</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Currently in colonial relationship (</w:t>
            </w:r>
            <w:proofErr w:type="spellStart"/>
            <w:r w:rsidRPr="0054046A">
              <w:rPr>
                <w:rFonts w:cs="Times New Roman"/>
                <w:sz w:val="22"/>
                <w:szCs w:val="22"/>
              </w:rPr>
              <w:t>curcol</w:t>
            </w:r>
            <w:proofErr w:type="spellEnd"/>
            <w:r w:rsidRPr="0054046A">
              <w:rPr>
                <w:rFonts w:cs="Times New Roman"/>
                <w:sz w:val="22"/>
                <w:szCs w:val="22"/>
              </w:rPr>
              <w:t>)</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0.936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(0.034)</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0.960</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(0.034)</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0.834</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(0.033)</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0.277</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(0.032)</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0.279</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(0.032)</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0.293</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(0.032)</w:t>
            </w: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Log of distance (</w:t>
            </w:r>
            <w:proofErr w:type="spellStart"/>
            <w:r w:rsidRPr="0054046A">
              <w:rPr>
                <w:rFonts w:cs="Times New Roman"/>
                <w:sz w:val="22"/>
                <w:szCs w:val="22"/>
              </w:rPr>
              <w:t>ldist</w:t>
            </w:r>
            <w:proofErr w:type="spellEnd"/>
            <w:r w:rsidRPr="0054046A">
              <w:rPr>
                <w:rFonts w:cs="Times New Roman"/>
                <w:sz w:val="22"/>
                <w:szCs w:val="22"/>
              </w:rPr>
              <w:t>)</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-1.397</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(0.003)</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-1.398 (0.003)</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-1.396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(0.003)</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Common language (</w:t>
            </w:r>
            <w:proofErr w:type="spellStart"/>
            <w:r w:rsidRPr="0054046A">
              <w:rPr>
                <w:rFonts w:cs="Times New Roman"/>
                <w:sz w:val="22"/>
                <w:szCs w:val="22"/>
              </w:rPr>
              <w:t>comlang</w:t>
            </w:r>
            <w:proofErr w:type="spellEnd"/>
            <w:r w:rsidRPr="0054046A">
              <w:rPr>
                <w:rFonts w:cs="Times New Roman"/>
                <w:sz w:val="22"/>
                <w:szCs w:val="22"/>
              </w:rPr>
              <w:t>)</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0.387</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(0.007)</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0.385</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(0.007)</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0.382 (0.007)</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c>
          <w:tcPr>
            <w:tcW w:w="2538" w:type="dxa"/>
            <w:tcBorders>
              <w:left w:val="single" w:sz="4" w:space="0" w:color="auto"/>
            </w:tcBorders>
          </w:tcPr>
          <w:p w:rsidR="00975388" w:rsidRPr="0054046A" w:rsidRDefault="0054046A" w:rsidP="0054046A">
            <w:pPr>
              <w:spacing w:line="276" w:lineRule="auto"/>
              <w:rPr>
                <w:rFonts w:cs="Times New Roman"/>
                <w:sz w:val="22"/>
                <w:szCs w:val="22"/>
              </w:rPr>
            </w:pPr>
            <w:r>
              <w:rPr>
                <w:rFonts w:cs="Times New Roman"/>
                <w:sz w:val="22"/>
                <w:szCs w:val="22"/>
              </w:rPr>
              <w:t>Common l</w:t>
            </w:r>
            <w:r w:rsidR="00975388" w:rsidRPr="0054046A">
              <w:rPr>
                <w:rFonts w:cs="Times New Roman"/>
                <w:sz w:val="22"/>
                <w:szCs w:val="22"/>
              </w:rPr>
              <w:t xml:space="preserve">and border </w:t>
            </w:r>
            <w:r w:rsidR="00016948">
              <w:rPr>
                <w:rFonts w:cs="Times New Roman"/>
                <w:sz w:val="22"/>
                <w:szCs w:val="22"/>
              </w:rPr>
              <w:t>(border)</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0.333</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440" w:type="dxa"/>
          </w:tcPr>
          <w:p w:rsidR="00685CE9" w:rsidRDefault="00975388" w:rsidP="00975388">
            <w:pPr>
              <w:spacing w:line="276" w:lineRule="auto"/>
              <w:jc w:val="center"/>
              <w:rPr>
                <w:rFonts w:cs="Times New Roman"/>
                <w:sz w:val="22"/>
                <w:szCs w:val="22"/>
              </w:rPr>
            </w:pPr>
            <w:r w:rsidRPr="0054046A">
              <w:rPr>
                <w:rFonts w:cs="Times New Roman"/>
                <w:sz w:val="22"/>
                <w:szCs w:val="22"/>
              </w:rPr>
              <w:t xml:space="preserve">0.327 </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0.336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rPr>
          <w:trHeight w:val="516"/>
        </w:trPr>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Common colonizer post</w:t>
            </w:r>
            <w:r w:rsidR="0054046A">
              <w:rPr>
                <w:rFonts w:cs="Times New Roman"/>
                <w:sz w:val="22"/>
                <w:szCs w:val="22"/>
              </w:rPr>
              <w:t>-</w:t>
            </w:r>
            <w:r w:rsidRPr="0054046A">
              <w:rPr>
                <w:rFonts w:cs="Times New Roman"/>
                <w:sz w:val="22"/>
                <w:szCs w:val="22"/>
              </w:rPr>
              <w:t xml:space="preserve"> 1945 (</w:t>
            </w:r>
            <w:proofErr w:type="spellStart"/>
            <w:r w:rsidRPr="0054046A">
              <w:rPr>
                <w:rFonts w:cs="Times New Roman"/>
                <w:sz w:val="22"/>
                <w:szCs w:val="22"/>
              </w:rPr>
              <w:t>comcol</w:t>
            </w:r>
            <w:proofErr w:type="spellEnd"/>
            <w:r w:rsidRPr="0054046A">
              <w:rPr>
                <w:rFonts w:cs="Times New Roman"/>
                <w:sz w:val="22"/>
                <w:szCs w:val="22"/>
              </w:rPr>
              <w:t>)</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0.836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(0.010)</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 xml:space="preserve">0.829 </w:t>
            </w:r>
            <w:r w:rsidR="00685CE9">
              <w:rPr>
                <w:rFonts w:cs="Times New Roman"/>
                <w:sz w:val="22"/>
                <w:szCs w:val="22"/>
              </w:rPr>
              <w:br/>
            </w:r>
            <w:r w:rsidRPr="0054046A">
              <w:rPr>
                <w:rFonts w:cs="Times New Roman"/>
                <w:sz w:val="22"/>
                <w:szCs w:val="22"/>
              </w:rPr>
              <w:t>(0.010)</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0.817 (0.010)</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 xml:space="preserve">Ever in colonial relationship (colony) </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1.363</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1.368</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1.356</w:t>
            </w:r>
          </w:p>
          <w:p w:rsidR="00975388" w:rsidRPr="0054046A" w:rsidRDefault="00975388" w:rsidP="00975388">
            <w:pPr>
              <w:spacing w:line="276" w:lineRule="auto"/>
              <w:jc w:val="center"/>
              <w:rPr>
                <w:rFonts w:cs="Times New Roman"/>
                <w:sz w:val="22"/>
                <w:szCs w:val="22"/>
              </w:rPr>
            </w:pPr>
            <w:r w:rsidRPr="0054046A">
              <w:rPr>
                <w:rFonts w:cs="Times New Roman"/>
                <w:sz w:val="22"/>
                <w:szCs w:val="22"/>
              </w:rPr>
              <w:t>(0.014)</w:t>
            </w:r>
          </w:p>
        </w:tc>
        <w:tc>
          <w:tcPr>
            <w:tcW w:w="1170" w:type="dxa"/>
          </w:tcPr>
          <w:p w:rsidR="00975388" w:rsidRPr="0054046A" w:rsidRDefault="00975388" w:rsidP="00975388">
            <w:pPr>
              <w:spacing w:line="276" w:lineRule="auto"/>
              <w:jc w:val="center"/>
              <w:rPr>
                <w:rFonts w:cs="Times New Roman"/>
                <w:sz w:val="22"/>
                <w:szCs w:val="22"/>
              </w:rPr>
            </w:pPr>
          </w:p>
        </w:tc>
        <w:tc>
          <w:tcPr>
            <w:tcW w:w="1440" w:type="dxa"/>
          </w:tcPr>
          <w:p w:rsidR="00975388" w:rsidRPr="0054046A" w:rsidRDefault="00975388" w:rsidP="00975388">
            <w:pPr>
              <w:spacing w:line="276" w:lineRule="auto"/>
              <w:jc w:val="center"/>
              <w:rPr>
                <w:rFonts w:cs="Times New Roman"/>
                <w:sz w:val="22"/>
                <w:szCs w:val="22"/>
              </w:rPr>
            </w:pP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p>
        </w:tc>
      </w:tr>
      <w:tr w:rsidR="00975388" w:rsidRPr="0054046A" w:rsidTr="0054046A">
        <w:trPr>
          <w:trHeight w:val="255"/>
        </w:trPr>
        <w:tc>
          <w:tcPr>
            <w:tcW w:w="2538" w:type="dxa"/>
            <w:tcBorders>
              <w:left w:val="single" w:sz="4" w:space="0" w:color="auto"/>
            </w:tcBorders>
          </w:tcPr>
          <w:p w:rsidR="00975388" w:rsidRPr="0054046A" w:rsidRDefault="00975388" w:rsidP="00975388">
            <w:pPr>
              <w:spacing w:line="276" w:lineRule="auto"/>
              <w:rPr>
                <w:rFonts w:cs="Times New Roman"/>
                <w:sz w:val="22"/>
                <w:szCs w:val="22"/>
              </w:rPr>
            </w:pPr>
            <w:r w:rsidRPr="0054046A">
              <w:rPr>
                <w:rFonts w:cs="Times New Roman"/>
                <w:sz w:val="22"/>
                <w:szCs w:val="22"/>
              </w:rPr>
              <w:t>Observations</w:t>
            </w:r>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967,710</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967,710</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967,710</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965,616</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965,616</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965,616</w:t>
            </w:r>
          </w:p>
        </w:tc>
      </w:tr>
      <w:tr w:rsidR="00975388" w:rsidRPr="0054046A" w:rsidTr="0054046A">
        <w:trPr>
          <w:trHeight w:val="228"/>
        </w:trPr>
        <w:tc>
          <w:tcPr>
            <w:tcW w:w="2538" w:type="dxa"/>
            <w:tcBorders>
              <w:left w:val="single" w:sz="4" w:space="0" w:color="auto"/>
            </w:tcBorders>
          </w:tcPr>
          <w:p w:rsidR="00975388" w:rsidRPr="0054046A" w:rsidRDefault="006C4CB1" w:rsidP="00975388">
            <w:pPr>
              <w:spacing w:line="276" w:lineRule="auto"/>
              <w:rPr>
                <w:rFonts w:cs="Times New Roman"/>
                <w:sz w:val="22"/>
                <w:szCs w:val="22"/>
              </w:rPr>
            </w:pPr>
            <m:oMathPara>
              <m:oMathParaPr>
                <m:jc m:val="left"/>
              </m:oMathParaPr>
              <m:oMath>
                <m:sSup>
                  <m:sSupPr>
                    <m:ctrlPr>
                      <w:rPr>
                        <w:rFonts w:ascii="Cambria Math" w:hAnsi="Cambria Math" w:cs="Times New Roman"/>
                        <w:i/>
                        <w:sz w:val="22"/>
                        <w:szCs w:val="22"/>
                      </w:rPr>
                    </m:ctrlPr>
                  </m:sSupPr>
                  <m:e>
                    <m:r>
                      <w:rPr>
                        <w:rFonts w:ascii="Cambria Math" w:hAnsi="Cambria Math" w:cs="Times New Roman"/>
                        <w:sz w:val="22"/>
                        <w:szCs w:val="22"/>
                      </w:rPr>
                      <m:t>R</m:t>
                    </m:r>
                  </m:e>
                  <m:sup>
                    <m:r>
                      <w:rPr>
                        <w:rFonts w:ascii="Cambria Math" w:hAnsi="Cambria Math" w:cs="Times New Roman"/>
                        <w:sz w:val="22"/>
                        <w:szCs w:val="22"/>
                      </w:rPr>
                      <m:t>2</m:t>
                    </m:r>
                  </m:sup>
                </m:sSup>
              </m:oMath>
            </m:oMathPara>
          </w:p>
        </w:tc>
        <w:tc>
          <w:tcPr>
            <w:tcW w:w="108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0.726</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0.726</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0.726</w:t>
            </w:r>
          </w:p>
        </w:tc>
        <w:tc>
          <w:tcPr>
            <w:tcW w:w="117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0.852</w:t>
            </w:r>
          </w:p>
        </w:tc>
        <w:tc>
          <w:tcPr>
            <w:tcW w:w="1440" w:type="dxa"/>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0.852</w:t>
            </w:r>
          </w:p>
        </w:tc>
        <w:tc>
          <w:tcPr>
            <w:tcW w:w="1170" w:type="dxa"/>
            <w:tcBorders>
              <w:right w:val="single" w:sz="4" w:space="0" w:color="auto"/>
            </w:tcBorders>
          </w:tcPr>
          <w:p w:rsidR="00975388" w:rsidRPr="0054046A" w:rsidRDefault="00975388" w:rsidP="00975388">
            <w:pPr>
              <w:spacing w:line="276" w:lineRule="auto"/>
              <w:jc w:val="center"/>
              <w:rPr>
                <w:rFonts w:cs="Times New Roman"/>
                <w:sz w:val="22"/>
                <w:szCs w:val="22"/>
              </w:rPr>
            </w:pPr>
            <w:r w:rsidRPr="0054046A">
              <w:rPr>
                <w:rFonts w:cs="Times New Roman"/>
                <w:sz w:val="22"/>
                <w:szCs w:val="22"/>
              </w:rPr>
              <w:t>0.852</w:t>
            </w:r>
          </w:p>
        </w:tc>
      </w:tr>
    </w:tbl>
    <w:p w:rsidR="00975388" w:rsidRPr="0054046A" w:rsidRDefault="0054046A" w:rsidP="00975388">
      <w:pPr>
        <w:pStyle w:val="ListParagraph"/>
        <w:spacing w:after="0"/>
        <w:rPr>
          <w:rFonts w:cs="Times New Roman"/>
        </w:rPr>
      </w:pPr>
      <w:r w:rsidRPr="0054046A">
        <w:rPr>
          <w:rFonts w:cs="Times New Roman"/>
          <w:sz w:val="16"/>
          <w:szCs w:val="16"/>
        </w:rPr>
        <w:br/>
      </w:r>
      <w:r w:rsidR="00975388" w:rsidRPr="0054046A">
        <w:rPr>
          <w:rFonts w:cs="Times New Roman"/>
        </w:rPr>
        <w:t xml:space="preserve">All coefficients are significant at the 1 percent level.  </w:t>
      </w:r>
      <w:proofErr w:type="gramStart"/>
      <w:r w:rsidR="00975388" w:rsidRPr="0054046A">
        <w:rPr>
          <w:rFonts w:cs="Times New Roman"/>
        </w:rPr>
        <w:t>(Standard errors in parentheses.)</w:t>
      </w:r>
      <w:proofErr w:type="gramEnd"/>
      <w:r w:rsidR="00975388" w:rsidRPr="0054046A">
        <w:rPr>
          <w:rFonts w:cs="Times New Roman"/>
        </w:rPr>
        <w:t xml:space="preserve">   </w:t>
      </w:r>
    </w:p>
    <w:p w:rsidR="00975388" w:rsidRPr="004C00A1" w:rsidRDefault="00975388">
      <w:r>
        <w:rPr>
          <w:sz w:val="24"/>
          <w:szCs w:val="24"/>
        </w:rPr>
        <w:t xml:space="preserve"> </w:t>
      </w:r>
      <w:r w:rsidR="00663023">
        <w:rPr>
          <w:sz w:val="24"/>
          <w:szCs w:val="24"/>
        </w:rPr>
        <w:tab/>
      </w:r>
      <w:r w:rsidR="00663023" w:rsidRPr="004C00A1">
        <w:t>Gravity estimates are thanks to Na Zhang.</w:t>
      </w:r>
      <w:r w:rsidRPr="004C00A1">
        <w:br w:type="page"/>
      </w:r>
    </w:p>
    <w:p w:rsidR="00663023" w:rsidRDefault="00663023" w:rsidP="00663023">
      <w:pPr>
        <w:ind w:firstLine="720"/>
        <w:rPr>
          <w:sz w:val="24"/>
          <w:szCs w:val="24"/>
        </w:rPr>
      </w:pPr>
      <w:r>
        <w:rPr>
          <w:rFonts w:cs="Helvetica"/>
          <w:color w:val="333333"/>
          <w:sz w:val="24"/>
          <w:szCs w:val="24"/>
        </w:rPr>
        <w:lastRenderedPageBreak/>
        <w:t>Table 5 reports our base case estimates of the gravity model.  The data set and estimation are similar to those in Glick and Rose (201</w:t>
      </w:r>
      <w:r w:rsidR="00076D96">
        <w:rPr>
          <w:rFonts w:cs="Helvetica"/>
          <w:color w:val="333333"/>
          <w:sz w:val="24"/>
          <w:szCs w:val="24"/>
        </w:rPr>
        <w:t>6</w:t>
      </w:r>
      <w:r>
        <w:rPr>
          <w:rFonts w:cs="Helvetica"/>
          <w:color w:val="333333"/>
          <w:sz w:val="24"/>
          <w:szCs w:val="24"/>
        </w:rPr>
        <w:t xml:space="preserve">) and Rose (2017), but we have added another </w:t>
      </w:r>
      <w:r w:rsidR="004756BE">
        <w:rPr>
          <w:rFonts w:cs="Helvetica"/>
          <w:color w:val="333333"/>
          <w:sz w:val="24"/>
          <w:szCs w:val="24"/>
        </w:rPr>
        <w:t>four</w:t>
      </w:r>
      <w:r>
        <w:rPr>
          <w:rFonts w:cs="Helvetica"/>
          <w:color w:val="333333"/>
          <w:sz w:val="24"/>
          <w:szCs w:val="24"/>
        </w:rPr>
        <w:t xml:space="preserve"> years of data, expanding the time period from 1948-201</w:t>
      </w:r>
      <w:r w:rsidR="004756BE">
        <w:rPr>
          <w:rFonts w:cs="Helvetica"/>
          <w:color w:val="333333"/>
          <w:sz w:val="24"/>
          <w:szCs w:val="24"/>
        </w:rPr>
        <w:t>3</w:t>
      </w:r>
      <w:r>
        <w:rPr>
          <w:rFonts w:cs="Helvetica"/>
          <w:color w:val="333333"/>
          <w:sz w:val="24"/>
          <w:szCs w:val="24"/>
        </w:rPr>
        <w:t xml:space="preserve"> to bring it up to 2017.</w:t>
      </w:r>
      <w:r w:rsidR="0067430D">
        <w:rPr>
          <w:rStyle w:val="FootnoteReference"/>
          <w:rFonts w:cs="Helvetica"/>
          <w:color w:val="333333"/>
          <w:sz w:val="24"/>
          <w:szCs w:val="24"/>
        </w:rPr>
        <w:footnoteReference w:id="19"/>
      </w:r>
      <w:r w:rsidRPr="00975388">
        <w:rPr>
          <w:sz w:val="24"/>
          <w:szCs w:val="24"/>
        </w:rPr>
        <w:t xml:space="preserve"> </w:t>
      </w:r>
      <w:r>
        <w:rPr>
          <w:sz w:val="24"/>
          <w:szCs w:val="24"/>
        </w:rPr>
        <w:t xml:space="preserve">    The dependent variable is the log of bilateral exports, and so the coefficients can be read as percentage effects on trade.  The data set contains over 9</w:t>
      </w:r>
      <w:r w:rsidR="00A53F75">
        <w:rPr>
          <w:sz w:val="24"/>
          <w:szCs w:val="24"/>
        </w:rPr>
        <w:t>6</w:t>
      </w:r>
      <w:r>
        <w:rPr>
          <w:sz w:val="24"/>
          <w:szCs w:val="24"/>
        </w:rPr>
        <w:t>0,000 observations on bilateral trade, allowing us plenty of room to control for effects of geographic determinants</w:t>
      </w:r>
      <w:r w:rsidR="00267EC2">
        <w:rPr>
          <w:sz w:val="24"/>
          <w:szCs w:val="24"/>
        </w:rPr>
        <w:t xml:space="preserve">.  It has become routine to allow generously for </w:t>
      </w:r>
      <w:r>
        <w:rPr>
          <w:sz w:val="24"/>
          <w:szCs w:val="24"/>
        </w:rPr>
        <w:t xml:space="preserve">fixed effects </w:t>
      </w:r>
      <w:r w:rsidR="00267EC2">
        <w:rPr>
          <w:sz w:val="24"/>
          <w:szCs w:val="24"/>
        </w:rPr>
        <w:t xml:space="preserve">in order to assure </w:t>
      </w:r>
      <w:r>
        <w:rPr>
          <w:sz w:val="24"/>
          <w:szCs w:val="24"/>
        </w:rPr>
        <w:t xml:space="preserve">robust results.  All </w:t>
      </w:r>
      <w:r w:rsidR="00267EC2">
        <w:rPr>
          <w:sz w:val="24"/>
          <w:szCs w:val="24"/>
        </w:rPr>
        <w:t xml:space="preserve">results </w:t>
      </w:r>
      <w:r>
        <w:rPr>
          <w:sz w:val="24"/>
          <w:szCs w:val="24"/>
        </w:rPr>
        <w:t xml:space="preserve">reported </w:t>
      </w:r>
      <w:r w:rsidR="00267EC2">
        <w:rPr>
          <w:sz w:val="24"/>
          <w:szCs w:val="24"/>
        </w:rPr>
        <w:t xml:space="preserve">in Table 5 </w:t>
      </w:r>
      <w:r>
        <w:rPr>
          <w:sz w:val="24"/>
          <w:szCs w:val="24"/>
        </w:rPr>
        <w:t>allow fixed effects for the country and year</w:t>
      </w:r>
      <w:r w:rsidR="00267EC2">
        <w:rPr>
          <w:sz w:val="24"/>
          <w:szCs w:val="24"/>
        </w:rPr>
        <w:t xml:space="preserve">.  Allowing fixed effects for the country implies that unilateral variables such as country size, income per capita, </w:t>
      </w:r>
      <w:proofErr w:type="spellStart"/>
      <w:r w:rsidR="00267EC2">
        <w:rPr>
          <w:sz w:val="24"/>
          <w:szCs w:val="24"/>
        </w:rPr>
        <w:t>landlockedness</w:t>
      </w:r>
      <w:proofErr w:type="spellEnd"/>
      <w:r w:rsidR="00267EC2">
        <w:rPr>
          <w:sz w:val="24"/>
          <w:szCs w:val="24"/>
        </w:rPr>
        <w:t xml:space="preserve"> and remoteness drop out of the equation, along with the so-called “multilateral trade resistance term” or other variables that might otherwise be missing.  </w:t>
      </w:r>
      <w:r w:rsidR="008C0AA8">
        <w:rPr>
          <w:sz w:val="24"/>
          <w:szCs w:val="24"/>
        </w:rPr>
        <w:t>The three columns at the right of the table also allow for dyadic fixed effects, that is, pairwise.</w:t>
      </w:r>
    </w:p>
    <w:p w:rsidR="00376650" w:rsidRDefault="001A6FE3" w:rsidP="00663023">
      <w:pPr>
        <w:ind w:firstLine="720"/>
        <w:rPr>
          <w:sz w:val="24"/>
          <w:szCs w:val="24"/>
        </w:rPr>
      </w:pPr>
      <w:r>
        <w:rPr>
          <w:sz w:val="24"/>
          <w:szCs w:val="24"/>
        </w:rPr>
        <w:t>T</w:t>
      </w:r>
      <w:r w:rsidR="0067430D">
        <w:rPr>
          <w:sz w:val="24"/>
          <w:szCs w:val="24"/>
        </w:rPr>
        <w:t>he conventional gravity variables are highly significant statistically.</w:t>
      </w:r>
      <w:r w:rsidR="00267EC2">
        <w:rPr>
          <w:sz w:val="24"/>
          <w:szCs w:val="24"/>
        </w:rPr>
        <w:t xml:space="preserve">  A one percent increase in the distance between two countries reduces their bilateral trade by </w:t>
      </w:r>
      <w:r w:rsidR="00376650">
        <w:rPr>
          <w:sz w:val="24"/>
          <w:szCs w:val="24"/>
        </w:rPr>
        <w:t xml:space="preserve">an estimated </w:t>
      </w:r>
      <w:r w:rsidR="00695E90">
        <w:rPr>
          <w:sz w:val="24"/>
          <w:szCs w:val="24"/>
        </w:rPr>
        <w:t>1.4 per</w:t>
      </w:r>
      <w:r w:rsidR="00267EC2">
        <w:rPr>
          <w:sz w:val="24"/>
          <w:szCs w:val="24"/>
        </w:rPr>
        <w:t>cent.</w:t>
      </w:r>
      <w:r w:rsidR="00376650">
        <w:rPr>
          <w:sz w:val="24"/>
          <w:szCs w:val="24"/>
        </w:rPr>
        <w:t xml:space="preserve">  Contiguity, that is, sharing a common land border, increases the trade between them by 39 % [=</w:t>
      </w:r>
      <w:proofErr w:type="spellStart"/>
      <w:proofErr w:type="gramStart"/>
      <w:r w:rsidR="00376650">
        <w:rPr>
          <w:sz w:val="24"/>
          <w:szCs w:val="24"/>
        </w:rPr>
        <w:t>exp</w:t>
      </w:r>
      <w:proofErr w:type="spellEnd"/>
      <w:r w:rsidR="00376650">
        <w:rPr>
          <w:sz w:val="24"/>
          <w:szCs w:val="24"/>
        </w:rPr>
        <w:t>(</w:t>
      </w:r>
      <w:proofErr w:type="gramEnd"/>
      <w:r w:rsidR="00376650">
        <w:rPr>
          <w:sz w:val="24"/>
          <w:szCs w:val="24"/>
        </w:rPr>
        <w:t xml:space="preserve">.33)-1].  Sharing a common language increases the pair’s trade by 47%.  And so forth.  </w:t>
      </w:r>
    </w:p>
    <w:p w:rsidR="00F655BC" w:rsidRDefault="001A6FE3" w:rsidP="00663023">
      <w:pPr>
        <w:ind w:firstLine="720"/>
        <w:rPr>
          <w:sz w:val="24"/>
          <w:szCs w:val="24"/>
        </w:rPr>
      </w:pPr>
      <w:r>
        <w:rPr>
          <w:sz w:val="24"/>
          <w:szCs w:val="24"/>
        </w:rPr>
        <w:t xml:space="preserve">As in earlier gravity studies, we have enough explanatory power left over even after allowing for all these fixed effects and geographical variables that the effect of membership in a currency union shows up clearly.  </w:t>
      </w:r>
      <w:r w:rsidR="00376650">
        <w:rPr>
          <w:sz w:val="24"/>
          <w:szCs w:val="24"/>
        </w:rPr>
        <w:t>Before Rose (2000) it was assumed that the trade effects of a common currency would be much smaller than the effects of a customs union or other Regional Trading Arrangement</w:t>
      </w:r>
      <w:r w:rsidR="00C27AA4">
        <w:rPr>
          <w:sz w:val="24"/>
          <w:szCs w:val="24"/>
        </w:rPr>
        <w:t xml:space="preserve"> (RTA)</w:t>
      </w:r>
      <w:r w:rsidR="00376650">
        <w:rPr>
          <w:sz w:val="24"/>
          <w:szCs w:val="24"/>
        </w:rPr>
        <w:t>.  But he found that the effect</w:t>
      </w:r>
      <w:r w:rsidR="00F655BC">
        <w:rPr>
          <w:sz w:val="24"/>
          <w:szCs w:val="24"/>
        </w:rPr>
        <w:t>s were approximately as large, and the finding has been replicated many times.  It holds in Table 5 as well:  in the first column, currency unions in general boost trade among their members by 60 % [=</w:t>
      </w:r>
      <w:proofErr w:type="spellStart"/>
      <w:proofErr w:type="gramStart"/>
      <w:r w:rsidR="00F655BC">
        <w:rPr>
          <w:sz w:val="24"/>
          <w:szCs w:val="24"/>
        </w:rPr>
        <w:t>exp</w:t>
      </w:r>
      <w:proofErr w:type="spellEnd"/>
      <w:r w:rsidR="00F655BC">
        <w:rPr>
          <w:sz w:val="24"/>
          <w:szCs w:val="24"/>
        </w:rPr>
        <w:t>(</w:t>
      </w:r>
      <w:proofErr w:type="gramEnd"/>
      <w:r w:rsidR="00F655BC">
        <w:rPr>
          <w:sz w:val="24"/>
          <w:szCs w:val="24"/>
        </w:rPr>
        <w:t>.47)-1], which is almost as large as the 82 % effect of RTAs [=</w:t>
      </w:r>
      <w:proofErr w:type="spellStart"/>
      <w:r w:rsidR="00F655BC">
        <w:rPr>
          <w:sz w:val="24"/>
          <w:szCs w:val="24"/>
        </w:rPr>
        <w:t>exp</w:t>
      </w:r>
      <w:proofErr w:type="spellEnd"/>
      <w:r w:rsidR="00F655BC">
        <w:rPr>
          <w:sz w:val="24"/>
          <w:szCs w:val="24"/>
        </w:rPr>
        <w:t>(.60)-1]</w:t>
      </w:r>
      <w:r>
        <w:rPr>
          <w:sz w:val="24"/>
          <w:szCs w:val="24"/>
        </w:rPr>
        <w:t>.</w:t>
      </w:r>
      <w:r>
        <w:rPr>
          <w:rStyle w:val="FootnoteReference"/>
          <w:sz w:val="24"/>
          <w:szCs w:val="24"/>
        </w:rPr>
        <w:footnoteReference w:id="20"/>
      </w:r>
    </w:p>
    <w:p w:rsidR="00376650" w:rsidRDefault="00F655BC" w:rsidP="00663023">
      <w:pPr>
        <w:ind w:firstLine="720"/>
        <w:rPr>
          <w:sz w:val="24"/>
          <w:szCs w:val="24"/>
        </w:rPr>
      </w:pPr>
      <w:r>
        <w:rPr>
          <w:sz w:val="24"/>
          <w:szCs w:val="24"/>
        </w:rPr>
        <w:t xml:space="preserve">     </w:t>
      </w:r>
      <w:r w:rsidR="008C0AA8">
        <w:rPr>
          <w:sz w:val="24"/>
          <w:szCs w:val="24"/>
        </w:rPr>
        <w:t>M</w:t>
      </w:r>
      <w:r w:rsidR="00376650">
        <w:rPr>
          <w:sz w:val="24"/>
          <w:szCs w:val="24"/>
        </w:rPr>
        <w:t xml:space="preserve">any subsequent critiques </w:t>
      </w:r>
      <w:r w:rsidR="001A6FE3">
        <w:rPr>
          <w:sz w:val="24"/>
          <w:szCs w:val="24"/>
        </w:rPr>
        <w:t xml:space="preserve">of Rose (2000) </w:t>
      </w:r>
      <w:r w:rsidR="00376650">
        <w:rPr>
          <w:sz w:val="24"/>
          <w:szCs w:val="24"/>
        </w:rPr>
        <w:t xml:space="preserve">regarding </w:t>
      </w:r>
      <w:r w:rsidR="008C0AA8">
        <w:rPr>
          <w:sz w:val="24"/>
          <w:szCs w:val="24"/>
        </w:rPr>
        <w:t xml:space="preserve">problems of </w:t>
      </w:r>
      <w:r w:rsidR="00376650">
        <w:rPr>
          <w:sz w:val="24"/>
          <w:szCs w:val="24"/>
        </w:rPr>
        <w:t>endogeneity or missing variables</w:t>
      </w:r>
      <w:r w:rsidR="00C27AA4">
        <w:rPr>
          <w:sz w:val="24"/>
          <w:szCs w:val="24"/>
        </w:rPr>
        <w:t xml:space="preserve"> and </w:t>
      </w:r>
      <w:r w:rsidR="008C0AA8">
        <w:rPr>
          <w:sz w:val="24"/>
          <w:szCs w:val="24"/>
        </w:rPr>
        <w:t xml:space="preserve">corresponding </w:t>
      </w:r>
      <w:r w:rsidR="00C27AA4">
        <w:rPr>
          <w:sz w:val="24"/>
          <w:szCs w:val="24"/>
        </w:rPr>
        <w:t xml:space="preserve">attempts to address them </w:t>
      </w:r>
      <w:r w:rsidR="00376650">
        <w:rPr>
          <w:sz w:val="24"/>
          <w:szCs w:val="24"/>
        </w:rPr>
        <w:t xml:space="preserve">have resulted in a reduction of the estimated </w:t>
      </w:r>
      <w:r w:rsidR="008C0AA8">
        <w:rPr>
          <w:sz w:val="24"/>
          <w:szCs w:val="24"/>
        </w:rPr>
        <w:t>coefficients.  T</w:t>
      </w:r>
      <w:r w:rsidR="00376650">
        <w:rPr>
          <w:sz w:val="24"/>
          <w:szCs w:val="24"/>
        </w:rPr>
        <w:t xml:space="preserve">he </w:t>
      </w:r>
      <w:r w:rsidR="001A6FE3">
        <w:rPr>
          <w:sz w:val="24"/>
          <w:szCs w:val="24"/>
        </w:rPr>
        <w:t>correc</w:t>
      </w:r>
      <w:r w:rsidR="008C0AA8">
        <w:rPr>
          <w:sz w:val="24"/>
          <w:szCs w:val="24"/>
        </w:rPr>
        <w:t>t</w:t>
      </w:r>
      <w:r w:rsidR="001A6FE3">
        <w:rPr>
          <w:sz w:val="24"/>
          <w:szCs w:val="24"/>
        </w:rPr>
        <w:t>ions</w:t>
      </w:r>
      <w:r w:rsidR="008C0AA8">
        <w:rPr>
          <w:sz w:val="24"/>
          <w:szCs w:val="24"/>
        </w:rPr>
        <w:t>, however,</w:t>
      </w:r>
      <w:r w:rsidR="001A6FE3">
        <w:rPr>
          <w:sz w:val="24"/>
          <w:szCs w:val="24"/>
        </w:rPr>
        <w:t xml:space="preserve"> </w:t>
      </w:r>
      <w:r w:rsidR="00376650">
        <w:rPr>
          <w:sz w:val="24"/>
          <w:szCs w:val="24"/>
        </w:rPr>
        <w:t xml:space="preserve">tend </w:t>
      </w:r>
      <w:r w:rsidR="00C27AA4">
        <w:rPr>
          <w:sz w:val="24"/>
          <w:szCs w:val="24"/>
        </w:rPr>
        <w:t xml:space="preserve">(i) </w:t>
      </w:r>
      <w:r w:rsidR="00376650">
        <w:rPr>
          <w:sz w:val="24"/>
          <w:szCs w:val="24"/>
        </w:rPr>
        <w:t>to reduce</w:t>
      </w:r>
      <w:r w:rsidR="00C27AA4">
        <w:rPr>
          <w:sz w:val="24"/>
          <w:szCs w:val="24"/>
        </w:rPr>
        <w:t xml:space="preserve"> the effects of RTAs commensurately with CUs and (ii) to leave both effects substantial.  That is true here as well.  W</w:t>
      </w:r>
      <w:r>
        <w:rPr>
          <w:sz w:val="24"/>
          <w:szCs w:val="24"/>
        </w:rPr>
        <w:t xml:space="preserve">hen </w:t>
      </w:r>
      <w:r w:rsidR="00C27AA4">
        <w:rPr>
          <w:sz w:val="24"/>
          <w:szCs w:val="24"/>
        </w:rPr>
        <w:t>dyadic fixed effects</w:t>
      </w:r>
      <w:r>
        <w:rPr>
          <w:sz w:val="24"/>
          <w:szCs w:val="24"/>
        </w:rPr>
        <w:t xml:space="preserve"> are applied</w:t>
      </w:r>
      <w:r w:rsidR="00D90490">
        <w:rPr>
          <w:sz w:val="24"/>
          <w:szCs w:val="24"/>
        </w:rPr>
        <w:t xml:space="preserve"> [in the 4</w:t>
      </w:r>
      <w:r w:rsidR="00D90490" w:rsidRPr="00D90490">
        <w:rPr>
          <w:sz w:val="24"/>
          <w:szCs w:val="24"/>
          <w:vertAlign w:val="superscript"/>
        </w:rPr>
        <w:t>th</w:t>
      </w:r>
      <w:r w:rsidR="00D90490">
        <w:rPr>
          <w:sz w:val="24"/>
          <w:szCs w:val="24"/>
        </w:rPr>
        <w:t xml:space="preserve"> column]</w:t>
      </w:r>
      <w:r w:rsidR="00C27AA4">
        <w:rPr>
          <w:sz w:val="24"/>
          <w:szCs w:val="24"/>
        </w:rPr>
        <w:t xml:space="preserve">, the estimated coefficient of </w:t>
      </w:r>
      <w:r>
        <w:rPr>
          <w:sz w:val="24"/>
          <w:szCs w:val="24"/>
        </w:rPr>
        <w:t>currency unions still implies an effect that is substantial at 40 % (=</w:t>
      </w:r>
      <w:proofErr w:type="spellStart"/>
      <w:proofErr w:type="gramStart"/>
      <w:r>
        <w:rPr>
          <w:sz w:val="24"/>
          <w:szCs w:val="24"/>
        </w:rPr>
        <w:t>exp</w:t>
      </w:r>
      <w:proofErr w:type="spellEnd"/>
      <w:r>
        <w:rPr>
          <w:sz w:val="24"/>
          <w:szCs w:val="24"/>
        </w:rPr>
        <w:t>(</w:t>
      </w:r>
      <w:proofErr w:type="gramEnd"/>
      <w:r>
        <w:rPr>
          <w:sz w:val="24"/>
          <w:szCs w:val="24"/>
        </w:rPr>
        <w:t>.34)-1] and almost as large as the effect of RTAs a</w:t>
      </w:r>
      <w:r w:rsidR="003B4CDB">
        <w:rPr>
          <w:sz w:val="24"/>
          <w:szCs w:val="24"/>
        </w:rPr>
        <w:t xml:space="preserve">t </w:t>
      </w:r>
      <w:r w:rsidR="00D90490">
        <w:rPr>
          <w:sz w:val="24"/>
          <w:szCs w:val="24"/>
        </w:rPr>
        <w:t xml:space="preserve">49 </w:t>
      </w:r>
      <w:r w:rsidR="003B4CDB">
        <w:rPr>
          <w:sz w:val="24"/>
          <w:szCs w:val="24"/>
        </w:rPr>
        <w:t>% [=</w:t>
      </w:r>
      <w:proofErr w:type="spellStart"/>
      <w:r w:rsidR="003B4CDB">
        <w:rPr>
          <w:sz w:val="24"/>
          <w:szCs w:val="24"/>
        </w:rPr>
        <w:t>exp</w:t>
      </w:r>
      <w:proofErr w:type="spellEnd"/>
      <w:r w:rsidR="003B4CDB">
        <w:rPr>
          <w:sz w:val="24"/>
          <w:szCs w:val="24"/>
        </w:rPr>
        <w:t>(.40)-1]</w:t>
      </w:r>
      <w:r w:rsidR="001A6FE3">
        <w:rPr>
          <w:sz w:val="24"/>
          <w:szCs w:val="24"/>
        </w:rPr>
        <w:t>.</w:t>
      </w:r>
    </w:p>
    <w:p w:rsidR="00E027E7" w:rsidRDefault="00D90490" w:rsidP="002D45E3">
      <w:pPr>
        <w:ind w:firstLine="720"/>
        <w:rPr>
          <w:sz w:val="24"/>
          <w:szCs w:val="24"/>
        </w:rPr>
      </w:pPr>
      <w:r>
        <w:rPr>
          <w:sz w:val="24"/>
          <w:szCs w:val="24"/>
        </w:rPr>
        <w:lastRenderedPageBreak/>
        <w:t xml:space="preserve">We are particularly interested in the effect of the CFA.   The other columns allow </w:t>
      </w:r>
      <w:r w:rsidR="002D45E3">
        <w:rPr>
          <w:sz w:val="24"/>
          <w:szCs w:val="24"/>
        </w:rPr>
        <w:t xml:space="preserve">the possibility that </w:t>
      </w:r>
      <w:r>
        <w:rPr>
          <w:sz w:val="24"/>
          <w:szCs w:val="24"/>
        </w:rPr>
        <w:t xml:space="preserve">CFA membership </w:t>
      </w:r>
      <w:r w:rsidR="002D45E3">
        <w:rPr>
          <w:sz w:val="24"/>
          <w:szCs w:val="24"/>
        </w:rPr>
        <w:t>could</w:t>
      </w:r>
      <w:r>
        <w:rPr>
          <w:sz w:val="24"/>
          <w:szCs w:val="24"/>
        </w:rPr>
        <w:t xml:space="preserve"> have different trade effects than membership in other currency unions.  It does. The CFA is estimated to have a modestly greater effect than other such arrangements:  </w:t>
      </w:r>
      <w:r w:rsidR="001B1330">
        <w:rPr>
          <w:sz w:val="24"/>
          <w:szCs w:val="24"/>
        </w:rPr>
        <w:t xml:space="preserve">52% </w:t>
      </w:r>
      <w:r>
        <w:rPr>
          <w:sz w:val="24"/>
          <w:szCs w:val="24"/>
        </w:rPr>
        <w:t>[=</w:t>
      </w:r>
      <w:proofErr w:type="spellStart"/>
      <w:proofErr w:type="gramStart"/>
      <w:r>
        <w:rPr>
          <w:sz w:val="24"/>
          <w:szCs w:val="24"/>
        </w:rPr>
        <w:t>exp</w:t>
      </w:r>
      <w:proofErr w:type="spellEnd"/>
      <w:r>
        <w:rPr>
          <w:sz w:val="24"/>
          <w:szCs w:val="24"/>
        </w:rPr>
        <w:t>(</w:t>
      </w:r>
      <w:proofErr w:type="gramEnd"/>
      <w:r>
        <w:rPr>
          <w:sz w:val="24"/>
          <w:szCs w:val="24"/>
        </w:rPr>
        <w:t>.42)-1] instead of the more standard 39% [=</w:t>
      </w:r>
      <w:proofErr w:type="spellStart"/>
      <w:r>
        <w:rPr>
          <w:sz w:val="24"/>
          <w:szCs w:val="24"/>
        </w:rPr>
        <w:t>exp</w:t>
      </w:r>
      <w:proofErr w:type="spellEnd"/>
      <w:r>
        <w:rPr>
          <w:sz w:val="24"/>
          <w:szCs w:val="24"/>
        </w:rPr>
        <w:t>(.33)-1]</w:t>
      </w:r>
      <w:r w:rsidR="002D45E3">
        <w:rPr>
          <w:sz w:val="24"/>
          <w:szCs w:val="24"/>
        </w:rPr>
        <w:t xml:space="preserve">. </w:t>
      </w:r>
      <w:r w:rsidR="00376650">
        <w:rPr>
          <w:sz w:val="24"/>
          <w:szCs w:val="24"/>
        </w:rPr>
        <w:t>Interestingly, it is possible to distinguish the effect of CFA membership from the variables that indicate when two countries share a common language and a common historical colonizer</w:t>
      </w:r>
      <w:r w:rsidR="001B1330">
        <w:rPr>
          <w:sz w:val="24"/>
          <w:szCs w:val="24"/>
        </w:rPr>
        <w:t>, even though there is heavy overlap of the categories in the case of Africa</w:t>
      </w:r>
      <w:r w:rsidR="00376650">
        <w:rPr>
          <w:sz w:val="24"/>
          <w:szCs w:val="24"/>
        </w:rPr>
        <w:t>.</w:t>
      </w:r>
      <w:r w:rsidR="001B1330">
        <w:rPr>
          <w:sz w:val="24"/>
          <w:szCs w:val="24"/>
        </w:rPr>
        <w:t xml:space="preserve">  The gravity model</w:t>
      </w:r>
      <w:r w:rsidR="002D45E3">
        <w:rPr>
          <w:sz w:val="24"/>
          <w:szCs w:val="24"/>
        </w:rPr>
        <w:t xml:space="preserve"> has been able to give a more powerful answer to the question that we attempted in Sect</w:t>
      </w:r>
      <w:r w:rsidR="00FE29CA">
        <w:rPr>
          <w:sz w:val="24"/>
          <w:szCs w:val="24"/>
        </w:rPr>
        <w:t>ion 4 by the simple before-and-</w:t>
      </w:r>
      <w:r w:rsidR="002D45E3">
        <w:rPr>
          <w:sz w:val="24"/>
          <w:szCs w:val="24"/>
        </w:rPr>
        <w:t>after tests of the CFA entries by Mali in 1984 and Guinea-Bissau in 1997 or the exits of Madagascar and Mauritania in 1973</w:t>
      </w:r>
      <w:r w:rsidR="001A6FE3">
        <w:rPr>
          <w:sz w:val="24"/>
          <w:szCs w:val="24"/>
        </w:rPr>
        <w:t xml:space="preserve"> [as in Figures 1a and 1b]</w:t>
      </w:r>
      <w:r w:rsidR="002D45E3">
        <w:rPr>
          <w:sz w:val="24"/>
          <w:szCs w:val="24"/>
        </w:rPr>
        <w:t>.</w:t>
      </w:r>
    </w:p>
    <w:p w:rsidR="00E027E7" w:rsidRDefault="002D45E3" w:rsidP="004C00A1">
      <w:pPr>
        <w:ind w:firstLine="720"/>
        <w:rPr>
          <w:sz w:val="24"/>
          <w:szCs w:val="24"/>
        </w:rPr>
      </w:pPr>
      <w:r>
        <w:rPr>
          <w:sz w:val="24"/>
          <w:szCs w:val="24"/>
        </w:rPr>
        <w:t>To summarize the conclusion of the gravity results</w:t>
      </w:r>
      <w:r w:rsidR="0022497F">
        <w:rPr>
          <w:sz w:val="24"/>
          <w:szCs w:val="24"/>
        </w:rPr>
        <w:t>,</w:t>
      </w:r>
      <w:r>
        <w:rPr>
          <w:sz w:val="24"/>
          <w:szCs w:val="24"/>
        </w:rPr>
        <w:t xml:space="preserve"> the CFA appears to have expanded intra-regional trade by an estimated 52%</w:t>
      </w:r>
      <w:r w:rsidR="001A6FE3">
        <w:rPr>
          <w:sz w:val="24"/>
          <w:szCs w:val="24"/>
        </w:rPr>
        <w:t>,</w:t>
      </w:r>
      <w:r>
        <w:rPr>
          <w:sz w:val="24"/>
          <w:szCs w:val="24"/>
        </w:rPr>
        <w:t xml:space="preserve"> more than the 39% boost from other curre</w:t>
      </w:r>
      <w:r w:rsidR="001A6FE3">
        <w:rPr>
          <w:sz w:val="24"/>
          <w:szCs w:val="24"/>
        </w:rPr>
        <w:t>ncy unions</w:t>
      </w:r>
      <w:r>
        <w:rPr>
          <w:sz w:val="24"/>
          <w:szCs w:val="24"/>
        </w:rPr>
        <w:t>.</w:t>
      </w:r>
    </w:p>
    <w:p w:rsidR="008440C2" w:rsidRPr="00A0508A" w:rsidRDefault="00A91C42" w:rsidP="00A91C42">
      <w:pPr>
        <w:ind w:left="720"/>
        <w:rPr>
          <w:b/>
          <w:sz w:val="24"/>
          <w:szCs w:val="24"/>
        </w:rPr>
      </w:pPr>
      <w:r w:rsidRPr="00A0508A">
        <w:rPr>
          <w:sz w:val="24"/>
          <w:szCs w:val="24"/>
        </w:rPr>
        <w:br/>
      </w:r>
      <w:r w:rsidRPr="00A0508A">
        <w:rPr>
          <w:b/>
          <w:sz w:val="24"/>
          <w:szCs w:val="24"/>
        </w:rPr>
        <w:t xml:space="preserve">6. </w:t>
      </w:r>
      <w:r w:rsidR="003B0704" w:rsidRPr="00A0508A">
        <w:rPr>
          <w:b/>
          <w:sz w:val="24"/>
          <w:szCs w:val="24"/>
        </w:rPr>
        <w:t>The OCA Criteri</w:t>
      </w:r>
      <w:r w:rsidR="00D964D2">
        <w:rPr>
          <w:b/>
          <w:sz w:val="24"/>
          <w:szCs w:val="24"/>
        </w:rPr>
        <w:t>on</w:t>
      </w:r>
      <w:r w:rsidR="007F5144">
        <w:rPr>
          <w:b/>
          <w:sz w:val="24"/>
          <w:szCs w:val="24"/>
        </w:rPr>
        <w:t xml:space="preserve"> of Labor Mobility</w:t>
      </w:r>
      <w:r w:rsidR="00D964D2">
        <w:rPr>
          <w:b/>
          <w:sz w:val="24"/>
          <w:szCs w:val="24"/>
        </w:rPr>
        <w:t xml:space="preserve"> in Africa</w:t>
      </w:r>
      <w:r w:rsidR="007F5144">
        <w:rPr>
          <w:b/>
          <w:sz w:val="24"/>
          <w:szCs w:val="24"/>
        </w:rPr>
        <w:t xml:space="preserve"> </w:t>
      </w:r>
    </w:p>
    <w:p w:rsidR="007F5144" w:rsidRDefault="00A0508A" w:rsidP="007F5144">
      <w:pPr>
        <w:pStyle w:val="volume-issue"/>
        <w:shd w:val="clear" w:color="auto" w:fill="FFFFFF"/>
        <w:spacing w:before="0" w:beforeAutospacing="0" w:after="0" w:afterAutospacing="0" w:line="276" w:lineRule="auto"/>
        <w:ind w:firstLine="720"/>
        <w:rPr>
          <w:rFonts w:asciiTheme="minorHAnsi" w:eastAsiaTheme="majorEastAsia" w:hAnsiTheme="minorHAnsi" w:cs="Arial"/>
        </w:rPr>
      </w:pPr>
      <w:r w:rsidRPr="00A0508A">
        <w:rPr>
          <w:rFonts w:asciiTheme="minorHAnsi" w:eastAsiaTheme="majorEastAsia" w:hAnsiTheme="minorHAnsi" w:cs="Arial"/>
        </w:rPr>
        <w:t>A key principle of OCA theory concerns the so-called problem of asymmetric shocks, explained in Memo 1, Section 6.6.  The point is that if a group of countries tends to experience low correlation of their business cycles with each other, stemming from idiosyncratic shocks, they are not good candidates to join in a common currency area</w:t>
      </w:r>
      <w:r w:rsidR="00F65E8F">
        <w:rPr>
          <w:rFonts w:asciiTheme="minorHAnsi" w:eastAsiaTheme="majorEastAsia" w:hAnsiTheme="minorHAnsi" w:cs="Arial"/>
        </w:rPr>
        <w:t xml:space="preserve">.  The reason is that </w:t>
      </w:r>
      <w:r w:rsidRPr="00A0508A">
        <w:rPr>
          <w:rFonts w:asciiTheme="minorHAnsi" w:eastAsiaTheme="majorEastAsia" w:hAnsiTheme="minorHAnsi" w:cs="Arial"/>
        </w:rPr>
        <w:t xml:space="preserve">it may be too difficult </w:t>
      </w:r>
      <w:r w:rsidR="00A307A7">
        <w:rPr>
          <w:rFonts w:asciiTheme="minorHAnsi" w:eastAsiaTheme="majorEastAsia" w:hAnsiTheme="minorHAnsi" w:cs="Arial"/>
        </w:rPr>
        <w:t xml:space="preserve">for such countries </w:t>
      </w:r>
      <w:r w:rsidRPr="00A0508A">
        <w:rPr>
          <w:rFonts w:asciiTheme="minorHAnsi" w:eastAsiaTheme="majorEastAsia" w:hAnsiTheme="minorHAnsi" w:cs="Arial"/>
        </w:rPr>
        <w:t>to give up the ability to follow different monetary and exchange rate settings attuned to their individual needs.  The eurozone has suffered from this problem (as many predicted</w:t>
      </w:r>
      <w:r w:rsidR="0007327F">
        <w:rPr>
          <w:rFonts w:asciiTheme="minorHAnsi" w:eastAsiaTheme="majorEastAsia" w:hAnsiTheme="minorHAnsi" w:cs="Arial"/>
        </w:rPr>
        <w:t xml:space="preserve"> it would</w:t>
      </w:r>
      <w:r w:rsidRPr="00A0508A">
        <w:rPr>
          <w:rFonts w:asciiTheme="minorHAnsi" w:eastAsiaTheme="majorEastAsia" w:hAnsiTheme="minorHAnsi" w:cs="Arial"/>
        </w:rPr>
        <w:t>)</w:t>
      </w:r>
      <w:r w:rsidR="0007327F">
        <w:rPr>
          <w:rFonts w:asciiTheme="minorHAnsi" w:eastAsiaTheme="majorEastAsia" w:hAnsiTheme="minorHAnsi" w:cs="Arial"/>
        </w:rPr>
        <w:t>.  T</w:t>
      </w:r>
      <w:r w:rsidRPr="00A0508A">
        <w:rPr>
          <w:rFonts w:asciiTheme="minorHAnsi" w:eastAsiaTheme="majorEastAsia" w:hAnsiTheme="minorHAnsi" w:cs="Arial"/>
        </w:rPr>
        <w:t>he point has not been lost on those contemplating currency unions in Africa.</w:t>
      </w:r>
      <w:r w:rsidRPr="00A0508A">
        <w:rPr>
          <w:rStyle w:val="FootnoteReference"/>
          <w:rFonts w:asciiTheme="minorHAnsi" w:eastAsiaTheme="majorEastAsia" w:hAnsiTheme="minorHAnsi" w:cs="Arial"/>
        </w:rPr>
        <w:footnoteReference w:id="21"/>
      </w:r>
      <w:r w:rsidR="007F5144">
        <w:rPr>
          <w:rFonts w:asciiTheme="minorHAnsi" w:eastAsiaTheme="majorEastAsia" w:hAnsiTheme="minorHAnsi" w:cs="Arial"/>
        </w:rPr>
        <w:br/>
      </w:r>
    </w:p>
    <w:p w:rsidR="007F5144" w:rsidRDefault="005E3E6D" w:rsidP="007F5144">
      <w:pPr>
        <w:pStyle w:val="volume-issue"/>
        <w:shd w:val="clear" w:color="auto" w:fill="FFFFFF"/>
        <w:spacing w:before="0" w:beforeAutospacing="0" w:after="0" w:afterAutospacing="0" w:line="276" w:lineRule="auto"/>
        <w:ind w:firstLine="720"/>
        <w:rPr>
          <w:rFonts w:asciiTheme="minorHAnsi" w:hAnsiTheme="minorHAnsi"/>
          <w:color w:val="333333"/>
          <w:shd w:val="clear" w:color="auto" w:fill="FFFFFF"/>
        </w:rPr>
      </w:pPr>
      <w:r>
        <w:rPr>
          <w:rFonts w:asciiTheme="minorHAnsi" w:hAnsiTheme="minorHAnsi" w:cs="Arial"/>
        </w:rPr>
        <w:t>Countries may be able to adjust to idiosyncratic shocks in spite of the loss of their own currency if labor mobility is high across national borders, as explained in Memo 1</w:t>
      </w:r>
      <w:r w:rsidR="00150B01">
        <w:rPr>
          <w:rFonts w:asciiTheme="minorHAnsi" w:hAnsiTheme="minorHAnsi" w:cs="Arial"/>
        </w:rPr>
        <w:t>, Section 6.8</w:t>
      </w:r>
      <w:r>
        <w:rPr>
          <w:rFonts w:asciiTheme="minorHAnsi" w:hAnsiTheme="minorHAnsi" w:cs="Arial"/>
        </w:rPr>
        <w:t xml:space="preserve">.  </w:t>
      </w:r>
      <w:r w:rsidR="006C4CB1">
        <w:rPr>
          <w:rFonts w:asciiTheme="minorHAnsi" w:hAnsiTheme="minorHAnsi" w:cs="Arial"/>
        </w:rPr>
        <w:t>D</w:t>
      </w:r>
      <w:r>
        <w:rPr>
          <w:rFonts w:asciiTheme="minorHAnsi" w:hAnsiTheme="minorHAnsi" w:cs="Arial"/>
        </w:rPr>
        <w:t xml:space="preserve">ata on the </w:t>
      </w:r>
      <w:r w:rsidR="006C4CB1">
        <w:rPr>
          <w:rFonts w:asciiTheme="minorHAnsi" w:hAnsiTheme="minorHAnsi" w:cs="Arial"/>
        </w:rPr>
        <w:t xml:space="preserve">bilateral </w:t>
      </w:r>
      <w:r>
        <w:rPr>
          <w:rFonts w:asciiTheme="minorHAnsi" w:hAnsiTheme="minorHAnsi" w:cs="Arial"/>
        </w:rPr>
        <w:t>movement of workers</w:t>
      </w:r>
      <w:r w:rsidR="006C4CB1">
        <w:rPr>
          <w:rFonts w:asciiTheme="minorHAnsi" w:hAnsiTheme="minorHAnsi" w:cs="Arial"/>
        </w:rPr>
        <w:t xml:space="preserve"> have recently become more extensively available, from the United</w:t>
      </w:r>
      <w:r w:rsidR="00871376">
        <w:rPr>
          <w:rFonts w:asciiTheme="minorHAnsi" w:hAnsiTheme="minorHAnsi" w:cs="Arial"/>
        </w:rPr>
        <w:t xml:space="preserve"> Nations Population </w:t>
      </w:r>
      <w:r w:rsidR="006C4CB1">
        <w:rPr>
          <w:rFonts w:asciiTheme="minorHAnsi" w:hAnsiTheme="minorHAnsi" w:cs="Arial"/>
        </w:rPr>
        <w:t>Division</w:t>
      </w:r>
      <w:r w:rsidR="00871376">
        <w:rPr>
          <w:rFonts w:asciiTheme="minorHAnsi" w:hAnsiTheme="minorHAnsi" w:cs="Arial"/>
        </w:rPr>
        <w:t>.</w:t>
      </w:r>
      <w:r w:rsidR="003B1398">
        <w:rPr>
          <w:rFonts w:asciiTheme="minorHAnsi" w:hAnsiTheme="minorHAnsi" w:cs="Arial"/>
        </w:rPr>
        <w:t xml:space="preserve"> </w:t>
      </w:r>
      <w:r w:rsidR="00144F55">
        <w:rPr>
          <w:rFonts w:asciiTheme="minorHAnsi" w:hAnsiTheme="minorHAnsi" w:cs="Arial"/>
        </w:rPr>
        <w:t xml:space="preserve">  The migration that has received the most attention is </w:t>
      </w:r>
      <w:r w:rsidR="007F5144">
        <w:rPr>
          <w:rFonts w:cs="Arial"/>
        </w:rPr>
        <w:t xml:space="preserve">from South to North.   </w:t>
      </w:r>
      <w:r w:rsidR="007F5144" w:rsidRPr="007F5144">
        <w:rPr>
          <w:rFonts w:asciiTheme="minorHAnsi" w:hAnsiTheme="minorHAnsi" w:cs="Arial"/>
        </w:rPr>
        <w:t>T</w:t>
      </w:r>
      <w:r w:rsidR="003B1398" w:rsidRPr="007F5144">
        <w:rPr>
          <w:rFonts w:asciiTheme="minorHAnsi" w:hAnsiTheme="minorHAnsi"/>
          <w:color w:val="333333"/>
          <w:shd w:val="clear" w:color="auto" w:fill="FFFFFF"/>
        </w:rPr>
        <w:t>he number of </w:t>
      </w:r>
      <w:r w:rsidR="003B1398" w:rsidRPr="007F5144">
        <w:rPr>
          <w:rFonts w:asciiTheme="minorHAnsi" w:eastAsiaTheme="majorEastAsia" w:hAnsiTheme="minorHAnsi"/>
          <w:shd w:val="clear" w:color="auto" w:fill="FFFFFF"/>
        </w:rPr>
        <w:t>migra</w:t>
      </w:r>
      <w:r w:rsidR="003B1398" w:rsidRPr="007F5144">
        <w:rPr>
          <w:rFonts w:asciiTheme="minorHAnsi" w:eastAsiaTheme="majorEastAsia" w:hAnsiTheme="minorHAnsi"/>
          <w:shd w:val="clear" w:color="auto" w:fill="FFFFFF"/>
        </w:rPr>
        <w:t>n</w:t>
      </w:r>
      <w:r w:rsidR="003B1398" w:rsidRPr="007F5144">
        <w:rPr>
          <w:rFonts w:asciiTheme="minorHAnsi" w:eastAsiaTheme="majorEastAsia" w:hAnsiTheme="minorHAnsi"/>
          <w:shd w:val="clear" w:color="auto" w:fill="FFFFFF"/>
        </w:rPr>
        <w:t>ts fro</w:t>
      </w:r>
      <w:r w:rsidR="003B1398" w:rsidRPr="007F5144">
        <w:rPr>
          <w:rFonts w:asciiTheme="minorHAnsi" w:eastAsiaTheme="majorEastAsia" w:hAnsiTheme="minorHAnsi"/>
          <w:shd w:val="clear" w:color="auto" w:fill="FFFFFF"/>
        </w:rPr>
        <w:t>m</w:t>
      </w:r>
      <w:r w:rsidR="003B1398" w:rsidRPr="007F5144">
        <w:rPr>
          <w:rFonts w:asciiTheme="minorHAnsi" w:eastAsiaTheme="majorEastAsia" w:hAnsiTheme="minorHAnsi"/>
          <w:shd w:val="clear" w:color="auto" w:fill="FFFFFF"/>
        </w:rPr>
        <w:t xml:space="preserve"> su</w:t>
      </w:r>
      <w:r w:rsidR="003B1398" w:rsidRPr="007F5144">
        <w:rPr>
          <w:rFonts w:asciiTheme="minorHAnsi" w:eastAsiaTheme="majorEastAsia" w:hAnsiTheme="minorHAnsi"/>
          <w:shd w:val="clear" w:color="auto" w:fill="FFFFFF"/>
        </w:rPr>
        <w:t>b</w:t>
      </w:r>
      <w:r w:rsidR="003B1398" w:rsidRPr="007F5144">
        <w:rPr>
          <w:rFonts w:asciiTheme="minorHAnsi" w:eastAsiaTheme="majorEastAsia" w:hAnsiTheme="minorHAnsi"/>
          <w:shd w:val="clear" w:color="auto" w:fill="FFFFFF"/>
        </w:rPr>
        <w:t>-Saharan Africa</w:t>
      </w:r>
      <w:r w:rsidR="003B1398" w:rsidRPr="007F5144">
        <w:rPr>
          <w:rFonts w:asciiTheme="minorHAnsi" w:hAnsiTheme="minorHAnsi"/>
          <w:color w:val="333333"/>
          <w:shd w:val="clear" w:color="auto" w:fill="FFFFFF"/>
        </w:rPr>
        <w:t xml:space="preserve"> rose 25 percent over the first decade of the 21st century and then accelerated to 31 percent from 2010 to 2017, </w:t>
      </w:r>
      <w:r w:rsidR="007F5144" w:rsidRPr="007F5144">
        <w:rPr>
          <w:rFonts w:asciiTheme="minorHAnsi" w:hAnsiTheme="minorHAnsi"/>
          <w:color w:val="333333"/>
          <w:shd w:val="clear" w:color="auto" w:fill="FFFFFF"/>
        </w:rPr>
        <w:t>according to the Pew Research Center.</w:t>
      </w:r>
      <w:r w:rsidR="007F5144" w:rsidRPr="007F5144">
        <w:rPr>
          <w:rStyle w:val="FootnoteReference"/>
          <w:rFonts w:asciiTheme="minorHAnsi" w:hAnsiTheme="minorHAnsi"/>
          <w:color w:val="333333"/>
          <w:shd w:val="clear" w:color="auto" w:fill="FFFFFF"/>
        </w:rPr>
        <w:footnoteReference w:id="22"/>
      </w:r>
      <w:r w:rsidR="007F5144" w:rsidRPr="007F5144">
        <w:rPr>
          <w:rFonts w:asciiTheme="minorHAnsi" w:hAnsiTheme="minorHAnsi"/>
          <w:color w:val="333333"/>
          <w:shd w:val="clear" w:color="auto" w:fill="FFFFFF"/>
        </w:rPr>
        <w:t xml:space="preserve">   The leading ten sources of emigrants worldwide in 2010-2017, judged by percentage rate of growth, following Syria in first place</w:t>
      </w:r>
      <w:r w:rsidR="007F5144">
        <w:rPr>
          <w:rFonts w:asciiTheme="minorHAnsi" w:hAnsiTheme="minorHAnsi"/>
          <w:color w:val="333333"/>
          <w:shd w:val="clear" w:color="auto" w:fill="FFFFFF"/>
        </w:rPr>
        <w:t>, were African</w:t>
      </w:r>
      <w:r w:rsidR="007F5144" w:rsidRPr="007F5144">
        <w:rPr>
          <w:rFonts w:asciiTheme="minorHAnsi" w:hAnsiTheme="minorHAnsi"/>
          <w:color w:val="333333"/>
          <w:shd w:val="clear" w:color="auto" w:fill="FFFFFF"/>
        </w:rPr>
        <w:t xml:space="preserve"> countries: South Sudan, Central African Republic, Sao Thome and Principe, Eritrea, </w:t>
      </w:r>
      <w:r w:rsidR="007F5144" w:rsidRPr="007F5144">
        <w:rPr>
          <w:rFonts w:asciiTheme="minorHAnsi" w:hAnsiTheme="minorHAnsi"/>
          <w:color w:val="333333"/>
          <w:shd w:val="clear" w:color="auto" w:fill="FFFFFF"/>
        </w:rPr>
        <w:lastRenderedPageBreak/>
        <w:t>Namibia, Rwanda, Botswana, Sudan and Burundi.</w:t>
      </w:r>
      <w:r w:rsidR="007F5144" w:rsidRPr="007F5144">
        <w:rPr>
          <w:rStyle w:val="FootnoteReference"/>
          <w:rFonts w:asciiTheme="minorHAnsi" w:hAnsiTheme="minorHAnsi"/>
          <w:color w:val="333333"/>
          <w:shd w:val="clear" w:color="auto" w:fill="FFFFFF"/>
        </w:rPr>
        <w:footnoteReference w:id="23"/>
      </w:r>
      <w:r w:rsidR="007F5144" w:rsidRPr="007F5144">
        <w:rPr>
          <w:rFonts w:asciiTheme="minorHAnsi" w:hAnsiTheme="minorHAnsi"/>
          <w:color w:val="333333"/>
          <w:shd w:val="clear" w:color="auto" w:fill="FFFFFF"/>
        </w:rPr>
        <w:t xml:space="preserve">   Clearly much of this out-migration is motivated more by politics and security concerns than by pure economics only.</w:t>
      </w:r>
    </w:p>
    <w:p w:rsidR="003B0FB9" w:rsidRDefault="003B7BF6" w:rsidP="00A31780">
      <w:pPr>
        <w:pStyle w:val="volume-issue"/>
        <w:shd w:val="clear" w:color="auto" w:fill="FFFFFF"/>
        <w:spacing w:before="0" w:beforeAutospacing="0" w:after="0" w:afterAutospacing="0" w:line="276" w:lineRule="auto"/>
        <w:ind w:firstLine="720"/>
        <w:rPr>
          <w:rFonts w:asciiTheme="minorHAnsi" w:hAnsiTheme="minorHAnsi" w:cs="Arial"/>
        </w:rPr>
      </w:pPr>
      <w:r>
        <w:rPr>
          <w:rFonts w:asciiTheme="minorHAnsi" w:hAnsiTheme="minorHAnsi"/>
          <w:color w:val="333333"/>
          <w:shd w:val="clear" w:color="auto" w:fill="FFFFFF"/>
        </w:rPr>
        <w:t>The concept of labor mobility that Mundell (1961), introduced in his original conception of the Optimum Currency Area, mainly concerned the freedom of people within countries or provinces that are candidates to adopt a common currency.   The idea is that a country is more able to give up the ability to respond monetarily to shocks that differ from those of its neighbors, if workers can move</w:t>
      </w:r>
      <w:r w:rsidRPr="003B7BF6">
        <w:rPr>
          <w:rFonts w:asciiTheme="minorHAnsi" w:hAnsiTheme="minorHAnsi" w:cs="Arial"/>
        </w:rPr>
        <w:t xml:space="preserve"> </w:t>
      </w:r>
      <w:r>
        <w:rPr>
          <w:rFonts w:asciiTheme="minorHAnsi" w:hAnsiTheme="minorHAnsi" w:cs="Arial"/>
        </w:rPr>
        <w:t>from low-employment countries to high-employment countries</w:t>
      </w:r>
      <w:r>
        <w:rPr>
          <w:rFonts w:asciiTheme="minorHAnsi" w:hAnsiTheme="minorHAnsi" w:cs="Arial"/>
        </w:rPr>
        <w:t xml:space="preserve">.  Among most of the nine countries mentioned above, many of the migrants seek to leave Africa altogether. (An important exception is the case of </w:t>
      </w:r>
      <w:r w:rsidR="00A66C14">
        <w:rPr>
          <w:rFonts w:asciiTheme="minorHAnsi" w:hAnsiTheme="minorHAnsi" w:cs="Arial"/>
        </w:rPr>
        <w:t xml:space="preserve">Namibia and </w:t>
      </w:r>
      <w:r>
        <w:rPr>
          <w:rFonts w:asciiTheme="minorHAnsi" w:hAnsiTheme="minorHAnsi" w:cs="Arial"/>
        </w:rPr>
        <w:t xml:space="preserve">Botswana and </w:t>
      </w:r>
      <w:r w:rsidR="004E3A22">
        <w:rPr>
          <w:rFonts w:asciiTheme="minorHAnsi" w:hAnsiTheme="minorHAnsi" w:cs="Arial"/>
        </w:rPr>
        <w:t xml:space="preserve">the </w:t>
      </w:r>
      <w:r>
        <w:rPr>
          <w:rFonts w:asciiTheme="minorHAnsi" w:hAnsiTheme="minorHAnsi" w:cs="Arial"/>
        </w:rPr>
        <w:t>other</w:t>
      </w:r>
      <w:r w:rsidR="00A66C14">
        <w:rPr>
          <w:rFonts w:asciiTheme="minorHAnsi" w:hAnsiTheme="minorHAnsi" w:cs="Arial"/>
        </w:rPr>
        <w:t xml:space="preserve"> countrie</w:t>
      </w:r>
      <w:r>
        <w:rPr>
          <w:rFonts w:asciiTheme="minorHAnsi" w:hAnsiTheme="minorHAnsi" w:cs="Arial"/>
        </w:rPr>
        <w:t xml:space="preserve">s in Southern Africa, where South Africa is the dominant host country.  </w:t>
      </w:r>
      <w:r w:rsidR="00A66C14">
        <w:rPr>
          <w:rFonts w:asciiTheme="minorHAnsi" w:hAnsiTheme="minorHAnsi" w:cs="Arial"/>
        </w:rPr>
        <w:t>Such</w:t>
      </w:r>
      <w:r>
        <w:rPr>
          <w:rFonts w:asciiTheme="minorHAnsi" w:hAnsiTheme="minorHAnsi" w:cs="Arial"/>
        </w:rPr>
        <w:t xml:space="preserve"> labor mobility facilitates</w:t>
      </w:r>
      <w:r w:rsidR="004E3A22">
        <w:rPr>
          <w:rFonts w:asciiTheme="minorHAnsi" w:hAnsiTheme="minorHAnsi" w:cs="Arial"/>
        </w:rPr>
        <w:t xml:space="preserve"> </w:t>
      </w:r>
      <w:r>
        <w:rPr>
          <w:rFonts w:asciiTheme="minorHAnsi" w:hAnsiTheme="minorHAnsi" w:cs="Arial"/>
        </w:rPr>
        <w:t xml:space="preserve">currency </w:t>
      </w:r>
      <w:r w:rsidR="00A66C14">
        <w:rPr>
          <w:rFonts w:asciiTheme="minorHAnsi" w:hAnsiTheme="minorHAnsi" w:cs="Arial"/>
        </w:rPr>
        <w:t xml:space="preserve">links </w:t>
      </w:r>
      <w:r>
        <w:rPr>
          <w:rFonts w:asciiTheme="minorHAnsi" w:hAnsiTheme="minorHAnsi" w:cs="Arial"/>
        </w:rPr>
        <w:t>among some of those countries</w:t>
      </w:r>
      <w:r w:rsidR="004E3A22">
        <w:rPr>
          <w:rFonts w:asciiTheme="minorHAnsi" w:hAnsiTheme="minorHAnsi" w:cs="Arial"/>
        </w:rPr>
        <w:t>, particularly in the form of the Common Monetary Area</w:t>
      </w:r>
      <w:r>
        <w:rPr>
          <w:rFonts w:asciiTheme="minorHAnsi" w:hAnsiTheme="minorHAnsi" w:cs="Arial"/>
        </w:rPr>
        <w:t>.)</w:t>
      </w:r>
      <w:r w:rsidR="0069153C">
        <w:rPr>
          <w:rFonts w:asciiTheme="minorHAnsi" w:hAnsiTheme="minorHAnsi" w:cs="Arial"/>
        </w:rPr>
        <w:br/>
      </w:r>
      <w:r w:rsidR="0069153C">
        <w:rPr>
          <w:rFonts w:asciiTheme="minorHAnsi" w:hAnsiTheme="minorHAnsi" w:cs="Arial"/>
        </w:rPr>
        <w:tab/>
      </w:r>
      <w:r w:rsidR="003B0FB9">
        <w:rPr>
          <w:rFonts w:asciiTheme="minorHAnsi" w:hAnsiTheme="minorHAnsi" w:cs="Arial"/>
        </w:rPr>
        <w:t>Intra-continental migration in Africa in absolute terms is well above the levels of Latin America, North America, and Oceana, but well below the levels of Asia and Europe, as the table shows.  To draw meaningful conclusions, however, more detailed analysis is required.</w:t>
      </w:r>
      <w:r w:rsidR="003B0FB9">
        <w:rPr>
          <w:rStyle w:val="FootnoteReference"/>
          <w:rFonts w:asciiTheme="minorHAnsi" w:hAnsiTheme="minorHAnsi" w:cs="Arial"/>
        </w:rPr>
        <w:footnoteReference w:id="24"/>
      </w:r>
      <w:r w:rsidR="00A31780">
        <w:rPr>
          <w:rFonts w:asciiTheme="minorHAnsi" w:hAnsiTheme="minorHAnsi" w:cs="Arial"/>
        </w:rPr>
        <w:br/>
      </w:r>
    </w:p>
    <w:p w:rsidR="003B0FB9" w:rsidRPr="003B0FB9" w:rsidRDefault="00A31780" w:rsidP="00406E88">
      <w:pPr>
        <w:shd w:val="clear" w:color="auto" w:fill="F6F6F6"/>
        <w:spacing w:after="0" w:line="336" w:lineRule="atLeast"/>
        <w:ind w:left="720" w:right="192"/>
        <w:rPr>
          <w:rFonts w:eastAsia="Times New Roman" w:cs="Arial"/>
          <w:color w:val="000000"/>
          <w:sz w:val="24"/>
          <w:szCs w:val="24"/>
        </w:rPr>
      </w:pPr>
      <w:r>
        <w:rPr>
          <w:rFonts w:eastAsia="Times New Roman" w:cs="Arial"/>
          <w:b/>
          <w:color w:val="000000"/>
          <w:sz w:val="24"/>
          <w:szCs w:val="24"/>
        </w:rPr>
        <w:t xml:space="preserve">Table </w:t>
      </w:r>
      <w:r w:rsidR="007F3C43" w:rsidRPr="00A31780">
        <w:rPr>
          <w:rFonts w:eastAsia="Times New Roman" w:cs="Arial"/>
          <w:b/>
          <w:color w:val="000000"/>
          <w:sz w:val="24"/>
          <w:szCs w:val="24"/>
        </w:rPr>
        <w:t xml:space="preserve">A:  </w:t>
      </w:r>
      <w:r w:rsidR="003B0FB9" w:rsidRPr="00A31780">
        <w:rPr>
          <w:rFonts w:eastAsia="Times New Roman" w:cs="Arial"/>
          <w:b/>
          <w:color w:val="000000"/>
          <w:sz w:val="24"/>
          <w:szCs w:val="24"/>
        </w:rPr>
        <w:t>Within-contin</w:t>
      </w:r>
      <w:r w:rsidR="003B0FB9" w:rsidRPr="00A31780">
        <w:rPr>
          <w:rFonts w:eastAsia="Times New Roman" w:cs="Arial"/>
          <w:b/>
          <w:color w:val="000000"/>
          <w:sz w:val="24"/>
          <w:szCs w:val="24"/>
        </w:rPr>
        <w:t>ent</w:t>
      </w:r>
      <w:r w:rsidR="003B0FB9" w:rsidRPr="00A31780">
        <w:rPr>
          <w:rFonts w:eastAsia="Times New Roman" w:cs="Arial"/>
          <w:b/>
          <w:color w:val="000000"/>
          <w:sz w:val="24"/>
          <w:szCs w:val="24"/>
        </w:rPr>
        <w:t xml:space="preserve"> flow of migration in 2017, in millions</w:t>
      </w:r>
      <w:r w:rsidR="007F3C43">
        <w:rPr>
          <w:rStyle w:val="FootnoteReference"/>
          <w:rFonts w:eastAsia="Times New Roman" w:cs="Arial"/>
          <w:color w:val="000000"/>
          <w:sz w:val="24"/>
          <w:szCs w:val="24"/>
        </w:rPr>
        <w:footnoteReference w:id="25"/>
      </w:r>
    </w:p>
    <w:p w:rsidR="003B0FB9" w:rsidRPr="003B0FB9" w:rsidRDefault="003B0FB9" w:rsidP="00406E88">
      <w:pPr>
        <w:shd w:val="clear" w:color="auto" w:fill="F6F6F6"/>
        <w:spacing w:after="0" w:line="336" w:lineRule="atLeast"/>
        <w:ind w:left="720" w:right="192"/>
        <w:rPr>
          <w:rFonts w:eastAsia="Times New Roman" w:cs="Arial"/>
          <w:color w:val="000000"/>
          <w:sz w:val="24"/>
          <w:szCs w:val="24"/>
        </w:rPr>
      </w:pPr>
      <w:r w:rsidRPr="003B0FB9">
        <w:rPr>
          <w:rFonts w:eastAsia="Times New Roman" w:cs="Arial"/>
          <w:color w:val="000000"/>
          <w:sz w:val="24"/>
          <w:szCs w:val="24"/>
        </w:rPr>
        <w:t>Africa 19.4</w:t>
      </w:r>
      <w:r w:rsidRPr="003B0FB9">
        <w:rPr>
          <w:rFonts w:eastAsia="Times New Roman" w:cs="Arial"/>
          <w:color w:val="000000"/>
          <w:sz w:val="24"/>
          <w:szCs w:val="24"/>
        </w:rPr>
        <w:br/>
        <w:t>Asia</w:t>
      </w:r>
      <w:r w:rsidR="00E0725D">
        <w:rPr>
          <w:rFonts w:eastAsia="Times New Roman" w:cs="Arial"/>
          <w:color w:val="000000"/>
          <w:sz w:val="24"/>
          <w:szCs w:val="24"/>
        </w:rPr>
        <w:t xml:space="preserve">  63.</w:t>
      </w:r>
      <w:r w:rsidRPr="003B0FB9">
        <w:rPr>
          <w:rFonts w:eastAsia="Times New Roman" w:cs="Arial"/>
          <w:color w:val="000000"/>
          <w:sz w:val="24"/>
          <w:szCs w:val="24"/>
        </w:rPr>
        <w:t>3</w:t>
      </w:r>
    </w:p>
    <w:p w:rsidR="003B0FB9" w:rsidRPr="003B0FB9" w:rsidRDefault="003B0FB9" w:rsidP="00406E88">
      <w:pPr>
        <w:shd w:val="clear" w:color="auto" w:fill="F6F6F6"/>
        <w:spacing w:after="0" w:line="336" w:lineRule="atLeast"/>
        <w:ind w:left="720" w:right="192"/>
        <w:rPr>
          <w:rFonts w:eastAsia="Times New Roman" w:cs="Arial"/>
          <w:color w:val="000000"/>
          <w:sz w:val="24"/>
          <w:szCs w:val="24"/>
        </w:rPr>
      </w:pPr>
      <w:r w:rsidRPr="003B0FB9">
        <w:rPr>
          <w:rFonts w:eastAsia="Times New Roman" w:cs="Arial"/>
          <w:color w:val="000000"/>
          <w:sz w:val="24"/>
          <w:szCs w:val="24"/>
        </w:rPr>
        <w:t>Europe   41.0</w:t>
      </w:r>
    </w:p>
    <w:p w:rsidR="003B0FB9" w:rsidRPr="003B0FB9" w:rsidRDefault="003B0FB9" w:rsidP="00406E88">
      <w:pPr>
        <w:shd w:val="clear" w:color="auto" w:fill="F6F6F6"/>
        <w:spacing w:after="0" w:line="336" w:lineRule="atLeast"/>
        <w:ind w:left="720" w:right="192"/>
        <w:rPr>
          <w:rFonts w:eastAsia="Times New Roman" w:cs="Arial"/>
          <w:color w:val="000000"/>
          <w:sz w:val="24"/>
          <w:szCs w:val="24"/>
        </w:rPr>
      </w:pPr>
      <w:r w:rsidRPr="003B0FB9">
        <w:rPr>
          <w:rFonts w:eastAsia="Times New Roman" w:cs="Arial"/>
          <w:color w:val="000000"/>
          <w:sz w:val="24"/>
          <w:szCs w:val="24"/>
        </w:rPr>
        <w:t>Latin America 6.1</w:t>
      </w:r>
    </w:p>
    <w:p w:rsidR="003B0FB9" w:rsidRPr="003B0FB9" w:rsidRDefault="003B0FB9" w:rsidP="00406E88">
      <w:pPr>
        <w:shd w:val="clear" w:color="auto" w:fill="F6F6F6"/>
        <w:spacing w:after="0" w:line="336" w:lineRule="atLeast"/>
        <w:ind w:left="720" w:right="192"/>
        <w:rPr>
          <w:rFonts w:eastAsia="Times New Roman" w:cs="Arial"/>
          <w:color w:val="000000"/>
          <w:sz w:val="24"/>
          <w:szCs w:val="24"/>
        </w:rPr>
      </w:pPr>
      <w:r w:rsidRPr="003B0FB9">
        <w:rPr>
          <w:rFonts w:eastAsia="Times New Roman" w:cs="Arial"/>
          <w:color w:val="000000"/>
          <w:sz w:val="24"/>
          <w:szCs w:val="24"/>
        </w:rPr>
        <w:t>North America 1.2</w:t>
      </w:r>
    </w:p>
    <w:p w:rsidR="00A31780" w:rsidRDefault="003B0FB9" w:rsidP="00A31780">
      <w:pPr>
        <w:shd w:val="clear" w:color="auto" w:fill="F6F6F6"/>
        <w:spacing w:after="0" w:line="336" w:lineRule="atLeast"/>
        <w:ind w:left="720" w:right="192"/>
        <w:rPr>
          <w:rFonts w:eastAsia="Times New Roman" w:cs="Arial"/>
          <w:color w:val="000000"/>
          <w:sz w:val="24"/>
          <w:szCs w:val="24"/>
        </w:rPr>
      </w:pPr>
      <w:r w:rsidRPr="003B0FB9">
        <w:rPr>
          <w:rFonts w:eastAsia="Times New Roman" w:cs="Arial"/>
          <w:color w:val="000000"/>
          <w:sz w:val="24"/>
          <w:szCs w:val="24"/>
        </w:rPr>
        <w:t>Oceana 1.1</w:t>
      </w:r>
    </w:p>
    <w:p w:rsidR="00A31780" w:rsidRDefault="00A31780" w:rsidP="00A31780">
      <w:pPr>
        <w:shd w:val="clear" w:color="auto" w:fill="F6F6F6"/>
        <w:spacing w:after="0" w:line="336" w:lineRule="atLeast"/>
        <w:ind w:left="720" w:right="192"/>
        <w:rPr>
          <w:rFonts w:eastAsia="Times New Roman" w:cs="Arial"/>
          <w:color w:val="000000"/>
          <w:sz w:val="24"/>
          <w:szCs w:val="24"/>
        </w:rPr>
      </w:pPr>
    </w:p>
    <w:p w:rsidR="003B0FB9" w:rsidRPr="00D964D2" w:rsidRDefault="00A31780" w:rsidP="00D964D2">
      <w:pPr>
        <w:shd w:val="clear" w:color="auto" w:fill="F6F6F6"/>
        <w:spacing w:after="0" w:line="336" w:lineRule="atLeast"/>
        <w:ind w:right="192" w:firstLine="720"/>
        <w:rPr>
          <w:rFonts w:eastAsia="Times New Roman" w:cs="Arial"/>
          <w:color w:val="000000"/>
          <w:sz w:val="24"/>
          <w:szCs w:val="24"/>
        </w:rPr>
      </w:pPr>
      <w:r>
        <w:rPr>
          <w:rFonts w:eastAsiaTheme="majorEastAsia" w:cs="Arial"/>
        </w:rPr>
        <w:t xml:space="preserve">We are most interested in labor mobility within West Africa.  </w:t>
      </w:r>
      <w:r w:rsidRPr="006000B3">
        <w:rPr>
          <w:rFonts w:eastAsia="Times New Roman" w:cs="Arial"/>
          <w:color w:val="000000"/>
          <w:sz w:val="24"/>
          <w:szCs w:val="24"/>
        </w:rPr>
        <w:t>There is a</w:t>
      </w:r>
      <w:r w:rsidR="00A66C14">
        <w:rPr>
          <w:rFonts w:eastAsia="Times New Roman" w:cs="Arial"/>
          <w:color w:val="000000"/>
          <w:sz w:val="24"/>
          <w:szCs w:val="24"/>
        </w:rPr>
        <w:t>n</w:t>
      </w:r>
      <w:r w:rsidRPr="006000B3">
        <w:rPr>
          <w:rFonts w:eastAsia="Times New Roman" w:cs="Arial"/>
          <w:color w:val="000000"/>
          <w:sz w:val="24"/>
          <w:szCs w:val="24"/>
        </w:rPr>
        <w:t xml:space="preserve"> </w:t>
      </w:r>
      <w:r w:rsidRPr="006000B3">
        <w:rPr>
          <w:rFonts w:eastAsia="Times New Roman" w:cs="Arial"/>
          <w:color w:val="000000"/>
          <w:sz w:val="24"/>
          <w:szCs w:val="24"/>
        </w:rPr>
        <w:t xml:space="preserve">observable </w:t>
      </w:r>
      <w:r w:rsidRPr="006000B3">
        <w:rPr>
          <w:rFonts w:eastAsia="Times New Roman" w:cs="Arial"/>
          <w:color w:val="000000"/>
          <w:sz w:val="24"/>
          <w:szCs w:val="24"/>
        </w:rPr>
        <w:t xml:space="preserve">tendency for migration to flow more freely among countries that share borders or that share languages.  Consider Cote d’Ivoire. </w:t>
      </w:r>
      <w:r w:rsidRPr="006000B3">
        <w:rPr>
          <w:rFonts w:eastAsia="Times New Roman" w:cs="Arial"/>
          <w:color w:val="000000"/>
          <w:sz w:val="24"/>
          <w:szCs w:val="24"/>
        </w:rPr>
        <w:t xml:space="preserve"> Citizens move both from and to</w:t>
      </w:r>
      <w:r w:rsidRPr="006000B3">
        <w:rPr>
          <w:rFonts w:eastAsia="Times New Roman" w:cs="Arial"/>
          <w:color w:val="000000"/>
          <w:sz w:val="24"/>
          <w:szCs w:val="24"/>
        </w:rPr>
        <w:t xml:space="preserve"> </w:t>
      </w:r>
      <w:r w:rsidRPr="006000B3">
        <w:rPr>
          <w:rFonts w:eastAsia="Times New Roman" w:cs="Arial"/>
          <w:color w:val="000000"/>
          <w:sz w:val="24"/>
          <w:szCs w:val="24"/>
        </w:rPr>
        <w:t xml:space="preserve">the </w:t>
      </w:r>
      <w:r w:rsidRPr="006000B3">
        <w:rPr>
          <w:rFonts w:eastAsia="Times New Roman" w:cs="Arial"/>
          <w:color w:val="000000"/>
          <w:sz w:val="24"/>
          <w:szCs w:val="24"/>
        </w:rPr>
        <w:t>other CFA countries</w:t>
      </w:r>
      <w:r w:rsidRPr="006000B3">
        <w:rPr>
          <w:rFonts w:eastAsia="Times New Roman" w:cs="Arial"/>
          <w:color w:val="000000"/>
          <w:sz w:val="24"/>
          <w:szCs w:val="24"/>
        </w:rPr>
        <w:t xml:space="preserve">.  Cote d’Ivoire’s </w:t>
      </w:r>
      <w:r w:rsidRPr="006000B3">
        <w:rPr>
          <w:rFonts w:eastAsia="Times New Roman" w:cs="Arial"/>
          <w:color w:val="000000"/>
          <w:sz w:val="24"/>
          <w:szCs w:val="24"/>
        </w:rPr>
        <w:t xml:space="preserve">greatest </w:t>
      </w:r>
      <w:r w:rsidRPr="006000B3">
        <w:rPr>
          <w:rFonts w:eastAsia="Times New Roman" w:cs="Arial"/>
          <w:color w:val="000000"/>
          <w:sz w:val="24"/>
          <w:szCs w:val="24"/>
        </w:rPr>
        <w:t xml:space="preserve">migration </w:t>
      </w:r>
      <w:r w:rsidRPr="006000B3">
        <w:rPr>
          <w:rFonts w:eastAsia="Times New Roman" w:cs="Arial"/>
          <w:color w:val="000000"/>
          <w:sz w:val="24"/>
          <w:szCs w:val="24"/>
        </w:rPr>
        <w:t>partner by far is Burkin</w:t>
      </w:r>
      <w:r w:rsidRPr="006000B3">
        <w:rPr>
          <w:rFonts w:eastAsia="Times New Roman" w:cs="Arial"/>
          <w:color w:val="000000"/>
          <w:sz w:val="24"/>
          <w:szCs w:val="24"/>
        </w:rPr>
        <w:t>a</w:t>
      </w:r>
      <w:r w:rsidRPr="006000B3">
        <w:rPr>
          <w:rFonts w:eastAsia="Times New Roman" w:cs="Arial"/>
          <w:color w:val="000000"/>
          <w:sz w:val="24"/>
          <w:szCs w:val="24"/>
        </w:rPr>
        <w:t xml:space="preserve"> Faso</w:t>
      </w:r>
      <w:r w:rsidR="00A66C14">
        <w:rPr>
          <w:rFonts w:eastAsia="Times New Roman" w:cs="Arial"/>
          <w:color w:val="000000"/>
          <w:sz w:val="24"/>
          <w:szCs w:val="24"/>
        </w:rPr>
        <w:t>, judged by stocks of migrants</w:t>
      </w:r>
      <w:r w:rsidR="006000B3" w:rsidRPr="006000B3">
        <w:rPr>
          <w:rFonts w:eastAsia="Times New Roman" w:cs="Arial"/>
          <w:color w:val="000000"/>
          <w:sz w:val="24"/>
          <w:szCs w:val="24"/>
        </w:rPr>
        <w:t xml:space="preserve">.  </w:t>
      </w:r>
      <w:r w:rsidRPr="006000B3">
        <w:rPr>
          <w:rFonts w:eastAsia="Times New Roman" w:cs="Arial"/>
          <w:color w:val="000000"/>
          <w:sz w:val="24"/>
          <w:szCs w:val="24"/>
        </w:rPr>
        <w:lastRenderedPageBreak/>
        <w:t>Similarly, Burkina Faso’s biggest inward and outmigration are with Cote d’Ivoire.</w:t>
      </w:r>
      <w:r w:rsidR="006000B3">
        <w:rPr>
          <w:rStyle w:val="FootnoteReference"/>
          <w:rFonts w:eastAsia="Times New Roman" w:cs="Arial"/>
          <w:color w:val="000000"/>
          <w:sz w:val="24"/>
          <w:szCs w:val="24"/>
        </w:rPr>
        <w:footnoteReference w:id="26"/>
      </w:r>
      <w:r w:rsidRPr="006000B3">
        <w:rPr>
          <w:rFonts w:eastAsia="Times New Roman" w:cs="Arial"/>
          <w:color w:val="000000"/>
          <w:sz w:val="24"/>
          <w:szCs w:val="24"/>
        </w:rPr>
        <w:t xml:space="preserve"> </w:t>
      </w:r>
      <w:r w:rsidR="006000B3" w:rsidRPr="006000B3">
        <w:rPr>
          <w:rFonts w:eastAsia="Times New Roman" w:cs="Arial"/>
          <w:color w:val="000000"/>
          <w:sz w:val="24"/>
          <w:szCs w:val="24"/>
        </w:rPr>
        <w:t xml:space="preserve">This must facilitate their </w:t>
      </w:r>
      <w:r w:rsidR="006000B3">
        <w:rPr>
          <w:rFonts w:eastAsia="Times New Roman" w:cs="Arial"/>
          <w:color w:val="000000"/>
          <w:sz w:val="24"/>
          <w:szCs w:val="24"/>
        </w:rPr>
        <w:t xml:space="preserve">common </w:t>
      </w:r>
      <w:r w:rsidR="006000B3" w:rsidRPr="006000B3">
        <w:rPr>
          <w:rFonts w:eastAsia="Times New Roman" w:cs="Arial"/>
          <w:color w:val="000000"/>
          <w:sz w:val="24"/>
          <w:szCs w:val="24"/>
        </w:rPr>
        <w:t>membership in</w:t>
      </w:r>
      <w:r w:rsidRPr="006000B3">
        <w:rPr>
          <w:rFonts w:eastAsia="Times New Roman" w:cs="Arial"/>
          <w:color w:val="000000"/>
          <w:sz w:val="24"/>
          <w:szCs w:val="24"/>
        </w:rPr>
        <w:t xml:space="preserve"> </w:t>
      </w:r>
      <w:r w:rsidRPr="006000B3">
        <w:rPr>
          <w:rFonts w:eastAsiaTheme="majorEastAsia" w:cs="Arial"/>
          <w:sz w:val="24"/>
          <w:szCs w:val="24"/>
        </w:rPr>
        <w:t>the CFA franc zone</w:t>
      </w:r>
      <w:r w:rsidR="009B5901">
        <w:rPr>
          <w:rFonts w:eastAsiaTheme="majorEastAsia" w:cs="Arial"/>
          <w:sz w:val="24"/>
          <w:szCs w:val="24"/>
        </w:rPr>
        <w:t xml:space="preserve">.  Guinea-Bissau is something of an outlier: Only </w:t>
      </w:r>
      <w:r w:rsidR="00D964D2">
        <w:rPr>
          <w:rFonts w:eastAsiaTheme="majorEastAsia" w:cs="Arial"/>
          <w:sz w:val="24"/>
          <w:szCs w:val="24"/>
        </w:rPr>
        <w:t xml:space="preserve">one CFA member, </w:t>
      </w:r>
      <w:r w:rsidR="009B5901">
        <w:rPr>
          <w:rFonts w:eastAsiaTheme="majorEastAsia" w:cs="Arial"/>
          <w:sz w:val="24"/>
          <w:szCs w:val="24"/>
        </w:rPr>
        <w:t>Senegal</w:t>
      </w:r>
      <w:r w:rsidR="00D964D2">
        <w:rPr>
          <w:rFonts w:eastAsiaTheme="majorEastAsia" w:cs="Arial"/>
          <w:sz w:val="24"/>
          <w:szCs w:val="24"/>
        </w:rPr>
        <w:t>,</w:t>
      </w:r>
      <w:r w:rsidR="009B5901">
        <w:rPr>
          <w:rFonts w:eastAsiaTheme="majorEastAsia" w:cs="Arial"/>
          <w:sz w:val="24"/>
          <w:szCs w:val="24"/>
        </w:rPr>
        <w:t xml:space="preserve"> is </w:t>
      </w:r>
      <w:r w:rsidR="00D964D2">
        <w:rPr>
          <w:rFonts w:eastAsiaTheme="majorEastAsia" w:cs="Arial"/>
          <w:sz w:val="24"/>
          <w:szCs w:val="24"/>
        </w:rPr>
        <w:t>among its top ten sources or hosts of migrants.</w:t>
      </w:r>
    </w:p>
    <w:p w:rsidR="00A31780" w:rsidRPr="007F5144" w:rsidRDefault="00A31780" w:rsidP="009B5901">
      <w:pPr>
        <w:pStyle w:val="volume-issue"/>
        <w:shd w:val="clear" w:color="auto" w:fill="FFFFFF"/>
        <w:spacing w:before="0" w:beforeAutospacing="0" w:after="0" w:afterAutospacing="0" w:line="276" w:lineRule="auto"/>
        <w:rPr>
          <w:rFonts w:asciiTheme="minorHAnsi" w:eastAsiaTheme="majorEastAsia" w:hAnsiTheme="minorHAnsi" w:cs="Arial"/>
        </w:rPr>
      </w:pPr>
    </w:p>
    <w:p w:rsidR="00871376" w:rsidRDefault="00871376" w:rsidP="00871376">
      <w:pPr>
        <w:pStyle w:val="volume-issue"/>
        <w:shd w:val="clear" w:color="auto" w:fill="FFFFFF"/>
        <w:spacing w:before="0" w:beforeAutospacing="0" w:after="0" w:afterAutospacing="0" w:line="276" w:lineRule="auto"/>
        <w:ind w:firstLine="720"/>
        <w:rPr>
          <w:rFonts w:asciiTheme="minorHAnsi" w:hAnsiTheme="minorHAnsi" w:cs="Arial"/>
        </w:rPr>
      </w:pPr>
      <w:r w:rsidRPr="00871376">
        <w:rPr>
          <w:rFonts w:asciiTheme="minorHAnsi" w:hAnsiTheme="minorHAnsi"/>
        </w:rPr>
        <w:t>Labor mobility is another one of those “parameters”, like trade concentration and cyclical correlation, that can respond endogenously to the decision to join a common currency.  For example, at the same time that many EU members were adopting the common euro they also experienced an increase in the freedom of movement among their members, particularly those who joined the Schengen Agreement.</w:t>
      </w:r>
      <w:r w:rsidRPr="00871376">
        <w:rPr>
          <w:rFonts w:asciiTheme="minorHAnsi" w:hAnsiTheme="minorHAnsi" w:cs="Arial"/>
        </w:rPr>
        <w:t xml:space="preserve">  But the social and political willingness to accept immigrants has often run into limits, as we have observed recently not</w:t>
      </w:r>
      <w:r>
        <w:rPr>
          <w:rFonts w:asciiTheme="minorHAnsi" w:hAnsiTheme="minorHAnsi" w:cs="Arial"/>
        </w:rPr>
        <w:t xml:space="preserve"> only in the European Union but in Southern Africa and elsewhere. </w:t>
      </w:r>
    </w:p>
    <w:p w:rsidR="005E3E6D" w:rsidRDefault="00871376" w:rsidP="00871376">
      <w:pPr>
        <w:pStyle w:val="volume-issue"/>
        <w:shd w:val="clear" w:color="auto" w:fill="FFFFFF"/>
        <w:spacing w:before="0" w:beforeAutospacing="0" w:after="0" w:afterAutospacing="0" w:line="276" w:lineRule="auto"/>
        <w:ind w:firstLine="720"/>
        <w:rPr>
          <w:rFonts w:asciiTheme="minorHAnsi" w:hAnsiTheme="minorHAnsi" w:cs="Arial"/>
        </w:rPr>
      </w:pPr>
      <w:r>
        <w:rPr>
          <w:rFonts w:asciiTheme="minorHAnsi" w:hAnsiTheme="minorHAnsi" w:cs="Arial"/>
        </w:rPr>
        <w:t>In any case, t</w:t>
      </w:r>
      <w:r w:rsidR="006C4CB1">
        <w:rPr>
          <w:rFonts w:asciiTheme="minorHAnsi" w:hAnsiTheme="minorHAnsi" w:cs="Arial"/>
        </w:rPr>
        <w:t xml:space="preserve">he ability of workers to move </w:t>
      </w:r>
      <w:r w:rsidR="003B7BF6">
        <w:rPr>
          <w:rFonts w:asciiTheme="minorHAnsi" w:hAnsiTheme="minorHAnsi" w:cs="Arial"/>
        </w:rPr>
        <w:t xml:space="preserve">across national boundaries </w:t>
      </w:r>
      <w:r>
        <w:rPr>
          <w:rFonts w:asciiTheme="minorHAnsi" w:hAnsiTheme="minorHAnsi" w:cs="Arial"/>
        </w:rPr>
        <w:t>and their ability to send remittances back</w:t>
      </w:r>
      <w:r w:rsidR="006C4CB1">
        <w:rPr>
          <w:rFonts w:asciiTheme="minorHAnsi" w:hAnsiTheme="minorHAnsi" w:cs="Arial"/>
        </w:rPr>
        <w:t xml:space="preserve"> </w:t>
      </w:r>
      <w:r>
        <w:rPr>
          <w:rFonts w:asciiTheme="minorHAnsi" w:hAnsiTheme="minorHAnsi" w:cs="Arial"/>
        </w:rPr>
        <w:t xml:space="preserve">are useful safety valves, but are only </w:t>
      </w:r>
      <w:r w:rsidR="00150B01">
        <w:rPr>
          <w:rFonts w:asciiTheme="minorHAnsi" w:hAnsiTheme="minorHAnsi" w:cs="Arial"/>
        </w:rPr>
        <w:t>partial substitute</w:t>
      </w:r>
      <w:r>
        <w:rPr>
          <w:rFonts w:asciiTheme="minorHAnsi" w:hAnsiTheme="minorHAnsi" w:cs="Arial"/>
        </w:rPr>
        <w:t>s</w:t>
      </w:r>
      <w:r w:rsidR="00150B01">
        <w:rPr>
          <w:rFonts w:asciiTheme="minorHAnsi" w:hAnsiTheme="minorHAnsi" w:cs="Arial"/>
        </w:rPr>
        <w:t xml:space="preserve"> for</w:t>
      </w:r>
      <w:r w:rsidR="005E3E6D">
        <w:rPr>
          <w:rFonts w:asciiTheme="minorHAnsi" w:hAnsiTheme="minorHAnsi" w:cs="Arial"/>
        </w:rPr>
        <w:t xml:space="preserve"> the ability to use </w:t>
      </w:r>
      <w:r w:rsidR="005E3E6D" w:rsidRPr="00C967C2">
        <w:rPr>
          <w:rFonts w:asciiTheme="minorHAnsi" w:hAnsiTheme="minorHAnsi" w:cs="Arial"/>
        </w:rPr>
        <w:t>monetary policy to respond to asymmetric shocks.</w:t>
      </w:r>
    </w:p>
    <w:p w:rsidR="004E3A22" w:rsidRDefault="004E3A22" w:rsidP="00871376">
      <w:pPr>
        <w:pStyle w:val="volume-issue"/>
        <w:shd w:val="clear" w:color="auto" w:fill="FFFFFF"/>
        <w:spacing w:before="0" w:beforeAutospacing="0" w:after="0" w:afterAutospacing="0" w:line="276" w:lineRule="auto"/>
        <w:ind w:firstLine="720"/>
        <w:rPr>
          <w:rFonts w:asciiTheme="minorHAnsi" w:eastAsiaTheme="majorEastAsia" w:hAnsiTheme="minorHAnsi" w:cs="Arial"/>
        </w:rPr>
      </w:pPr>
    </w:p>
    <w:p w:rsidR="00D964D2" w:rsidRPr="00D964D2" w:rsidRDefault="00D964D2" w:rsidP="00D964D2">
      <w:pPr>
        <w:pStyle w:val="volume-issue"/>
        <w:shd w:val="clear" w:color="auto" w:fill="FFFFFF"/>
        <w:spacing w:before="0" w:beforeAutospacing="0" w:after="0" w:afterAutospacing="0" w:line="276" w:lineRule="auto"/>
        <w:ind w:left="360"/>
        <w:rPr>
          <w:rFonts w:asciiTheme="minorHAnsi" w:eastAsiaTheme="majorEastAsia" w:hAnsiTheme="minorHAnsi" w:cs="Arial"/>
        </w:rPr>
      </w:pPr>
      <w:r w:rsidRPr="00D964D2">
        <w:rPr>
          <w:rFonts w:asciiTheme="minorHAnsi" w:hAnsiTheme="minorHAnsi"/>
          <w:b/>
        </w:rPr>
        <w:t xml:space="preserve">7.  The OCA Criterion of </w:t>
      </w:r>
      <w:r w:rsidRPr="00D964D2">
        <w:rPr>
          <w:rFonts w:asciiTheme="minorHAnsi" w:hAnsiTheme="minorHAnsi"/>
          <w:b/>
        </w:rPr>
        <w:t>Symmetric Shocks Among CFA Countries</w:t>
      </w:r>
      <w:r w:rsidRPr="00D964D2">
        <w:rPr>
          <w:rFonts w:asciiTheme="minorHAnsi" w:hAnsiTheme="minorHAnsi"/>
          <w:b/>
        </w:rPr>
        <w:br/>
      </w:r>
    </w:p>
    <w:p w:rsidR="004F3582" w:rsidRPr="00761192" w:rsidRDefault="00C967C2" w:rsidP="00761192">
      <w:pPr>
        <w:ind w:firstLine="720"/>
        <w:rPr>
          <w:sz w:val="24"/>
          <w:szCs w:val="24"/>
        </w:rPr>
      </w:pPr>
      <w:r w:rsidRPr="00C967C2">
        <w:rPr>
          <w:sz w:val="24"/>
          <w:szCs w:val="24"/>
        </w:rPr>
        <w:t xml:space="preserve">A variety of authors have studied the symmetry of shocks in Africa by looking at cyclical correlations.   </w:t>
      </w:r>
      <w:hyperlink r:id="rId15" w:history="1">
        <w:r w:rsidR="00A0508A" w:rsidRPr="00C967C2">
          <w:rPr>
            <w:rStyle w:val="Hyperlink"/>
            <w:rFonts w:eastAsiaTheme="majorEastAsia" w:cs="Arial"/>
            <w:color w:val="auto"/>
          </w:rPr>
          <w:t>Bénassy</w:t>
        </w:r>
        <w:r w:rsidR="00A0508A" w:rsidRPr="00C967C2">
          <w:rPr>
            <w:rStyle w:val="Hyperlink"/>
            <w:rFonts w:eastAsiaTheme="majorEastAsia" w:cs="Cambria Math"/>
            <w:color w:val="auto"/>
          </w:rPr>
          <w:t>‐</w:t>
        </w:r>
        <w:r w:rsidR="00A0508A" w:rsidRPr="00C967C2">
          <w:rPr>
            <w:rStyle w:val="Hyperlink"/>
            <w:rFonts w:eastAsiaTheme="majorEastAsia" w:cs="Arial"/>
            <w:color w:val="auto"/>
          </w:rPr>
          <w:t>Quéré</w:t>
        </w:r>
      </w:hyperlink>
      <w:r w:rsidR="00A0508A" w:rsidRPr="00A0508A">
        <w:rPr>
          <w:rFonts w:cs="Arial"/>
          <w:sz w:val="24"/>
          <w:szCs w:val="24"/>
        </w:rPr>
        <w:t xml:space="preserve"> and </w:t>
      </w:r>
      <w:hyperlink r:id="rId16" w:history="1">
        <w:r w:rsidR="00A0508A" w:rsidRPr="00A0508A">
          <w:rPr>
            <w:rStyle w:val="Hyperlink"/>
            <w:rFonts w:eastAsiaTheme="majorEastAsia" w:cs="Arial"/>
            <w:color w:val="auto"/>
          </w:rPr>
          <w:t>Coupet</w:t>
        </w:r>
      </w:hyperlink>
      <w:r w:rsidR="00A0508A" w:rsidRPr="00A0508A">
        <w:rPr>
          <w:rFonts w:cs="Arial"/>
          <w:sz w:val="24"/>
          <w:szCs w:val="24"/>
        </w:rPr>
        <w:t xml:space="preserve"> (2005) find</w:t>
      </w:r>
      <w:r w:rsidR="00A0508A" w:rsidRPr="00A0508A">
        <w:rPr>
          <w:rFonts w:cs="Arial"/>
          <w:color w:val="1C1D1E"/>
          <w:sz w:val="24"/>
          <w:szCs w:val="24"/>
          <w:shd w:val="clear" w:color="auto" w:fill="FFFFFF"/>
        </w:rPr>
        <w:t xml:space="preserve"> that the existing CFA franc zone cannot be viewed as an optimum currency area: CEMAC and UEMOA countries do not belong to the same clusters.  </w:t>
      </w:r>
      <w:r w:rsidR="005E3E6D">
        <w:rPr>
          <w:rFonts w:cs="Arial"/>
          <w:color w:val="1C1D1E"/>
          <w:sz w:val="24"/>
          <w:szCs w:val="24"/>
          <w:shd w:val="clear" w:color="auto" w:fill="FFFFFF"/>
        </w:rPr>
        <w:t xml:space="preserve">But </w:t>
      </w:r>
      <w:r w:rsidR="00A0508A" w:rsidRPr="00A0508A">
        <w:rPr>
          <w:rFonts w:cs="Arial"/>
          <w:color w:val="1C1D1E"/>
          <w:sz w:val="24"/>
          <w:szCs w:val="24"/>
          <w:shd w:val="clear" w:color="auto" w:fill="FFFFFF"/>
        </w:rPr>
        <w:t>Houssa (2005) finds that the francophone countries of West Africa do share common demand shocks.</w:t>
      </w:r>
      <w:r w:rsidR="00A0508A" w:rsidRPr="00A0508A">
        <w:rPr>
          <w:rStyle w:val="FootnoteReference"/>
          <w:rFonts w:cs="Arial"/>
          <w:color w:val="1C1D1E"/>
          <w:sz w:val="24"/>
          <w:szCs w:val="24"/>
          <w:shd w:val="clear" w:color="auto" w:fill="FFFFFF"/>
        </w:rPr>
        <w:footnoteReference w:id="27"/>
      </w:r>
      <w:r w:rsidR="00EA6066">
        <w:rPr>
          <w:sz w:val="24"/>
          <w:szCs w:val="24"/>
        </w:rPr>
        <w:br/>
      </w:r>
      <w:r w:rsidR="00A0508A">
        <w:rPr>
          <w:sz w:val="24"/>
          <w:szCs w:val="24"/>
        </w:rPr>
        <w:tab/>
        <w:t>Table</w:t>
      </w:r>
      <w:r w:rsidR="00194146">
        <w:rPr>
          <w:sz w:val="24"/>
          <w:szCs w:val="24"/>
        </w:rPr>
        <w:t>s</w:t>
      </w:r>
      <w:r w:rsidR="00A0508A">
        <w:rPr>
          <w:sz w:val="24"/>
          <w:szCs w:val="24"/>
        </w:rPr>
        <w:t xml:space="preserve"> </w:t>
      </w:r>
      <w:r w:rsidR="00737374">
        <w:rPr>
          <w:sz w:val="24"/>
          <w:szCs w:val="24"/>
        </w:rPr>
        <w:t>6</w:t>
      </w:r>
      <w:r w:rsidR="00194146">
        <w:rPr>
          <w:sz w:val="24"/>
          <w:szCs w:val="24"/>
        </w:rPr>
        <w:t xml:space="preserve"> a</w:t>
      </w:r>
      <w:r w:rsidR="00737374">
        <w:rPr>
          <w:sz w:val="24"/>
          <w:szCs w:val="24"/>
        </w:rPr>
        <w:t>nd 7</w:t>
      </w:r>
      <w:r w:rsidR="00194146">
        <w:rPr>
          <w:sz w:val="24"/>
          <w:szCs w:val="24"/>
        </w:rPr>
        <w:t xml:space="preserve"> present</w:t>
      </w:r>
      <w:r w:rsidR="00A0508A">
        <w:rPr>
          <w:sz w:val="24"/>
          <w:szCs w:val="24"/>
        </w:rPr>
        <w:t xml:space="preserve"> some updated statistics on the correlation of </w:t>
      </w:r>
      <w:r w:rsidR="00194146">
        <w:rPr>
          <w:sz w:val="24"/>
          <w:szCs w:val="24"/>
        </w:rPr>
        <w:t xml:space="preserve">economic </w:t>
      </w:r>
      <w:r w:rsidR="00A0508A">
        <w:rPr>
          <w:sz w:val="24"/>
          <w:szCs w:val="24"/>
        </w:rPr>
        <w:t>conditions in CFA member countries with economic conditions in the larger group</w:t>
      </w:r>
      <w:r w:rsidR="00737374">
        <w:rPr>
          <w:sz w:val="24"/>
          <w:szCs w:val="24"/>
        </w:rPr>
        <w:t xml:space="preserve">.  </w:t>
      </w:r>
      <w:r w:rsidR="00737374" w:rsidRPr="00737374">
        <w:rPr>
          <w:sz w:val="24"/>
          <w:szCs w:val="24"/>
        </w:rPr>
        <w:t>Table 6</w:t>
      </w:r>
      <w:r w:rsidR="004C6489">
        <w:rPr>
          <w:sz w:val="24"/>
          <w:szCs w:val="24"/>
        </w:rPr>
        <w:t xml:space="preserve"> reports correlations</w:t>
      </w:r>
      <w:r w:rsidR="00A0508A">
        <w:rPr>
          <w:sz w:val="24"/>
          <w:szCs w:val="24"/>
        </w:rPr>
        <w:t xml:space="preserve"> for GDP growth rates and for inflation.  It is important to realize that we are not </w:t>
      </w:r>
      <w:r w:rsidR="004F3582">
        <w:rPr>
          <w:sz w:val="24"/>
          <w:szCs w:val="24"/>
        </w:rPr>
        <w:t xml:space="preserve">here </w:t>
      </w:r>
      <w:r w:rsidR="00A0508A">
        <w:rPr>
          <w:sz w:val="24"/>
          <w:szCs w:val="24"/>
        </w:rPr>
        <w:t xml:space="preserve">estimating structural parameters, such as the correlation of world prices </w:t>
      </w:r>
      <w:r w:rsidR="004C6489">
        <w:rPr>
          <w:sz w:val="24"/>
          <w:szCs w:val="24"/>
        </w:rPr>
        <w:t>across</w:t>
      </w:r>
      <w:r w:rsidR="00A0508A">
        <w:rPr>
          <w:sz w:val="24"/>
          <w:szCs w:val="24"/>
        </w:rPr>
        <w:t xml:space="preserve"> the countries’ </w:t>
      </w:r>
      <w:r w:rsidR="004C6489">
        <w:rPr>
          <w:sz w:val="24"/>
          <w:szCs w:val="24"/>
        </w:rPr>
        <w:t xml:space="preserve">baskets of </w:t>
      </w:r>
      <w:r w:rsidR="00A0508A">
        <w:rPr>
          <w:sz w:val="24"/>
          <w:szCs w:val="24"/>
        </w:rPr>
        <w:t>export commodities.</w:t>
      </w:r>
      <w:r w:rsidR="004F3582">
        <w:rPr>
          <w:sz w:val="24"/>
          <w:szCs w:val="24"/>
        </w:rPr>
        <w:t xml:space="preserve">  Two countries might have fundamentally dissimilar economies and yet might develop a high cyclical correlation as the </w:t>
      </w:r>
      <w:r w:rsidR="004F3582" w:rsidRPr="004F3582">
        <w:rPr>
          <w:i/>
          <w:sz w:val="24"/>
          <w:szCs w:val="24"/>
        </w:rPr>
        <w:t xml:space="preserve">result </w:t>
      </w:r>
      <w:r w:rsidR="004F3582">
        <w:rPr>
          <w:sz w:val="24"/>
          <w:szCs w:val="24"/>
        </w:rPr>
        <w:t xml:space="preserve">of joining a common currency.  For one thing, simple correlations might be high precisely because the countries share a common monetary policy.  For another thing, even if we tried to estimate the correlation of exogenous shocks in a structural model, the </w:t>
      </w:r>
      <w:r w:rsidR="00FD7B28">
        <w:rPr>
          <w:sz w:val="24"/>
          <w:szCs w:val="24"/>
        </w:rPr>
        <w:t xml:space="preserve">“exogenous” </w:t>
      </w:r>
      <w:r w:rsidR="004F3582">
        <w:rPr>
          <w:sz w:val="24"/>
          <w:szCs w:val="24"/>
        </w:rPr>
        <w:t xml:space="preserve">structure could </w:t>
      </w:r>
      <w:r w:rsidR="00FD7B28">
        <w:rPr>
          <w:sz w:val="24"/>
          <w:szCs w:val="24"/>
        </w:rPr>
        <w:t xml:space="preserve">really be endogenous: it could </w:t>
      </w:r>
      <w:r w:rsidR="004F3582">
        <w:rPr>
          <w:sz w:val="24"/>
          <w:szCs w:val="24"/>
        </w:rPr>
        <w:t>change as the result of the currency union’s trade-promotion effects.</w:t>
      </w:r>
    </w:p>
    <w:p w:rsidR="004F3582" w:rsidRDefault="004F3582" w:rsidP="004F3582">
      <w:pPr>
        <w:ind w:firstLine="720"/>
        <w:rPr>
          <w:rFonts w:cs="Helvetica"/>
          <w:color w:val="333333"/>
          <w:sz w:val="24"/>
          <w:szCs w:val="24"/>
        </w:rPr>
      </w:pPr>
      <w:r w:rsidRPr="00004C85">
        <w:rPr>
          <w:sz w:val="24"/>
          <w:szCs w:val="24"/>
        </w:rPr>
        <w:lastRenderedPageBreak/>
        <w:t>Indeed, as explained in Memo 1 (Section 6.12), the “new” theory of Optimum Currency Area criteria pointed out that the correlation of shocks across members is probably endogenous with respect to the decision to join a common currency, because a common currency promotes intra-regional trade which in turn increases positive transmission of shocks.</w:t>
      </w:r>
      <w:r w:rsidRPr="00004C85">
        <w:rPr>
          <w:rStyle w:val="FootnoteReference"/>
          <w:rFonts w:ascii="Arial" w:hAnsi="Arial" w:cs="Arial"/>
          <w:color w:val="505050"/>
          <w:sz w:val="24"/>
          <w:szCs w:val="24"/>
        </w:rPr>
        <w:footnoteReference w:id="28"/>
      </w:r>
      <w:r w:rsidRPr="00004C85">
        <w:rPr>
          <w:rFonts w:ascii="Arial" w:hAnsi="Arial" w:cs="Arial"/>
          <w:color w:val="505050"/>
          <w:sz w:val="24"/>
          <w:szCs w:val="24"/>
        </w:rPr>
        <w:t xml:space="preserve"> </w:t>
      </w:r>
      <w:r w:rsidR="00761192" w:rsidRPr="00004C85">
        <w:rPr>
          <w:rFonts w:ascii="Arial" w:hAnsi="Arial" w:cs="Arial"/>
          <w:color w:val="505050"/>
          <w:sz w:val="24"/>
          <w:szCs w:val="24"/>
        </w:rPr>
        <w:t xml:space="preserve"> </w:t>
      </w:r>
      <w:r w:rsidR="00761192" w:rsidRPr="00004C85">
        <w:rPr>
          <w:sz w:val="24"/>
          <w:szCs w:val="24"/>
        </w:rPr>
        <w:t>In theory, trade integration could lead, via increased specialization of production, to a</w:t>
      </w:r>
      <w:r w:rsidR="00761192" w:rsidRPr="00004C85">
        <w:rPr>
          <w:i/>
          <w:sz w:val="24"/>
          <w:szCs w:val="24"/>
        </w:rPr>
        <w:t xml:space="preserve"> reduction</w:t>
      </w:r>
      <w:r w:rsidR="00761192" w:rsidRPr="00004C85">
        <w:rPr>
          <w:sz w:val="24"/>
          <w:szCs w:val="24"/>
        </w:rPr>
        <w:t xml:space="preserve"> </w:t>
      </w:r>
      <w:r w:rsidR="00CE1E43">
        <w:rPr>
          <w:sz w:val="24"/>
          <w:szCs w:val="24"/>
        </w:rPr>
        <w:t xml:space="preserve">in the correlation of shocks.  </w:t>
      </w:r>
      <w:r w:rsidR="00761192" w:rsidRPr="00004C85">
        <w:rPr>
          <w:sz w:val="24"/>
          <w:szCs w:val="24"/>
        </w:rPr>
        <w:t xml:space="preserve">That was the </w:t>
      </w:r>
      <w:r w:rsidR="008C1ADC" w:rsidRPr="00004C85">
        <w:rPr>
          <w:sz w:val="24"/>
          <w:szCs w:val="24"/>
        </w:rPr>
        <w:t xml:space="preserve">a priori </w:t>
      </w:r>
      <w:r w:rsidR="00761192" w:rsidRPr="00004C85">
        <w:rPr>
          <w:sz w:val="24"/>
          <w:szCs w:val="24"/>
        </w:rPr>
        <w:t>reasoning of K</w:t>
      </w:r>
      <w:r w:rsidR="008C1ADC" w:rsidRPr="00004C85">
        <w:rPr>
          <w:sz w:val="24"/>
          <w:szCs w:val="24"/>
        </w:rPr>
        <w:t>enen (</w:t>
      </w:r>
      <w:r w:rsidR="00577917" w:rsidRPr="00004C85">
        <w:rPr>
          <w:sz w:val="24"/>
          <w:szCs w:val="24"/>
        </w:rPr>
        <w:t>1969</w:t>
      </w:r>
      <w:r w:rsidR="008C1ADC" w:rsidRPr="00004C85">
        <w:rPr>
          <w:sz w:val="24"/>
          <w:szCs w:val="24"/>
        </w:rPr>
        <w:t xml:space="preserve">), </w:t>
      </w:r>
      <w:r w:rsidR="00577917" w:rsidRPr="00004C85">
        <w:rPr>
          <w:sz w:val="24"/>
          <w:szCs w:val="24"/>
        </w:rPr>
        <w:t xml:space="preserve">Eichengreen (1992) and </w:t>
      </w:r>
      <w:r w:rsidR="008C1ADC" w:rsidRPr="00004C85">
        <w:rPr>
          <w:sz w:val="24"/>
          <w:szCs w:val="24"/>
        </w:rPr>
        <w:t>K</w:t>
      </w:r>
      <w:r w:rsidR="00761192" w:rsidRPr="00004C85">
        <w:rPr>
          <w:sz w:val="24"/>
          <w:szCs w:val="24"/>
        </w:rPr>
        <w:t xml:space="preserve">rugman </w:t>
      </w:r>
      <w:r w:rsidR="008C1ADC" w:rsidRPr="00004C85">
        <w:rPr>
          <w:sz w:val="24"/>
          <w:szCs w:val="24"/>
        </w:rPr>
        <w:t>(</w:t>
      </w:r>
      <w:r w:rsidR="00577917" w:rsidRPr="00004C85">
        <w:rPr>
          <w:sz w:val="24"/>
          <w:szCs w:val="24"/>
        </w:rPr>
        <w:t>1993)</w:t>
      </w:r>
      <w:r w:rsidR="00761192" w:rsidRPr="00004C85">
        <w:rPr>
          <w:sz w:val="24"/>
          <w:szCs w:val="24"/>
        </w:rPr>
        <w:t xml:space="preserve">, for example.   But the empirical finding seems to be </w:t>
      </w:r>
      <w:r w:rsidR="008C1ADC" w:rsidRPr="00004C85">
        <w:rPr>
          <w:sz w:val="24"/>
          <w:szCs w:val="24"/>
        </w:rPr>
        <w:t xml:space="preserve">that a strengthening of </w:t>
      </w:r>
      <w:r w:rsidR="00E0725D" w:rsidRPr="00004C85">
        <w:rPr>
          <w:sz w:val="24"/>
          <w:szCs w:val="24"/>
        </w:rPr>
        <w:t>trade – including</w:t>
      </w:r>
      <w:r w:rsidR="00577917" w:rsidRPr="00004C85">
        <w:rPr>
          <w:sz w:val="24"/>
          <w:szCs w:val="24"/>
        </w:rPr>
        <w:t xml:space="preserve"> trade-creation from a curren</w:t>
      </w:r>
      <w:r w:rsidR="00CE1E43">
        <w:rPr>
          <w:sz w:val="24"/>
          <w:szCs w:val="24"/>
        </w:rPr>
        <w:t>cy union</w:t>
      </w:r>
      <w:r w:rsidR="00577917" w:rsidRPr="00004C85">
        <w:rPr>
          <w:sz w:val="24"/>
          <w:szCs w:val="24"/>
        </w:rPr>
        <w:t xml:space="preserve"> -- </w:t>
      </w:r>
      <w:r w:rsidR="008C1ADC" w:rsidRPr="00004C85">
        <w:rPr>
          <w:sz w:val="24"/>
          <w:szCs w:val="24"/>
        </w:rPr>
        <w:t xml:space="preserve">leads to </w:t>
      </w:r>
      <w:r w:rsidR="00761192" w:rsidRPr="00004C85">
        <w:rPr>
          <w:sz w:val="24"/>
          <w:szCs w:val="24"/>
        </w:rPr>
        <w:t xml:space="preserve">an increase in the </w:t>
      </w:r>
      <w:r w:rsidR="008C1ADC" w:rsidRPr="00004C85">
        <w:rPr>
          <w:sz w:val="24"/>
          <w:szCs w:val="24"/>
        </w:rPr>
        <w:t xml:space="preserve">cyclical </w:t>
      </w:r>
      <w:r w:rsidR="00761192" w:rsidRPr="00004C85">
        <w:rPr>
          <w:sz w:val="24"/>
          <w:szCs w:val="24"/>
        </w:rPr>
        <w:t>correlation</w:t>
      </w:r>
      <w:r w:rsidR="008C1ADC" w:rsidRPr="00004C85">
        <w:rPr>
          <w:sz w:val="24"/>
          <w:szCs w:val="24"/>
        </w:rPr>
        <w:t>, not a decrease</w:t>
      </w:r>
      <w:r w:rsidR="00761192" w:rsidRPr="00004C85">
        <w:rPr>
          <w:sz w:val="24"/>
          <w:szCs w:val="24"/>
        </w:rPr>
        <w:t>.</w:t>
      </w:r>
      <w:r w:rsidR="008C1ADC" w:rsidRPr="00004C85">
        <w:rPr>
          <w:rStyle w:val="FootnoteReference"/>
          <w:sz w:val="24"/>
          <w:szCs w:val="24"/>
        </w:rPr>
        <w:footnoteReference w:id="29"/>
      </w:r>
      <w:r w:rsidR="00761192" w:rsidRPr="00004C85">
        <w:rPr>
          <w:rFonts w:ascii="Arial" w:hAnsi="Arial" w:cs="Arial"/>
          <w:sz w:val="24"/>
          <w:szCs w:val="24"/>
        </w:rPr>
        <w:t xml:space="preserve"> </w:t>
      </w:r>
      <w:r w:rsidRPr="00004C85">
        <w:rPr>
          <w:rFonts w:ascii="Arial" w:hAnsi="Arial" w:cs="Arial"/>
          <w:sz w:val="24"/>
          <w:szCs w:val="24"/>
        </w:rPr>
        <w:t xml:space="preserve"> </w:t>
      </w:r>
      <w:r w:rsidRPr="00004C85">
        <w:rPr>
          <w:rFonts w:cs="Helvetica"/>
          <w:sz w:val="24"/>
          <w:szCs w:val="24"/>
        </w:rPr>
        <w:t>Tsangarides, et al (2009)</w:t>
      </w:r>
      <w:r w:rsidR="00761192" w:rsidRPr="00004C85">
        <w:rPr>
          <w:rFonts w:cs="Helvetica"/>
          <w:sz w:val="24"/>
          <w:szCs w:val="24"/>
        </w:rPr>
        <w:t xml:space="preserve">, for example, </w:t>
      </w:r>
      <w:r w:rsidRPr="00004C85">
        <w:rPr>
          <w:rFonts w:cs="Helvetica"/>
          <w:sz w:val="24"/>
          <w:szCs w:val="24"/>
        </w:rPr>
        <w:t>find that African currency unions increase the correlation of price changes among members.</w:t>
      </w:r>
      <w:r w:rsidR="00CB538F" w:rsidRPr="00577917">
        <w:rPr>
          <w:rFonts w:cs="Helvetica"/>
          <w:sz w:val="24"/>
          <w:szCs w:val="24"/>
        </w:rPr>
        <w:t xml:space="preserve">  An implication is that any group of countries that considers forming a common currency area is more likely to </w:t>
      </w:r>
      <w:r w:rsidR="00577917">
        <w:rPr>
          <w:rFonts w:cs="Helvetica"/>
          <w:sz w:val="24"/>
          <w:szCs w:val="24"/>
        </w:rPr>
        <w:t>satisfy</w:t>
      </w:r>
      <w:r w:rsidR="00CB538F" w:rsidRPr="00577917">
        <w:rPr>
          <w:rFonts w:cs="Helvetica"/>
          <w:sz w:val="24"/>
          <w:szCs w:val="24"/>
        </w:rPr>
        <w:t xml:space="preserve"> the Optimum Currency Area ex post than ex ante.</w:t>
      </w:r>
      <w:r w:rsidR="00CB538F" w:rsidRPr="00577917">
        <w:rPr>
          <w:rStyle w:val="FootnoteReference"/>
          <w:rFonts w:cs="Helvetica"/>
          <w:sz w:val="24"/>
          <w:szCs w:val="24"/>
        </w:rPr>
        <w:footnoteReference w:id="30"/>
      </w:r>
      <w:r w:rsidR="00577917">
        <w:rPr>
          <w:rFonts w:cs="Helvetica"/>
          <w:sz w:val="24"/>
          <w:szCs w:val="24"/>
        </w:rPr>
        <w:t xml:space="preserve">  </w:t>
      </w:r>
      <w:r w:rsidR="007C6DE5">
        <w:rPr>
          <w:rFonts w:cs="Helvetica"/>
          <w:sz w:val="24"/>
          <w:szCs w:val="24"/>
        </w:rPr>
        <w:t xml:space="preserve">If we find in </w:t>
      </w:r>
      <w:r w:rsidR="00194146">
        <w:rPr>
          <w:rFonts w:cs="Helvetica"/>
          <w:sz w:val="24"/>
          <w:szCs w:val="24"/>
        </w:rPr>
        <w:t>Table</w:t>
      </w:r>
      <w:r w:rsidR="00737374">
        <w:rPr>
          <w:rFonts w:cs="Helvetica"/>
          <w:sz w:val="24"/>
          <w:szCs w:val="24"/>
        </w:rPr>
        <w:t>s 6</w:t>
      </w:r>
      <w:r w:rsidR="00194146">
        <w:rPr>
          <w:rFonts w:cs="Helvetica"/>
          <w:sz w:val="24"/>
          <w:szCs w:val="24"/>
        </w:rPr>
        <w:t xml:space="preserve"> and </w:t>
      </w:r>
      <w:r w:rsidR="00737374">
        <w:rPr>
          <w:rFonts w:cs="Helvetica"/>
          <w:sz w:val="24"/>
          <w:szCs w:val="24"/>
        </w:rPr>
        <w:t>7</w:t>
      </w:r>
      <w:r w:rsidR="007C6DE5">
        <w:rPr>
          <w:rFonts w:cs="Helvetica"/>
          <w:sz w:val="24"/>
          <w:szCs w:val="24"/>
        </w:rPr>
        <w:t xml:space="preserve"> that </w:t>
      </w:r>
      <w:r w:rsidR="00577917">
        <w:rPr>
          <w:rFonts w:cs="Helvetica"/>
          <w:sz w:val="24"/>
          <w:szCs w:val="24"/>
        </w:rPr>
        <w:t>CFA members are well-suited to a common currency</w:t>
      </w:r>
      <w:r w:rsidR="007C6DE5">
        <w:rPr>
          <w:rFonts w:cs="Helvetica"/>
          <w:sz w:val="24"/>
          <w:szCs w:val="24"/>
        </w:rPr>
        <w:t xml:space="preserve">, but the reason for the finding is </w:t>
      </w:r>
      <w:r w:rsidR="00577917">
        <w:rPr>
          <w:rFonts w:cs="Helvetica"/>
          <w:sz w:val="24"/>
          <w:szCs w:val="24"/>
        </w:rPr>
        <w:t>a structural response to their common currency, that is still worth knowing.</w:t>
      </w:r>
    </w:p>
    <w:p w:rsidR="00194146" w:rsidRPr="00FB1B2D" w:rsidRDefault="00194146" w:rsidP="004F3582">
      <w:pPr>
        <w:ind w:firstLine="720"/>
        <w:rPr>
          <w:rFonts w:cs="Helvetica"/>
          <w:sz w:val="24"/>
          <w:szCs w:val="24"/>
        </w:rPr>
      </w:pPr>
      <w:r w:rsidRPr="00FB1B2D">
        <w:rPr>
          <w:rFonts w:cs="Helvetica"/>
          <w:sz w:val="24"/>
          <w:szCs w:val="24"/>
        </w:rPr>
        <w:t xml:space="preserve">This memo </w:t>
      </w:r>
      <w:r w:rsidR="004F6C8D" w:rsidRPr="00FB1B2D">
        <w:rPr>
          <w:rFonts w:cs="Helvetica"/>
          <w:sz w:val="24"/>
          <w:szCs w:val="24"/>
        </w:rPr>
        <w:t>covers only the cor</w:t>
      </w:r>
      <w:r w:rsidR="00CA5E8F">
        <w:rPr>
          <w:rFonts w:cs="Helvetica"/>
          <w:sz w:val="24"/>
          <w:szCs w:val="24"/>
        </w:rPr>
        <w:t xml:space="preserve">relations of the CFA members.  </w:t>
      </w:r>
      <w:r w:rsidR="004F6C8D" w:rsidRPr="00FB1B2D">
        <w:rPr>
          <w:rFonts w:cs="Helvetica"/>
          <w:sz w:val="24"/>
          <w:szCs w:val="24"/>
        </w:rPr>
        <w:t xml:space="preserve">We will </w:t>
      </w:r>
      <w:r w:rsidR="00CA5E8F">
        <w:rPr>
          <w:rFonts w:cs="Helvetica"/>
          <w:sz w:val="24"/>
          <w:szCs w:val="24"/>
        </w:rPr>
        <w:t>consider</w:t>
      </w:r>
      <w:r w:rsidR="004F6C8D" w:rsidRPr="00FB1B2D">
        <w:rPr>
          <w:rFonts w:cs="Helvetica"/>
          <w:sz w:val="24"/>
          <w:szCs w:val="24"/>
        </w:rPr>
        <w:t xml:space="preserve"> oth</w:t>
      </w:r>
      <w:r w:rsidR="00CA5E8F">
        <w:rPr>
          <w:rFonts w:cs="Helvetica"/>
          <w:sz w:val="24"/>
          <w:szCs w:val="24"/>
        </w:rPr>
        <w:t>er countries in a later memo.</w:t>
      </w:r>
    </w:p>
    <w:p w:rsidR="00CB538F" w:rsidRDefault="00737374" w:rsidP="004F3582">
      <w:pPr>
        <w:ind w:firstLine="720"/>
        <w:rPr>
          <w:rFonts w:cs="Helvetica"/>
          <w:color w:val="333333"/>
          <w:sz w:val="24"/>
          <w:szCs w:val="24"/>
        </w:rPr>
      </w:pPr>
      <w:r>
        <w:rPr>
          <w:rFonts w:cs="Helvetica"/>
          <w:color w:val="333333"/>
          <w:sz w:val="24"/>
          <w:szCs w:val="24"/>
        </w:rPr>
        <w:t>Table 6</w:t>
      </w:r>
      <w:r w:rsidR="00194146">
        <w:rPr>
          <w:rFonts w:cs="Helvetica"/>
          <w:color w:val="333333"/>
          <w:sz w:val="24"/>
          <w:szCs w:val="24"/>
        </w:rPr>
        <w:t xml:space="preserve"> reports correlations of growth and inflation of the individual countries with the simple currency union average. </w:t>
      </w:r>
      <w:r w:rsidR="009E367F">
        <w:rPr>
          <w:rFonts w:cs="Helvetica"/>
          <w:color w:val="333333"/>
          <w:sz w:val="24"/>
          <w:szCs w:val="24"/>
        </w:rPr>
        <w:t>A</w:t>
      </w:r>
      <w:r w:rsidR="004F6C8D">
        <w:rPr>
          <w:rFonts w:cs="Helvetica"/>
          <w:color w:val="333333"/>
          <w:sz w:val="24"/>
          <w:szCs w:val="24"/>
        </w:rPr>
        <w:t xml:space="preserve"> basic message is that the francophone countries of West Africa look relatively well-suited to be members of the CFA zone, and more specifically of UEMOA, judging by the extent to which their annual growth rates and inflation rates move</w:t>
      </w:r>
      <w:r w:rsidR="00CA5E8F">
        <w:rPr>
          <w:rFonts w:cs="Helvetica"/>
          <w:color w:val="333333"/>
          <w:sz w:val="24"/>
          <w:szCs w:val="24"/>
        </w:rPr>
        <w:t xml:space="preserve"> together</w:t>
      </w:r>
      <w:r w:rsidR="004F6C8D">
        <w:rPr>
          <w:rFonts w:cs="Helvetica"/>
          <w:color w:val="333333"/>
          <w:sz w:val="24"/>
          <w:szCs w:val="24"/>
        </w:rPr>
        <w:t xml:space="preserve">.  In rough order, the correlations </w:t>
      </w:r>
      <w:r w:rsidR="00AB5B23">
        <w:rPr>
          <w:rFonts w:cs="Helvetica"/>
          <w:color w:val="333333"/>
          <w:sz w:val="24"/>
          <w:szCs w:val="24"/>
        </w:rPr>
        <w:t xml:space="preserve">for growth plus inflation </w:t>
      </w:r>
      <w:r w:rsidR="004F6C8D">
        <w:rPr>
          <w:rFonts w:cs="Helvetica"/>
          <w:color w:val="333333"/>
          <w:sz w:val="24"/>
          <w:szCs w:val="24"/>
        </w:rPr>
        <w:t>are high f</w:t>
      </w:r>
      <w:r w:rsidR="00A44488">
        <w:rPr>
          <w:rFonts w:cs="Helvetica"/>
          <w:color w:val="333333"/>
          <w:sz w:val="24"/>
          <w:szCs w:val="24"/>
        </w:rPr>
        <w:t>or Cote d’Ivoire, Niger, Burkina</w:t>
      </w:r>
      <w:r w:rsidR="004F6C8D">
        <w:rPr>
          <w:rFonts w:cs="Helvetica"/>
          <w:color w:val="333333"/>
          <w:sz w:val="24"/>
          <w:szCs w:val="24"/>
        </w:rPr>
        <w:t xml:space="preserve"> Faso, Senegal, Mali, and Togo.  For Benin, the correlation of GDP is low, but the correlation of inflation is very high</w:t>
      </w:r>
      <w:r w:rsidR="00CA5E8F">
        <w:rPr>
          <w:rFonts w:cs="Helvetica"/>
          <w:color w:val="333333"/>
          <w:sz w:val="24"/>
          <w:szCs w:val="24"/>
        </w:rPr>
        <w:t xml:space="preserve"> (</w:t>
      </w:r>
      <w:r w:rsidR="00AD2098">
        <w:rPr>
          <w:rFonts w:cs="Helvetica"/>
          <w:color w:val="333333"/>
          <w:sz w:val="24"/>
          <w:szCs w:val="24"/>
        </w:rPr>
        <w:t>Perhaps its Aggregate Supply relationship is steep, i.e., its output is inelastic</w:t>
      </w:r>
      <w:r w:rsidR="004F6C8D">
        <w:rPr>
          <w:rFonts w:cs="Helvetica"/>
          <w:color w:val="333333"/>
          <w:sz w:val="24"/>
          <w:szCs w:val="24"/>
        </w:rPr>
        <w:t>.</w:t>
      </w:r>
      <w:r w:rsidR="00CA5E8F">
        <w:rPr>
          <w:rFonts w:cs="Helvetica"/>
          <w:color w:val="333333"/>
          <w:sz w:val="24"/>
          <w:szCs w:val="24"/>
        </w:rPr>
        <w:t>)</w:t>
      </w:r>
      <w:r w:rsidR="00AD2098">
        <w:rPr>
          <w:rFonts w:cs="Helvetica"/>
          <w:color w:val="333333"/>
          <w:sz w:val="24"/>
          <w:szCs w:val="24"/>
        </w:rPr>
        <w:t xml:space="preserve"> The outlier in UEMOA is Guinea-Bissau: the correlations are close to zero.</w:t>
      </w:r>
      <w:r w:rsidR="009E367F">
        <w:rPr>
          <w:rFonts w:cs="Helvetica"/>
          <w:color w:val="333333"/>
          <w:sz w:val="24"/>
          <w:szCs w:val="24"/>
        </w:rPr>
        <w:t xml:space="preserve">  This might be because it has historically lacked connections with the francophone countries, or more specifically because it did not join the CFA franc until 1997.</w:t>
      </w:r>
    </w:p>
    <w:p w:rsidR="00113AEC" w:rsidRDefault="009E367F" w:rsidP="00F90C2F">
      <w:pPr>
        <w:ind w:firstLine="720"/>
        <w:rPr>
          <w:rFonts w:cs="Helvetica"/>
          <w:color w:val="333333"/>
          <w:sz w:val="24"/>
          <w:szCs w:val="24"/>
        </w:rPr>
      </w:pPr>
      <w:r>
        <w:rPr>
          <w:rFonts w:cs="Helvetica"/>
          <w:color w:val="333333"/>
          <w:sz w:val="24"/>
          <w:szCs w:val="24"/>
        </w:rPr>
        <w:t>Another basic message is that the CFA countries of central Africa, the CEMAC members,</w:t>
      </w:r>
      <w:r w:rsidR="008933E5">
        <w:rPr>
          <w:rFonts w:cs="Helvetica"/>
          <w:color w:val="333333"/>
          <w:sz w:val="24"/>
          <w:szCs w:val="24"/>
        </w:rPr>
        <w:t xml:space="preserve"> do not appear as well-suited to the CFA zone as their West Afri</w:t>
      </w:r>
      <w:r w:rsidR="009D17B3">
        <w:rPr>
          <w:rFonts w:cs="Helvetica"/>
          <w:color w:val="333333"/>
          <w:sz w:val="24"/>
          <w:szCs w:val="24"/>
        </w:rPr>
        <w:t>can brethren.  Only in Equatorial Guinea</w:t>
      </w:r>
      <w:r w:rsidR="008933E5">
        <w:rPr>
          <w:rFonts w:cs="Helvetica"/>
          <w:color w:val="333333"/>
          <w:sz w:val="24"/>
          <w:szCs w:val="24"/>
        </w:rPr>
        <w:t xml:space="preserve"> does growth </w:t>
      </w:r>
      <w:r w:rsidR="009D17B3">
        <w:rPr>
          <w:rFonts w:cs="Helvetica"/>
          <w:color w:val="333333"/>
          <w:sz w:val="24"/>
          <w:szCs w:val="24"/>
        </w:rPr>
        <w:t xml:space="preserve">appear to </w:t>
      </w:r>
      <w:r w:rsidR="008933E5">
        <w:rPr>
          <w:rFonts w:cs="Helvetica"/>
          <w:color w:val="333333"/>
          <w:sz w:val="24"/>
          <w:szCs w:val="24"/>
        </w:rPr>
        <w:t>have a reasonably high correlation with growth among other members of the currency union, and the same for inflation.</w:t>
      </w:r>
    </w:p>
    <w:p w:rsidR="00015CCB" w:rsidRPr="003647EB" w:rsidRDefault="00015CCB" w:rsidP="00015CCB">
      <w:pPr>
        <w:rPr>
          <w:b/>
          <w:sz w:val="24"/>
          <w:szCs w:val="24"/>
        </w:rPr>
      </w:pPr>
      <w:r>
        <w:rPr>
          <w:b/>
          <w:sz w:val="24"/>
          <w:szCs w:val="24"/>
        </w:rPr>
        <w:lastRenderedPageBreak/>
        <w:t>Table 6:</w:t>
      </w:r>
      <w:r w:rsidRPr="003647EB">
        <w:rPr>
          <w:b/>
          <w:sz w:val="24"/>
          <w:szCs w:val="24"/>
        </w:rPr>
        <w:t xml:space="preserve"> Correlations of CFA members with the larger group:  Growth and Inflation</w:t>
      </w:r>
    </w:p>
    <w:tbl>
      <w:tblPr>
        <w:tblW w:w="11599" w:type="dxa"/>
        <w:tblInd w:w="-1080" w:type="dxa"/>
        <w:tblLook w:val="04A0" w:firstRow="1" w:lastRow="0" w:firstColumn="1" w:lastColumn="0" w:noHBand="0" w:noVBand="1"/>
      </w:tblPr>
      <w:tblGrid>
        <w:gridCol w:w="270"/>
        <w:gridCol w:w="232"/>
        <w:gridCol w:w="271"/>
        <w:gridCol w:w="314"/>
        <w:gridCol w:w="2269"/>
        <w:gridCol w:w="251"/>
        <w:gridCol w:w="720"/>
        <w:gridCol w:w="8"/>
        <w:gridCol w:w="1060"/>
        <w:gridCol w:w="308"/>
        <w:gridCol w:w="1096"/>
        <w:gridCol w:w="271"/>
        <w:gridCol w:w="47"/>
        <w:gridCol w:w="271"/>
        <w:gridCol w:w="810"/>
        <w:gridCol w:w="148"/>
        <w:gridCol w:w="912"/>
        <w:gridCol w:w="148"/>
        <w:gridCol w:w="948"/>
        <w:gridCol w:w="183"/>
        <w:gridCol w:w="1062"/>
      </w:tblGrid>
      <w:tr w:rsidR="00015CCB" w:rsidRPr="00FA2C9F" w:rsidTr="006C4CB1">
        <w:trPr>
          <w:gridBefore w:val="1"/>
          <w:gridAfter w:val="1"/>
          <w:wBefore w:w="270" w:type="dxa"/>
          <w:wAfter w:w="1062" w:type="dxa"/>
          <w:trHeight w:val="330"/>
        </w:trPr>
        <w:tc>
          <w:tcPr>
            <w:tcW w:w="503" w:type="dxa"/>
            <w:gridSpan w:val="2"/>
            <w:tcBorders>
              <w:top w:val="nil"/>
              <w:left w:val="nil"/>
              <w:bottom w:val="nil"/>
              <w:right w:val="nil"/>
            </w:tcBorders>
            <w:shd w:val="clear" w:color="auto" w:fill="auto"/>
            <w:noWrap/>
            <w:vAlign w:val="bottom"/>
            <w:hideMark/>
          </w:tcPr>
          <w:p w:rsidR="00015CCB" w:rsidRPr="00F72A98" w:rsidRDefault="00015CCB" w:rsidP="006C4CB1">
            <w:pPr>
              <w:spacing w:after="0" w:line="240" w:lineRule="auto"/>
              <w:rPr>
                <w:rFonts w:eastAsia="Times New Roman" w:cs="Times New Roman"/>
                <w:sz w:val="20"/>
                <w:szCs w:val="20"/>
              </w:rPr>
            </w:pPr>
          </w:p>
        </w:tc>
        <w:tc>
          <w:tcPr>
            <w:tcW w:w="2834" w:type="dxa"/>
            <w:gridSpan w:val="3"/>
            <w:tcBorders>
              <w:top w:val="nil"/>
              <w:left w:val="nil"/>
              <w:bottom w:val="single" w:sz="4" w:space="0" w:color="auto"/>
              <w:right w:val="nil"/>
            </w:tcBorders>
            <w:shd w:val="clear" w:color="auto" w:fill="auto"/>
            <w:noWrap/>
            <w:vAlign w:val="bottom"/>
            <w:hideMark/>
          </w:tcPr>
          <w:p w:rsidR="00015CCB" w:rsidRPr="00F72A98" w:rsidRDefault="00015CCB" w:rsidP="006C4CB1">
            <w:pPr>
              <w:spacing w:after="0" w:line="240" w:lineRule="auto"/>
              <w:rPr>
                <w:rFonts w:eastAsia="Times New Roman" w:cs="Calibri"/>
                <w:b/>
                <w:bCs/>
                <w:color w:val="44546A"/>
              </w:rPr>
            </w:pPr>
            <w:r w:rsidRPr="00F72A98">
              <w:rPr>
                <w:rFonts w:eastAsia="Times New Roman" w:cs="Calibri"/>
                <w:b/>
                <w:bCs/>
                <w:color w:val="44546A"/>
              </w:rPr>
              <w:t>1983-2017</w:t>
            </w:r>
          </w:p>
        </w:tc>
        <w:tc>
          <w:tcPr>
            <w:tcW w:w="3192" w:type="dxa"/>
            <w:gridSpan w:val="5"/>
            <w:tcBorders>
              <w:top w:val="nil"/>
              <w:left w:val="nil"/>
              <w:bottom w:val="single" w:sz="4" w:space="0" w:color="auto"/>
              <w:right w:val="nil"/>
            </w:tcBorders>
            <w:shd w:val="clear" w:color="auto" w:fill="auto"/>
            <w:noWrap/>
            <w:vAlign w:val="bottom"/>
            <w:hideMark/>
          </w:tcPr>
          <w:p w:rsidR="00015CCB" w:rsidRPr="00F72A98" w:rsidRDefault="00015CCB" w:rsidP="006C4CB1">
            <w:pPr>
              <w:spacing w:after="0" w:line="240" w:lineRule="auto"/>
              <w:jc w:val="center"/>
              <w:rPr>
                <w:rFonts w:eastAsia="Times New Roman" w:cs="Calibri"/>
                <w:b/>
                <w:bCs/>
                <w:color w:val="44546A"/>
              </w:rPr>
            </w:pPr>
            <w:r w:rsidRPr="00F72A98">
              <w:rPr>
                <w:rFonts w:eastAsia="Times New Roman" w:cs="Calibri"/>
                <w:b/>
                <w:bCs/>
                <w:color w:val="44546A"/>
              </w:rPr>
              <w:t>(1) GDP Growth*</w:t>
            </w:r>
          </w:p>
        </w:tc>
        <w:tc>
          <w:tcPr>
            <w:tcW w:w="271" w:type="dxa"/>
            <w:tcBorders>
              <w:top w:val="nil"/>
              <w:left w:val="nil"/>
              <w:bottom w:val="single" w:sz="4" w:space="0" w:color="auto"/>
              <w:right w:val="nil"/>
            </w:tcBorders>
            <w:shd w:val="clear" w:color="auto" w:fill="auto"/>
            <w:noWrap/>
            <w:vAlign w:val="bottom"/>
            <w:hideMark/>
          </w:tcPr>
          <w:p w:rsidR="00015CCB" w:rsidRPr="00FA2C9F" w:rsidRDefault="00015CCB" w:rsidP="006C4CB1">
            <w:pPr>
              <w:spacing w:after="0" w:line="240" w:lineRule="auto"/>
              <w:rPr>
                <w:rFonts w:ascii="Book Antiqua" w:eastAsia="Times New Roman" w:hAnsi="Book Antiqua" w:cs="Calibri"/>
                <w:color w:val="000000"/>
              </w:rPr>
            </w:pPr>
            <w:r w:rsidRPr="00FA2C9F">
              <w:rPr>
                <w:rFonts w:ascii="Book Antiqua" w:eastAsia="Times New Roman" w:hAnsi="Book Antiqua" w:cs="Calibri"/>
                <w:color w:val="000000"/>
              </w:rPr>
              <w:t> </w:t>
            </w:r>
          </w:p>
        </w:tc>
        <w:tc>
          <w:tcPr>
            <w:tcW w:w="3467" w:type="dxa"/>
            <w:gridSpan w:val="8"/>
            <w:tcBorders>
              <w:top w:val="nil"/>
              <w:left w:val="nil"/>
              <w:bottom w:val="single" w:sz="4" w:space="0" w:color="auto"/>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44546A"/>
              </w:rPr>
            </w:pPr>
            <w:r>
              <w:rPr>
                <w:rFonts w:ascii="Book Antiqua" w:eastAsia="Times New Roman" w:hAnsi="Book Antiqua" w:cs="Calibri"/>
                <w:b/>
                <w:bCs/>
                <w:color w:val="44546A"/>
              </w:rPr>
              <w:t xml:space="preserve">(2) </w:t>
            </w:r>
            <w:r w:rsidRPr="00FA2C9F">
              <w:rPr>
                <w:rFonts w:ascii="Book Antiqua" w:eastAsia="Times New Roman" w:hAnsi="Book Antiqua" w:cs="Calibri"/>
                <w:b/>
                <w:bCs/>
                <w:color w:val="44546A"/>
              </w:rPr>
              <w:t>Inflation</w:t>
            </w:r>
            <w:r>
              <w:rPr>
                <w:rFonts w:ascii="Book Antiqua" w:eastAsia="Times New Roman" w:hAnsi="Book Antiqua" w:cs="Calibri"/>
                <w:b/>
                <w:bCs/>
                <w:color w:val="44546A"/>
              </w:rPr>
              <w:t>** (CPI</w:t>
            </w:r>
            <w:r w:rsidRPr="00FA2C9F">
              <w:rPr>
                <w:rFonts w:ascii="Book Antiqua" w:eastAsia="Times New Roman" w:hAnsi="Book Antiqua" w:cs="Calibri"/>
                <w:b/>
                <w:bCs/>
                <w:color w:val="44546A"/>
              </w:rPr>
              <w:t>)</w:t>
            </w:r>
          </w:p>
        </w:tc>
      </w:tr>
      <w:tr w:rsidR="00015CCB" w:rsidRPr="00FA2C9F" w:rsidTr="006C4CB1">
        <w:trPr>
          <w:gridBefore w:val="1"/>
          <w:gridAfter w:val="1"/>
          <w:wBefore w:w="270" w:type="dxa"/>
          <w:wAfter w:w="1062" w:type="dxa"/>
          <w:trHeight w:val="330"/>
        </w:trPr>
        <w:tc>
          <w:tcPr>
            <w:tcW w:w="503" w:type="dxa"/>
            <w:gridSpan w:val="2"/>
            <w:tcBorders>
              <w:top w:val="nil"/>
              <w:left w:val="nil"/>
              <w:bottom w:val="nil"/>
              <w:right w:val="nil"/>
            </w:tcBorders>
            <w:shd w:val="clear" w:color="auto" w:fill="auto"/>
            <w:noWrap/>
            <w:vAlign w:val="bottom"/>
            <w:hideMark/>
          </w:tcPr>
          <w:p w:rsidR="00015CCB" w:rsidRPr="00F72A98" w:rsidRDefault="00015CCB" w:rsidP="006C4CB1">
            <w:pPr>
              <w:spacing w:after="0" w:line="240" w:lineRule="auto"/>
              <w:jc w:val="center"/>
              <w:rPr>
                <w:rFonts w:eastAsia="Times New Roman" w:cs="Calibri"/>
                <w:b/>
                <w:bCs/>
                <w:color w:val="44546A"/>
              </w:rPr>
            </w:pPr>
          </w:p>
        </w:tc>
        <w:tc>
          <w:tcPr>
            <w:tcW w:w="2834" w:type="dxa"/>
            <w:gridSpan w:val="3"/>
            <w:tcBorders>
              <w:top w:val="nil"/>
              <w:left w:val="nil"/>
              <w:bottom w:val="nil"/>
              <w:right w:val="nil"/>
            </w:tcBorders>
            <w:shd w:val="clear" w:color="auto" w:fill="auto"/>
            <w:noWrap/>
            <w:vAlign w:val="bottom"/>
            <w:hideMark/>
          </w:tcPr>
          <w:p w:rsidR="00015CCB" w:rsidRPr="00F72A98" w:rsidRDefault="00015CCB" w:rsidP="006C4CB1">
            <w:pPr>
              <w:spacing w:after="0" w:line="240" w:lineRule="auto"/>
              <w:rPr>
                <w:rFonts w:eastAsia="Times New Roman" w:cs="Times New Roman"/>
                <w:sz w:val="20"/>
                <w:szCs w:val="20"/>
              </w:rPr>
            </w:pPr>
          </w:p>
        </w:tc>
        <w:tc>
          <w:tcPr>
            <w:tcW w:w="720" w:type="dxa"/>
            <w:tcBorders>
              <w:top w:val="nil"/>
              <w:left w:val="nil"/>
              <w:bottom w:val="nil"/>
              <w:right w:val="nil"/>
            </w:tcBorders>
            <w:shd w:val="clear" w:color="auto" w:fill="auto"/>
            <w:noWrap/>
            <w:vAlign w:val="center"/>
            <w:hideMark/>
          </w:tcPr>
          <w:p w:rsidR="00015CCB" w:rsidRPr="00F72A98" w:rsidRDefault="00015CCB" w:rsidP="006C4CB1">
            <w:pPr>
              <w:spacing w:after="0" w:line="240" w:lineRule="auto"/>
              <w:jc w:val="center"/>
              <w:rPr>
                <w:rFonts w:eastAsia="Times New Roman" w:cs="Calibri"/>
                <w:b/>
                <w:bCs/>
                <w:color w:val="000000"/>
              </w:rPr>
            </w:pPr>
            <w:r w:rsidRPr="00F72A98">
              <w:rPr>
                <w:rFonts w:eastAsia="Times New Roman" w:cs="Calibri"/>
                <w:b/>
                <w:bCs/>
                <w:color w:val="000000"/>
              </w:rPr>
              <w:t xml:space="preserve">CFA </w:t>
            </w:r>
          </w:p>
        </w:tc>
        <w:tc>
          <w:tcPr>
            <w:tcW w:w="1376"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jc w:val="center"/>
              <w:rPr>
                <w:rFonts w:eastAsia="Times New Roman" w:cs="Calibri"/>
                <w:b/>
                <w:bCs/>
                <w:color w:val="000000"/>
              </w:rPr>
            </w:pPr>
            <w:r w:rsidRPr="00F72A98">
              <w:rPr>
                <w:rFonts w:eastAsia="Times New Roman" w:cs="Calibri"/>
                <w:b/>
                <w:bCs/>
                <w:color w:val="000000"/>
              </w:rPr>
              <w:t>CEMAC</w:t>
            </w:r>
          </w:p>
        </w:tc>
        <w:tc>
          <w:tcPr>
            <w:tcW w:w="1096" w:type="dxa"/>
            <w:tcBorders>
              <w:top w:val="nil"/>
              <w:left w:val="nil"/>
              <w:bottom w:val="nil"/>
              <w:right w:val="nil"/>
            </w:tcBorders>
            <w:shd w:val="clear" w:color="auto" w:fill="auto"/>
            <w:noWrap/>
            <w:vAlign w:val="center"/>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UEMOA</w:t>
            </w:r>
          </w:p>
        </w:tc>
        <w:tc>
          <w:tcPr>
            <w:tcW w:w="271" w:type="dxa"/>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p>
        </w:tc>
        <w:tc>
          <w:tcPr>
            <w:tcW w:w="1276" w:type="dxa"/>
            <w:gridSpan w:val="4"/>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 xml:space="preserve">CFA </w:t>
            </w:r>
          </w:p>
        </w:tc>
        <w:tc>
          <w:tcPr>
            <w:tcW w:w="1060" w:type="dxa"/>
            <w:gridSpan w:val="2"/>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CEMAC</w:t>
            </w:r>
          </w:p>
        </w:tc>
        <w:tc>
          <w:tcPr>
            <w:tcW w:w="1131" w:type="dxa"/>
            <w:gridSpan w:val="2"/>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UEMOA</w:t>
            </w:r>
          </w:p>
        </w:tc>
      </w:tr>
      <w:tr w:rsidR="00015CCB" w:rsidRPr="00FA2C9F" w:rsidTr="006C4CB1">
        <w:trPr>
          <w:gridBefore w:val="1"/>
          <w:gridAfter w:val="1"/>
          <w:wBefore w:w="270" w:type="dxa"/>
          <w:wAfter w:w="1062" w:type="dxa"/>
          <w:trHeight w:val="330"/>
        </w:trPr>
        <w:tc>
          <w:tcPr>
            <w:tcW w:w="503" w:type="dxa"/>
            <w:gridSpan w:val="2"/>
            <w:vMerge w:val="restart"/>
            <w:tcBorders>
              <w:top w:val="nil"/>
              <w:left w:val="nil"/>
              <w:bottom w:val="nil"/>
              <w:right w:val="nil"/>
            </w:tcBorders>
            <w:shd w:val="clear" w:color="auto" w:fill="auto"/>
            <w:noWrap/>
            <w:textDirection w:val="btLr"/>
            <w:vAlign w:val="center"/>
            <w:hideMark/>
          </w:tcPr>
          <w:p w:rsidR="00015CCB" w:rsidRPr="00F72A98" w:rsidRDefault="00015CCB" w:rsidP="006C4CB1">
            <w:pPr>
              <w:spacing w:after="0" w:line="240" w:lineRule="auto"/>
              <w:jc w:val="center"/>
              <w:rPr>
                <w:rFonts w:eastAsia="Times New Roman" w:cs="Calibri"/>
                <w:color w:val="000000"/>
              </w:rPr>
            </w:pPr>
            <w:r w:rsidRPr="00F72A98">
              <w:rPr>
                <w:rFonts w:eastAsia="Times New Roman" w:cs="Calibri"/>
                <w:color w:val="000000"/>
              </w:rPr>
              <w:t>CEMAC</w:t>
            </w: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Cameroon</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0.39</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0.34</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0.27</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0.79</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0.85</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0.62</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Central African Republic</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0.31</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0.34</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0.09</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0.52</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0.69</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0.29</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Chad</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0.43</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0.45</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0.15</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0.67</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Congo, Republic of</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0.02</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0.12</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-0.17</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0.87</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0.91</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0.71</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Equatorial Guinea</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0.80</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0.88</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0.20</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0.78</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0.63</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single" w:sz="4" w:space="0" w:color="auto"/>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Gabon</w:t>
            </w:r>
          </w:p>
        </w:tc>
        <w:tc>
          <w:tcPr>
            <w:tcW w:w="720" w:type="dxa"/>
            <w:tcBorders>
              <w:top w:val="nil"/>
              <w:left w:val="nil"/>
              <w:bottom w:val="single" w:sz="4" w:space="0" w:color="auto"/>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0.20</w:t>
            </w:r>
          </w:p>
        </w:tc>
        <w:tc>
          <w:tcPr>
            <w:tcW w:w="1376" w:type="dxa"/>
            <w:gridSpan w:val="3"/>
            <w:tcBorders>
              <w:top w:val="nil"/>
              <w:left w:val="nil"/>
              <w:bottom w:val="single" w:sz="4" w:space="0" w:color="auto"/>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0.16</w:t>
            </w:r>
          </w:p>
        </w:tc>
        <w:tc>
          <w:tcPr>
            <w:tcW w:w="1096" w:type="dxa"/>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0.15</w:t>
            </w:r>
          </w:p>
        </w:tc>
        <w:tc>
          <w:tcPr>
            <w:tcW w:w="271" w:type="dxa"/>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0.79</w:t>
            </w:r>
          </w:p>
        </w:tc>
        <w:tc>
          <w:tcPr>
            <w:tcW w:w="1060" w:type="dxa"/>
            <w:gridSpan w:val="2"/>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0.86</w:t>
            </w:r>
          </w:p>
        </w:tc>
        <w:tc>
          <w:tcPr>
            <w:tcW w:w="1131" w:type="dxa"/>
            <w:gridSpan w:val="2"/>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0.60</w:t>
            </w:r>
          </w:p>
        </w:tc>
      </w:tr>
      <w:tr w:rsidR="00015CCB" w:rsidRPr="00FA2C9F" w:rsidTr="006C4CB1">
        <w:trPr>
          <w:gridBefore w:val="1"/>
          <w:gridAfter w:val="1"/>
          <w:wBefore w:w="270" w:type="dxa"/>
          <w:wAfter w:w="1062" w:type="dxa"/>
          <w:trHeight w:val="330"/>
        </w:trPr>
        <w:tc>
          <w:tcPr>
            <w:tcW w:w="503" w:type="dxa"/>
            <w:gridSpan w:val="2"/>
            <w:vMerge w:val="restart"/>
            <w:tcBorders>
              <w:top w:val="nil"/>
              <w:left w:val="nil"/>
              <w:bottom w:val="nil"/>
              <w:right w:val="nil"/>
            </w:tcBorders>
            <w:shd w:val="clear" w:color="auto" w:fill="auto"/>
            <w:noWrap/>
            <w:textDirection w:val="btLr"/>
            <w:vAlign w:val="center"/>
            <w:hideMark/>
          </w:tcPr>
          <w:p w:rsidR="00015CCB" w:rsidRPr="00F72A98" w:rsidRDefault="00015CCB" w:rsidP="006C4CB1">
            <w:pPr>
              <w:spacing w:after="0" w:line="240" w:lineRule="auto"/>
              <w:jc w:val="center"/>
              <w:rPr>
                <w:rFonts w:eastAsia="Times New Roman" w:cs="Calibri"/>
                <w:color w:val="000000"/>
              </w:rPr>
            </w:pPr>
            <w:r w:rsidRPr="00F72A98">
              <w:rPr>
                <w:rFonts w:eastAsia="Times New Roman" w:cs="Calibri"/>
                <w:color w:val="000000"/>
              </w:rPr>
              <w:t>UEMOA</w:t>
            </w: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Benin</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0.26</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0.13</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0.36</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0.97</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0.94</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0.93</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Burkina Faso</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0.50</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0.28</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0.66</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0.91</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0.90</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0.79</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Guinea-Bissau</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0.14</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0.01</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0.30</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0.23</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-0.15</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0.54</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Côte d'Ivoire</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0.27</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0.00</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0.65</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0.82</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0.73</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0.79</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Mali</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0.40</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0.20</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0.58</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0.88</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0.89</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0.76</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Niger</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0.30</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0.05</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0.62</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0.87</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0.86</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0.73</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Senegal</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0.22</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0.05</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0.41</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0.87</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0.69</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Togo</w:t>
            </w:r>
          </w:p>
        </w:tc>
        <w:tc>
          <w:tcPr>
            <w:tcW w:w="720" w:type="dxa"/>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0.55</w:t>
            </w:r>
          </w:p>
        </w:tc>
        <w:tc>
          <w:tcPr>
            <w:tcW w:w="1376"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0.35</w:t>
            </w:r>
          </w:p>
        </w:tc>
        <w:tc>
          <w:tcPr>
            <w:tcW w:w="1096"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0.65</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0.90</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c>
          <w:tcPr>
            <w:tcW w:w="1131"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r>
      <w:tr w:rsidR="00015CCB" w:rsidRPr="00FA2C9F" w:rsidTr="006C4CB1">
        <w:trPr>
          <w:gridBefore w:val="1"/>
          <w:gridAfter w:val="1"/>
          <w:wBefore w:w="270" w:type="dxa"/>
          <w:wAfter w:w="1062" w:type="dxa"/>
          <w:trHeight w:val="330"/>
        </w:trPr>
        <w:tc>
          <w:tcPr>
            <w:tcW w:w="503" w:type="dxa"/>
            <w:gridSpan w:val="2"/>
            <w:vMerge/>
            <w:tcBorders>
              <w:top w:val="nil"/>
              <w:left w:val="nil"/>
              <w:bottom w:val="nil"/>
              <w:right w:val="nil"/>
            </w:tcBorders>
            <w:shd w:val="clear" w:color="auto" w:fill="auto"/>
            <w:vAlign w:val="center"/>
            <w:hideMark/>
          </w:tcPr>
          <w:p w:rsidR="00015CCB" w:rsidRPr="00F72A98" w:rsidRDefault="00015CCB" w:rsidP="006C4CB1">
            <w:pPr>
              <w:spacing w:after="0" w:line="240" w:lineRule="auto"/>
              <w:rPr>
                <w:rFonts w:eastAsia="Times New Roman" w:cs="Times New Roman"/>
                <w:sz w:val="20"/>
                <w:szCs w:val="20"/>
              </w:rPr>
            </w:pPr>
          </w:p>
        </w:tc>
        <w:tc>
          <w:tcPr>
            <w:tcW w:w="283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jc w:val="center"/>
              <w:rPr>
                <w:rFonts w:eastAsia="Times New Roman" w:cs="Calibri"/>
                <w:color w:val="000000"/>
              </w:rPr>
            </w:pPr>
          </w:p>
        </w:tc>
        <w:tc>
          <w:tcPr>
            <w:tcW w:w="720" w:type="dxa"/>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p>
        </w:tc>
        <w:tc>
          <w:tcPr>
            <w:tcW w:w="1376"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jc w:val="center"/>
              <w:rPr>
                <w:rFonts w:eastAsia="Times New Roman" w:cs="Calibri"/>
                <w:color w:val="000000"/>
              </w:rPr>
            </w:pPr>
          </w:p>
        </w:tc>
        <w:tc>
          <w:tcPr>
            <w:tcW w:w="1096" w:type="dxa"/>
            <w:tcBorders>
              <w:top w:val="nil"/>
              <w:left w:val="nil"/>
              <w:bottom w:val="nil"/>
              <w:right w:val="nil"/>
            </w:tcBorders>
            <w:shd w:val="clear" w:color="auto" w:fill="auto"/>
            <w:noWrap/>
            <w:vAlign w:val="center"/>
            <w:hideMark/>
          </w:tcPr>
          <w:p w:rsidR="00015CCB" w:rsidRPr="007E77F5" w:rsidRDefault="00015CCB" w:rsidP="006C4CB1">
            <w:pPr>
              <w:spacing w:after="0" w:line="240" w:lineRule="auto"/>
              <w:jc w:val="center"/>
              <w:rPr>
                <w:rFonts w:ascii="Book Antiqua" w:eastAsia="Times New Roman" w:hAnsi="Book Antiqua" w:cs="Calibri"/>
                <w:color w:val="000000"/>
              </w:rPr>
            </w:pPr>
          </w:p>
        </w:tc>
        <w:tc>
          <w:tcPr>
            <w:tcW w:w="271" w:type="dxa"/>
            <w:tcBorders>
              <w:top w:val="nil"/>
              <w:left w:val="nil"/>
              <w:bottom w:val="nil"/>
              <w:right w:val="nil"/>
            </w:tcBorders>
            <w:shd w:val="clear" w:color="auto" w:fill="auto"/>
            <w:noWrap/>
            <w:vAlign w:val="center"/>
            <w:hideMark/>
          </w:tcPr>
          <w:p w:rsidR="00015CCB" w:rsidRPr="007E77F5" w:rsidRDefault="00015CCB" w:rsidP="006C4CB1">
            <w:pPr>
              <w:spacing w:after="0" w:line="240" w:lineRule="auto"/>
              <w:jc w:val="center"/>
              <w:rPr>
                <w:rFonts w:ascii="Book Antiqua" w:eastAsia="Times New Roman" w:hAnsi="Book Antiqua" w:cs="Calibri"/>
                <w:color w:val="000000"/>
              </w:rPr>
            </w:pPr>
          </w:p>
        </w:tc>
        <w:tc>
          <w:tcPr>
            <w:tcW w:w="1276" w:type="dxa"/>
            <w:gridSpan w:val="4"/>
            <w:tcBorders>
              <w:top w:val="nil"/>
              <w:left w:val="nil"/>
              <w:bottom w:val="nil"/>
              <w:right w:val="nil"/>
            </w:tcBorders>
            <w:shd w:val="clear" w:color="auto" w:fill="auto"/>
            <w:noWrap/>
            <w:vAlign w:val="center"/>
            <w:hideMark/>
          </w:tcPr>
          <w:p w:rsidR="00015CCB" w:rsidRPr="007E77F5" w:rsidRDefault="00015CCB" w:rsidP="006C4CB1">
            <w:pPr>
              <w:spacing w:after="0" w:line="240" w:lineRule="auto"/>
              <w:jc w:val="center"/>
              <w:rPr>
                <w:rFonts w:ascii="Book Antiqua" w:eastAsia="Times New Roman" w:hAnsi="Book Antiqua" w:cs="Calibri"/>
                <w:color w:val="000000"/>
              </w:rPr>
            </w:pPr>
          </w:p>
        </w:tc>
        <w:tc>
          <w:tcPr>
            <w:tcW w:w="1060" w:type="dxa"/>
            <w:gridSpan w:val="2"/>
            <w:tcBorders>
              <w:top w:val="nil"/>
              <w:left w:val="nil"/>
              <w:bottom w:val="nil"/>
              <w:right w:val="nil"/>
            </w:tcBorders>
            <w:shd w:val="clear" w:color="auto" w:fill="auto"/>
            <w:noWrap/>
            <w:vAlign w:val="center"/>
            <w:hideMark/>
          </w:tcPr>
          <w:p w:rsidR="00015CCB" w:rsidRPr="007E77F5" w:rsidRDefault="00015CCB" w:rsidP="006C4CB1">
            <w:pPr>
              <w:spacing w:after="0" w:line="240" w:lineRule="auto"/>
              <w:jc w:val="center"/>
              <w:rPr>
                <w:rFonts w:ascii="Book Antiqua" w:eastAsia="Times New Roman" w:hAnsi="Book Antiqua" w:cs="Calibri"/>
                <w:color w:val="000000"/>
              </w:rPr>
            </w:pPr>
          </w:p>
        </w:tc>
        <w:tc>
          <w:tcPr>
            <w:tcW w:w="1131" w:type="dxa"/>
            <w:gridSpan w:val="2"/>
            <w:tcBorders>
              <w:top w:val="nil"/>
              <w:left w:val="nil"/>
              <w:bottom w:val="nil"/>
              <w:right w:val="nil"/>
            </w:tcBorders>
            <w:shd w:val="clear" w:color="auto" w:fill="auto"/>
            <w:noWrap/>
            <w:vAlign w:val="center"/>
            <w:hideMark/>
          </w:tcPr>
          <w:p w:rsidR="00015CCB" w:rsidRPr="007E77F5" w:rsidRDefault="00015CCB" w:rsidP="006C4CB1">
            <w:pPr>
              <w:spacing w:after="0" w:line="240" w:lineRule="auto"/>
              <w:jc w:val="center"/>
              <w:rPr>
                <w:rFonts w:ascii="Book Antiqua" w:eastAsia="Times New Roman" w:hAnsi="Book Antiqua" w:cs="Calibri"/>
                <w:color w:val="000000"/>
              </w:rPr>
            </w:pPr>
          </w:p>
        </w:tc>
      </w:tr>
      <w:tr w:rsidR="00015CCB" w:rsidRPr="00FA2C9F" w:rsidTr="006C4CB1">
        <w:trPr>
          <w:gridAfter w:val="2"/>
          <w:wAfter w:w="1245" w:type="dxa"/>
          <w:trHeight w:val="330"/>
        </w:trPr>
        <w:tc>
          <w:tcPr>
            <w:tcW w:w="502" w:type="dxa"/>
            <w:gridSpan w:val="2"/>
            <w:tcBorders>
              <w:top w:val="nil"/>
              <w:left w:val="nil"/>
              <w:bottom w:val="nil"/>
              <w:right w:val="nil"/>
            </w:tcBorders>
            <w:shd w:val="clear" w:color="auto" w:fill="auto"/>
            <w:noWrap/>
            <w:vAlign w:val="bottom"/>
            <w:hideMark/>
          </w:tcPr>
          <w:p w:rsidR="00015CCB" w:rsidRPr="00F72A98" w:rsidRDefault="00015CCB" w:rsidP="006C4CB1">
            <w:pPr>
              <w:spacing w:after="0" w:line="240" w:lineRule="auto"/>
              <w:rPr>
                <w:rFonts w:eastAsia="Times New Roman" w:cs="Times New Roman"/>
                <w:sz w:val="20"/>
                <w:szCs w:val="20"/>
              </w:rPr>
            </w:pPr>
          </w:p>
        </w:tc>
        <w:tc>
          <w:tcPr>
            <w:tcW w:w="2854" w:type="dxa"/>
            <w:gridSpan w:val="3"/>
            <w:tcBorders>
              <w:top w:val="nil"/>
              <w:left w:val="nil"/>
              <w:bottom w:val="single" w:sz="4" w:space="0" w:color="auto"/>
              <w:right w:val="nil"/>
            </w:tcBorders>
            <w:shd w:val="clear" w:color="auto" w:fill="auto"/>
            <w:noWrap/>
            <w:vAlign w:val="bottom"/>
            <w:hideMark/>
          </w:tcPr>
          <w:p w:rsidR="00015CCB" w:rsidRPr="00F72A98" w:rsidRDefault="00015CCB" w:rsidP="006C4CB1">
            <w:pPr>
              <w:spacing w:after="0" w:line="240" w:lineRule="auto"/>
              <w:rPr>
                <w:rFonts w:eastAsia="Times New Roman" w:cs="Calibri"/>
                <w:b/>
                <w:bCs/>
                <w:color w:val="44546A"/>
              </w:rPr>
            </w:pPr>
            <w:r w:rsidRPr="00F72A98">
              <w:rPr>
                <w:rFonts w:eastAsia="Times New Roman" w:cs="Calibri"/>
                <w:b/>
                <w:bCs/>
                <w:color w:val="44546A"/>
              </w:rPr>
              <w:t>1968-2017</w:t>
            </w:r>
          </w:p>
        </w:tc>
        <w:tc>
          <w:tcPr>
            <w:tcW w:w="3761" w:type="dxa"/>
            <w:gridSpan w:val="8"/>
            <w:tcBorders>
              <w:top w:val="nil"/>
              <w:left w:val="nil"/>
              <w:bottom w:val="single" w:sz="4" w:space="0" w:color="auto"/>
              <w:right w:val="nil"/>
            </w:tcBorders>
            <w:shd w:val="clear" w:color="auto" w:fill="auto"/>
            <w:noWrap/>
            <w:vAlign w:val="bottom"/>
            <w:hideMark/>
          </w:tcPr>
          <w:p w:rsidR="00015CCB" w:rsidRPr="00F72A98" w:rsidRDefault="00015CCB" w:rsidP="006C4CB1">
            <w:pPr>
              <w:spacing w:after="0" w:line="240" w:lineRule="auto"/>
              <w:jc w:val="center"/>
              <w:rPr>
                <w:rFonts w:eastAsia="Times New Roman" w:cs="Calibri"/>
                <w:b/>
                <w:bCs/>
                <w:color w:val="44546A"/>
              </w:rPr>
            </w:pPr>
            <w:r w:rsidRPr="00F72A98">
              <w:rPr>
                <w:rFonts w:eastAsia="Times New Roman" w:cs="Calibri"/>
                <w:b/>
                <w:bCs/>
                <w:color w:val="44546A"/>
              </w:rPr>
              <w:t>(1) GDP Growth*</w:t>
            </w:r>
          </w:p>
        </w:tc>
        <w:tc>
          <w:tcPr>
            <w:tcW w:w="271" w:type="dxa"/>
            <w:tcBorders>
              <w:top w:val="nil"/>
              <w:left w:val="nil"/>
              <w:bottom w:val="single" w:sz="4" w:space="0" w:color="auto"/>
              <w:right w:val="nil"/>
            </w:tcBorders>
            <w:shd w:val="clear" w:color="auto" w:fill="auto"/>
            <w:noWrap/>
            <w:vAlign w:val="bottom"/>
            <w:hideMark/>
          </w:tcPr>
          <w:p w:rsidR="00015CCB" w:rsidRPr="00FA2C9F" w:rsidRDefault="00015CCB" w:rsidP="006C4CB1">
            <w:pPr>
              <w:spacing w:after="0" w:line="240" w:lineRule="auto"/>
              <w:rPr>
                <w:rFonts w:ascii="Book Antiqua" w:eastAsia="Times New Roman" w:hAnsi="Book Antiqua" w:cs="Calibri"/>
                <w:color w:val="000000"/>
              </w:rPr>
            </w:pPr>
            <w:r w:rsidRPr="00FA2C9F">
              <w:rPr>
                <w:rFonts w:ascii="Book Antiqua" w:eastAsia="Times New Roman" w:hAnsi="Book Antiqua" w:cs="Calibri"/>
                <w:color w:val="000000"/>
              </w:rPr>
              <w:t> </w:t>
            </w:r>
          </w:p>
        </w:tc>
        <w:tc>
          <w:tcPr>
            <w:tcW w:w="2966" w:type="dxa"/>
            <w:gridSpan w:val="5"/>
            <w:tcBorders>
              <w:top w:val="nil"/>
              <w:left w:val="nil"/>
              <w:bottom w:val="single" w:sz="4" w:space="0" w:color="auto"/>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44546A"/>
              </w:rPr>
            </w:pPr>
            <w:r>
              <w:rPr>
                <w:rFonts w:ascii="Book Antiqua" w:eastAsia="Times New Roman" w:hAnsi="Book Antiqua" w:cs="Calibri"/>
                <w:b/>
                <w:bCs/>
                <w:color w:val="44546A"/>
              </w:rPr>
              <w:t xml:space="preserve">(2) </w:t>
            </w:r>
            <w:r w:rsidRPr="00FA2C9F">
              <w:rPr>
                <w:rFonts w:ascii="Book Antiqua" w:eastAsia="Times New Roman" w:hAnsi="Book Antiqua" w:cs="Calibri"/>
                <w:b/>
                <w:bCs/>
                <w:color w:val="44546A"/>
              </w:rPr>
              <w:t>Inflation</w:t>
            </w:r>
            <w:r>
              <w:rPr>
                <w:rFonts w:ascii="Book Antiqua" w:eastAsia="Times New Roman" w:hAnsi="Book Antiqua" w:cs="Calibri"/>
                <w:b/>
                <w:bCs/>
                <w:color w:val="44546A"/>
              </w:rPr>
              <w:t>**</w:t>
            </w:r>
            <w:r w:rsidRPr="00FA2C9F">
              <w:rPr>
                <w:rFonts w:ascii="Book Antiqua" w:eastAsia="Times New Roman" w:hAnsi="Book Antiqua" w:cs="Calibri"/>
                <w:b/>
                <w:bCs/>
                <w:color w:val="44546A"/>
              </w:rPr>
              <w:t xml:space="preserve"> (</w:t>
            </w:r>
            <w:r>
              <w:rPr>
                <w:rFonts w:ascii="Book Antiqua" w:eastAsia="Times New Roman" w:hAnsi="Book Antiqua" w:cs="Calibri"/>
                <w:b/>
                <w:bCs/>
                <w:color w:val="44546A"/>
              </w:rPr>
              <w:t>CPI</w:t>
            </w:r>
            <w:r w:rsidRPr="00FA2C9F">
              <w:rPr>
                <w:rFonts w:ascii="Book Antiqua" w:eastAsia="Times New Roman" w:hAnsi="Book Antiqua" w:cs="Calibri"/>
                <w:b/>
                <w:bCs/>
                <w:color w:val="44546A"/>
              </w:rPr>
              <w:t>)</w:t>
            </w:r>
          </w:p>
        </w:tc>
      </w:tr>
      <w:tr w:rsidR="00015CCB" w:rsidRPr="00FA2C9F" w:rsidTr="006C4CB1">
        <w:trPr>
          <w:gridAfter w:val="2"/>
          <w:wAfter w:w="1245" w:type="dxa"/>
          <w:trHeight w:val="330"/>
        </w:trPr>
        <w:tc>
          <w:tcPr>
            <w:tcW w:w="502" w:type="dxa"/>
            <w:gridSpan w:val="2"/>
            <w:tcBorders>
              <w:top w:val="nil"/>
              <w:left w:val="nil"/>
              <w:bottom w:val="nil"/>
              <w:right w:val="nil"/>
            </w:tcBorders>
            <w:shd w:val="clear" w:color="auto" w:fill="auto"/>
            <w:noWrap/>
            <w:vAlign w:val="bottom"/>
            <w:hideMark/>
          </w:tcPr>
          <w:p w:rsidR="00015CCB" w:rsidRPr="00F72A98" w:rsidRDefault="00015CCB" w:rsidP="006C4CB1">
            <w:pPr>
              <w:spacing w:after="0" w:line="240" w:lineRule="auto"/>
              <w:jc w:val="center"/>
              <w:rPr>
                <w:rFonts w:eastAsia="Times New Roman" w:cs="Calibri"/>
                <w:b/>
                <w:bCs/>
                <w:color w:val="44546A"/>
              </w:rPr>
            </w:pPr>
          </w:p>
        </w:tc>
        <w:tc>
          <w:tcPr>
            <w:tcW w:w="2854" w:type="dxa"/>
            <w:gridSpan w:val="3"/>
            <w:tcBorders>
              <w:top w:val="nil"/>
              <w:left w:val="nil"/>
              <w:bottom w:val="nil"/>
              <w:right w:val="nil"/>
            </w:tcBorders>
            <w:shd w:val="clear" w:color="auto" w:fill="auto"/>
            <w:noWrap/>
            <w:vAlign w:val="bottom"/>
            <w:hideMark/>
          </w:tcPr>
          <w:p w:rsidR="00015CCB" w:rsidRPr="00F72A98" w:rsidRDefault="00015CCB" w:rsidP="006C4CB1">
            <w:pPr>
              <w:spacing w:after="0" w:line="240" w:lineRule="auto"/>
              <w:rPr>
                <w:rFonts w:eastAsia="Times New Roman" w:cs="Times New Roman"/>
                <w:sz w:val="20"/>
                <w:szCs w:val="20"/>
              </w:rPr>
            </w:pPr>
          </w:p>
        </w:tc>
        <w:tc>
          <w:tcPr>
            <w:tcW w:w="979"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jc w:val="center"/>
              <w:rPr>
                <w:rFonts w:eastAsia="Times New Roman" w:cs="Calibri"/>
                <w:b/>
                <w:bCs/>
                <w:color w:val="000000"/>
              </w:rPr>
            </w:pPr>
            <w:r w:rsidRPr="00F72A98">
              <w:rPr>
                <w:rFonts w:eastAsia="Times New Roman" w:cs="Calibri"/>
                <w:b/>
                <w:bCs/>
                <w:color w:val="000000"/>
              </w:rPr>
              <w:t xml:space="preserve">CFA </w:t>
            </w:r>
          </w:p>
        </w:tc>
        <w:tc>
          <w:tcPr>
            <w:tcW w:w="1060" w:type="dxa"/>
            <w:tcBorders>
              <w:top w:val="nil"/>
              <w:left w:val="nil"/>
              <w:bottom w:val="nil"/>
              <w:right w:val="nil"/>
            </w:tcBorders>
            <w:shd w:val="clear" w:color="auto" w:fill="auto"/>
            <w:noWrap/>
            <w:vAlign w:val="center"/>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CEMAC</w:t>
            </w:r>
          </w:p>
        </w:tc>
        <w:tc>
          <w:tcPr>
            <w:tcW w:w="1722" w:type="dxa"/>
            <w:gridSpan w:val="4"/>
            <w:tcBorders>
              <w:top w:val="nil"/>
              <w:left w:val="nil"/>
              <w:bottom w:val="nil"/>
              <w:right w:val="nil"/>
            </w:tcBorders>
            <w:shd w:val="clear" w:color="auto" w:fill="auto"/>
            <w:noWrap/>
            <w:vAlign w:val="center"/>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UEMOA</w:t>
            </w:r>
          </w:p>
        </w:tc>
        <w:tc>
          <w:tcPr>
            <w:tcW w:w="271" w:type="dxa"/>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p>
        </w:tc>
        <w:tc>
          <w:tcPr>
            <w:tcW w:w="810" w:type="dxa"/>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 xml:space="preserve">CFA </w:t>
            </w:r>
          </w:p>
        </w:tc>
        <w:tc>
          <w:tcPr>
            <w:tcW w:w="1060" w:type="dxa"/>
            <w:gridSpan w:val="2"/>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CEMAC</w:t>
            </w:r>
          </w:p>
        </w:tc>
        <w:tc>
          <w:tcPr>
            <w:tcW w:w="1096" w:type="dxa"/>
            <w:gridSpan w:val="2"/>
            <w:tcBorders>
              <w:top w:val="nil"/>
              <w:left w:val="nil"/>
              <w:bottom w:val="nil"/>
              <w:right w:val="nil"/>
            </w:tcBorders>
            <w:shd w:val="clear" w:color="auto" w:fill="auto"/>
            <w:noWrap/>
            <w:vAlign w:val="bottom"/>
            <w:hideMark/>
          </w:tcPr>
          <w:p w:rsidR="00015CCB" w:rsidRPr="00FA2C9F" w:rsidRDefault="00015CCB" w:rsidP="006C4CB1">
            <w:pPr>
              <w:spacing w:after="0" w:line="240" w:lineRule="auto"/>
              <w:jc w:val="center"/>
              <w:rPr>
                <w:rFonts w:ascii="Book Antiqua" w:eastAsia="Times New Roman" w:hAnsi="Book Antiqua" w:cs="Calibri"/>
                <w:b/>
                <w:bCs/>
                <w:color w:val="000000"/>
              </w:rPr>
            </w:pPr>
            <w:r w:rsidRPr="00FA2C9F">
              <w:rPr>
                <w:rFonts w:ascii="Book Antiqua" w:eastAsia="Times New Roman" w:hAnsi="Book Antiqua" w:cs="Calibri"/>
                <w:b/>
                <w:bCs/>
                <w:color w:val="000000"/>
              </w:rPr>
              <w:t>UEMOA</w:t>
            </w:r>
          </w:p>
        </w:tc>
      </w:tr>
      <w:tr w:rsidR="00015CCB" w:rsidRPr="00FA2C9F" w:rsidTr="006C4CB1">
        <w:trPr>
          <w:gridAfter w:val="2"/>
          <w:wAfter w:w="1245" w:type="dxa"/>
          <w:trHeight w:val="330"/>
        </w:trPr>
        <w:tc>
          <w:tcPr>
            <w:tcW w:w="502" w:type="dxa"/>
            <w:gridSpan w:val="2"/>
            <w:vMerge w:val="restart"/>
            <w:tcBorders>
              <w:top w:val="nil"/>
              <w:left w:val="nil"/>
              <w:bottom w:val="nil"/>
              <w:right w:val="nil"/>
            </w:tcBorders>
            <w:shd w:val="clear" w:color="auto" w:fill="auto"/>
            <w:noWrap/>
            <w:textDirection w:val="btLr"/>
            <w:vAlign w:val="center"/>
            <w:hideMark/>
          </w:tcPr>
          <w:p w:rsidR="00015CCB" w:rsidRPr="00F72A98" w:rsidRDefault="00015CCB" w:rsidP="006C4CB1">
            <w:pPr>
              <w:spacing w:after="0" w:line="240" w:lineRule="auto"/>
              <w:jc w:val="center"/>
              <w:rPr>
                <w:rFonts w:eastAsia="Times New Roman" w:cs="Calibri"/>
                <w:color w:val="000000"/>
              </w:rPr>
            </w:pPr>
            <w:r w:rsidRPr="00F72A98">
              <w:rPr>
                <w:rFonts w:eastAsia="Times New Roman" w:cs="Calibri"/>
                <w:color w:val="000000"/>
              </w:rPr>
              <w:t>CEMAC</w:t>
            </w: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Cameroon</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0.29</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0.21</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0.26</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0.80</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0.86</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0.66</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Central African Republic</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0.31</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0.34</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0.11</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0.50</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0.68</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0.26</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Chad</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0.45</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0.48</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0.17</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0.67</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Congo, Republic of</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0.00</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0.11</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-0.19</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0.87</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0.91</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0.71</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Equatorial Guinea</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0.79</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0.87</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0.19</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0.78</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0.63</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single" w:sz="4" w:space="0" w:color="auto"/>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Gabon</w:t>
            </w:r>
          </w:p>
        </w:tc>
        <w:tc>
          <w:tcPr>
            <w:tcW w:w="979" w:type="dxa"/>
            <w:gridSpan w:val="3"/>
            <w:tcBorders>
              <w:top w:val="nil"/>
              <w:left w:val="nil"/>
              <w:bottom w:val="single" w:sz="4" w:space="0" w:color="auto"/>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0.28</w:t>
            </w:r>
          </w:p>
        </w:tc>
        <w:tc>
          <w:tcPr>
            <w:tcW w:w="1060" w:type="dxa"/>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0.33</w:t>
            </w:r>
          </w:p>
        </w:tc>
        <w:tc>
          <w:tcPr>
            <w:tcW w:w="1722" w:type="dxa"/>
            <w:gridSpan w:val="4"/>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0.09</w:t>
            </w:r>
          </w:p>
        </w:tc>
        <w:tc>
          <w:tcPr>
            <w:tcW w:w="271" w:type="dxa"/>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060" w:type="dxa"/>
            <w:gridSpan w:val="2"/>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0.89</w:t>
            </w:r>
          </w:p>
        </w:tc>
        <w:tc>
          <w:tcPr>
            <w:tcW w:w="1096" w:type="dxa"/>
            <w:gridSpan w:val="2"/>
            <w:tcBorders>
              <w:top w:val="nil"/>
              <w:left w:val="nil"/>
              <w:bottom w:val="single" w:sz="4" w:space="0" w:color="auto"/>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0.65</w:t>
            </w:r>
          </w:p>
        </w:tc>
      </w:tr>
      <w:tr w:rsidR="00015CCB" w:rsidRPr="00FA2C9F" w:rsidTr="006C4CB1">
        <w:trPr>
          <w:gridAfter w:val="2"/>
          <w:wAfter w:w="1245" w:type="dxa"/>
          <w:trHeight w:val="330"/>
        </w:trPr>
        <w:tc>
          <w:tcPr>
            <w:tcW w:w="502" w:type="dxa"/>
            <w:gridSpan w:val="2"/>
            <w:vMerge w:val="restart"/>
            <w:tcBorders>
              <w:top w:val="nil"/>
              <w:left w:val="nil"/>
              <w:bottom w:val="nil"/>
              <w:right w:val="nil"/>
            </w:tcBorders>
            <w:shd w:val="clear" w:color="auto" w:fill="auto"/>
            <w:noWrap/>
            <w:textDirection w:val="btLr"/>
            <w:vAlign w:val="center"/>
            <w:hideMark/>
          </w:tcPr>
          <w:p w:rsidR="00015CCB" w:rsidRPr="00F72A98" w:rsidRDefault="00015CCB" w:rsidP="006C4CB1">
            <w:pPr>
              <w:spacing w:after="0" w:line="240" w:lineRule="auto"/>
              <w:jc w:val="center"/>
              <w:rPr>
                <w:rFonts w:eastAsia="Times New Roman" w:cs="Calibri"/>
                <w:color w:val="000000"/>
              </w:rPr>
            </w:pPr>
            <w:r w:rsidRPr="00F72A98">
              <w:rPr>
                <w:rFonts w:eastAsia="Times New Roman" w:cs="Calibri"/>
                <w:color w:val="000000"/>
              </w:rPr>
              <w:t>UEMOA</w:t>
            </w: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Benin</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0.12</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0.04</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0.19</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0.97</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0.94</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0.93</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Burkina Faso</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0.50</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0.30</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0.60</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0.70</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0.80</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Guinea-Bissau</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0.29</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0.11</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0.45</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0.23</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-0.15</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0.54</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Côte d'Ivoire</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0.28</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0.03</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0.58</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0.81</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0.71</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0.79</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Mali</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0.38</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0.16</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0.56</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0.88</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0.89</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0.76</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Niger</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0.28</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0.01</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0.59</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0.80</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0.76</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0.72</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Senegal</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0.34</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0.15</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0.48</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0.82</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0.83</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0.71</w:t>
            </w:r>
          </w:p>
        </w:tc>
      </w:tr>
      <w:tr w:rsidR="00015CCB" w:rsidRPr="00FA2C9F" w:rsidTr="006C4CB1">
        <w:trPr>
          <w:gridAfter w:val="2"/>
          <w:wAfter w:w="1245" w:type="dxa"/>
          <w:trHeight w:val="330"/>
        </w:trPr>
        <w:tc>
          <w:tcPr>
            <w:tcW w:w="502" w:type="dxa"/>
            <w:gridSpan w:val="2"/>
            <w:vMerge/>
            <w:tcBorders>
              <w:top w:val="nil"/>
              <w:left w:val="nil"/>
              <w:bottom w:val="nil"/>
              <w:right w:val="nil"/>
            </w:tcBorders>
            <w:vAlign w:val="center"/>
            <w:hideMark/>
          </w:tcPr>
          <w:p w:rsidR="00015CCB" w:rsidRPr="00F72A98" w:rsidRDefault="00015CCB" w:rsidP="006C4CB1">
            <w:pPr>
              <w:spacing w:after="0" w:line="240" w:lineRule="auto"/>
              <w:rPr>
                <w:rFonts w:eastAsia="Times New Roman" w:cs="Calibri"/>
                <w:color w:val="000000"/>
              </w:rPr>
            </w:pPr>
          </w:p>
        </w:tc>
        <w:tc>
          <w:tcPr>
            <w:tcW w:w="2854" w:type="dxa"/>
            <w:gridSpan w:val="3"/>
            <w:tcBorders>
              <w:top w:val="nil"/>
              <w:left w:val="nil"/>
              <w:bottom w:val="nil"/>
              <w:right w:val="nil"/>
            </w:tcBorders>
            <w:shd w:val="clear" w:color="auto" w:fill="auto"/>
            <w:noWrap/>
            <w:vAlign w:val="center"/>
            <w:hideMark/>
          </w:tcPr>
          <w:p w:rsidR="00015CCB" w:rsidRPr="00F72A98" w:rsidRDefault="00015CCB" w:rsidP="006C4CB1">
            <w:pPr>
              <w:spacing w:after="0" w:line="240" w:lineRule="auto"/>
              <w:rPr>
                <w:rFonts w:eastAsia="Times New Roman" w:cs="Calibri"/>
                <w:b/>
                <w:bCs/>
                <w:color w:val="000000"/>
              </w:rPr>
            </w:pPr>
            <w:r w:rsidRPr="00F72A98">
              <w:rPr>
                <w:rFonts w:eastAsia="Times New Roman" w:cs="Calibri"/>
                <w:b/>
                <w:bCs/>
                <w:color w:val="000000"/>
              </w:rPr>
              <w:t>Togo</w:t>
            </w:r>
          </w:p>
        </w:tc>
        <w:tc>
          <w:tcPr>
            <w:tcW w:w="979" w:type="dxa"/>
            <w:gridSpan w:val="3"/>
            <w:tcBorders>
              <w:top w:val="nil"/>
              <w:left w:val="nil"/>
              <w:bottom w:val="nil"/>
              <w:right w:val="nil"/>
            </w:tcBorders>
            <w:shd w:val="clear" w:color="auto" w:fill="auto"/>
            <w:noWrap/>
            <w:hideMark/>
          </w:tcPr>
          <w:p w:rsidR="00015CCB" w:rsidRPr="00F72A98" w:rsidRDefault="00015CCB" w:rsidP="006C4CB1">
            <w:pPr>
              <w:spacing w:after="0" w:line="240" w:lineRule="auto"/>
              <w:jc w:val="center"/>
              <w:rPr>
                <w:rFonts w:eastAsia="Times New Roman" w:cs="Calibri"/>
                <w:color w:val="000000"/>
              </w:rPr>
            </w:pPr>
            <w:r w:rsidRPr="00F964FB">
              <w:rPr>
                <w:rFonts w:ascii="Book Antiqua" w:hAnsi="Book Antiqua"/>
                <w:sz w:val="20"/>
              </w:rPr>
              <w:t>0.32</w:t>
            </w:r>
          </w:p>
        </w:tc>
        <w:tc>
          <w:tcPr>
            <w:tcW w:w="106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0.22</w:t>
            </w:r>
          </w:p>
        </w:tc>
        <w:tc>
          <w:tcPr>
            <w:tcW w:w="1722" w:type="dxa"/>
            <w:gridSpan w:val="4"/>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0.32</w:t>
            </w:r>
          </w:p>
        </w:tc>
        <w:tc>
          <w:tcPr>
            <w:tcW w:w="271"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p>
        </w:tc>
        <w:tc>
          <w:tcPr>
            <w:tcW w:w="810" w:type="dxa"/>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0.89</w:t>
            </w:r>
          </w:p>
        </w:tc>
        <w:tc>
          <w:tcPr>
            <w:tcW w:w="1060"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0.80</w:t>
            </w:r>
          </w:p>
        </w:tc>
        <w:tc>
          <w:tcPr>
            <w:tcW w:w="1096" w:type="dxa"/>
            <w:gridSpan w:val="2"/>
            <w:tcBorders>
              <w:top w:val="nil"/>
              <w:left w:val="nil"/>
              <w:bottom w:val="nil"/>
              <w:right w:val="nil"/>
            </w:tcBorders>
            <w:shd w:val="clear" w:color="auto" w:fill="auto"/>
            <w:noWrap/>
            <w:hideMark/>
          </w:tcPr>
          <w:p w:rsidR="00015CCB" w:rsidRPr="00FA2C9F" w:rsidRDefault="00015CCB" w:rsidP="006C4CB1">
            <w:pPr>
              <w:spacing w:after="0" w:line="240" w:lineRule="auto"/>
              <w:jc w:val="center"/>
              <w:rPr>
                <w:rFonts w:ascii="Book Antiqua" w:eastAsia="Times New Roman" w:hAnsi="Book Antiqua" w:cs="Calibri"/>
                <w:color w:val="000000"/>
              </w:rPr>
            </w:pPr>
            <w:r w:rsidRPr="00F964FB">
              <w:rPr>
                <w:rFonts w:ascii="Book Antiqua" w:hAnsi="Book Antiqua"/>
                <w:sz w:val="20"/>
              </w:rPr>
              <w:t>0.84</w:t>
            </w:r>
          </w:p>
        </w:tc>
      </w:tr>
      <w:tr w:rsidR="00015CCB" w:rsidRPr="007E77F5" w:rsidTr="006C4CB1">
        <w:trPr>
          <w:gridBefore w:val="4"/>
          <w:gridAfter w:val="8"/>
          <w:wBefore w:w="1087" w:type="dxa"/>
          <w:wAfter w:w="4482" w:type="dxa"/>
          <w:trHeight w:val="300"/>
        </w:trPr>
        <w:tc>
          <w:tcPr>
            <w:tcW w:w="6030" w:type="dxa"/>
            <w:gridSpan w:val="9"/>
            <w:tcBorders>
              <w:top w:val="nil"/>
              <w:left w:val="nil"/>
              <w:bottom w:val="nil"/>
              <w:right w:val="nil"/>
            </w:tcBorders>
            <w:shd w:val="clear" w:color="auto" w:fill="auto"/>
            <w:noWrap/>
            <w:vAlign w:val="bottom"/>
            <w:hideMark/>
          </w:tcPr>
          <w:p w:rsidR="00015CCB" w:rsidRPr="00015CCB" w:rsidRDefault="00015CCB" w:rsidP="006C4CB1">
            <w:pPr>
              <w:spacing w:after="0" w:line="240" w:lineRule="auto"/>
              <w:rPr>
                <w:rFonts w:eastAsia="Times New Roman" w:cs="Calibri"/>
                <w:sz w:val="20"/>
                <w:szCs w:val="20"/>
              </w:rPr>
            </w:pPr>
          </w:p>
          <w:p w:rsidR="00015CCB" w:rsidRPr="00015CCB" w:rsidRDefault="00015CCB" w:rsidP="006C4CB1">
            <w:pPr>
              <w:spacing w:after="0" w:line="240" w:lineRule="auto"/>
              <w:rPr>
                <w:rFonts w:eastAsia="Times New Roman" w:cs="Calibri"/>
                <w:sz w:val="20"/>
                <w:szCs w:val="20"/>
              </w:rPr>
            </w:pPr>
            <w:r w:rsidRPr="00015CCB">
              <w:rPr>
                <w:rFonts w:eastAsia="Times New Roman" w:cs="Calibri"/>
                <w:sz w:val="20"/>
                <w:szCs w:val="20"/>
              </w:rPr>
              <w:t>* Correlation with average growth for CFA, CEMAC, UEMOA</w:t>
            </w:r>
          </w:p>
        </w:tc>
      </w:tr>
      <w:tr w:rsidR="00015CCB" w:rsidRPr="007E77F5" w:rsidTr="006C4CB1">
        <w:trPr>
          <w:gridBefore w:val="4"/>
          <w:wBefore w:w="1087" w:type="dxa"/>
          <w:trHeight w:val="300"/>
        </w:trPr>
        <w:tc>
          <w:tcPr>
            <w:tcW w:w="10512" w:type="dxa"/>
            <w:gridSpan w:val="17"/>
            <w:tcBorders>
              <w:top w:val="nil"/>
              <w:left w:val="nil"/>
              <w:bottom w:val="nil"/>
              <w:right w:val="nil"/>
            </w:tcBorders>
            <w:shd w:val="clear" w:color="auto" w:fill="auto"/>
            <w:noWrap/>
            <w:vAlign w:val="bottom"/>
            <w:hideMark/>
          </w:tcPr>
          <w:p w:rsidR="00015CCB" w:rsidRPr="00015CCB" w:rsidRDefault="00015CCB" w:rsidP="006C4CB1">
            <w:pPr>
              <w:spacing w:after="0" w:line="240" w:lineRule="auto"/>
              <w:rPr>
                <w:b/>
                <w:sz w:val="24"/>
                <w:szCs w:val="24"/>
              </w:rPr>
            </w:pPr>
            <w:r w:rsidRPr="00015CCB">
              <w:rPr>
                <w:rFonts w:eastAsia="Times New Roman" w:cs="Calibri"/>
                <w:sz w:val="20"/>
                <w:szCs w:val="20"/>
              </w:rPr>
              <w:t>** Correlation with median inflation for CFA, CEMAC, UEMOA</w:t>
            </w:r>
          </w:p>
        </w:tc>
      </w:tr>
    </w:tbl>
    <w:p w:rsidR="00347A56" w:rsidRDefault="00347A56">
      <w:pPr>
        <w:rPr>
          <w:b/>
          <w:sz w:val="24"/>
          <w:szCs w:val="24"/>
        </w:rPr>
      </w:pPr>
    </w:p>
    <w:tbl>
      <w:tblPr>
        <w:tblW w:w="11599" w:type="dxa"/>
        <w:tblInd w:w="-1080" w:type="dxa"/>
        <w:tblLook w:val="04A0" w:firstRow="1" w:lastRow="0" w:firstColumn="1" w:lastColumn="0" w:noHBand="0" w:noVBand="1"/>
      </w:tblPr>
      <w:tblGrid>
        <w:gridCol w:w="734"/>
        <w:gridCol w:w="346"/>
        <w:gridCol w:w="7"/>
        <w:gridCol w:w="1163"/>
        <w:gridCol w:w="810"/>
        <w:gridCol w:w="1060"/>
        <w:gridCol w:w="1096"/>
        <w:gridCol w:w="236"/>
        <w:gridCol w:w="758"/>
        <w:gridCol w:w="1060"/>
        <w:gridCol w:w="1047"/>
        <w:gridCol w:w="49"/>
        <w:gridCol w:w="187"/>
        <w:gridCol w:w="49"/>
        <w:gridCol w:w="748"/>
        <w:gridCol w:w="280"/>
        <w:gridCol w:w="780"/>
        <w:gridCol w:w="1096"/>
        <w:gridCol w:w="93"/>
      </w:tblGrid>
      <w:tr w:rsidR="00176360" w:rsidRPr="007E77F5" w:rsidTr="006C4CB1">
        <w:trPr>
          <w:gridBefore w:val="3"/>
          <w:wBefore w:w="1087" w:type="dxa"/>
          <w:trHeight w:val="300"/>
        </w:trPr>
        <w:tc>
          <w:tcPr>
            <w:tcW w:w="10512" w:type="dxa"/>
            <w:gridSpan w:val="16"/>
            <w:tcBorders>
              <w:top w:val="nil"/>
              <w:left w:val="nil"/>
              <w:bottom w:val="nil"/>
              <w:right w:val="nil"/>
            </w:tcBorders>
            <w:shd w:val="clear" w:color="auto" w:fill="auto"/>
            <w:noWrap/>
            <w:vAlign w:val="bottom"/>
            <w:hideMark/>
          </w:tcPr>
          <w:p w:rsidR="00176360" w:rsidRPr="00F72A98" w:rsidRDefault="00F90C2F" w:rsidP="00F90C2F">
            <w:pPr>
              <w:spacing w:after="0" w:line="240" w:lineRule="auto"/>
              <w:rPr>
                <w:b/>
                <w:sz w:val="24"/>
                <w:szCs w:val="24"/>
              </w:rPr>
            </w:pPr>
            <w:r>
              <w:lastRenderedPageBreak/>
              <w:br w:type="page"/>
            </w:r>
            <w:r w:rsidR="00176360" w:rsidRPr="00F72A98">
              <w:rPr>
                <w:b/>
                <w:sz w:val="24"/>
                <w:szCs w:val="24"/>
              </w:rPr>
              <w:t>Table 7: Correlations of CFA members with the larger group:  Growth, Inflation and Exports</w:t>
            </w:r>
          </w:p>
        </w:tc>
      </w:tr>
      <w:tr w:rsidR="00176360" w:rsidRPr="00D14BF5" w:rsidTr="006C4CB1">
        <w:trPr>
          <w:gridAfter w:val="1"/>
          <w:wAfter w:w="93" w:type="dxa"/>
          <w:trHeight w:val="360"/>
        </w:trPr>
        <w:tc>
          <w:tcPr>
            <w:tcW w:w="734"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rPr>
                <w:rFonts w:eastAsia="Times New Roman" w:cs="Times New Roman"/>
                <w:sz w:val="24"/>
                <w:szCs w:val="24"/>
              </w:rPr>
            </w:pPr>
          </w:p>
        </w:tc>
        <w:tc>
          <w:tcPr>
            <w:tcW w:w="1516" w:type="dxa"/>
            <w:gridSpan w:val="3"/>
            <w:tcBorders>
              <w:top w:val="nil"/>
              <w:left w:val="nil"/>
              <w:bottom w:val="single" w:sz="4" w:space="0" w:color="auto"/>
              <w:right w:val="nil"/>
            </w:tcBorders>
            <w:shd w:val="clear" w:color="auto" w:fill="auto"/>
            <w:noWrap/>
            <w:vAlign w:val="bottom"/>
            <w:hideMark/>
          </w:tcPr>
          <w:p w:rsidR="00176360" w:rsidRPr="00F72A98" w:rsidRDefault="00176360" w:rsidP="006C4CB1">
            <w:pPr>
              <w:spacing w:after="0" w:line="240" w:lineRule="auto"/>
              <w:rPr>
                <w:rFonts w:eastAsia="Times New Roman" w:cs="Calibri"/>
                <w:b/>
                <w:bCs/>
              </w:rPr>
            </w:pPr>
            <w:r w:rsidRPr="00F72A98">
              <w:rPr>
                <w:rFonts w:eastAsia="Times New Roman" w:cs="Calibri"/>
                <w:b/>
                <w:bCs/>
              </w:rPr>
              <w:t>1968-2017</w:t>
            </w:r>
          </w:p>
        </w:tc>
        <w:tc>
          <w:tcPr>
            <w:tcW w:w="2966" w:type="dxa"/>
            <w:gridSpan w:val="3"/>
            <w:tcBorders>
              <w:top w:val="nil"/>
              <w:left w:val="nil"/>
              <w:bottom w:val="single" w:sz="4" w:space="0" w:color="auto"/>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(1) GDP Growth</w:t>
            </w:r>
            <w:r w:rsidRPr="00F72A98">
              <w:rPr>
                <w:rFonts w:eastAsia="Times New Roman" w:cs="Calibri"/>
                <w:b/>
                <w:bCs/>
                <w:vertAlign w:val="superscript"/>
              </w:rPr>
              <w:t>1</w:t>
            </w:r>
          </w:p>
        </w:tc>
        <w:tc>
          <w:tcPr>
            <w:tcW w:w="236"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p>
        </w:tc>
        <w:tc>
          <w:tcPr>
            <w:tcW w:w="2865" w:type="dxa"/>
            <w:gridSpan w:val="3"/>
            <w:tcBorders>
              <w:top w:val="nil"/>
              <w:left w:val="nil"/>
              <w:bottom w:val="single" w:sz="4" w:space="0" w:color="auto"/>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(2) Inflation</w:t>
            </w:r>
            <w:r w:rsidRPr="00F72A98">
              <w:rPr>
                <w:rFonts w:eastAsia="Times New Roman" w:cs="Calibri"/>
                <w:b/>
                <w:bCs/>
                <w:vertAlign w:val="superscript"/>
              </w:rPr>
              <w:t>2</w:t>
            </w:r>
            <w:r w:rsidRPr="00F72A98">
              <w:rPr>
                <w:rFonts w:eastAsia="Times New Roman" w:cs="Calibri"/>
                <w:b/>
                <w:bCs/>
              </w:rPr>
              <w:t xml:space="preserve"> (CPI)</w:t>
            </w:r>
          </w:p>
        </w:tc>
        <w:tc>
          <w:tcPr>
            <w:tcW w:w="236" w:type="dxa"/>
            <w:gridSpan w:val="2"/>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p>
        </w:tc>
        <w:tc>
          <w:tcPr>
            <w:tcW w:w="2953" w:type="dxa"/>
            <w:gridSpan w:val="5"/>
            <w:tcBorders>
              <w:top w:val="nil"/>
              <w:left w:val="nil"/>
              <w:bottom w:val="single" w:sz="4" w:space="0" w:color="auto"/>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(3) Export Growth</w:t>
            </w:r>
            <w:r w:rsidRPr="00F72A98">
              <w:rPr>
                <w:rFonts w:eastAsia="Times New Roman" w:cs="Calibri"/>
                <w:b/>
                <w:bCs/>
                <w:vertAlign w:val="superscript"/>
              </w:rPr>
              <w:t>3</w:t>
            </w:r>
          </w:p>
        </w:tc>
      </w:tr>
      <w:tr w:rsidR="00176360" w:rsidRPr="00D14BF5" w:rsidTr="006C4CB1">
        <w:trPr>
          <w:gridAfter w:val="1"/>
          <w:wAfter w:w="93" w:type="dxa"/>
          <w:trHeight w:val="330"/>
        </w:trPr>
        <w:tc>
          <w:tcPr>
            <w:tcW w:w="734"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p>
        </w:tc>
        <w:tc>
          <w:tcPr>
            <w:tcW w:w="1516" w:type="dxa"/>
            <w:gridSpan w:val="3"/>
            <w:tcBorders>
              <w:top w:val="nil"/>
              <w:left w:val="nil"/>
              <w:bottom w:val="nil"/>
              <w:right w:val="nil"/>
            </w:tcBorders>
            <w:shd w:val="clear" w:color="auto" w:fill="auto"/>
            <w:noWrap/>
            <w:vAlign w:val="bottom"/>
            <w:hideMark/>
          </w:tcPr>
          <w:p w:rsidR="00176360" w:rsidRPr="00F72A98" w:rsidRDefault="00176360" w:rsidP="006C4CB1">
            <w:pPr>
              <w:spacing w:after="0" w:line="240" w:lineRule="auto"/>
              <w:rPr>
                <w:rFonts w:eastAsia="Times New Roman" w:cs="Times New Roman"/>
                <w:sz w:val="20"/>
                <w:szCs w:val="20"/>
              </w:rPr>
            </w:pP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 xml:space="preserve">CFA </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CEMAC</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UEMOA</w:t>
            </w:r>
          </w:p>
        </w:tc>
        <w:tc>
          <w:tcPr>
            <w:tcW w:w="236"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p>
        </w:tc>
        <w:tc>
          <w:tcPr>
            <w:tcW w:w="758"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 xml:space="preserve">CFA </w:t>
            </w:r>
          </w:p>
        </w:tc>
        <w:tc>
          <w:tcPr>
            <w:tcW w:w="1060"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CEMAC</w:t>
            </w:r>
          </w:p>
        </w:tc>
        <w:tc>
          <w:tcPr>
            <w:tcW w:w="1096" w:type="dxa"/>
            <w:gridSpan w:val="2"/>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UEMOA</w:t>
            </w:r>
          </w:p>
        </w:tc>
        <w:tc>
          <w:tcPr>
            <w:tcW w:w="236" w:type="dxa"/>
            <w:gridSpan w:val="2"/>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p>
        </w:tc>
        <w:tc>
          <w:tcPr>
            <w:tcW w:w="748"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 xml:space="preserve">CFA </w:t>
            </w:r>
          </w:p>
        </w:tc>
        <w:tc>
          <w:tcPr>
            <w:tcW w:w="1060" w:type="dxa"/>
            <w:gridSpan w:val="2"/>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rPr>
            </w:pPr>
            <w:r w:rsidRPr="00F72A98">
              <w:rPr>
                <w:rFonts w:eastAsia="Times New Roman" w:cs="Calibri"/>
                <w:b/>
                <w:bCs/>
              </w:rPr>
              <w:t>CEMAC</w:t>
            </w:r>
          </w:p>
        </w:tc>
        <w:tc>
          <w:tcPr>
            <w:tcW w:w="1096" w:type="dxa"/>
            <w:tcBorders>
              <w:top w:val="nil"/>
              <w:left w:val="nil"/>
              <w:bottom w:val="nil"/>
              <w:right w:val="nil"/>
            </w:tcBorders>
            <w:shd w:val="clear" w:color="auto" w:fill="auto"/>
            <w:noWrap/>
            <w:vAlign w:val="bottom"/>
            <w:hideMark/>
          </w:tcPr>
          <w:p w:rsidR="00176360" w:rsidRPr="00F72A98" w:rsidRDefault="00176360" w:rsidP="006C4CB1">
            <w:pPr>
              <w:spacing w:after="0" w:line="240" w:lineRule="auto"/>
              <w:jc w:val="center"/>
              <w:rPr>
                <w:rFonts w:eastAsia="Times New Roman" w:cs="Calibri"/>
                <w:b/>
                <w:bCs/>
                <w:color w:val="000000"/>
              </w:rPr>
            </w:pPr>
            <w:r w:rsidRPr="00F72A98">
              <w:rPr>
                <w:rFonts w:eastAsia="Times New Roman" w:cs="Calibri"/>
                <w:b/>
                <w:bCs/>
                <w:color w:val="000000"/>
              </w:rPr>
              <w:t>UEMOA</w:t>
            </w:r>
          </w:p>
        </w:tc>
      </w:tr>
      <w:tr w:rsidR="00176360" w:rsidRPr="00D14BF5" w:rsidTr="006C4CB1">
        <w:trPr>
          <w:gridAfter w:val="1"/>
          <w:wAfter w:w="93" w:type="dxa"/>
          <w:trHeight w:val="330"/>
        </w:trPr>
        <w:tc>
          <w:tcPr>
            <w:tcW w:w="734" w:type="dxa"/>
            <w:vMerge w:val="restart"/>
            <w:tcBorders>
              <w:top w:val="nil"/>
              <w:left w:val="nil"/>
              <w:bottom w:val="nil"/>
              <w:right w:val="nil"/>
            </w:tcBorders>
            <w:shd w:val="clear" w:color="auto" w:fill="auto"/>
            <w:noWrap/>
            <w:textDirection w:val="btLr"/>
            <w:vAlign w:val="center"/>
            <w:hideMark/>
          </w:tcPr>
          <w:p w:rsidR="00176360" w:rsidRPr="00F72A98" w:rsidRDefault="00176360" w:rsidP="006C4CB1">
            <w:pPr>
              <w:spacing w:after="0" w:line="240" w:lineRule="auto"/>
              <w:jc w:val="center"/>
              <w:rPr>
                <w:rFonts w:eastAsia="Times New Roman" w:cs="Calibri"/>
                <w:color w:val="000000"/>
              </w:rPr>
            </w:pPr>
            <w:r w:rsidRPr="00F72A98">
              <w:rPr>
                <w:rFonts w:eastAsia="Times New Roman" w:cs="Calibri"/>
                <w:color w:val="000000"/>
              </w:rPr>
              <w:t>CEMAC</w:t>
            </w: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Cameroon</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0.56</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0.58</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0.29</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0.92</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0.96</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0.83</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0.35</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0.39</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0.15</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Central African Republic</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0.23</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0.23</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0.10</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0.48</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0.51</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0.42</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-0.06</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-0.05</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-0.08</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Chad</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0.34</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0.40</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0.09</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0.76</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0.75</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0.73</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0.54</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0.63</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0.05</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Pr>
                <w:rFonts w:eastAsia="Times New Roman" w:cs="Calibri"/>
                <w:b/>
                <w:bCs/>
                <w:color w:val="000000"/>
                <w:sz w:val="18"/>
              </w:rPr>
              <w:t xml:space="preserve">Congo, Republic </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0.10</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0.34</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-0.21</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0.93</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0.93</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0.89</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0.65</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0.67</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0.41</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Equatorial Guinea</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0.29</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0.30</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0.12</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0.66</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0.61</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0.67</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0.46</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0.42</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0.30</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Gabon</w:t>
            </w:r>
          </w:p>
        </w:tc>
        <w:tc>
          <w:tcPr>
            <w:tcW w:w="810"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0.39</w:t>
            </w:r>
          </w:p>
        </w:tc>
        <w:tc>
          <w:tcPr>
            <w:tcW w:w="1060"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0.50</w:t>
            </w:r>
          </w:p>
        </w:tc>
        <w:tc>
          <w:tcPr>
            <w:tcW w:w="1096"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0.13</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0.87</w:t>
            </w:r>
          </w:p>
        </w:tc>
        <w:tc>
          <w:tcPr>
            <w:tcW w:w="1060"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0.90</w:t>
            </w:r>
          </w:p>
        </w:tc>
        <w:tc>
          <w:tcPr>
            <w:tcW w:w="1096" w:type="dxa"/>
            <w:gridSpan w:val="2"/>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0.80</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0.69</w:t>
            </w:r>
          </w:p>
        </w:tc>
        <w:tc>
          <w:tcPr>
            <w:tcW w:w="1060" w:type="dxa"/>
            <w:gridSpan w:val="2"/>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0.67</w:t>
            </w:r>
          </w:p>
        </w:tc>
        <w:tc>
          <w:tcPr>
            <w:tcW w:w="1096" w:type="dxa"/>
            <w:tcBorders>
              <w:top w:val="nil"/>
              <w:left w:val="nil"/>
              <w:bottom w:val="single" w:sz="4" w:space="0" w:color="auto"/>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0.46</w:t>
            </w:r>
          </w:p>
        </w:tc>
      </w:tr>
      <w:tr w:rsidR="00176360" w:rsidRPr="00D14BF5" w:rsidTr="006C4CB1">
        <w:trPr>
          <w:gridAfter w:val="1"/>
          <w:wAfter w:w="93" w:type="dxa"/>
          <w:trHeight w:val="330"/>
        </w:trPr>
        <w:tc>
          <w:tcPr>
            <w:tcW w:w="734" w:type="dxa"/>
            <w:vMerge w:val="restart"/>
            <w:tcBorders>
              <w:top w:val="nil"/>
              <w:left w:val="nil"/>
              <w:bottom w:val="nil"/>
              <w:right w:val="nil"/>
            </w:tcBorders>
            <w:shd w:val="clear" w:color="auto" w:fill="auto"/>
            <w:noWrap/>
            <w:textDirection w:val="btLr"/>
            <w:vAlign w:val="center"/>
            <w:hideMark/>
          </w:tcPr>
          <w:p w:rsidR="00176360" w:rsidRPr="00F72A98" w:rsidRDefault="00176360" w:rsidP="006C4CB1">
            <w:pPr>
              <w:spacing w:after="0" w:line="240" w:lineRule="auto"/>
              <w:jc w:val="center"/>
              <w:rPr>
                <w:rFonts w:eastAsia="Times New Roman" w:cs="Calibri"/>
                <w:color w:val="000000"/>
              </w:rPr>
            </w:pPr>
            <w:r w:rsidRPr="00F72A98">
              <w:rPr>
                <w:rFonts w:eastAsia="Times New Roman" w:cs="Calibri"/>
                <w:color w:val="000000"/>
              </w:rPr>
              <w:t>UEMOA</w:t>
            </w: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Benin</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-0.02</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-0.02</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0.00</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0.99</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0.97</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0.99</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0.04</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0.02</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0.15</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Burkina Faso</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0.47</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0.26</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0.51</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0.81</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0.67</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0.87</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0.22</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0.16</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0.37</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Guinea-Bissau</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0.25</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0.19</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0.21</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-0.06</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-0.15</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0.04</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0.10</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0.10</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0.01</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Côte d'Ivoire</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0.59</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0.20</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0.82</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0.88</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0.76</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0.93</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0.61</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0.43</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0.86</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Mali</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0.37</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0.10</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0.53</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0.90</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0.87</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0.91</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0.08</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-0.04</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0.26</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Niger</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0.38</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0.05</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0.61</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0.81</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0.75</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0.82</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0.32</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0.22</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0.28</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Senegal</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0.49</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0.27</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0.54</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0.86</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0.85</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0.82</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0.50</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0.37</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0.62</w:t>
            </w:r>
          </w:p>
        </w:tc>
      </w:tr>
      <w:tr w:rsidR="00176360" w:rsidRPr="00D14BF5" w:rsidTr="006C4CB1">
        <w:trPr>
          <w:gridAfter w:val="1"/>
          <w:wAfter w:w="93" w:type="dxa"/>
          <w:trHeight w:val="330"/>
        </w:trPr>
        <w:tc>
          <w:tcPr>
            <w:tcW w:w="734" w:type="dxa"/>
            <w:vMerge/>
            <w:tcBorders>
              <w:top w:val="nil"/>
              <w:left w:val="nil"/>
              <w:bottom w:val="nil"/>
              <w:right w:val="nil"/>
            </w:tcBorders>
            <w:vAlign w:val="center"/>
            <w:hideMark/>
          </w:tcPr>
          <w:p w:rsidR="00176360" w:rsidRPr="00F72A98" w:rsidRDefault="00176360" w:rsidP="006C4CB1">
            <w:pPr>
              <w:spacing w:after="0" w:line="240" w:lineRule="auto"/>
              <w:rPr>
                <w:rFonts w:eastAsia="Times New Roman" w:cs="Calibri"/>
                <w:color w:val="000000"/>
              </w:rPr>
            </w:pPr>
          </w:p>
        </w:tc>
        <w:tc>
          <w:tcPr>
            <w:tcW w:w="1516" w:type="dxa"/>
            <w:gridSpan w:val="3"/>
            <w:tcBorders>
              <w:top w:val="nil"/>
              <w:left w:val="nil"/>
              <w:bottom w:val="nil"/>
              <w:right w:val="nil"/>
            </w:tcBorders>
            <w:shd w:val="clear" w:color="auto" w:fill="auto"/>
            <w:noWrap/>
            <w:vAlign w:val="center"/>
            <w:hideMark/>
          </w:tcPr>
          <w:p w:rsidR="00176360" w:rsidRPr="00F72A98" w:rsidRDefault="00176360" w:rsidP="006C4CB1">
            <w:pPr>
              <w:spacing w:after="0" w:line="240" w:lineRule="auto"/>
              <w:rPr>
                <w:rFonts w:eastAsia="Times New Roman" w:cs="Calibri"/>
                <w:b/>
                <w:bCs/>
                <w:color w:val="000000"/>
                <w:sz w:val="18"/>
              </w:rPr>
            </w:pPr>
            <w:r w:rsidRPr="00F72A98">
              <w:rPr>
                <w:rFonts w:eastAsia="Times New Roman" w:cs="Calibri"/>
                <w:b/>
                <w:bCs/>
                <w:color w:val="000000"/>
                <w:sz w:val="18"/>
              </w:rPr>
              <w:t>Togo</w:t>
            </w:r>
          </w:p>
        </w:tc>
        <w:tc>
          <w:tcPr>
            <w:tcW w:w="81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0.14</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0.08</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0.14</w:t>
            </w:r>
          </w:p>
        </w:tc>
        <w:tc>
          <w:tcPr>
            <w:tcW w:w="23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5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0.88</w:t>
            </w:r>
          </w:p>
        </w:tc>
        <w:tc>
          <w:tcPr>
            <w:tcW w:w="1060"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0.82</w:t>
            </w:r>
          </w:p>
        </w:tc>
        <w:tc>
          <w:tcPr>
            <w:tcW w:w="109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0.89</w:t>
            </w:r>
          </w:p>
        </w:tc>
        <w:tc>
          <w:tcPr>
            <w:tcW w:w="236"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p>
        </w:tc>
        <w:tc>
          <w:tcPr>
            <w:tcW w:w="748"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0.49</w:t>
            </w:r>
          </w:p>
        </w:tc>
        <w:tc>
          <w:tcPr>
            <w:tcW w:w="1060" w:type="dxa"/>
            <w:gridSpan w:val="2"/>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0.37</w:t>
            </w:r>
          </w:p>
        </w:tc>
        <w:tc>
          <w:tcPr>
            <w:tcW w:w="1096" w:type="dxa"/>
            <w:tcBorders>
              <w:top w:val="nil"/>
              <w:left w:val="nil"/>
              <w:bottom w:val="nil"/>
              <w:right w:val="nil"/>
            </w:tcBorders>
            <w:shd w:val="clear" w:color="auto" w:fill="auto"/>
            <w:noWrap/>
            <w:vAlign w:val="center"/>
            <w:hideMark/>
          </w:tcPr>
          <w:p w:rsidR="00176360" w:rsidRPr="00F72A98" w:rsidRDefault="00176360" w:rsidP="006C4CB1">
            <w:pPr>
              <w:spacing w:after="0" w:line="240" w:lineRule="auto"/>
              <w:jc w:val="center"/>
              <w:rPr>
                <w:rFonts w:eastAsia="Times New Roman" w:cs="Calibri"/>
                <w:color w:val="000000"/>
              </w:rPr>
            </w:pPr>
            <w:r w:rsidRPr="00D35DF8">
              <w:rPr>
                <w:rFonts w:ascii="Book Antiqua" w:eastAsia="Times New Roman" w:hAnsi="Book Antiqua" w:cs="Calibri"/>
                <w:color w:val="000000"/>
                <w:sz w:val="20"/>
              </w:rPr>
              <w:t>0.62</w:t>
            </w:r>
          </w:p>
        </w:tc>
      </w:tr>
      <w:tr w:rsidR="00176360" w:rsidRPr="00D14BF5" w:rsidTr="006C4CB1">
        <w:trPr>
          <w:gridBefore w:val="2"/>
          <w:gridAfter w:val="3"/>
          <w:wBefore w:w="1080" w:type="dxa"/>
          <w:wAfter w:w="1969" w:type="dxa"/>
          <w:trHeight w:val="315"/>
        </w:trPr>
        <w:tc>
          <w:tcPr>
            <w:tcW w:w="8550" w:type="dxa"/>
            <w:gridSpan w:val="14"/>
            <w:tcBorders>
              <w:top w:val="nil"/>
              <w:left w:val="nil"/>
              <w:bottom w:val="nil"/>
              <w:right w:val="nil"/>
            </w:tcBorders>
            <w:shd w:val="clear" w:color="auto" w:fill="auto"/>
            <w:noWrap/>
            <w:vAlign w:val="bottom"/>
            <w:hideMark/>
          </w:tcPr>
          <w:p w:rsidR="00176360" w:rsidRPr="00F72A98" w:rsidRDefault="00176360" w:rsidP="006C4CB1">
            <w:pPr>
              <w:spacing w:after="0" w:line="240" w:lineRule="auto"/>
              <w:rPr>
                <w:rFonts w:eastAsia="Times New Roman" w:cs="Calibri"/>
                <w:sz w:val="20"/>
                <w:szCs w:val="20"/>
              </w:rPr>
            </w:pPr>
            <w:r w:rsidRPr="00F72A98">
              <w:rPr>
                <w:rFonts w:eastAsia="Times New Roman" w:cs="Calibri"/>
                <w:sz w:val="20"/>
                <w:szCs w:val="20"/>
                <w:vertAlign w:val="superscript"/>
              </w:rPr>
              <w:t>1</w:t>
            </w:r>
            <w:r w:rsidRPr="00F72A98">
              <w:rPr>
                <w:rFonts w:eastAsia="Times New Roman" w:cs="Calibri"/>
                <w:sz w:val="20"/>
                <w:szCs w:val="20"/>
              </w:rPr>
              <w:t xml:space="preserve"> correlation with average GDP growth for CFA (or CEMAC or UEMOA), weighted by GDP</w:t>
            </w:r>
          </w:p>
        </w:tc>
      </w:tr>
      <w:tr w:rsidR="00176360" w:rsidRPr="00D14BF5" w:rsidTr="006C4CB1">
        <w:trPr>
          <w:gridBefore w:val="2"/>
          <w:gridAfter w:val="3"/>
          <w:wBefore w:w="1080" w:type="dxa"/>
          <w:wAfter w:w="1969" w:type="dxa"/>
          <w:trHeight w:val="315"/>
        </w:trPr>
        <w:tc>
          <w:tcPr>
            <w:tcW w:w="8550" w:type="dxa"/>
            <w:gridSpan w:val="14"/>
            <w:tcBorders>
              <w:top w:val="nil"/>
              <w:left w:val="nil"/>
              <w:bottom w:val="nil"/>
              <w:right w:val="nil"/>
            </w:tcBorders>
            <w:shd w:val="clear" w:color="auto" w:fill="auto"/>
            <w:noWrap/>
            <w:vAlign w:val="bottom"/>
            <w:hideMark/>
          </w:tcPr>
          <w:p w:rsidR="00176360" w:rsidRPr="00F72A98" w:rsidRDefault="00176360" w:rsidP="006C4CB1">
            <w:pPr>
              <w:spacing w:after="0" w:line="240" w:lineRule="auto"/>
              <w:rPr>
                <w:rFonts w:eastAsia="Times New Roman" w:cs="Calibri"/>
                <w:sz w:val="20"/>
                <w:szCs w:val="20"/>
              </w:rPr>
            </w:pPr>
            <w:r w:rsidRPr="00F72A98">
              <w:rPr>
                <w:rFonts w:eastAsia="Times New Roman" w:cs="Calibri"/>
                <w:sz w:val="20"/>
                <w:szCs w:val="20"/>
                <w:vertAlign w:val="superscript"/>
              </w:rPr>
              <w:t>2</w:t>
            </w:r>
            <w:r w:rsidRPr="00F72A98">
              <w:rPr>
                <w:rFonts w:eastAsia="Times New Roman" w:cs="Calibri"/>
                <w:sz w:val="20"/>
                <w:szCs w:val="20"/>
              </w:rPr>
              <w:t xml:space="preserve"> correlation with median inflation for CFA, CEMAC, UEMOA, weighted by GDP</w:t>
            </w:r>
          </w:p>
        </w:tc>
      </w:tr>
      <w:tr w:rsidR="00176360" w:rsidRPr="00D14BF5" w:rsidTr="006C4CB1">
        <w:trPr>
          <w:gridBefore w:val="2"/>
          <w:gridAfter w:val="3"/>
          <w:wBefore w:w="1080" w:type="dxa"/>
          <w:wAfter w:w="1969" w:type="dxa"/>
          <w:trHeight w:val="315"/>
        </w:trPr>
        <w:tc>
          <w:tcPr>
            <w:tcW w:w="8550" w:type="dxa"/>
            <w:gridSpan w:val="14"/>
            <w:tcBorders>
              <w:top w:val="nil"/>
              <w:left w:val="nil"/>
              <w:bottom w:val="nil"/>
              <w:right w:val="nil"/>
            </w:tcBorders>
            <w:shd w:val="clear" w:color="auto" w:fill="auto"/>
            <w:noWrap/>
            <w:vAlign w:val="bottom"/>
            <w:hideMark/>
          </w:tcPr>
          <w:p w:rsidR="00176360" w:rsidRPr="00F72A98" w:rsidRDefault="00176360" w:rsidP="006C4CB1">
            <w:pPr>
              <w:spacing w:after="0" w:line="240" w:lineRule="auto"/>
              <w:rPr>
                <w:rFonts w:eastAsia="Times New Roman" w:cs="Calibri"/>
                <w:sz w:val="20"/>
                <w:szCs w:val="20"/>
              </w:rPr>
            </w:pPr>
            <w:r w:rsidRPr="00F72A98">
              <w:rPr>
                <w:rFonts w:eastAsia="Times New Roman" w:cs="Calibri"/>
                <w:sz w:val="20"/>
                <w:szCs w:val="20"/>
                <w:vertAlign w:val="superscript"/>
              </w:rPr>
              <w:t>3</w:t>
            </w:r>
            <w:r w:rsidRPr="00F72A98">
              <w:rPr>
                <w:rFonts w:eastAsia="Times New Roman" w:cs="Calibri"/>
                <w:sz w:val="20"/>
                <w:szCs w:val="20"/>
              </w:rPr>
              <w:t xml:space="preserve"> correlations with average export growth for CFA, CEMAC, UEMOA, weighted by exports</w:t>
            </w:r>
          </w:p>
        </w:tc>
      </w:tr>
    </w:tbl>
    <w:p w:rsidR="00176360" w:rsidRDefault="00176360">
      <w:pPr>
        <w:rPr>
          <w:sz w:val="16"/>
          <w:szCs w:val="16"/>
        </w:rPr>
      </w:pPr>
      <w:r>
        <w:rPr>
          <w:b/>
        </w:rPr>
        <w:br/>
      </w:r>
      <w:r>
        <w:rPr>
          <w:sz w:val="16"/>
          <w:szCs w:val="16"/>
        </w:rPr>
        <w:t>(T</w:t>
      </w:r>
      <w:r w:rsidRPr="005D438E">
        <w:rPr>
          <w:sz w:val="16"/>
          <w:szCs w:val="16"/>
        </w:rPr>
        <w:t>able</w:t>
      </w:r>
      <w:r>
        <w:rPr>
          <w:sz w:val="16"/>
          <w:szCs w:val="16"/>
        </w:rPr>
        <w:t xml:space="preserve">s 6 and 7 are </w:t>
      </w:r>
      <w:r w:rsidRPr="005D438E">
        <w:rPr>
          <w:sz w:val="16"/>
          <w:szCs w:val="16"/>
        </w:rPr>
        <w:t>thanks to Haiyang Zhang</w:t>
      </w:r>
      <w:r>
        <w:rPr>
          <w:sz w:val="16"/>
          <w:szCs w:val="16"/>
        </w:rPr>
        <w:t>.)</w:t>
      </w:r>
    </w:p>
    <w:p w:rsidR="00F90C2F" w:rsidRDefault="00F90C2F" w:rsidP="00F90C2F">
      <w:pPr>
        <w:rPr>
          <w:rFonts w:cs="Helvetica"/>
          <w:color w:val="333333"/>
          <w:sz w:val="24"/>
          <w:szCs w:val="24"/>
        </w:rPr>
      </w:pPr>
    </w:p>
    <w:p w:rsidR="00F90C2F" w:rsidRDefault="00F90C2F" w:rsidP="00F90C2F">
      <w:pPr>
        <w:ind w:firstLine="720"/>
        <w:rPr>
          <w:rFonts w:cs="Helvetica"/>
          <w:color w:val="333333"/>
          <w:sz w:val="24"/>
          <w:szCs w:val="24"/>
        </w:rPr>
      </w:pPr>
      <w:r>
        <w:rPr>
          <w:rFonts w:cs="Helvetica"/>
          <w:color w:val="333333"/>
          <w:sz w:val="24"/>
          <w:szCs w:val="24"/>
        </w:rPr>
        <w:t xml:space="preserve">Table 7 refines the correlations a bit.  It adds the correlation of export growth as a third test of symmetry of shocks. Exports are not just another indicator of economic activity like GDP; a particular advantage of exchange rate flexibility is the ability to accommodate export shocks and thereby equilibrate the balance of payments.  By the criterion of export correlations reported in panel 3 of the Table, Cote d’Ivoire again is best suited to the currency union, followed by Senegal and Togo.  Again Guinea-Bissau is the outlier, with a correlation that is barely above zero.  </w:t>
      </w:r>
    </w:p>
    <w:p w:rsidR="00F90C2F" w:rsidRDefault="00F90C2F" w:rsidP="00F90C2F">
      <w:pPr>
        <w:ind w:firstLine="720"/>
        <w:rPr>
          <w:rFonts w:cs="Helvetica"/>
          <w:color w:val="333333"/>
          <w:sz w:val="24"/>
          <w:szCs w:val="24"/>
        </w:rPr>
      </w:pPr>
      <w:r>
        <w:rPr>
          <w:rFonts w:cs="Helvetica"/>
          <w:color w:val="333333"/>
          <w:sz w:val="24"/>
          <w:szCs w:val="24"/>
        </w:rPr>
        <w:t>Gauging the CEMAC members by export correlations, Gabon, Republic of Congo, and Chad are now the most suited for a common currency, undoubtedly reflecting the importance of oil in those countries.  The Central African Republic is the outlier, showing a correlation below zero.</w:t>
      </w:r>
    </w:p>
    <w:p w:rsidR="009F6140" w:rsidRDefault="009F6140" w:rsidP="009F6140">
      <w:pPr>
        <w:ind w:firstLine="720"/>
        <w:jc w:val="right"/>
        <w:rPr>
          <w:rFonts w:cs="Arial"/>
        </w:rPr>
      </w:pPr>
    </w:p>
    <w:p w:rsidR="00176360" w:rsidRDefault="00176360" w:rsidP="009F6140">
      <w:pPr>
        <w:ind w:firstLine="720"/>
        <w:jc w:val="right"/>
        <w:rPr>
          <w:rFonts w:cs="Arial"/>
        </w:rPr>
      </w:pPr>
    </w:p>
    <w:p w:rsidR="00176360" w:rsidRDefault="00176360" w:rsidP="009F6140">
      <w:pPr>
        <w:ind w:firstLine="720"/>
        <w:jc w:val="right"/>
        <w:rPr>
          <w:rFonts w:cs="Arial"/>
        </w:rPr>
      </w:pPr>
    </w:p>
    <w:p w:rsidR="001D64A6" w:rsidRDefault="00E62A33" w:rsidP="001D64A6">
      <w:pPr>
        <w:pStyle w:val="volume-issue"/>
        <w:numPr>
          <w:ilvl w:val="0"/>
          <w:numId w:val="1"/>
        </w:numPr>
        <w:shd w:val="clear" w:color="auto" w:fill="FFFFFF"/>
        <w:spacing w:before="75" w:beforeAutospacing="0" w:after="75" w:afterAutospacing="0" w:line="263" w:lineRule="atLeast"/>
        <w:rPr>
          <w:b/>
        </w:rPr>
      </w:pPr>
      <w:r w:rsidRPr="00E62A33">
        <w:rPr>
          <w:rFonts w:asciiTheme="minorHAnsi" w:hAnsiTheme="minorHAnsi" w:cs="Arial"/>
          <w:b/>
        </w:rPr>
        <w:t>Conclusions</w:t>
      </w:r>
    </w:p>
    <w:p w:rsidR="001D64A6" w:rsidRDefault="001D64A6" w:rsidP="001D64A6">
      <w:pPr>
        <w:pStyle w:val="volume-issue"/>
        <w:shd w:val="clear" w:color="auto" w:fill="FFFFFF"/>
        <w:spacing w:before="75" w:beforeAutospacing="0" w:after="75" w:afterAutospacing="0" w:line="263" w:lineRule="atLeast"/>
        <w:ind w:left="360"/>
        <w:rPr>
          <w:b/>
        </w:rPr>
      </w:pPr>
    </w:p>
    <w:p w:rsidR="000E2AC0" w:rsidRDefault="00F72A98" w:rsidP="001D64A6">
      <w:pPr>
        <w:pStyle w:val="volume-issue"/>
        <w:shd w:val="clear" w:color="auto" w:fill="FFFFFF"/>
        <w:spacing w:before="75" w:beforeAutospacing="0" w:after="75" w:afterAutospacing="0" w:line="263" w:lineRule="atLeast"/>
        <w:ind w:firstLine="720"/>
        <w:rPr>
          <w:rFonts w:asciiTheme="minorHAnsi" w:hAnsiTheme="minorHAnsi"/>
        </w:rPr>
      </w:pPr>
      <w:r w:rsidRPr="001D64A6">
        <w:rPr>
          <w:rFonts w:asciiTheme="minorHAnsi" w:hAnsiTheme="minorHAnsi"/>
        </w:rPr>
        <w:t>A currency union can give countries two benefits</w:t>
      </w:r>
      <w:r w:rsidR="000E2AC0">
        <w:rPr>
          <w:rFonts w:asciiTheme="minorHAnsi" w:hAnsiTheme="minorHAnsi"/>
        </w:rPr>
        <w:t xml:space="preserve"> that are of particular importance: </w:t>
      </w:r>
      <w:r w:rsidRPr="001D64A6">
        <w:rPr>
          <w:rFonts w:asciiTheme="minorHAnsi" w:hAnsiTheme="minorHAnsi"/>
        </w:rPr>
        <w:t>promoting trade to help economic growth and anchoring monetary policy to achieve price stability</w:t>
      </w:r>
      <w:r w:rsidR="000E2AC0">
        <w:rPr>
          <w:rFonts w:asciiTheme="minorHAnsi" w:hAnsiTheme="minorHAnsi"/>
        </w:rPr>
        <w:t xml:space="preserve">.  But membership in a currency union </w:t>
      </w:r>
      <w:r w:rsidRPr="001D64A6">
        <w:rPr>
          <w:rFonts w:asciiTheme="minorHAnsi" w:hAnsiTheme="minorHAnsi"/>
        </w:rPr>
        <w:t xml:space="preserve">also carries the cost of losing the ability to respond to shocks.  </w:t>
      </w:r>
    </w:p>
    <w:p w:rsidR="001D64A6" w:rsidRPr="000E2AC0" w:rsidRDefault="00F72A98" w:rsidP="000E2AC0">
      <w:pPr>
        <w:pStyle w:val="volume-issue"/>
        <w:shd w:val="clear" w:color="auto" w:fill="FFFFFF"/>
        <w:spacing w:before="75" w:beforeAutospacing="0" w:after="75" w:afterAutospacing="0" w:line="263" w:lineRule="atLeast"/>
        <w:ind w:firstLine="720"/>
        <w:rPr>
          <w:rFonts w:asciiTheme="minorHAnsi" w:hAnsiTheme="minorHAnsi"/>
          <w:b/>
        </w:rPr>
      </w:pPr>
      <w:r w:rsidRPr="001D64A6">
        <w:rPr>
          <w:rFonts w:asciiTheme="minorHAnsi" w:hAnsiTheme="minorHAnsi"/>
        </w:rPr>
        <w:t xml:space="preserve">Estimates of effects on bilateral trade in the gravity model updated through 2017 confirm that the CFA boosts trade among its members by approximately 52 %, controlling for other factors.  That is even more than the trade effect of typical currency unions and almost as much as the effect of a Regional Trading Arrangement.  </w:t>
      </w:r>
      <w:r w:rsidR="001D64A6" w:rsidRPr="001D64A6">
        <w:rPr>
          <w:rFonts w:asciiTheme="minorHAnsi" w:hAnsiTheme="minorHAnsi"/>
        </w:rPr>
        <w:t>The boost to trade may be especially important for</w:t>
      </w:r>
      <w:r w:rsidR="001D64A6">
        <w:rPr>
          <w:rFonts w:asciiTheme="minorHAnsi" w:hAnsiTheme="minorHAnsi"/>
        </w:rPr>
        <w:t xml:space="preserve"> small</w:t>
      </w:r>
      <w:r w:rsidR="001D64A6" w:rsidRPr="001D64A6">
        <w:rPr>
          <w:rFonts w:asciiTheme="minorHAnsi" w:hAnsiTheme="minorHAnsi"/>
        </w:rPr>
        <w:t xml:space="preserve"> landlocked </w:t>
      </w:r>
      <w:r w:rsidR="00E068A3">
        <w:rPr>
          <w:rFonts w:asciiTheme="minorHAnsi" w:hAnsiTheme="minorHAnsi"/>
        </w:rPr>
        <w:t>economie</w:t>
      </w:r>
      <w:r w:rsidR="001D64A6" w:rsidRPr="001D64A6">
        <w:rPr>
          <w:rFonts w:asciiTheme="minorHAnsi" w:hAnsiTheme="minorHAnsi"/>
        </w:rPr>
        <w:t xml:space="preserve">s like Mali, </w:t>
      </w:r>
      <w:r w:rsidR="00E068A3">
        <w:rPr>
          <w:rFonts w:asciiTheme="minorHAnsi" w:hAnsiTheme="minorHAnsi"/>
        </w:rPr>
        <w:t>Burkina Faso</w:t>
      </w:r>
      <w:r w:rsidR="001D64A6" w:rsidRPr="001D64A6">
        <w:rPr>
          <w:rFonts w:asciiTheme="minorHAnsi" w:hAnsiTheme="minorHAnsi"/>
        </w:rPr>
        <w:t>, Niger, Chad, and the Central African Republic.</w:t>
      </w:r>
    </w:p>
    <w:p w:rsidR="00F72A98" w:rsidRPr="00841BBB" w:rsidRDefault="001D64A6" w:rsidP="00F72A98">
      <w:pPr>
        <w:spacing w:after="0" w:line="240" w:lineRule="auto"/>
        <w:rPr>
          <w:sz w:val="24"/>
          <w:szCs w:val="24"/>
        </w:rPr>
      </w:pPr>
      <w:r>
        <w:rPr>
          <w:sz w:val="24"/>
          <w:szCs w:val="24"/>
        </w:rPr>
        <w:tab/>
      </w:r>
      <w:r w:rsidR="00F72A98">
        <w:rPr>
          <w:sz w:val="24"/>
          <w:szCs w:val="24"/>
        </w:rPr>
        <w:t>Further, we can see that the CFA countries of West Africa have indeed achieved price stability, whereas many of their neighbors have not.  Whether these benefits are worth the cost depends in part on the extent to which members’ economic shocks are correlated with those of the group.  Judging by correlation statistics</w:t>
      </w:r>
      <w:r>
        <w:rPr>
          <w:sz w:val="24"/>
          <w:szCs w:val="24"/>
        </w:rPr>
        <w:t xml:space="preserve"> for domestic economic activity</w:t>
      </w:r>
      <w:r w:rsidR="00F72A98">
        <w:rPr>
          <w:sz w:val="24"/>
          <w:szCs w:val="24"/>
        </w:rPr>
        <w:t>, CFA membership in West Africa may be</w:t>
      </w:r>
      <w:r>
        <w:rPr>
          <w:sz w:val="24"/>
          <w:szCs w:val="24"/>
        </w:rPr>
        <w:t xml:space="preserve"> most natural for Cote</w:t>
      </w:r>
      <w:r w:rsidR="008C0AA8">
        <w:rPr>
          <w:sz w:val="24"/>
          <w:szCs w:val="24"/>
        </w:rPr>
        <w:t xml:space="preserve"> d</w:t>
      </w:r>
      <w:r>
        <w:rPr>
          <w:sz w:val="24"/>
          <w:szCs w:val="24"/>
        </w:rPr>
        <w:t xml:space="preserve">’Ivoire, Senegal and </w:t>
      </w:r>
      <w:r w:rsidR="008D3919" w:rsidRPr="008D3919">
        <w:rPr>
          <w:rFonts w:ascii="Times New Roman" w:hAnsi="Times New Roman" w:cs="Times New Roman"/>
          <w:sz w:val="24"/>
          <w:szCs w:val="24"/>
        </w:rPr>
        <w:t>Burkina Fas</w:t>
      </w:r>
      <w:r w:rsidRPr="008D3919">
        <w:rPr>
          <w:rFonts w:ascii="Times New Roman" w:hAnsi="Times New Roman" w:cs="Times New Roman"/>
          <w:sz w:val="24"/>
          <w:szCs w:val="24"/>
        </w:rPr>
        <w:t>o</w:t>
      </w:r>
      <w:r>
        <w:rPr>
          <w:sz w:val="24"/>
          <w:szCs w:val="24"/>
        </w:rPr>
        <w:t>.  Judging by correlation statistics for exports, CFA membership in West Africa may be most natural for Cote</w:t>
      </w:r>
      <w:r w:rsidR="008C0AA8">
        <w:rPr>
          <w:sz w:val="24"/>
          <w:szCs w:val="24"/>
        </w:rPr>
        <w:t xml:space="preserve"> d</w:t>
      </w:r>
      <w:r>
        <w:rPr>
          <w:sz w:val="24"/>
          <w:szCs w:val="24"/>
        </w:rPr>
        <w:t>’Ivoire, Niger, Burkin</w:t>
      </w:r>
      <w:r w:rsidR="00E068A3">
        <w:rPr>
          <w:sz w:val="24"/>
          <w:szCs w:val="24"/>
        </w:rPr>
        <w:t>a</w:t>
      </w:r>
      <w:r>
        <w:rPr>
          <w:sz w:val="24"/>
          <w:szCs w:val="24"/>
        </w:rPr>
        <w:t xml:space="preserve"> Faso, and Senegal</w:t>
      </w:r>
      <w:r w:rsidR="00E068A3">
        <w:rPr>
          <w:sz w:val="24"/>
          <w:szCs w:val="24"/>
        </w:rPr>
        <w:t xml:space="preserve">. </w:t>
      </w:r>
      <w:r>
        <w:rPr>
          <w:sz w:val="24"/>
          <w:szCs w:val="24"/>
        </w:rPr>
        <w:t>CFA membership may be</w:t>
      </w:r>
      <w:r w:rsidR="00F72A98">
        <w:rPr>
          <w:sz w:val="24"/>
          <w:szCs w:val="24"/>
        </w:rPr>
        <w:t xml:space="preserve"> least natural for Guinea-Bissau</w:t>
      </w:r>
      <w:r w:rsidR="00D964D2">
        <w:rPr>
          <w:sz w:val="24"/>
          <w:szCs w:val="24"/>
        </w:rPr>
        <w:t>, judged either by labor mobility of symmetry of shocks</w:t>
      </w:r>
      <w:r w:rsidR="00F72A98">
        <w:rPr>
          <w:sz w:val="24"/>
          <w:szCs w:val="24"/>
        </w:rPr>
        <w:t xml:space="preserve">.  </w:t>
      </w:r>
      <w:r w:rsidR="000E2AC0">
        <w:rPr>
          <w:sz w:val="24"/>
          <w:szCs w:val="24"/>
        </w:rPr>
        <w:t xml:space="preserve">The </w:t>
      </w:r>
      <w:r w:rsidR="00762C9D">
        <w:rPr>
          <w:sz w:val="24"/>
          <w:szCs w:val="24"/>
        </w:rPr>
        <w:t xml:space="preserve">CFA </w:t>
      </w:r>
      <w:r w:rsidR="00F72A98">
        <w:rPr>
          <w:sz w:val="24"/>
          <w:szCs w:val="24"/>
        </w:rPr>
        <w:t>seems less successful in Central Africa</w:t>
      </w:r>
      <w:r w:rsidR="00D964D2">
        <w:rPr>
          <w:sz w:val="24"/>
          <w:szCs w:val="24"/>
        </w:rPr>
        <w:t xml:space="preserve"> than in West Africa</w:t>
      </w:r>
      <w:r w:rsidR="00F72A98">
        <w:rPr>
          <w:sz w:val="24"/>
          <w:szCs w:val="24"/>
        </w:rPr>
        <w:t>.</w:t>
      </w:r>
    </w:p>
    <w:p w:rsidR="00F72A98" w:rsidRDefault="00F72A98" w:rsidP="00E62A33">
      <w:pPr>
        <w:jc w:val="center"/>
        <w:rPr>
          <w:sz w:val="24"/>
          <w:szCs w:val="24"/>
        </w:rPr>
      </w:pPr>
    </w:p>
    <w:p w:rsidR="00E62A33" w:rsidRDefault="00E62A33" w:rsidP="00E62A33">
      <w:pPr>
        <w:jc w:val="center"/>
        <w:rPr>
          <w:sz w:val="24"/>
          <w:szCs w:val="24"/>
        </w:rPr>
      </w:pPr>
      <w:r>
        <w:rPr>
          <w:sz w:val="24"/>
          <w:szCs w:val="24"/>
        </w:rPr>
        <w:br w:type="page"/>
      </w:r>
    </w:p>
    <w:p w:rsidR="006B1294" w:rsidRDefault="006B1294" w:rsidP="00CC75E8">
      <w:pPr>
        <w:rPr>
          <w:sz w:val="24"/>
          <w:szCs w:val="24"/>
        </w:rPr>
      </w:pPr>
    </w:p>
    <w:p w:rsidR="0037273F" w:rsidRPr="00F60F49" w:rsidRDefault="006B1294" w:rsidP="0047290A">
      <w:pPr>
        <w:jc w:val="center"/>
        <w:rPr>
          <w:sz w:val="24"/>
          <w:szCs w:val="24"/>
          <w:u w:val="single"/>
        </w:rPr>
      </w:pPr>
      <w:r w:rsidRPr="00F60F49">
        <w:rPr>
          <w:sz w:val="24"/>
          <w:szCs w:val="24"/>
          <w:u w:val="single"/>
        </w:rPr>
        <w:t>References</w:t>
      </w:r>
    </w:p>
    <w:p w:rsidR="002007EB" w:rsidRPr="0025290A" w:rsidRDefault="002007EB" w:rsidP="002007EB">
      <w:pPr>
        <w:rPr>
          <w:rFonts w:cs="BODEGM+TimesNewRoman"/>
          <w:color w:val="000000"/>
        </w:rPr>
      </w:pPr>
      <w:r w:rsidRPr="0025290A">
        <w:rPr>
          <w:rFonts w:cs="BODEGM+TimesNewRoman"/>
          <w:color w:val="000000"/>
        </w:rPr>
        <w:t xml:space="preserve">Acemoglu, Daron, Simon Johnson, James Robinson, 2001, “Colonial Origins of Comparative Development: An Empirical Investigation,” </w:t>
      </w:r>
      <w:r w:rsidRPr="0025290A">
        <w:rPr>
          <w:rFonts w:cs="BODEGM+TimesNewRoman"/>
          <w:i/>
          <w:color w:val="000000"/>
        </w:rPr>
        <w:t>American Economic Review</w:t>
      </w:r>
      <w:r w:rsidRPr="0025290A">
        <w:rPr>
          <w:rFonts w:cs="BODEGM+TimesNewRoman"/>
          <w:color w:val="000000"/>
        </w:rPr>
        <w:t xml:space="preserve"> 91, 1369-1401.</w:t>
      </w:r>
    </w:p>
    <w:p w:rsidR="002007EB" w:rsidRPr="0025290A" w:rsidRDefault="002007EB" w:rsidP="002007EB">
      <w:r w:rsidRPr="0025290A">
        <w:rPr>
          <w:rFonts w:cs="BODEGM+TimesNewRoman"/>
          <w:color w:val="000000"/>
        </w:rPr>
        <w:t xml:space="preserve">Acemoglu, Daron, Simon Johnson, James Robinson, 2003, </w:t>
      </w:r>
      <w:r w:rsidRPr="0025290A">
        <w:t xml:space="preserve">“An African Success Story: Botswana,” </w:t>
      </w:r>
      <w:r w:rsidRPr="0025290A">
        <w:rPr>
          <w:i/>
          <w:color w:val="282828"/>
          <w:shd w:val="clear" w:color="auto" w:fill="FFFFFF"/>
        </w:rPr>
        <w:t>In Search of Prosperity: Analytic Narratives on Economic Growth</w:t>
      </w:r>
      <w:r w:rsidRPr="0025290A">
        <w:rPr>
          <w:color w:val="282828"/>
          <w:shd w:val="clear" w:color="auto" w:fill="FFFFFF"/>
        </w:rPr>
        <w:t>, edited by Dani Rodrik (Princeton: Princeton University Press), 80-119.</w:t>
      </w:r>
    </w:p>
    <w:p w:rsidR="002007EB" w:rsidRDefault="002007EB" w:rsidP="002007EB">
      <w:pPr>
        <w:jc w:val="both"/>
      </w:pPr>
      <w:r w:rsidRPr="0025290A">
        <w:t xml:space="preserve">Acemoglu, Daron, Simon Johnson, James Robinson, and </w:t>
      </w:r>
      <w:proofErr w:type="spellStart"/>
      <w:r w:rsidRPr="0025290A">
        <w:t>Yunyong</w:t>
      </w:r>
      <w:bookmarkStart w:id="0" w:name="_GoBack"/>
      <w:bookmarkEnd w:id="0"/>
      <w:proofErr w:type="spellEnd"/>
      <w:r w:rsidRPr="0025290A">
        <w:t xml:space="preserve"> </w:t>
      </w:r>
      <w:proofErr w:type="spellStart"/>
      <w:r w:rsidRPr="0025290A">
        <w:t>Thaicharoen</w:t>
      </w:r>
      <w:proofErr w:type="spellEnd"/>
      <w:r w:rsidRPr="0025290A">
        <w:t xml:space="preserve">, 2003, “Institutional Causes, Macroeconomic Symptoms: Volatility, Crises and Growth,” </w:t>
      </w:r>
      <w:hyperlink r:id="rId17" w:history="1">
        <w:r w:rsidRPr="0025290A">
          <w:rPr>
            <w:rStyle w:val="Hyperlink"/>
            <w:i/>
            <w:iCs/>
            <w:color w:val="auto"/>
            <w:sz w:val="22"/>
            <w:szCs w:val="22"/>
          </w:rPr>
          <w:t>Journal of Monetary Economics</w:t>
        </w:r>
      </w:hyperlink>
      <w:r w:rsidR="00CE3A81">
        <w:t xml:space="preserve"> (Elsevier), vol. 50 (</w:t>
      </w:r>
      <w:proofErr w:type="gramStart"/>
      <w:r w:rsidR="00CE3A81">
        <w:t>1 )</w:t>
      </w:r>
      <w:proofErr w:type="gramEnd"/>
      <w:r w:rsidR="00CE3A81" w:rsidRPr="00CE3A81">
        <w:t xml:space="preserve"> </w:t>
      </w:r>
      <w:r w:rsidR="00CE3A81" w:rsidRPr="0025290A">
        <w:t>January</w:t>
      </w:r>
      <w:r w:rsidR="00CE3A81">
        <w:t>, 49-12</w:t>
      </w:r>
      <w:r w:rsidRPr="0025290A">
        <w:t xml:space="preserve">. </w:t>
      </w:r>
    </w:p>
    <w:p w:rsidR="006671D1" w:rsidRDefault="0025290A" w:rsidP="006671D1">
      <w:pPr>
        <w:jc w:val="both"/>
      </w:pPr>
      <w:r>
        <w:t>Acemoglu, Daron, and</w:t>
      </w:r>
      <w:r w:rsidRPr="0025290A">
        <w:t xml:space="preserve"> James Robinson,</w:t>
      </w:r>
      <w:r>
        <w:t xml:space="preserve"> 2013, </w:t>
      </w:r>
      <w:r w:rsidRPr="0025290A">
        <w:rPr>
          <w:i/>
        </w:rPr>
        <w:t>Why Nations Fail: The Origins of Power, Prosperity and Poverty</w:t>
      </w:r>
      <w:r>
        <w:t xml:space="preserve"> (Crown Publishing Group).</w:t>
      </w:r>
    </w:p>
    <w:p w:rsidR="00A544A8" w:rsidRPr="00A544A8" w:rsidRDefault="00A544A8" w:rsidP="00A544A8">
      <w:pPr>
        <w:shd w:val="clear" w:color="auto" w:fill="FFFFFF"/>
        <w:rPr>
          <w:rFonts w:cs="Arial"/>
          <w:color w:val="333333"/>
        </w:rPr>
      </w:pPr>
      <w:r w:rsidRPr="00A544A8">
        <w:rPr>
          <w:rFonts w:cs="Arial"/>
          <w:color w:val="333333"/>
        </w:rPr>
        <w:t>Anderson, James, 2011, “</w:t>
      </w:r>
      <w:hyperlink r:id="rId18" w:history="1">
        <w:r w:rsidRPr="00A544A8">
          <w:rPr>
            <w:rStyle w:val="Hyperlink"/>
            <w:rFonts w:cs="Arial"/>
            <w:color w:val="auto"/>
            <w:sz w:val="22"/>
            <w:szCs w:val="22"/>
          </w:rPr>
          <w:t>The Gravity Model</w:t>
        </w:r>
      </w:hyperlink>
      <w:r w:rsidRPr="00A544A8">
        <w:rPr>
          <w:rFonts w:cs="Arial"/>
          <w:color w:val="333333"/>
        </w:rPr>
        <w:t xml:space="preserve">,” </w:t>
      </w:r>
      <w:r w:rsidRPr="00A544A8">
        <w:rPr>
          <w:rStyle w:val="journalname"/>
          <w:rFonts w:cs="Arial"/>
          <w:i/>
          <w:color w:val="333333"/>
          <w:shd w:val="clear" w:color="auto" w:fill="FFFFFF"/>
        </w:rPr>
        <w:t>Annual Review of Economics</w:t>
      </w:r>
      <w:r w:rsidRPr="00A544A8">
        <w:rPr>
          <w:rFonts w:cs="Arial"/>
          <w:color w:val="333333"/>
          <w:shd w:val="clear" w:color="auto" w:fill="FFFFFF"/>
        </w:rPr>
        <w:t> </w:t>
      </w:r>
      <w:r w:rsidRPr="00A544A8">
        <w:rPr>
          <w:rStyle w:val="volume"/>
          <w:rFonts w:cs="Arial"/>
          <w:color w:val="333333"/>
          <w:shd w:val="clear" w:color="auto" w:fill="FFFFFF"/>
        </w:rPr>
        <w:t>3</w:t>
      </w:r>
      <w:r w:rsidRPr="00A544A8">
        <w:rPr>
          <w:rFonts w:cs="Arial"/>
          <w:color w:val="333333"/>
          <w:shd w:val="clear" w:color="auto" w:fill="FFFFFF"/>
        </w:rPr>
        <w:t>:</w:t>
      </w:r>
      <w:r w:rsidRPr="00A544A8">
        <w:rPr>
          <w:rStyle w:val="issue"/>
          <w:rFonts w:cs="Arial"/>
          <w:color w:val="333333"/>
          <w:shd w:val="clear" w:color="auto" w:fill="FFFFFF"/>
        </w:rPr>
        <w:t>1</w:t>
      </w:r>
      <w:r w:rsidRPr="00A544A8">
        <w:rPr>
          <w:rFonts w:cs="Arial"/>
          <w:color w:val="333333"/>
          <w:shd w:val="clear" w:color="auto" w:fill="FFFFFF"/>
        </w:rPr>
        <w:t>, </w:t>
      </w:r>
      <w:r w:rsidRPr="00A544A8">
        <w:rPr>
          <w:rStyle w:val="page"/>
          <w:rFonts w:cs="Arial"/>
          <w:color w:val="333333"/>
          <w:shd w:val="clear" w:color="auto" w:fill="FFFFFF"/>
        </w:rPr>
        <w:t>133-160</w:t>
      </w:r>
      <w:r>
        <w:rPr>
          <w:rStyle w:val="page"/>
          <w:rFonts w:cs="Arial"/>
          <w:color w:val="333333"/>
          <w:shd w:val="clear" w:color="auto" w:fill="FFFFFF"/>
        </w:rPr>
        <w:t>.</w:t>
      </w:r>
    </w:p>
    <w:p w:rsidR="006671D1" w:rsidRPr="006671D1" w:rsidRDefault="006671D1" w:rsidP="005D2D9E">
      <w:proofErr w:type="gramStart"/>
      <w:r w:rsidRPr="006671D1">
        <w:rPr>
          <w:rFonts w:cs="Arial"/>
          <w:bCs/>
        </w:rPr>
        <w:t xml:space="preserve">Anderson, Kym, and </w:t>
      </w:r>
      <w:proofErr w:type="spellStart"/>
      <w:r w:rsidRPr="006671D1">
        <w:rPr>
          <w:rFonts w:cs="Arial"/>
          <w:bCs/>
        </w:rPr>
        <w:t>Hege</w:t>
      </w:r>
      <w:proofErr w:type="spellEnd"/>
      <w:r w:rsidRPr="006671D1">
        <w:rPr>
          <w:rFonts w:cs="Arial"/>
          <w:bCs/>
        </w:rPr>
        <w:t xml:space="preserve"> </w:t>
      </w:r>
      <w:proofErr w:type="spellStart"/>
      <w:r w:rsidRPr="006671D1">
        <w:rPr>
          <w:rFonts w:cs="Arial"/>
          <w:bCs/>
        </w:rPr>
        <w:t>Norheim</w:t>
      </w:r>
      <w:proofErr w:type="spellEnd"/>
      <w:r w:rsidRPr="006671D1">
        <w:rPr>
          <w:rFonts w:cs="Arial"/>
          <w:bCs/>
        </w:rPr>
        <w:t>, 1993, “</w:t>
      </w:r>
      <w:hyperlink r:id="rId19" w:history="1">
        <w:r w:rsidRPr="006671D1">
          <w:rPr>
            <w:rStyle w:val="Hyperlink"/>
            <w:rFonts w:cs="Arial"/>
            <w:bCs/>
            <w:color w:val="auto"/>
            <w:sz w:val="22"/>
            <w:szCs w:val="22"/>
          </w:rPr>
          <w:t>Is world trade becoming more regionalized?</w:t>
        </w:r>
      </w:hyperlink>
      <w:r w:rsidRPr="006671D1">
        <w:rPr>
          <w:rFonts w:cs="Arial"/>
          <w:bCs/>
        </w:rPr>
        <w:t>”</w:t>
      </w:r>
      <w:proofErr w:type="gramEnd"/>
      <w:r w:rsidRPr="006671D1">
        <w:rPr>
          <w:rFonts w:cs="Arial"/>
        </w:rPr>
        <w:t xml:space="preserve"> </w:t>
      </w:r>
      <w:r w:rsidRPr="006671D1">
        <w:rPr>
          <w:rFonts w:cs="Arial"/>
          <w:i/>
        </w:rPr>
        <w:t>Review of International Economics</w:t>
      </w:r>
      <w:proofErr w:type="gramStart"/>
      <w:r w:rsidRPr="006671D1">
        <w:rPr>
          <w:rFonts w:cs="Arial"/>
        </w:rPr>
        <w:t xml:space="preserve">,  </w:t>
      </w:r>
      <w:proofErr w:type="gramEnd"/>
      <w:r w:rsidR="001B0B6E">
        <w:fldChar w:fldCharType="begin"/>
      </w:r>
      <w:r w:rsidR="001B0B6E">
        <w:instrText xml:space="preserve"> HYPERLINK "https://onlinelibrary.wiley.com/toc/14679396/1993/1/2" </w:instrText>
      </w:r>
      <w:r w:rsidR="001B0B6E">
        <w:fldChar w:fldCharType="separate"/>
      </w:r>
      <w:r w:rsidRPr="006671D1">
        <w:rPr>
          <w:rStyle w:val="Hyperlink"/>
          <w:rFonts w:cs="Arial"/>
          <w:bCs/>
          <w:color w:val="auto"/>
          <w:sz w:val="22"/>
          <w:szCs w:val="22"/>
        </w:rPr>
        <w:t>Volume</w:t>
      </w:r>
      <w:r w:rsidRPr="006671D1">
        <w:rPr>
          <w:rStyle w:val="val"/>
          <w:rFonts w:cs="Arial"/>
          <w:bCs/>
        </w:rPr>
        <w:t>1</w:t>
      </w:r>
      <w:r w:rsidRPr="006671D1">
        <w:rPr>
          <w:rStyle w:val="Hyperlink"/>
          <w:rFonts w:cs="Arial"/>
          <w:bCs/>
          <w:color w:val="auto"/>
          <w:sz w:val="22"/>
          <w:szCs w:val="22"/>
        </w:rPr>
        <w:t>, Issue</w:t>
      </w:r>
      <w:r w:rsidRPr="006671D1">
        <w:rPr>
          <w:rStyle w:val="val"/>
          <w:rFonts w:cs="Arial"/>
          <w:bCs/>
        </w:rPr>
        <w:t>2</w:t>
      </w:r>
      <w:r w:rsidR="001B0B6E">
        <w:rPr>
          <w:rStyle w:val="val"/>
          <w:rFonts w:cs="Arial"/>
          <w:bCs/>
        </w:rPr>
        <w:fldChar w:fldCharType="end"/>
      </w:r>
      <w:r w:rsidRPr="006671D1">
        <w:rPr>
          <w:rFonts w:cs="Arial"/>
          <w:bCs/>
        </w:rPr>
        <w:t xml:space="preserve">, </w:t>
      </w:r>
      <w:r w:rsidRPr="006671D1">
        <w:rPr>
          <w:rFonts w:cs="Arial"/>
        </w:rPr>
        <w:t>June, 91-109</w:t>
      </w:r>
    </w:p>
    <w:p w:rsidR="00DA603C" w:rsidRDefault="00DA5D48" w:rsidP="00F60F49">
      <w:pPr>
        <w:pStyle w:val="volume-issue"/>
        <w:shd w:val="clear" w:color="auto" w:fill="FFFFFF"/>
        <w:spacing w:before="75" w:beforeAutospacing="0" w:after="240" w:afterAutospacing="0" w:line="276" w:lineRule="auto"/>
        <w:rPr>
          <w:rFonts w:asciiTheme="minorHAnsi" w:hAnsiTheme="minorHAnsi"/>
          <w:sz w:val="22"/>
          <w:szCs w:val="22"/>
        </w:rPr>
      </w:pPr>
      <w:proofErr w:type="gramStart"/>
      <w:r w:rsidRPr="00DA5D48">
        <w:rPr>
          <w:rFonts w:asciiTheme="minorHAnsi" w:hAnsiTheme="minorHAnsi"/>
          <w:sz w:val="22"/>
          <w:szCs w:val="22"/>
        </w:rPr>
        <w:t xml:space="preserve">Arezki, Rabah, and Frederick van der </w:t>
      </w:r>
      <w:proofErr w:type="spellStart"/>
      <w:r w:rsidRPr="00DA5D48">
        <w:rPr>
          <w:rFonts w:asciiTheme="minorHAnsi" w:hAnsiTheme="minorHAnsi"/>
          <w:sz w:val="22"/>
          <w:szCs w:val="22"/>
        </w:rPr>
        <w:t>Ploeg</w:t>
      </w:r>
      <w:proofErr w:type="spellEnd"/>
      <w:r w:rsidRPr="00DA5D48">
        <w:rPr>
          <w:rFonts w:asciiTheme="minorHAnsi" w:hAnsiTheme="minorHAnsi"/>
          <w:sz w:val="22"/>
          <w:szCs w:val="22"/>
        </w:rPr>
        <w:t>, 2011, "Do Natural Resources Depress Income Per Capita?"</w:t>
      </w:r>
      <w:proofErr w:type="gramEnd"/>
      <w:r w:rsidRPr="00DA5D48">
        <w:rPr>
          <w:rFonts w:asciiTheme="minorHAnsi" w:hAnsiTheme="minorHAnsi"/>
          <w:sz w:val="22"/>
          <w:szCs w:val="22"/>
        </w:rPr>
        <w:t xml:space="preserve"> </w:t>
      </w:r>
      <w:r w:rsidRPr="00DA5D48">
        <w:rPr>
          <w:rFonts w:asciiTheme="minorHAnsi" w:hAnsiTheme="minorHAnsi"/>
          <w:i/>
          <w:iCs/>
          <w:sz w:val="22"/>
          <w:szCs w:val="22"/>
        </w:rPr>
        <w:t>Review of Development Economics</w:t>
      </w:r>
      <w:r w:rsidRPr="00DA5D48">
        <w:rPr>
          <w:rFonts w:asciiTheme="minorHAnsi" w:hAnsiTheme="minorHAnsi"/>
          <w:sz w:val="22"/>
          <w:szCs w:val="22"/>
        </w:rPr>
        <w:t xml:space="preserve">, </w:t>
      </w:r>
      <w:hyperlink r:id="rId20" w:history="1">
        <w:r w:rsidRPr="00DA5D48">
          <w:rPr>
            <w:rStyle w:val="Hyperlink"/>
            <w:rFonts w:asciiTheme="minorHAnsi" w:eastAsiaTheme="majorEastAsia" w:hAnsiTheme="minorHAnsi" w:cs="Arial"/>
            <w:bCs/>
            <w:color w:val="auto"/>
            <w:sz w:val="22"/>
            <w:szCs w:val="22"/>
          </w:rPr>
          <w:t>Volume</w:t>
        </w:r>
        <w:r w:rsidRPr="00DA5D48">
          <w:rPr>
            <w:rStyle w:val="val"/>
            <w:rFonts w:asciiTheme="minorHAnsi" w:eastAsiaTheme="majorEastAsia" w:hAnsiTheme="minorHAnsi" w:cs="Arial"/>
            <w:bCs/>
            <w:sz w:val="22"/>
            <w:szCs w:val="22"/>
          </w:rPr>
          <w:t>15</w:t>
        </w:r>
        <w:r w:rsidRPr="00DA5D48">
          <w:rPr>
            <w:rStyle w:val="Hyperlink"/>
            <w:rFonts w:asciiTheme="minorHAnsi" w:eastAsiaTheme="majorEastAsia" w:hAnsiTheme="minorHAnsi" w:cs="Arial"/>
            <w:bCs/>
            <w:color w:val="auto"/>
            <w:sz w:val="22"/>
            <w:szCs w:val="22"/>
          </w:rPr>
          <w:t>, Issue</w:t>
        </w:r>
        <w:r w:rsidRPr="00DA5D48">
          <w:rPr>
            <w:rStyle w:val="val"/>
            <w:rFonts w:asciiTheme="minorHAnsi" w:eastAsiaTheme="majorEastAsia" w:hAnsiTheme="minorHAnsi" w:cs="Arial"/>
            <w:bCs/>
            <w:sz w:val="22"/>
            <w:szCs w:val="22"/>
          </w:rPr>
          <w:t>3</w:t>
        </w:r>
      </w:hyperlink>
      <w:r>
        <w:rPr>
          <w:rFonts w:asciiTheme="minorHAnsi" w:hAnsiTheme="minorHAnsi" w:cs="Arial"/>
          <w:bCs/>
          <w:sz w:val="22"/>
          <w:szCs w:val="22"/>
        </w:rPr>
        <w:t>,</w:t>
      </w:r>
      <w:r w:rsidRPr="00DA5D48">
        <w:rPr>
          <w:rFonts w:asciiTheme="minorHAnsi" w:hAnsiTheme="minorHAnsi" w:cs="Arial"/>
          <w:bCs/>
          <w:sz w:val="22"/>
          <w:szCs w:val="22"/>
        </w:rPr>
        <w:t xml:space="preserve"> </w:t>
      </w:r>
      <w:r w:rsidRPr="00DA5D48">
        <w:rPr>
          <w:rFonts w:asciiTheme="minorHAnsi" w:hAnsiTheme="minorHAnsi" w:cs="Arial"/>
          <w:sz w:val="22"/>
          <w:szCs w:val="22"/>
        </w:rPr>
        <w:t>August, pp. 504-521.</w:t>
      </w:r>
      <w:r w:rsidRPr="00DA5D48">
        <w:rPr>
          <w:rFonts w:asciiTheme="minorHAnsi" w:hAnsiTheme="minorHAnsi"/>
          <w:sz w:val="22"/>
          <w:szCs w:val="22"/>
        </w:rPr>
        <w:t xml:space="preserve"> </w:t>
      </w:r>
    </w:p>
    <w:p w:rsidR="001E33BC" w:rsidRDefault="001E33BC" w:rsidP="00F60F49">
      <w:pPr>
        <w:pStyle w:val="volume-issue"/>
        <w:shd w:val="clear" w:color="auto" w:fill="FFFFFF"/>
        <w:spacing w:before="75" w:beforeAutospacing="0" w:after="240" w:afterAutospacing="0" w:line="276" w:lineRule="auto"/>
        <w:rPr>
          <w:rFonts w:asciiTheme="minorHAnsi" w:hAnsiTheme="minorHAnsi"/>
          <w:sz w:val="22"/>
          <w:szCs w:val="22"/>
        </w:rPr>
      </w:pPr>
      <w:r w:rsidRPr="00124DD4">
        <w:rPr>
          <w:rFonts w:asciiTheme="minorHAnsi" w:eastAsiaTheme="majorEastAsia" w:hAnsiTheme="minorHAnsi" w:cs="Arial"/>
          <w:sz w:val="22"/>
          <w:szCs w:val="22"/>
        </w:rPr>
        <w:t>Asongu</w:t>
      </w:r>
      <w:r w:rsidRPr="00124DD4">
        <w:rPr>
          <w:rFonts w:asciiTheme="minorHAnsi" w:hAnsiTheme="minorHAnsi" w:cs="Arial"/>
          <w:sz w:val="22"/>
          <w:szCs w:val="22"/>
        </w:rPr>
        <w:t xml:space="preserve">, </w:t>
      </w:r>
      <w:r w:rsidRPr="00124DD4">
        <w:rPr>
          <w:rFonts w:asciiTheme="minorHAnsi" w:eastAsiaTheme="majorEastAsia" w:hAnsiTheme="minorHAnsi" w:cs="Arial"/>
          <w:sz w:val="22"/>
          <w:szCs w:val="22"/>
        </w:rPr>
        <w:t>Simplice</w:t>
      </w:r>
      <w:r w:rsidRPr="00124DD4">
        <w:rPr>
          <w:rFonts w:asciiTheme="minorHAnsi" w:hAnsiTheme="minorHAnsi" w:cs="Arial"/>
          <w:sz w:val="22"/>
          <w:szCs w:val="22"/>
        </w:rPr>
        <w:t xml:space="preserve">, </w:t>
      </w:r>
      <w:r w:rsidRPr="00124DD4">
        <w:rPr>
          <w:rFonts w:asciiTheme="minorHAnsi" w:eastAsiaTheme="majorEastAsia" w:hAnsiTheme="minorHAnsi" w:cs="Arial"/>
          <w:sz w:val="22"/>
          <w:szCs w:val="22"/>
        </w:rPr>
        <w:t xml:space="preserve">Jacinta </w:t>
      </w:r>
      <w:proofErr w:type="gramStart"/>
      <w:r w:rsidRPr="00124DD4">
        <w:rPr>
          <w:rFonts w:asciiTheme="minorHAnsi" w:eastAsiaTheme="majorEastAsia" w:hAnsiTheme="minorHAnsi" w:cs="Arial"/>
          <w:sz w:val="22"/>
          <w:szCs w:val="22"/>
        </w:rPr>
        <w:t>Nwachukwu</w:t>
      </w:r>
      <w:r w:rsidRPr="00124DD4">
        <w:rPr>
          <w:rFonts w:asciiTheme="minorHAnsi" w:hAnsiTheme="minorHAnsi" w:cs="Arial"/>
          <w:sz w:val="22"/>
          <w:szCs w:val="22"/>
        </w:rPr>
        <w:t> ,</w:t>
      </w:r>
      <w:proofErr w:type="gramEnd"/>
      <w:r>
        <w:rPr>
          <w:rFonts w:asciiTheme="minorHAnsi" w:hAnsiTheme="minorHAnsi" w:cs="Arial"/>
          <w:sz w:val="22"/>
          <w:szCs w:val="22"/>
        </w:rPr>
        <w:t xml:space="preserve"> </w:t>
      </w:r>
      <w:r w:rsidRPr="00124DD4">
        <w:rPr>
          <w:rFonts w:asciiTheme="minorHAnsi" w:hAnsiTheme="minorHAnsi" w:cs="Arial"/>
          <w:sz w:val="22"/>
          <w:szCs w:val="22"/>
        </w:rPr>
        <w:t xml:space="preserve">and </w:t>
      </w:r>
      <w:r w:rsidRPr="00124DD4">
        <w:rPr>
          <w:rFonts w:asciiTheme="minorHAnsi" w:eastAsiaTheme="majorEastAsia" w:hAnsiTheme="minorHAnsi" w:cs="Arial"/>
          <w:sz w:val="22"/>
          <w:szCs w:val="22"/>
        </w:rPr>
        <w:t>Vanessa Tchamyou, 2017</w:t>
      </w:r>
      <w:r>
        <w:rPr>
          <w:rFonts w:asciiTheme="minorHAnsi" w:eastAsiaTheme="majorEastAsia" w:hAnsiTheme="minorHAnsi" w:cs="Arial"/>
          <w:sz w:val="22"/>
          <w:szCs w:val="22"/>
        </w:rPr>
        <w:t>,</w:t>
      </w:r>
      <w:r w:rsidRPr="00124DD4">
        <w:rPr>
          <w:rFonts w:asciiTheme="minorHAnsi" w:eastAsiaTheme="majorEastAsia" w:hAnsiTheme="minorHAnsi" w:cs="Arial"/>
          <w:sz w:val="22"/>
          <w:szCs w:val="22"/>
        </w:rPr>
        <w:t xml:space="preserve"> “A Literature Survey on Proposed African Monetary Unions,”</w:t>
      </w:r>
      <w:r w:rsidRPr="00124DD4">
        <w:rPr>
          <w:rFonts w:asciiTheme="minorHAnsi" w:hAnsiTheme="minorHAnsi" w:cs="Arial"/>
          <w:sz w:val="22"/>
          <w:szCs w:val="22"/>
        </w:rPr>
        <w:t xml:space="preserve"> </w:t>
      </w:r>
      <w:r w:rsidRPr="00124DD4">
        <w:rPr>
          <w:rFonts w:asciiTheme="minorHAnsi" w:hAnsiTheme="minorHAnsi" w:cs="Arial"/>
          <w:i/>
          <w:sz w:val="22"/>
          <w:szCs w:val="22"/>
        </w:rPr>
        <w:t>Journal of Economic Surveys</w:t>
      </w:r>
      <w:r w:rsidRPr="00124DD4">
        <w:rPr>
          <w:rFonts w:asciiTheme="minorHAnsi" w:hAnsiTheme="minorHAnsi" w:cs="Arial"/>
          <w:sz w:val="22"/>
          <w:szCs w:val="22"/>
        </w:rPr>
        <w:t>, vol. 31, no.3, Jul</w:t>
      </w:r>
      <w:r w:rsidRPr="00124DD4">
        <w:rPr>
          <w:rFonts w:asciiTheme="minorHAnsi" w:hAnsiTheme="minorHAnsi" w:cs="Arial"/>
          <w:color w:val="1C1D1E"/>
          <w:sz w:val="22"/>
          <w:szCs w:val="22"/>
        </w:rPr>
        <w:t xml:space="preserve">y 2017, </w:t>
      </w:r>
      <w:r w:rsidRPr="00124DD4">
        <w:rPr>
          <w:rFonts w:asciiTheme="minorHAnsi" w:hAnsiTheme="minorHAnsi" w:cs="Arial"/>
          <w:sz w:val="22"/>
          <w:szCs w:val="22"/>
        </w:rPr>
        <w:t>878-902</w:t>
      </w:r>
      <w:r>
        <w:rPr>
          <w:rFonts w:asciiTheme="minorHAnsi" w:hAnsiTheme="minorHAnsi" w:cs="Arial"/>
          <w:sz w:val="22"/>
          <w:szCs w:val="22"/>
        </w:rPr>
        <w:t>.</w:t>
      </w:r>
    </w:p>
    <w:p w:rsidR="00DA5D48" w:rsidRDefault="00DA603C" w:rsidP="00DA603C">
      <w:proofErr w:type="spellStart"/>
      <w:r w:rsidRPr="00DA603C">
        <w:t>Auty</w:t>
      </w:r>
      <w:proofErr w:type="spellEnd"/>
      <w:r w:rsidRPr="00DA603C">
        <w:t xml:space="preserve">, Richard, 1993, </w:t>
      </w:r>
      <w:r w:rsidRPr="00DA603C">
        <w:rPr>
          <w:i/>
          <w:iCs/>
        </w:rPr>
        <w:t xml:space="preserve">Sustaining Development in Mineral Economies: The Resource Curse Thesis </w:t>
      </w:r>
      <w:r w:rsidRPr="00DA603C">
        <w:rPr>
          <w:iCs/>
        </w:rPr>
        <w:t>(</w:t>
      </w:r>
      <w:r w:rsidRPr="00DA603C">
        <w:t>Oxfo</w:t>
      </w:r>
      <w:r>
        <w:t>rd University Press, New York).</w:t>
      </w:r>
    </w:p>
    <w:p w:rsidR="002422A3" w:rsidRPr="002422A3" w:rsidRDefault="006C4CB1" w:rsidP="00DA603C">
      <w:hyperlink r:id="rId21" w:history="1">
        <w:proofErr w:type="gramStart"/>
        <w:r w:rsidR="002422A3" w:rsidRPr="002422A3">
          <w:rPr>
            <w:rStyle w:val="Hyperlink"/>
            <w:rFonts w:cs="Arial"/>
            <w:color w:val="auto"/>
            <w:sz w:val="22"/>
            <w:szCs w:val="22"/>
          </w:rPr>
          <w:t>Bénassy</w:t>
        </w:r>
        <w:r w:rsidR="002422A3" w:rsidRPr="002422A3">
          <w:rPr>
            <w:rStyle w:val="Hyperlink"/>
            <w:rFonts w:cs="Cambria Math"/>
            <w:color w:val="auto"/>
            <w:sz w:val="22"/>
            <w:szCs w:val="22"/>
          </w:rPr>
          <w:t>‐</w:t>
        </w:r>
        <w:r w:rsidR="002422A3" w:rsidRPr="002422A3">
          <w:rPr>
            <w:rStyle w:val="Hyperlink"/>
            <w:rFonts w:cs="Arial"/>
            <w:color w:val="auto"/>
            <w:sz w:val="22"/>
            <w:szCs w:val="22"/>
          </w:rPr>
          <w:t>Quéré</w:t>
        </w:r>
      </w:hyperlink>
      <w:r w:rsidR="002422A3" w:rsidRPr="002422A3">
        <w:rPr>
          <w:rFonts w:cs="Arial"/>
        </w:rPr>
        <w:t xml:space="preserve">, Agnès, and </w:t>
      </w:r>
      <w:hyperlink r:id="rId22" w:history="1">
        <w:proofErr w:type="spellStart"/>
        <w:r w:rsidR="002422A3" w:rsidRPr="002422A3">
          <w:rPr>
            <w:rStyle w:val="Hyperlink"/>
            <w:rFonts w:cs="Arial"/>
            <w:color w:val="auto"/>
            <w:sz w:val="22"/>
            <w:szCs w:val="22"/>
          </w:rPr>
          <w:t>Maylis</w:t>
        </w:r>
        <w:proofErr w:type="spellEnd"/>
        <w:r w:rsidR="002422A3" w:rsidRPr="002422A3">
          <w:rPr>
            <w:rStyle w:val="Hyperlink"/>
            <w:rFonts w:cs="Arial"/>
            <w:color w:val="auto"/>
            <w:sz w:val="22"/>
            <w:szCs w:val="22"/>
          </w:rPr>
          <w:t xml:space="preserve"> </w:t>
        </w:r>
        <w:proofErr w:type="spellStart"/>
        <w:r w:rsidR="002422A3" w:rsidRPr="002422A3">
          <w:rPr>
            <w:rStyle w:val="Hyperlink"/>
            <w:rFonts w:cs="Arial"/>
            <w:color w:val="auto"/>
            <w:sz w:val="22"/>
            <w:szCs w:val="22"/>
          </w:rPr>
          <w:t>Coupet</w:t>
        </w:r>
        <w:proofErr w:type="spellEnd"/>
      </w:hyperlink>
      <w:r w:rsidR="002422A3" w:rsidRPr="002422A3">
        <w:rPr>
          <w:rFonts w:cs="Arial"/>
        </w:rPr>
        <w:t>, 2005,</w:t>
      </w:r>
      <w:r w:rsidR="002422A3" w:rsidRPr="002422A3">
        <w:rPr>
          <w:rFonts w:cs="Arial"/>
          <w:color w:val="1C1D1E"/>
        </w:rPr>
        <w:t xml:space="preserve"> “On the Adequacy of Monetary Arrangements in Sub</w:t>
      </w:r>
      <w:r w:rsidR="002422A3" w:rsidRPr="002422A3">
        <w:rPr>
          <w:rFonts w:cs="Cambria Math"/>
          <w:color w:val="1C1D1E"/>
        </w:rPr>
        <w:t>‐</w:t>
      </w:r>
      <w:r w:rsidR="002422A3" w:rsidRPr="002422A3">
        <w:rPr>
          <w:rFonts w:cs="Arial"/>
          <w:color w:val="1C1D1E"/>
        </w:rPr>
        <w:t xml:space="preserve">Saharan Africa,” </w:t>
      </w:r>
      <w:r w:rsidR="002422A3" w:rsidRPr="002422A3">
        <w:rPr>
          <w:rFonts w:cs="Arial"/>
          <w:i/>
          <w:color w:val="1C1D1E"/>
        </w:rPr>
        <w:t>The World Economy</w:t>
      </w:r>
      <w:r w:rsidR="002422A3">
        <w:rPr>
          <w:rFonts w:cs="Arial"/>
          <w:color w:val="1C1D1E"/>
        </w:rPr>
        <w:t xml:space="preserve">, </w:t>
      </w:r>
      <w:r w:rsidR="002422A3" w:rsidRPr="002422A3">
        <w:rPr>
          <w:rFonts w:cs="Arial"/>
          <w:bCs/>
          <w:color w:val="1C1D1E"/>
        </w:rPr>
        <w:t xml:space="preserve">Volume </w:t>
      </w:r>
      <w:r w:rsidR="002422A3" w:rsidRPr="002422A3">
        <w:rPr>
          <w:rStyle w:val="val"/>
          <w:rFonts w:cs="Arial"/>
          <w:bCs/>
        </w:rPr>
        <w:t>28</w:t>
      </w:r>
      <w:r w:rsidR="002422A3" w:rsidRPr="002422A3">
        <w:rPr>
          <w:rFonts w:cs="Arial"/>
          <w:bCs/>
        </w:rPr>
        <w:t xml:space="preserve">, Issue </w:t>
      </w:r>
      <w:r w:rsidR="002422A3" w:rsidRPr="002422A3">
        <w:rPr>
          <w:rStyle w:val="val"/>
          <w:rFonts w:cs="Arial"/>
          <w:bCs/>
        </w:rPr>
        <w:t>3</w:t>
      </w:r>
      <w:r w:rsidR="002422A3" w:rsidRPr="002422A3">
        <w:rPr>
          <w:rFonts w:cs="Arial"/>
          <w:b/>
          <w:bCs/>
          <w:color w:val="1C1D1E"/>
        </w:rPr>
        <w:t xml:space="preserve">, </w:t>
      </w:r>
      <w:r w:rsidR="002422A3" w:rsidRPr="002422A3">
        <w:rPr>
          <w:rFonts w:cs="Arial"/>
          <w:color w:val="1C1D1E"/>
        </w:rPr>
        <w:t xml:space="preserve">March, </w:t>
      </w:r>
      <w:r w:rsidR="002422A3" w:rsidRPr="002422A3">
        <w:rPr>
          <w:rFonts w:cs="Arial"/>
        </w:rPr>
        <w:t>349-373.</w:t>
      </w:r>
      <w:proofErr w:type="gramEnd"/>
    </w:p>
    <w:p w:rsidR="00B808BF" w:rsidRDefault="00C62C1A" w:rsidP="00C62C1A">
      <w:proofErr w:type="spellStart"/>
      <w:proofErr w:type="gramStart"/>
      <w:r w:rsidRPr="002B4AEB">
        <w:t>Beny</w:t>
      </w:r>
      <w:proofErr w:type="spellEnd"/>
      <w:r w:rsidRPr="002B4AEB">
        <w:t>, Laura, and Lisa Cook, 2009, “Metals or Management?</w:t>
      </w:r>
      <w:proofErr w:type="gramEnd"/>
      <w:r w:rsidRPr="002B4AEB">
        <w:t xml:space="preserve"> Explaining Africa’s Recent Economic Growth Performance,” </w:t>
      </w:r>
      <w:r w:rsidRPr="002B4AEB">
        <w:rPr>
          <w:i/>
        </w:rPr>
        <w:t>American Economic Review,</w:t>
      </w:r>
      <w:r w:rsidRPr="002B4AEB">
        <w:t xml:space="preserve"> 99, no. 2, May, 268-274.</w:t>
      </w:r>
    </w:p>
    <w:p w:rsidR="003701FC" w:rsidRDefault="003701FC" w:rsidP="00C62C1A">
      <w:proofErr w:type="spellStart"/>
      <w:r>
        <w:rPr>
          <w:rFonts w:cs="Arial"/>
          <w:color w:val="1C1D1E"/>
          <w:shd w:val="clear" w:color="auto" w:fill="FFFFFF"/>
        </w:rPr>
        <w:t>Boughton</w:t>
      </w:r>
      <w:proofErr w:type="spellEnd"/>
      <w:r>
        <w:rPr>
          <w:rFonts w:cs="Arial"/>
          <w:color w:val="1C1D1E"/>
          <w:shd w:val="clear" w:color="auto" w:fill="FFFFFF"/>
        </w:rPr>
        <w:t xml:space="preserve">, James, </w:t>
      </w:r>
      <w:r w:rsidRPr="00760817">
        <w:rPr>
          <w:rStyle w:val="pubyear"/>
          <w:rFonts w:cs="Arial"/>
          <w:color w:val="1C1D1E"/>
          <w:shd w:val="clear" w:color="auto" w:fill="FFFFFF"/>
        </w:rPr>
        <w:t>1993</w:t>
      </w:r>
      <w:r>
        <w:rPr>
          <w:rStyle w:val="pubyear"/>
          <w:rFonts w:cs="Arial"/>
          <w:color w:val="1C1D1E"/>
          <w:shd w:val="clear" w:color="auto" w:fill="FFFFFF"/>
        </w:rPr>
        <w:t>, “</w:t>
      </w:r>
      <w:r w:rsidRPr="00760817">
        <w:rPr>
          <w:rStyle w:val="articletitle"/>
          <w:rFonts w:cs="Arial"/>
          <w:color w:val="1C1D1E"/>
          <w:shd w:val="clear" w:color="auto" w:fill="FFFFFF"/>
        </w:rPr>
        <w:t>The CFA franc zone: currency union and monetary standard</w:t>
      </w:r>
      <w:r>
        <w:rPr>
          <w:rStyle w:val="articletitle"/>
          <w:rFonts w:cs="Arial"/>
          <w:color w:val="1C1D1E"/>
          <w:shd w:val="clear" w:color="auto" w:fill="FFFFFF"/>
        </w:rPr>
        <w:t>,”</w:t>
      </w:r>
      <w:r w:rsidRPr="00760817">
        <w:rPr>
          <w:rFonts w:cs="Arial"/>
          <w:color w:val="1C1D1E"/>
          <w:shd w:val="clear" w:color="auto" w:fill="FFFFFF"/>
        </w:rPr>
        <w:t> </w:t>
      </w:r>
      <w:r w:rsidRPr="00760817">
        <w:rPr>
          <w:rFonts w:cs="Arial"/>
          <w:i/>
          <w:iCs/>
          <w:color w:val="1C1D1E"/>
          <w:shd w:val="clear" w:color="auto" w:fill="FFFFFF"/>
        </w:rPr>
        <w:t>Greek Economic Review</w:t>
      </w:r>
      <w:r w:rsidRPr="00760817">
        <w:rPr>
          <w:rFonts w:cs="Arial"/>
          <w:color w:val="1C1D1E"/>
          <w:shd w:val="clear" w:color="auto" w:fill="FFFFFF"/>
        </w:rPr>
        <w:t> </w:t>
      </w:r>
      <w:r w:rsidRPr="00760817">
        <w:rPr>
          <w:rStyle w:val="vol"/>
          <w:rFonts w:cs="Arial"/>
          <w:color w:val="1C1D1E"/>
          <w:shd w:val="clear" w:color="auto" w:fill="FFFFFF"/>
        </w:rPr>
        <w:t>15</w:t>
      </w:r>
      <w:r w:rsidRPr="00760817">
        <w:rPr>
          <w:rFonts w:cs="Arial"/>
          <w:color w:val="1C1D1E"/>
          <w:shd w:val="clear" w:color="auto" w:fill="FFFFFF"/>
        </w:rPr>
        <w:t>(1): 267–312.</w:t>
      </w:r>
    </w:p>
    <w:p w:rsidR="00B808BF" w:rsidRDefault="00556AA1" w:rsidP="00C62C1A">
      <w:pPr>
        <w:rPr>
          <w:rFonts w:cs="Arial"/>
          <w:color w:val="2A2A2A"/>
          <w:sz w:val="24"/>
          <w:szCs w:val="24"/>
        </w:rPr>
      </w:pPr>
      <w:proofErr w:type="spellStart"/>
      <w:r w:rsidRPr="00EC650F">
        <w:rPr>
          <w:color w:val="333333"/>
          <w:sz w:val="24"/>
          <w:szCs w:val="24"/>
          <w:shd w:val="clear" w:color="auto" w:fill="FCFCFC"/>
        </w:rPr>
        <w:t>Carrère</w:t>
      </w:r>
      <w:proofErr w:type="spellEnd"/>
      <w:r>
        <w:rPr>
          <w:b/>
          <w:color w:val="333333"/>
          <w:sz w:val="24"/>
          <w:szCs w:val="24"/>
          <w:shd w:val="clear" w:color="auto" w:fill="FCFCFC"/>
        </w:rPr>
        <w:t xml:space="preserve">, </w:t>
      </w:r>
      <w:hyperlink r:id="rId23" w:history="1">
        <w:r w:rsidRPr="00EC650F">
          <w:rPr>
            <w:rStyle w:val="Hyperlink"/>
            <w:rFonts w:cs="Arial"/>
            <w:color w:val="auto"/>
            <w:bdr w:val="none" w:sz="0" w:space="0" w:color="auto" w:frame="1"/>
          </w:rPr>
          <w:t>Céline</w:t>
        </w:r>
      </w:hyperlink>
      <w:r>
        <w:rPr>
          <w:rStyle w:val="al-author-name"/>
          <w:rFonts w:cs="Arial"/>
          <w:sz w:val="24"/>
          <w:szCs w:val="24"/>
          <w:bdr w:val="none" w:sz="0" w:space="0" w:color="auto" w:frame="1"/>
        </w:rPr>
        <w:t xml:space="preserve">, </w:t>
      </w:r>
      <w:r>
        <w:rPr>
          <w:color w:val="333333"/>
          <w:sz w:val="24"/>
          <w:szCs w:val="24"/>
          <w:shd w:val="clear" w:color="auto" w:fill="FCFCFC"/>
        </w:rPr>
        <w:t>2004,</w:t>
      </w:r>
      <w:r>
        <w:rPr>
          <w:b/>
          <w:color w:val="333333"/>
          <w:sz w:val="24"/>
          <w:szCs w:val="24"/>
          <w:shd w:val="clear" w:color="auto" w:fill="FCFCFC"/>
        </w:rPr>
        <w:t xml:space="preserve"> “</w:t>
      </w:r>
      <w:r w:rsidRPr="00CB09BE">
        <w:rPr>
          <w:color w:val="333333"/>
          <w:sz w:val="24"/>
          <w:szCs w:val="24"/>
          <w:shd w:val="clear" w:color="auto" w:fill="FCFCFC"/>
        </w:rPr>
        <w:t>A</w:t>
      </w:r>
      <w:r w:rsidRPr="00EC650F">
        <w:rPr>
          <w:color w:val="2A2A2A"/>
          <w:sz w:val="24"/>
          <w:szCs w:val="24"/>
        </w:rPr>
        <w:t>frican Regional Agreements: Impact on Trade with or without Currency Unions</w:t>
      </w:r>
      <w:r>
        <w:rPr>
          <w:color w:val="2A2A2A"/>
          <w:sz w:val="24"/>
          <w:szCs w:val="24"/>
        </w:rPr>
        <w:t xml:space="preserve">,” </w:t>
      </w:r>
      <w:r w:rsidRPr="002B4980">
        <w:rPr>
          <w:rStyle w:val="Emphasis"/>
          <w:rFonts w:cs="Arial"/>
          <w:color w:val="2A2A2A"/>
          <w:sz w:val="24"/>
          <w:szCs w:val="24"/>
          <w:bdr w:val="none" w:sz="0" w:space="0" w:color="auto" w:frame="1"/>
        </w:rPr>
        <w:t>Journal of African Economies</w:t>
      </w:r>
      <w:r w:rsidRPr="002B4980">
        <w:rPr>
          <w:rFonts w:cs="Arial"/>
          <w:color w:val="2A2A2A"/>
          <w:sz w:val="24"/>
          <w:szCs w:val="24"/>
        </w:rPr>
        <w:t>, Volume 13, Issue 2, 1 June, 199–239.</w:t>
      </w:r>
    </w:p>
    <w:p w:rsidR="000140FD" w:rsidRDefault="006C4CB1" w:rsidP="000140FD">
      <w:pPr>
        <w:spacing w:line="240" w:lineRule="auto"/>
        <w:jc w:val="both"/>
        <w:rPr>
          <w:rStyle w:val="size-m"/>
          <w:rFonts w:cs="Arial"/>
        </w:rPr>
      </w:pPr>
      <w:hyperlink r:id="rId24" w:anchor="!" w:history="1">
        <w:r w:rsidR="000140FD" w:rsidRPr="003E02B6">
          <w:rPr>
            <w:rStyle w:val="text"/>
            <w:rFonts w:cs="Arial"/>
          </w:rPr>
          <w:t xml:space="preserve">Calderón, César, and </w:t>
        </w:r>
      </w:hyperlink>
      <w:bookmarkStart w:id="1" w:name="baep-author-id3"/>
      <w:r w:rsidR="000140FD" w:rsidRPr="003E02B6">
        <w:rPr>
          <w:rFonts w:cs="Arial"/>
        </w:rPr>
        <w:fldChar w:fldCharType="begin"/>
      </w:r>
      <w:r w:rsidR="000140FD" w:rsidRPr="003E02B6">
        <w:rPr>
          <w:rFonts w:cs="Arial"/>
        </w:rPr>
        <w:instrText xml:space="preserve"> HYPERLINK "https://www.sciencedirect.com/science/article/pii/S0022199606000833" \l "!" </w:instrText>
      </w:r>
      <w:r w:rsidR="000140FD" w:rsidRPr="003E02B6">
        <w:rPr>
          <w:rFonts w:cs="Arial"/>
        </w:rPr>
        <w:fldChar w:fldCharType="separate"/>
      </w:r>
      <w:r w:rsidR="000140FD" w:rsidRPr="003E02B6">
        <w:rPr>
          <w:rStyle w:val="text"/>
          <w:rFonts w:cs="Arial"/>
        </w:rPr>
        <w:t xml:space="preserve">Alberto Chong, 2007, </w:t>
      </w:r>
      <w:r w:rsidR="000140FD" w:rsidRPr="003E02B6">
        <w:rPr>
          <w:rFonts w:cs="Arial"/>
        </w:rPr>
        <w:fldChar w:fldCharType="end"/>
      </w:r>
      <w:bookmarkStart w:id="2" w:name="baep-author-id4"/>
      <w:bookmarkEnd w:id="1"/>
      <w:r w:rsidR="000140FD" w:rsidRPr="003E02B6">
        <w:rPr>
          <w:rFonts w:cs="Arial"/>
        </w:rPr>
        <w:t xml:space="preserve">“Trade Intensity and Business Cycle Synchronization: Are Developing Countries any Different?” </w:t>
      </w:r>
      <w:hyperlink r:id="rId25" w:anchor="!" w:history="1"/>
      <w:bookmarkEnd w:id="2"/>
      <w:r w:rsidR="000140FD" w:rsidRPr="003E02B6">
        <w:fldChar w:fldCharType="begin"/>
      </w:r>
      <w:r w:rsidR="000140FD" w:rsidRPr="003E02B6">
        <w:rPr>
          <w:i/>
        </w:rPr>
        <w:instrText xml:space="preserve"> HYPERLINK "https://www.sciencedirect.com/science/journal/00221996" \o "Go to Journal of International Economics on ScienceDirect" </w:instrText>
      </w:r>
      <w:r w:rsidR="000140FD" w:rsidRPr="003E02B6">
        <w:fldChar w:fldCharType="separate"/>
      </w:r>
      <w:proofErr w:type="gramStart"/>
      <w:r w:rsidR="000140FD" w:rsidRPr="003E02B6">
        <w:rPr>
          <w:rStyle w:val="Hyperlink"/>
          <w:rFonts w:cs="Arial"/>
          <w:i/>
          <w:color w:val="auto"/>
        </w:rPr>
        <w:t>Journal of International Economics</w:t>
      </w:r>
      <w:r w:rsidR="000140FD" w:rsidRPr="003E02B6">
        <w:rPr>
          <w:rStyle w:val="Hyperlink"/>
          <w:rFonts w:cs="Arial"/>
          <w:i/>
          <w:color w:val="auto"/>
        </w:rPr>
        <w:fldChar w:fldCharType="end"/>
      </w:r>
      <w:r w:rsidR="000140FD" w:rsidRPr="003E02B6">
        <w:rPr>
          <w:rStyle w:val="size-xl"/>
          <w:rFonts w:cs="Arial"/>
        </w:rPr>
        <w:t xml:space="preserve">, </w:t>
      </w:r>
      <w:hyperlink r:id="rId26" w:tooltip="Go to table of contents for this volume/issue" w:history="1">
        <w:r w:rsidR="000140FD" w:rsidRPr="003E02B6">
          <w:rPr>
            <w:rStyle w:val="Hyperlink"/>
            <w:rFonts w:cs="Arial"/>
            <w:color w:val="auto"/>
          </w:rPr>
          <w:t>Vol</w:t>
        </w:r>
        <w:r w:rsidR="000140FD">
          <w:rPr>
            <w:rStyle w:val="Hyperlink"/>
            <w:rFonts w:cs="Arial"/>
            <w:color w:val="auto"/>
          </w:rPr>
          <w:t>.</w:t>
        </w:r>
        <w:r w:rsidR="000140FD" w:rsidRPr="003E02B6">
          <w:rPr>
            <w:rStyle w:val="Hyperlink"/>
            <w:rFonts w:cs="Arial"/>
            <w:color w:val="auto"/>
          </w:rPr>
          <w:t xml:space="preserve"> 71, Issue 1</w:t>
        </w:r>
      </w:hyperlink>
      <w:r w:rsidR="000140FD">
        <w:rPr>
          <w:rStyle w:val="size-m"/>
          <w:rFonts w:cs="Arial"/>
        </w:rPr>
        <w:t>, </w:t>
      </w:r>
      <w:r w:rsidR="000140FD" w:rsidRPr="003E02B6">
        <w:rPr>
          <w:rStyle w:val="size-m"/>
          <w:rFonts w:cs="Arial"/>
        </w:rPr>
        <w:t>March, 2-21.</w:t>
      </w:r>
      <w:proofErr w:type="gramEnd"/>
    </w:p>
    <w:p w:rsidR="004E5D1B" w:rsidRDefault="000140FD" w:rsidP="000140FD">
      <w:pPr>
        <w:spacing w:line="240" w:lineRule="auto"/>
        <w:jc w:val="both"/>
        <w:rPr>
          <w:color w:val="000000"/>
        </w:rPr>
      </w:pPr>
      <w:r w:rsidRPr="000140FD">
        <w:rPr>
          <w:rStyle w:val="size-m"/>
          <w:rFonts w:cs="Arial"/>
        </w:rPr>
        <w:t>Calderón, César</w:t>
      </w:r>
      <w:r w:rsidR="00A91C42">
        <w:rPr>
          <w:rStyle w:val="size-m"/>
          <w:rFonts w:cs="Arial"/>
        </w:rPr>
        <w:t>, Roberto Duncan, Klaus Schmidt-Hebbel, 2016,</w:t>
      </w:r>
      <w:r w:rsidR="003A7069">
        <w:rPr>
          <w:rStyle w:val="size-m"/>
          <w:rFonts w:cs="Arial"/>
        </w:rPr>
        <w:t xml:space="preserve"> “Do Good Institutions Promote Countercyclical Macroeconomic Policies?” </w:t>
      </w:r>
      <w:proofErr w:type="gramStart"/>
      <w:r w:rsidR="003A7069" w:rsidRPr="003A7069">
        <w:rPr>
          <w:rStyle w:val="size-m"/>
          <w:rFonts w:cs="Arial"/>
          <w:i/>
        </w:rPr>
        <w:t>Oxford Bulletin of Economics and Statistics</w:t>
      </w:r>
      <w:r w:rsidR="003A7069">
        <w:rPr>
          <w:rStyle w:val="size-m"/>
          <w:rFonts w:cs="Arial"/>
        </w:rPr>
        <w:t xml:space="preserve"> 78, S650-670.</w:t>
      </w:r>
      <w:proofErr w:type="gramEnd"/>
      <w:r w:rsidR="003A7069">
        <w:rPr>
          <w:rStyle w:val="size-m"/>
          <w:rFonts w:cs="Arial"/>
        </w:rPr>
        <w:t xml:space="preserve"> </w:t>
      </w:r>
      <w:r w:rsidR="00E80114">
        <w:rPr>
          <w:rStyle w:val="size-m"/>
          <w:rFonts w:cs="Arial"/>
        </w:rPr>
        <w:t xml:space="preserve"> </w:t>
      </w:r>
    </w:p>
    <w:p w:rsidR="005839E1" w:rsidRPr="005839E1" w:rsidRDefault="005839E1" w:rsidP="005839E1">
      <w:pPr>
        <w:pStyle w:val="Heading1"/>
        <w:shd w:val="clear" w:color="auto" w:fill="FFFFFF"/>
        <w:spacing w:before="0"/>
        <w:textAlignment w:val="baseline"/>
        <w:rPr>
          <w:rFonts w:asciiTheme="minorHAnsi" w:hAnsiTheme="minorHAnsi" w:cs="Arial"/>
          <w:b w:val="0"/>
          <w:color w:val="2A2A2A"/>
          <w:sz w:val="22"/>
          <w:szCs w:val="22"/>
        </w:rPr>
      </w:pPr>
      <w:r w:rsidRPr="005839E1">
        <w:rPr>
          <w:rFonts w:asciiTheme="minorHAnsi" w:hAnsiTheme="minorHAnsi"/>
          <w:b w:val="0"/>
          <w:color w:val="2A2A2A"/>
          <w:sz w:val="22"/>
          <w:szCs w:val="22"/>
        </w:rPr>
        <w:t xml:space="preserve">Coe, David, and A W </w:t>
      </w:r>
      <w:proofErr w:type="spellStart"/>
      <w:r w:rsidRPr="005839E1">
        <w:rPr>
          <w:rFonts w:asciiTheme="minorHAnsi" w:hAnsiTheme="minorHAnsi"/>
          <w:b w:val="0"/>
          <w:color w:val="2A2A2A"/>
          <w:sz w:val="22"/>
          <w:szCs w:val="22"/>
        </w:rPr>
        <w:t>Hoffmaister</w:t>
      </w:r>
      <w:proofErr w:type="spellEnd"/>
      <w:r w:rsidRPr="005839E1">
        <w:rPr>
          <w:rFonts w:asciiTheme="minorHAnsi" w:hAnsiTheme="minorHAnsi"/>
          <w:b w:val="0"/>
          <w:color w:val="2A2A2A"/>
          <w:sz w:val="22"/>
          <w:szCs w:val="22"/>
        </w:rPr>
        <w:t>, 1999, “North-South trade: is Africa unusual?”</w:t>
      </w:r>
      <w:r>
        <w:rPr>
          <w:rFonts w:asciiTheme="minorHAnsi" w:hAnsiTheme="minorHAnsi"/>
          <w:b w:val="0"/>
          <w:color w:val="2A2A2A"/>
          <w:sz w:val="22"/>
          <w:szCs w:val="22"/>
        </w:rPr>
        <w:t xml:space="preserve"> </w:t>
      </w:r>
      <w:proofErr w:type="gramStart"/>
      <w:r w:rsidRPr="005839E1">
        <w:rPr>
          <w:rStyle w:val="Emphasis"/>
          <w:rFonts w:asciiTheme="minorHAnsi" w:hAnsiTheme="minorHAnsi" w:cs="Arial"/>
          <w:b w:val="0"/>
          <w:color w:val="2A2A2A"/>
          <w:sz w:val="22"/>
          <w:szCs w:val="22"/>
          <w:bdr w:val="none" w:sz="0" w:space="0" w:color="auto" w:frame="1"/>
        </w:rPr>
        <w:t>Journal of African Economies</w:t>
      </w:r>
      <w:r w:rsidRPr="005839E1">
        <w:rPr>
          <w:rFonts w:asciiTheme="minorHAnsi" w:hAnsiTheme="minorHAnsi" w:cs="Arial"/>
          <w:b w:val="0"/>
          <w:color w:val="2A2A2A"/>
          <w:sz w:val="22"/>
          <w:szCs w:val="22"/>
        </w:rPr>
        <w:t>, Volume 8, Issue 2, July.</w:t>
      </w:r>
      <w:proofErr w:type="gramEnd"/>
      <w:r w:rsidRPr="005839E1">
        <w:rPr>
          <w:rFonts w:asciiTheme="minorHAnsi" w:hAnsiTheme="minorHAnsi" w:cs="Arial"/>
          <w:b w:val="0"/>
          <w:color w:val="2A2A2A"/>
          <w:sz w:val="22"/>
          <w:szCs w:val="22"/>
        </w:rPr>
        <w:t> </w:t>
      </w:r>
      <w:r w:rsidR="00E92B14">
        <w:rPr>
          <w:rFonts w:asciiTheme="minorHAnsi" w:hAnsiTheme="minorHAnsi" w:cs="Arial"/>
          <w:b w:val="0"/>
          <w:color w:val="2A2A2A"/>
          <w:sz w:val="22"/>
          <w:szCs w:val="22"/>
        </w:rPr>
        <w:br/>
      </w:r>
    </w:p>
    <w:p w:rsidR="005913B9" w:rsidRDefault="00D83C46" w:rsidP="00D83C46">
      <w:r w:rsidRPr="004E5D1B">
        <w:t xml:space="preserve">Collier, Paul, and Benedikt </w:t>
      </w:r>
      <w:proofErr w:type="spellStart"/>
      <w:r w:rsidRPr="004E5D1B">
        <w:t>Goderis</w:t>
      </w:r>
      <w:proofErr w:type="spellEnd"/>
      <w:r w:rsidRPr="004E5D1B">
        <w:t>, 2007, “Commodity Prices, Growth, and the Natural Resource Curse: Reconciling a Conundrum,” Centre for the Study of African Economies Working Paper Series, 274.</w:t>
      </w:r>
    </w:p>
    <w:p w:rsidR="00157279" w:rsidRDefault="00157279" w:rsidP="00157279">
      <w:pPr>
        <w:pStyle w:val="Heading1"/>
        <w:shd w:val="clear" w:color="auto" w:fill="FFFFFF"/>
        <w:spacing w:before="0" w:after="158"/>
        <w:rPr>
          <w:rStyle w:val="titleauthoretc"/>
          <w:rFonts w:asciiTheme="minorHAnsi" w:hAnsiTheme="minorHAnsi"/>
          <w:b w:val="0"/>
          <w:color w:val="auto"/>
          <w:sz w:val="22"/>
          <w:szCs w:val="22"/>
        </w:rPr>
      </w:pPr>
      <w:r w:rsidRPr="00157279">
        <w:rPr>
          <w:rFonts w:asciiTheme="minorHAnsi" w:hAnsiTheme="minorHAnsi"/>
          <w:b w:val="0"/>
          <w:bCs w:val="0"/>
          <w:color w:val="auto"/>
          <w:sz w:val="22"/>
          <w:szCs w:val="22"/>
        </w:rPr>
        <w:t xml:space="preserve">Collier, Paul, and Jan Willem </w:t>
      </w:r>
      <w:proofErr w:type="spellStart"/>
      <w:r w:rsidRPr="00157279">
        <w:rPr>
          <w:rFonts w:asciiTheme="minorHAnsi" w:hAnsiTheme="minorHAnsi"/>
          <w:b w:val="0"/>
          <w:bCs w:val="0"/>
          <w:color w:val="auto"/>
          <w:sz w:val="22"/>
          <w:szCs w:val="22"/>
        </w:rPr>
        <w:t>Gunnin</w:t>
      </w:r>
      <w:proofErr w:type="spellEnd"/>
      <w:r w:rsidRPr="00157279">
        <w:rPr>
          <w:rFonts w:asciiTheme="minorHAnsi" w:hAnsiTheme="minorHAnsi"/>
          <w:b w:val="0"/>
          <w:bCs w:val="0"/>
          <w:color w:val="auto"/>
          <w:sz w:val="22"/>
          <w:szCs w:val="22"/>
        </w:rPr>
        <w:t>, 1999, “Explaining African economic performance</w:t>
      </w:r>
      <w:r w:rsidR="00622E22" w:rsidRPr="00622E22">
        <w:rPr>
          <w:rFonts w:asciiTheme="minorHAnsi" w:hAnsiTheme="minorHAnsi"/>
          <w:b w:val="0"/>
          <w:bCs w:val="0"/>
          <w:color w:val="auto"/>
          <w:sz w:val="22"/>
          <w:szCs w:val="22"/>
        </w:rPr>
        <w:t>,</w:t>
      </w:r>
      <w:r w:rsidRPr="00622E22">
        <w:rPr>
          <w:rStyle w:val="titleauthoretc"/>
          <w:rFonts w:asciiTheme="minorHAnsi" w:hAnsiTheme="minorHAnsi"/>
          <w:b w:val="0"/>
          <w:color w:val="auto"/>
          <w:sz w:val="22"/>
          <w:szCs w:val="22"/>
        </w:rPr>
        <w:t>” </w:t>
      </w:r>
      <w:r w:rsidR="00622E22" w:rsidRPr="00622E22">
        <w:rPr>
          <w:rStyle w:val="titleauthoretc"/>
          <w:rFonts w:asciiTheme="minorHAnsi" w:hAnsiTheme="minorHAnsi"/>
          <w:i/>
          <w:color w:val="auto"/>
          <w:sz w:val="22"/>
          <w:szCs w:val="22"/>
        </w:rPr>
        <w:t xml:space="preserve"> </w:t>
      </w:r>
      <w:hyperlink r:id="rId27" w:tooltip="Click to search for more items from this journal" w:history="1">
        <w:r w:rsidR="00622E22" w:rsidRPr="00622E22">
          <w:rPr>
            <w:rStyle w:val="Strong"/>
            <w:rFonts w:asciiTheme="minorHAnsi" w:hAnsiTheme="minorHAnsi"/>
            <w:i/>
            <w:color w:val="auto"/>
            <w:sz w:val="22"/>
            <w:szCs w:val="22"/>
          </w:rPr>
          <w:t>Journal of Economic Literature</w:t>
        </w:r>
      </w:hyperlink>
      <w:r w:rsidR="00622E22" w:rsidRPr="00622E22">
        <w:rPr>
          <w:rStyle w:val="Strong"/>
          <w:rFonts w:asciiTheme="minorHAnsi" w:hAnsiTheme="minorHAnsi"/>
          <w:color w:val="auto"/>
          <w:sz w:val="22"/>
          <w:szCs w:val="22"/>
        </w:rPr>
        <w:t xml:space="preserve"> (Nashville</w:t>
      </w:r>
      <w:r w:rsidR="00622E22">
        <w:rPr>
          <w:rStyle w:val="Strong"/>
          <w:rFonts w:asciiTheme="minorHAnsi" w:hAnsiTheme="minorHAnsi"/>
          <w:color w:val="auto"/>
          <w:sz w:val="22"/>
          <w:szCs w:val="22"/>
        </w:rPr>
        <w:t>)</w:t>
      </w:r>
      <w:r w:rsidR="00622E22" w:rsidRPr="00622E22">
        <w:rPr>
          <w:rStyle w:val="titleauthoretc"/>
          <w:rFonts w:asciiTheme="minorHAnsi" w:hAnsiTheme="minorHAnsi"/>
          <w:b w:val="0"/>
          <w:color w:val="auto"/>
          <w:sz w:val="22"/>
          <w:szCs w:val="22"/>
        </w:rPr>
        <w:t xml:space="preserve"> </w:t>
      </w:r>
      <w:hyperlink r:id="rId28" w:tooltip="Click to search for more items from this issue" w:history="1">
        <w:r w:rsidRPr="00622E22">
          <w:rPr>
            <w:rStyle w:val="Hyperlink"/>
            <w:rFonts w:asciiTheme="minorHAnsi" w:hAnsiTheme="minorHAnsi"/>
            <w:b w:val="0"/>
            <w:color w:val="auto"/>
            <w:sz w:val="22"/>
            <w:szCs w:val="22"/>
          </w:rPr>
          <w:t> Vol. 37, Issue</w:t>
        </w:r>
        <w:r w:rsidR="007F5144">
          <w:rPr>
            <w:rStyle w:val="Hyperlink"/>
            <w:rFonts w:asciiTheme="minorHAnsi" w:hAnsiTheme="minorHAnsi"/>
            <w:b w:val="0"/>
            <w:color w:val="auto"/>
            <w:sz w:val="22"/>
            <w:szCs w:val="22"/>
          </w:rPr>
          <w:t xml:space="preserve"> </w:t>
        </w:r>
        <w:r w:rsidRPr="00622E22">
          <w:rPr>
            <w:rStyle w:val="Hyperlink"/>
            <w:rFonts w:asciiTheme="minorHAnsi" w:hAnsiTheme="minorHAnsi"/>
            <w:b w:val="0"/>
            <w:color w:val="auto"/>
            <w:sz w:val="22"/>
            <w:szCs w:val="22"/>
          </w:rPr>
          <w:t>1,</w:t>
        </w:r>
        <w:r w:rsidRPr="00157279">
          <w:rPr>
            <w:rStyle w:val="Hyperlink"/>
            <w:rFonts w:asciiTheme="minorHAnsi" w:hAnsiTheme="minorHAnsi"/>
            <w:b w:val="0"/>
            <w:color w:val="auto"/>
            <w:sz w:val="22"/>
            <w:szCs w:val="22"/>
          </w:rPr>
          <w:t> </w:t>
        </w:r>
      </w:hyperlink>
      <w:r w:rsidRPr="00157279">
        <w:rPr>
          <w:rStyle w:val="titleauthoretc"/>
          <w:rFonts w:asciiTheme="minorHAnsi" w:hAnsiTheme="minorHAnsi"/>
          <w:b w:val="0"/>
          <w:color w:val="auto"/>
          <w:sz w:val="22"/>
          <w:szCs w:val="22"/>
        </w:rPr>
        <w:t> March: 64-111.</w:t>
      </w:r>
    </w:p>
    <w:p w:rsidR="007F5144" w:rsidRPr="007F5144" w:rsidRDefault="007F5144" w:rsidP="007F5144">
      <w:pPr>
        <w:spacing w:before="300" w:after="150" w:line="240" w:lineRule="auto"/>
        <w:textAlignment w:val="baseline"/>
        <w:outlineLvl w:val="0"/>
        <w:rPr>
          <w:rFonts w:eastAsia="Times New Roman" w:cs="Times New Roman"/>
          <w:b/>
          <w:bCs/>
          <w:color w:val="000000"/>
          <w:kern w:val="36"/>
        </w:rPr>
      </w:pPr>
      <w:r w:rsidRPr="0016557D">
        <w:rPr>
          <w:color w:val="333333"/>
          <w:shd w:val="clear" w:color="auto" w:fill="FFFFFF"/>
        </w:rPr>
        <w:t>Connor, Phillip, 2018, “</w:t>
      </w:r>
      <w:r w:rsidRPr="00363EA0">
        <w:rPr>
          <w:rFonts w:eastAsia="Times New Roman" w:cs="Times New Roman"/>
          <w:bCs/>
          <w:color w:val="000000"/>
          <w:kern w:val="36"/>
        </w:rPr>
        <w:t>International migration from sub-Saharan Africa has grown dramatically since 2010</w:t>
      </w:r>
      <w:r>
        <w:rPr>
          <w:rFonts w:eastAsia="Times New Roman" w:cs="Times New Roman"/>
          <w:bCs/>
          <w:color w:val="000000"/>
          <w:kern w:val="36"/>
        </w:rPr>
        <w:t>,</w:t>
      </w:r>
      <w:r w:rsidRPr="0016557D">
        <w:rPr>
          <w:color w:val="333333"/>
          <w:shd w:val="clear" w:color="auto" w:fill="FFFFFF"/>
        </w:rPr>
        <w:t>” Pew Research Center</w:t>
      </w:r>
      <w:r>
        <w:rPr>
          <w:color w:val="333333"/>
          <w:shd w:val="clear" w:color="auto" w:fill="FFFFFF"/>
        </w:rPr>
        <w:t>, Feb. 28.</w:t>
      </w:r>
    </w:p>
    <w:p w:rsidR="00181F8B"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proofErr w:type="spellStart"/>
      <w:r w:rsidRPr="00760817">
        <w:rPr>
          <w:rFonts w:asciiTheme="minorHAnsi" w:hAnsiTheme="minorHAnsi" w:cs="Arial"/>
          <w:b w:val="0"/>
          <w:color w:val="1C1D1E"/>
          <w:sz w:val="22"/>
          <w:szCs w:val="22"/>
          <w:shd w:val="clear" w:color="auto" w:fill="FFFFFF"/>
        </w:rPr>
        <w:t>Debrun</w:t>
      </w:r>
      <w:proofErr w:type="spellEnd"/>
      <w:r w:rsidRPr="00760817">
        <w:rPr>
          <w:rFonts w:asciiTheme="minorHAnsi" w:hAnsiTheme="minorHAnsi" w:cs="Arial"/>
          <w:b w:val="0"/>
          <w:color w:val="1C1D1E"/>
          <w:sz w:val="22"/>
          <w:szCs w:val="22"/>
          <w:shd w:val="clear" w:color="auto" w:fill="FFFFFF"/>
        </w:rPr>
        <w:t xml:space="preserve">, X., </w:t>
      </w:r>
      <w:r>
        <w:rPr>
          <w:rFonts w:asciiTheme="minorHAnsi" w:hAnsiTheme="minorHAnsi" w:cs="Arial"/>
          <w:b w:val="0"/>
          <w:color w:val="1C1D1E"/>
          <w:sz w:val="22"/>
          <w:szCs w:val="22"/>
          <w:shd w:val="clear" w:color="auto" w:fill="FFFFFF"/>
        </w:rPr>
        <w:t>Paul Masson,</w:t>
      </w:r>
      <w:r w:rsidRPr="00760817">
        <w:rPr>
          <w:rFonts w:asciiTheme="minorHAnsi" w:hAnsiTheme="minorHAnsi" w:cs="Arial"/>
          <w:b w:val="0"/>
          <w:color w:val="1C1D1E"/>
          <w:sz w:val="22"/>
          <w:szCs w:val="22"/>
          <w:shd w:val="clear" w:color="auto" w:fill="FFFFFF"/>
        </w:rPr>
        <w:t xml:space="preserve"> and </w:t>
      </w:r>
      <w:r>
        <w:rPr>
          <w:rFonts w:asciiTheme="minorHAnsi" w:hAnsiTheme="minorHAnsi" w:cs="Arial"/>
          <w:b w:val="0"/>
          <w:color w:val="1C1D1E"/>
          <w:sz w:val="22"/>
          <w:szCs w:val="22"/>
          <w:shd w:val="clear" w:color="auto" w:fill="FFFFFF"/>
        </w:rPr>
        <w:t xml:space="preserve">C. </w:t>
      </w:r>
      <w:proofErr w:type="spellStart"/>
      <w:r>
        <w:rPr>
          <w:rFonts w:asciiTheme="minorHAnsi" w:hAnsiTheme="minorHAnsi" w:cs="Arial"/>
          <w:b w:val="0"/>
          <w:color w:val="1C1D1E"/>
          <w:sz w:val="22"/>
          <w:szCs w:val="22"/>
          <w:shd w:val="clear" w:color="auto" w:fill="FFFFFF"/>
        </w:rPr>
        <w:t>Pattillo</w:t>
      </w:r>
      <w:proofErr w:type="spellEnd"/>
      <w:r>
        <w:rPr>
          <w:rFonts w:asciiTheme="minorHAnsi" w:hAnsiTheme="minorHAnsi" w:cs="Arial"/>
          <w:b w:val="0"/>
          <w:color w:val="1C1D1E"/>
          <w:sz w:val="22"/>
          <w:szCs w:val="22"/>
          <w:shd w:val="clear" w:color="auto" w:fill="FFFFFF"/>
        </w:rPr>
        <w:t xml:space="preserve">, </w:t>
      </w:r>
      <w:r w:rsidRPr="00760817">
        <w:rPr>
          <w:rStyle w:val="pubyear"/>
          <w:rFonts w:asciiTheme="minorHAnsi" w:hAnsiTheme="minorHAnsi" w:cs="Arial"/>
          <w:b w:val="0"/>
          <w:color w:val="1C1D1E"/>
          <w:sz w:val="22"/>
          <w:szCs w:val="22"/>
          <w:shd w:val="clear" w:color="auto" w:fill="FFFFFF"/>
        </w:rPr>
        <w:t>2005</w:t>
      </w:r>
      <w:r>
        <w:rPr>
          <w:rFonts w:asciiTheme="minorHAnsi" w:hAnsiTheme="minorHAnsi" w:cs="Arial"/>
          <w:b w:val="0"/>
          <w:color w:val="1C1D1E"/>
          <w:sz w:val="22"/>
          <w:szCs w:val="22"/>
          <w:shd w:val="clear" w:color="auto" w:fill="FFFFFF"/>
        </w:rPr>
        <w:t>, “</w:t>
      </w:r>
      <w:r w:rsidRPr="00760817">
        <w:rPr>
          <w:rStyle w:val="articletitle"/>
          <w:rFonts w:asciiTheme="minorHAnsi" w:hAnsiTheme="minorHAnsi" w:cs="Arial"/>
          <w:b w:val="0"/>
          <w:color w:val="1C1D1E"/>
          <w:sz w:val="22"/>
          <w:szCs w:val="22"/>
          <w:shd w:val="clear" w:color="auto" w:fill="FFFFFF"/>
        </w:rPr>
        <w:t>Monetary union in West Africa: who might gain, who might lose, and why?</w:t>
      </w:r>
      <w:r>
        <w:rPr>
          <w:rStyle w:val="articletitle"/>
          <w:rFonts w:asciiTheme="minorHAnsi" w:hAnsiTheme="minorHAnsi" w:cs="Arial"/>
          <w:b w:val="0"/>
          <w:color w:val="1C1D1E"/>
          <w:sz w:val="22"/>
          <w:szCs w:val="22"/>
          <w:shd w:val="clear" w:color="auto" w:fill="FFFFFF"/>
        </w:rPr>
        <w:t>”</w:t>
      </w:r>
      <w:r w:rsidRPr="00760817">
        <w:rPr>
          <w:rFonts w:asciiTheme="minorHAnsi" w:hAnsiTheme="minorHAnsi" w:cs="Arial"/>
          <w:b w:val="0"/>
          <w:color w:val="1C1D1E"/>
          <w:sz w:val="22"/>
          <w:szCs w:val="22"/>
          <w:shd w:val="clear" w:color="auto" w:fill="FFFFFF"/>
        </w:rPr>
        <w:t> </w:t>
      </w:r>
      <w:r w:rsidRPr="00760817">
        <w:rPr>
          <w:rFonts w:asciiTheme="minorHAnsi" w:hAnsiTheme="minorHAnsi" w:cs="Arial"/>
          <w:b w:val="0"/>
          <w:i/>
          <w:iCs/>
          <w:color w:val="1C1D1E"/>
          <w:sz w:val="22"/>
          <w:szCs w:val="22"/>
          <w:shd w:val="clear" w:color="auto" w:fill="FFFFFF"/>
        </w:rPr>
        <w:t>Canadian Journal of Economics</w:t>
      </w:r>
      <w:r w:rsidRPr="00760817">
        <w:rPr>
          <w:rFonts w:asciiTheme="minorHAnsi" w:hAnsiTheme="minorHAnsi" w:cs="Arial"/>
          <w:b w:val="0"/>
          <w:color w:val="1C1D1E"/>
          <w:sz w:val="22"/>
          <w:szCs w:val="22"/>
          <w:shd w:val="clear" w:color="auto" w:fill="FFFFFF"/>
        </w:rPr>
        <w:t> </w:t>
      </w:r>
      <w:r w:rsidRPr="00760817">
        <w:rPr>
          <w:rStyle w:val="vol"/>
          <w:rFonts w:asciiTheme="minorHAnsi" w:hAnsiTheme="minorHAnsi" w:cs="Arial"/>
          <w:b w:val="0"/>
          <w:bCs w:val="0"/>
          <w:color w:val="1C1D1E"/>
          <w:sz w:val="22"/>
          <w:szCs w:val="22"/>
          <w:shd w:val="clear" w:color="auto" w:fill="FFFFFF"/>
        </w:rPr>
        <w:t>38</w:t>
      </w:r>
      <w:r w:rsidRPr="00760817">
        <w:rPr>
          <w:rFonts w:asciiTheme="minorHAnsi" w:hAnsiTheme="minorHAnsi" w:cs="Arial"/>
          <w:b w:val="0"/>
          <w:color w:val="1C1D1E"/>
          <w:sz w:val="22"/>
          <w:szCs w:val="22"/>
          <w:shd w:val="clear" w:color="auto" w:fill="FFFFFF"/>
        </w:rPr>
        <w:t>(2): 454–481.</w:t>
      </w:r>
    </w:p>
    <w:p w:rsidR="00181F8B" w:rsidRPr="00181F8B" w:rsidRDefault="008F457A" w:rsidP="00181F8B">
      <w:r>
        <w:br/>
      </w:r>
      <w:r w:rsidRPr="00760817">
        <w:rPr>
          <w:rFonts w:cs="Arial"/>
          <w:color w:val="1C1D1E"/>
          <w:shd w:val="clear" w:color="auto" w:fill="FFFFFF"/>
        </w:rPr>
        <w:t xml:space="preserve">De </w:t>
      </w:r>
      <w:proofErr w:type="spellStart"/>
      <w:r w:rsidRPr="00760817">
        <w:rPr>
          <w:rFonts w:cs="Arial"/>
          <w:color w:val="1C1D1E"/>
          <w:shd w:val="clear" w:color="auto" w:fill="FFFFFF"/>
        </w:rPr>
        <w:t>Grauwe</w:t>
      </w:r>
      <w:proofErr w:type="spellEnd"/>
      <w:r w:rsidRPr="00760817">
        <w:rPr>
          <w:rFonts w:cs="Arial"/>
          <w:color w:val="1C1D1E"/>
          <w:shd w:val="clear" w:color="auto" w:fill="FFFFFF"/>
        </w:rPr>
        <w:t xml:space="preserve">, </w:t>
      </w:r>
      <w:r w:rsidRPr="005A2169">
        <w:rPr>
          <w:rFonts w:cs="Arial"/>
          <w:color w:val="1C1D1E"/>
          <w:shd w:val="clear" w:color="auto" w:fill="FFFFFF"/>
        </w:rPr>
        <w:t>Paul,</w:t>
      </w:r>
      <w:r>
        <w:rPr>
          <w:rFonts w:cs="Arial"/>
          <w:b/>
          <w:color w:val="1C1D1E"/>
          <w:shd w:val="clear" w:color="auto" w:fill="FFFFFF"/>
        </w:rPr>
        <w:t xml:space="preserve"> </w:t>
      </w:r>
      <w:r w:rsidRPr="00760817">
        <w:rPr>
          <w:rStyle w:val="pubyear"/>
          <w:rFonts w:cs="Arial"/>
          <w:color w:val="1C1D1E"/>
          <w:shd w:val="clear" w:color="auto" w:fill="FFFFFF"/>
        </w:rPr>
        <w:t>2007</w:t>
      </w:r>
      <w:r>
        <w:rPr>
          <w:rFonts w:cs="Arial"/>
          <w:b/>
          <w:color w:val="1C1D1E"/>
          <w:shd w:val="clear" w:color="auto" w:fill="FFFFFF"/>
        </w:rPr>
        <w:t>,</w:t>
      </w:r>
      <w:r w:rsidRPr="00760817">
        <w:rPr>
          <w:rFonts w:cs="Arial"/>
          <w:color w:val="1C1D1E"/>
          <w:shd w:val="clear" w:color="auto" w:fill="FFFFFF"/>
        </w:rPr>
        <w:t> </w:t>
      </w:r>
      <w:r w:rsidRPr="008F457A">
        <w:rPr>
          <w:rStyle w:val="booktitle0"/>
          <w:rFonts w:cs="Arial"/>
          <w:i/>
          <w:color w:val="1C1D1E"/>
          <w:shd w:val="clear" w:color="auto" w:fill="FFFFFF"/>
        </w:rPr>
        <w:t>Economics of Monetary Union</w:t>
      </w:r>
      <w:r w:rsidRPr="00760817">
        <w:rPr>
          <w:rFonts w:cs="Arial"/>
          <w:color w:val="1C1D1E"/>
          <w:shd w:val="clear" w:color="auto" w:fill="FFFFFF"/>
        </w:rPr>
        <w:t xml:space="preserve"> </w:t>
      </w:r>
      <w:r w:rsidRPr="008F457A">
        <w:rPr>
          <w:rFonts w:cs="Arial"/>
          <w:color w:val="1C1D1E"/>
          <w:shd w:val="clear" w:color="auto" w:fill="FFFFFF"/>
        </w:rPr>
        <w:t>(</w:t>
      </w:r>
      <w:proofErr w:type="gramStart"/>
      <w:r w:rsidRPr="00760817">
        <w:rPr>
          <w:rFonts w:cs="Arial"/>
          <w:color w:val="1C1D1E"/>
          <w:shd w:val="clear" w:color="auto" w:fill="FFFFFF"/>
        </w:rPr>
        <w:t>Oxford :</w:t>
      </w:r>
      <w:proofErr w:type="gramEnd"/>
      <w:r w:rsidRPr="00760817">
        <w:rPr>
          <w:rFonts w:cs="Arial"/>
          <w:color w:val="1C1D1E"/>
          <w:shd w:val="clear" w:color="auto" w:fill="FFFFFF"/>
        </w:rPr>
        <w:t xml:space="preserve"> Oxford University Press</w:t>
      </w:r>
      <w:r w:rsidRPr="008F457A">
        <w:rPr>
          <w:rFonts w:cs="Arial"/>
          <w:color w:val="1C1D1E"/>
          <w:shd w:val="clear" w:color="auto" w:fill="FFFFFF"/>
        </w:rPr>
        <w:t>).</w:t>
      </w:r>
    </w:p>
    <w:p w:rsidR="00E413D8" w:rsidRDefault="00E413D8" w:rsidP="00E413D8">
      <w:pPr>
        <w:rPr>
          <w:rFonts w:cs="Tahoma"/>
          <w:color w:val="000000"/>
        </w:rPr>
      </w:pPr>
      <w:proofErr w:type="spellStart"/>
      <w:r w:rsidRPr="00E413D8">
        <w:t>Devarajan</w:t>
      </w:r>
      <w:proofErr w:type="spellEnd"/>
      <w:r w:rsidRPr="00E413D8">
        <w:t xml:space="preserve">, </w:t>
      </w:r>
      <w:proofErr w:type="spellStart"/>
      <w:r w:rsidRPr="00E413D8">
        <w:t>Shantayan</w:t>
      </w:r>
      <w:proofErr w:type="spellEnd"/>
      <w:r w:rsidRPr="00E413D8">
        <w:t>, and Dani Rodrik</w:t>
      </w:r>
      <w:r w:rsidRPr="00E413D8">
        <w:rPr>
          <w:bCs/>
          <w:color w:val="200020"/>
        </w:rPr>
        <w:t xml:space="preserve">, 1992, “Do the Benefits of Fixed Exchange Rates Outweigh Their Costs? The Franc Zone in Africa” </w:t>
      </w:r>
      <w:r w:rsidRPr="00E413D8">
        <w:t xml:space="preserve">in </w:t>
      </w:r>
      <w:r w:rsidRPr="00E413D8">
        <w:rPr>
          <w:rFonts w:cs="Tahoma"/>
          <w:color w:val="000000"/>
        </w:rPr>
        <w:t xml:space="preserve">I. Goldin and A. Winters, eds., </w:t>
      </w:r>
      <w:r w:rsidRPr="00E413D8">
        <w:rPr>
          <w:rFonts w:cs="Tahoma"/>
          <w:i/>
          <w:color w:val="000000"/>
        </w:rPr>
        <w:t>International Dimensions of Structural Adjustment</w:t>
      </w:r>
      <w:r w:rsidRPr="00E413D8">
        <w:rPr>
          <w:rFonts w:cs="Tahoma"/>
          <w:color w:val="000000"/>
        </w:rPr>
        <w:t xml:space="preserve"> (London: Cambridge University Press for CEPR).</w:t>
      </w:r>
    </w:p>
    <w:p w:rsidR="00D9110A" w:rsidRDefault="00D9110A" w:rsidP="00E413D8">
      <w:pPr>
        <w:rPr>
          <w:rFonts w:cs="Arial"/>
          <w:color w:val="1C1D1E"/>
          <w:shd w:val="clear" w:color="auto" w:fill="FFFFFF"/>
        </w:rPr>
      </w:pPr>
      <w:proofErr w:type="gramStart"/>
      <w:r w:rsidRPr="00D9110A">
        <w:rPr>
          <w:rFonts w:cs="Arial"/>
          <w:color w:val="1C1D1E"/>
          <w:shd w:val="clear" w:color="auto" w:fill="FFFFFF"/>
        </w:rPr>
        <w:t>di</w:t>
      </w:r>
      <w:proofErr w:type="gramEnd"/>
      <w:r w:rsidRPr="00D9110A">
        <w:rPr>
          <w:rFonts w:cs="Arial"/>
          <w:color w:val="1C1D1E"/>
          <w:shd w:val="clear" w:color="auto" w:fill="FFFFFF"/>
        </w:rPr>
        <w:t xml:space="preserve"> Giovanni, Julian, </w:t>
      </w:r>
      <w:r w:rsidR="00B05ACD">
        <w:rPr>
          <w:rFonts w:cs="Arial"/>
          <w:color w:val="1C1D1E"/>
          <w:shd w:val="clear" w:color="auto" w:fill="FFFFFF"/>
        </w:rPr>
        <w:t xml:space="preserve">Andrei </w:t>
      </w:r>
      <w:r w:rsidRPr="00D9110A">
        <w:rPr>
          <w:rFonts w:cs="Arial"/>
          <w:color w:val="1C1D1E"/>
          <w:shd w:val="clear" w:color="auto" w:fill="FFFFFF"/>
        </w:rPr>
        <w:t xml:space="preserve">Levchenko and Isabelle </w:t>
      </w:r>
      <w:proofErr w:type="spellStart"/>
      <w:r w:rsidRPr="00D9110A">
        <w:rPr>
          <w:rFonts w:cs="Arial"/>
          <w:color w:val="1C1D1E"/>
          <w:shd w:val="clear" w:color="auto" w:fill="FFFFFF"/>
        </w:rPr>
        <w:t>Mejean</w:t>
      </w:r>
      <w:proofErr w:type="spellEnd"/>
      <w:r w:rsidRPr="00D9110A">
        <w:rPr>
          <w:rFonts w:cs="Arial"/>
          <w:color w:val="1C1D1E"/>
          <w:shd w:val="clear" w:color="auto" w:fill="FFFFFF"/>
        </w:rPr>
        <w:t xml:space="preserve">, 2018, “The Micro Origins of International Business-Cycle </w:t>
      </w:r>
      <w:proofErr w:type="spellStart"/>
      <w:r w:rsidRPr="00D9110A">
        <w:rPr>
          <w:rFonts w:cs="Arial"/>
          <w:color w:val="1C1D1E"/>
          <w:shd w:val="clear" w:color="auto" w:fill="FFFFFF"/>
        </w:rPr>
        <w:t>Comovement</w:t>
      </w:r>
      <w:proofErr w:type="spellEnd"/>
      <w:r w:rsidRPr="00D9110A">
        <w:rPr>
          <w:rFonts w:cs="Arial"/>
          <w:color w:val="1C1D1E"/>
          <w:shd w:val="clear" w:color="auto" w:fill="FFFFFF"/>
        </w:rPr>
        <w:t>,”</w:t>
      </w:r>
      <w:r w:rsidRPr="00D9110A">
        <w:rPr>
          <w:rFonts w:cs="Arial"/>
          <w:i/>
          <w:iCs/>
          <w:color w:val="1C1D1E"/>
          <w:shd w:val="clear" w:color="auto" w:fill="FFFFFF"/>
        </w:rPr>
        <w:t>American Economic Review</w:t>
      </w:r>
      <w:r w:rsidRPr="00D9110A">
        <w:rPr>
          <w:rFonts w:cs="Arial"/>
          <w:color w:val="1C1D1E"/>
          <w:shd w:val="clear" w:color="auto" w:fill="FFFFFF"/>
        </w:rPr>
        <w:t>, </w:t>
      </w:r>
      <w:r w:rsidRPr="00D9110A">
        <w:rPr>
          <w:rFonts w:cs="Arial"/>
          <w:bCs/>
          <w:color w:val="1C1D1E"/>
          <w:shd w:val="clear" w:color="auto" w:fill="FFFFFF"/>
        </w:rPr>
        <w:t>108</w:t>
      </w:r>
      <w:r w:rsidRPr="00D9110A">
        <w:rPr>
          <w:rFonts w:cs="Arial"/>
          <w:color w:val="1C1D1E"/>
          <w:shd w:val="clear" w:color="auto" w:fill="FFFFFF"/>
        </w:rPr>
        <w:t>, 1, 82</w:t>
      </w:r>
      <w:r w:rsidR="00BB558C">
        <w:rPr>
          <w:rFonts w:cs="Arial"/>
          <w:color w:val="1C1D1E"/>
          <w:shd w:val="clear" w:color="auto" w:fill="FFFFFF"/>
        </w:rPr>
        <w:t>.</w:t>
      </w:r>
    </w:p>
    <w:p w:rsidR="00BB558C" w:rsidRDefault="00BB558C" w:rsidP="00E413D8">
      <w:r>
        <w:t>Eichengreen</w:t>
      </w:r>
      <w:proofErr w:type="gramStart"/>
      <w:r>
        <w:t>,  Barry</w:t>
      </w:r>
      <w:proofErr w:type="gramEnd"/>
      <w:r>
        <w:t xml:space="preserve">, 1992, “Should the Maastricht Treaty Be Saved?” Princeton Studies in International Finance, No. 74, International Finance Section, Princeton </w:t>
      </w:r>
      <w:proofErr w:type="spellStart"/>
      <w:r>
        <w:t>Univ</w:t>
      </w:r>
      <w:proofErr w:type="spellEnd"/>
      <w:proofErr w:type="gramStart"/>
      <w:r>
        <w:t>,,</w:t>
      </w:r>
      <w:proofErr w:type="gramEnd"/>
      <w:r>
        <w:t xml:space="preserve"> December. </w:t>
      </w:r>
    </w:p>
    <w:p w:rsidR="00436527" w:rsidRPr="00E413D8" w:rsidRDefault="00436527" w:rsidP="00436527">
      <w:proofErr w:type="spellStart"/>
      <w:r w:rsidRPr="00E413D8">
        <w:rPr>
          <w:color w:val="333333"/>
          <w:shd w:val="clear" w:color="auto" w:fill="FCFCFC"/>
        </w:rPr>
        <w:t>Elbadawi</w:t>
      </w:r>
      <w:proofErr w:type="spellEnd"/>
      <w:r w:rsidRPr="00E413D8">
        <w:rPr>
          <w:color w:val="333333"/>
          <w:shd w:val="clear" w:color="auto" w:fill="FCFCFC"/>
        </w:rPr>
        <w:t xml:space="preserve">, Ibrahim, and Francis </w:t>
      </w:r>
      <w:proofErr w:type="spellStart"/>
      <w:r w:rsidRPr="00E413D8">
        <w:rPr>
          <w:color w:val="333333"/>
          <w:shd w:val="clear" w:color="auto" w:fill="FCFCFC"/>
        </w:rPr>
        <w:t>Mwega</w:t>
      </w:r>
      <w:proofErr w:type="spellEnd"/>
      <w:r w:rsidRPr="00E413D8">
        <w:rPr>
          <w:color w:val="333333"/>
          <w:shd w:val="clear" w:color="auto" w:fill="FCFCFC"/>
        </w:rPr>
        <w:t>,</w:t>
      </w:r>
      <w:r w:rsidRPr="00E413D8">
        <w:rPr>
          <w:rFonts w:cs="Arial"/>
          <w:color w:val="333333"/>
        </w:rPr>
        <w:t xml:space="preserve"> 1998, “</w:t>
      </w:r>
      <w:hyperlink r:id="rId29" w:history="1">
        <w:r w:rsidRPr="00E413D8">
          <w:rPr>
            <w:rStyle w:val="Hyperlink"/>
            <w:rFonts w:cs="Arial"/>
            <w:color w:val="auto"/>
            <w:sz w:val="22"/>
            <w:szCs w:val="22"/>
          </w:rPr>
          <w:t>Regional </w:t>
        </w:r>
        <w:r w:rsidRPr="00E413D8">
          <w:rPr>
            <w:rStyle w:val="Hyperlink"/>
            <w:rFonts w:cs="Arial"/>
            <w:bCs/>
            <w:color w:val="auto"/>
            <w:sz w:val="22"/>
            <w:szCs w:val="22"/>
          </w:rPr>
          <w:t>integration, trade, and foreign direct investment in sub-Saharan </w:t>
        </w:r>
        <w:r w:rsidRPr="00E413D8">
          <w:rPr>
            <w:rStyle w:val="Hyperlink"/>
            <w:rFonts w:cs="Arial"/>
            <w:color w:val="auto"/>
            <w:sz w:val="22"/>
            <w:szCs w:val="22"/>
          </w:rPr>
          <w:t>Africa</w:t>
        </w:r>
      </w:hyperlink>
      <w:r w:rsidRPr="00E413D8">
        <w:rPr>
          <w:rFonts w:cs="Arial"/>
          <w:bCs/>
        </w:rPr>
        <w:t xml:space="preserve">,” </w:t>
      </w:r>
      <w:r w:rsidRPr="00E413D8">
        <w:rPr>
          <w:rFonts w:cs="Arial"/>
          <w:color w:val="333333"/>
        </w:rPr>
        <w:t xml:space="preserve">in </w:t>
      </w:r>
      <w:r w:rsidRPr="00E413D8">
        <w:rPr>
          <w:rFonts w:cs="Arial"/>
          <w:i/>
          <w:color w:val="333333"/>
        </w:rPr>
        <w:t>Trade Reform and Regional Integration in Africa</w:t>
      </w:r>
      <w:r w:rsidRPr="00E413D8">
        <w:rPr>
          <w:rFonts w:cs="Arial"/>
          <w:color w:val="333333"/>
        </w:rPr>
        <w:t xml:space="preserve">, </w:t>
      </w:r>
      <w:r w:rsidRPr="00E413D8">
        <w:rPr>
          <w:rStyle w:val="addmd"/>
          <w:rFonts w:cs="Arial"/>
          <w:color w:val="333333"/>
          <w:shd w:val="clear" w:color="auto" w:fill="FFFFFF"/>
        </w:rPr>
        <w:t xml:space="preserve">edited by </w:t>
      </w:r>
      <w:proofErr w:type="spellStart"/>
      <w:r w:rsidRPr="00E413D8">
        <w:rPr>
          <w:rStyle w:val="addmd"/>
          <w:rFonts w:cs="Arial"/>
          <w:color w:val="333333"/>
          <w:shd w:val="clear" w:color="auto" w:fill="FFFFFF"/>
        </w:rPr>
        <w:t>Zubair</w:t>
      </w:r>
      <w:proofErr w:type="spellEnd"/>
      <w:r w:rsidRPr="00E413D8">
        <w:rPr>
          <w:rStyle w:val="addmd"/>
          <w:rFonts w:cs="Arial"/>
          <w:color w:val="333333"/>
          <w:shd w:val="clear" w:color="auto" w:fill="FFFFFF"/>
        </w:rPr>
        <w:t xml:space="preserve"> Iqbal and </w:t>
      </w:r>
      <w:proofErr w:type="spellStart"/>
      <w:r w:rsidRPr="00E413D8">
        <w:rPr>
          <w:rStyle w:val="addmd"/>
          <w:rFonts w:cs="Arial"/>
          <w:color w:val="333333"/>
          <w:shd w:val="clear" w:color="auto" w:fill="FFFFFF"/>
        </w:rPr>
        <w:t>Mohsin</w:t>
      </w:r>
      <w:proofErr w:type="spellEnd"/>
      <w:r w:rsidRPr="00E413D8">
        <w:rPr>
          <w:rStyle w:val="addmd"/>
          <w:rFonts w:cs="Arial"/>
          <w:color w:val="333333"/>
          <w:shd w:val="clear" w:color="auto" w:fill="FFFFFF"/>
        </w:rPr>
        <w:t xml:space="preserve"> Khan (IMF: Washington DC).</w:t>
      </w:r>
    </w:p>
    <w:p w:rsidR="00E27208" w:rsidRPr="00354AC5" w:rsidRDefault="00354AC5" w:rsidP="00354AC5">
      <w:pPr>
        <w:jc w:val="both"/>
      </w:pPr>
      <w:proofErr w:type="spellStart"/>
      <w:r>
        <w:t>Foroutan</w:t>
      </w:r>
      <w:proofErr w:type="spellEnd"/>
      <w:r>
        <w:t xml:space="preserve">, </w:t>
      </w:r>
      <w:proofErr w:type="spellStart"/>
      <w:r>
        <w:t>Faezeh</w:t>
      </w:r>
      <w:proofErr w:type="spellEnd"/>
      <w:r>
        <w:t xml:space="preserve">, 1993, "Regional integration in Sub-Saharan Africa: past experience and future prospects," in </w:t>
      </w:r>
      <w:r w:rsidRPr="00354AC5">
        <w:rPr>
          <w:i/>
        </w:rPr>
        <w:t>New Dimensions in Regional Integration</w:t>
      </w:r>
      <w:r>
        <w:t xml:space="preserve">, Jaime De </w:t>
      </w:r>
      <w:proofErr w:type="spellStart"/>
      <w:r>
        <w:t>Melo</w:t>
      </w:r>
      <w:proofErr w:type="spellEnd"/>
      <w:r>
        <w:t xml:space="preserve"> and Arvind Panagariya, editors, Cambridge University Press, Cambridge, UK, and New York, pp.234-277.</w:t>
      </w:r>
    </w:p>
    <w:p w:rsidR="00C15AC9" w:rsidRDefault="00E27208" w:rsidP="00E27208">
      <w:pPr>
        <w:pStyle w:val="Heading1"/>
        <w:shd w:val="clear" w:color="auto" w:fill="FFFFFF"/>
        <w:spacing w:before="0"/>
        <w:textAlignment w:val="baseline"/>
        <w:rPr>
          <w:rFonts w:asciiTheme="minorHAnsi" w:hAnsiTheme="minorHAnsi" w:cs="Arial"/>
          <w:b w:val="0"/>
          <w:color w:val="2A2A2A"/>
          <w:sz w:val="22"/>
          <w:szCs w:val="22"/>
        </w:rPr>
      </w:pPr>
      <w:proofErr w:type="spellStart"/>
      <w:r w:rsidRPr="00E27208">
        <w:rPr>
          <w:rFonts w:asciiTheme="minorHAnsi" w:hAnsiTheme="minorHAnsi"/>
          <w:b w:val="0"/>
          <w:color w:val="2A2A2A"/>
          <w:sz w:val="22"/>
          <w:szCs w:val="22"/>
        </w:rPr>
        <w:t>Foroutan</w:t>
      </w:r>
      <w:proofErr w:type="spellEnd"/>
      <w:r w:rsidRPr="00E27208">
        <w:rPr>
          <w:rFonts w:asciiTheme="minorHAnsi" w:hAnsiTheme="minorHAnsi"/>
          <w:b w:val="0"/>
          <w:color w:val="2A2A2A"/>
          <w:sz w:val="22"/>
          <w:szCs w:val="22"/>
        </w:rPr>
        <w:t xml:space="preserve">, </w:t>
      </w:r>
      <w:proofErr w:type="spellStart"/>
      <w:r w:rsidRPr="00E27208">
        <w:rPr>
          <w:rFonts w:asciiTheme="minorHAnsi" w:hAnsiTheme="minorHAnsi"/>
          <w:b w:val="0"/>
          <w:color w:val="2A2A2A"/>
          <w:sz w:val="22"/>
          <w:szCs w:val="22"/>
        </w:rPr>
        <w:t>Faezeh</w:t>
      </w:r>
      <w:proofErr w:type="spellEnd"/>
      <w:r w:rsidRPr="00E27208">
        <w:rPr>
          <w:rFonts w:asciiTheme="minorHAnsi" w:hAnsiTheme="minorHAnsi"/>
          <w:b w:val="0"/>
          <w:color w:val="2A2A2A"/>
          <w:sz w:val="22"/>
          <w:szCs w:val="22"/>
        </w:rPr>
        <w:t xml:space="preserve">, and Lant Pritchett, 1993, “Intra-Sub-Saharan African Trade: is it too </w:t>
      </w:r>
      <w:proofErr w:type="spellStart"/>
      <w:proofErr w:type="gramStart"/>
      <w:r w:rsidRPr="00E27208">
        <w:rPr>
          <w:rFonts w:asciiTheme="minorHAnsi" w:hAnsiTheme="minorHAnsi"/>
          <w:b w:val="0"/>
          <w:color w:val="2A2A2A"/>
          <w:sz w:val="22"/>
          <w:szCs w:val="22"/>
        </w:rPr>
        <w:t>Little</w:t>
      </w:r>
      <w:proofErr w:type="gramEnd"/>
      <w:r w:rsidRPr="00E27208">
        <w:rPr>
          <w:rFonts w:asciiTheme="minorHAnsi" w:hAnsiTheme="minorHAnsi"/>
          <w:b w:val="0"/>
          <w:color w:val="2A2A2A"/>
          <w:sz w:val="22"/>
          <w:szCs w:val="22"/>
        </w:rPr>
        <w:t>?”</w:t>
      </w:r>
      <w:r w:rsidRPr="00E27208">
        <w:rPr>
          <w:rStyle w:val="Emphasis"/>
          <w:rFonts w:asciiTheme="minorHAnsi" w:hAnsiTheme="minorHAnsi" w:cs="Arial"/>
          <w:b w:val="0"/>
          <w:color w:val="2A2A2A"/>
          <w:sz w:val="22"/>
          <w:szCs w:val="22"/>
          <w:bdr w:val="none" w:sz="0" w:space="0" w:color="auto" w:frame="1"/>
        </w:rPr>
        <w:t>Journal</w:t>
      </w:r>
      <w:proofErr w:type="spellEnd"/>
      <w:r w:rsidRPr="00E27208">
        <w:rPr>
          <w:rStyle w:val="Emphasis"/>
          <w:rFonts w:asciiTheme="minorHAnsi" w:hAnsiTheme="minorHAnsi" w:cs="Arial"/>
          <w:b w:val="0"/>
          <w:color w:val="2A2A2A"/>
          <w:sz w:val="22"/>
          <w:szCs w:val="22"/>
          <w:bdr w:val="none" w:sz="0" w:space="0" w:color="auto" w:frame="1"/>
        </w:rPr>
        <w:t xml:space="preserve"> of African Economies</w:t>
      </w:r>
      <w:r w:rsidRPr="00E27208">
        <w:rPr>
          <w:rFonts w:asciiTheme="minorHAnsi" w:hAnsiTheme="minorHAnsi" w:cs="Arial"/>
          <w:b w:val="0"/>
          <w:color w:val="2A2A2A"/>
          <w:sz w:val="22"/>
          <w:szCs w:val="22"/>
        </w:rPr>
        <w:t xml:space="preserve">, Volume 2, Issue 1, May, </w:t>
      </w:r>
      <w:r w:rsidR="00C15AC9">
        <w:rPr>
          <w:rFonts w:asciiTheme="minorHAnsi" w:hAnsiTheme="minorHAnsi" w:cs="Arial"/>
          <w:b w:val="0"/>
          <w:color w:val="2A2A2A"/>
          <w:sz w:val="22"/>
          <w:szCs w:val="22"/>
        </w:rPr>
        <w:t>74–105.</w:t>
      </w:r>
    </w:p>
    <w:p w:rsidR="00914434" w:rsidRPr="00914434" w:rsidRDefault="00914434" w:rsidP="00914434">
      <w:pPr>
        <w:spacing w:after="0" w:line="240" w:lineRule="auto"/>
        <w:rPr>
          <w:sz w:val="16"/>
          <w:szCs w:val="16"/>
        </w:rPr>
      </w:pPr>
      <w:r>
        <w:br/>
      </w:r>
      <w:r>
        <w:rPr>
          <w:bCs/>
          <w:spacing w:val="-3"/>
        </w:rPr>
        <w:t>Frankel, Jeffrey</w:t>
      </w:r>
      <w:proofErr w:type="gramStart"/>
      <w:r>
        <w:rPr>
          <w:bCs/>
          <w:spacing w:val="-3"/>
        </w:rPr>
        <w:t>,  2010</w:t>
      </w:r>
      <w:proofErr w:type="gramEnd"/>
      <w:r>
        <w:rPr>
          <w:bCs/>
          <w:spacing w:val="-3"/>
        </w:rPr>
        <w:t xml:space="preserve">, </w:t>
      </w:r>
      <w:r w:rsidRPr="00B73BC1">
        <w:rPr>
          <w:bCs/>
        </w:rPr>
        <w:t xml:space="preserve">“The </w:t>
      </w:r>
      <w:r>
        <w:rPr>
          <w:bCs/>
        </w:rPr>
        <w:t>E</w:t>
      </w:r>
      <w:r w:rsidRPr="00B73BC1">
        <w:rPr>
          <w:bCs/>
        </w:rPr>
        <w:t xml:space="preserve">stimated </w:t>
      </w:r>
      <w:r>
        <w:rPr>
          <w:bCs/>
        </w:rPr>
        <w:t>E</w:t>
      </w:r>
      <w:r w:rsidRPr="00B73BC1">
        <w:rPr>
          <w:bCs/>
        </w:rPr>
        <w:t xml:space="preserve">ffects of the </w:t>
      </w:r>
      <w:r>
        <w:rPr>
          <w:bCs/>
        </w:rPr>
        <w:t>E</w:t>
      </w:r>
      <w:r w:rsidRPr="00B73BC1">
        <w:rPr>
          <w:bCs/>
        </w:rPr>
        <w:t xml:space="preserve">uro on </w:t>
      </w:r>
      <w:r>
        <w:rPr>
          <w:bCs/>
        </w:rPr>
        <w:t xml:space="preserve">Trade: </w:t>
      </w:r>
      <w:r w:rsidRPr="00B73BC1">
        <w:rPr>
          <w:bCs/>
        </w:rPr>
        <w:t xml:space="preserve">Why </w:t>
      </w:r>
      <w:r>
        <w:rPr>
          <w:bCs/>
        </w:rPr>
        <w:t>A</w:t>
      </w:r>
      <w:r w:rsidRPr="00B73BC1">
        <w:rPr>
          <w:bCs/>
        </w:rPr>
        <w:t xml:space="preserve">re </w:t>
      </w:r>
      <w:r>
        <w:rPr>
          <w:bCs/>
        </w:rPr>
        <w:t>T</w:t>
      </w:r>
      <w:r w:rsidRPr="00B73BC1">
        <w:rPr>
          <w:bCs/>
        </w:rPr>
        <w:t xml:space="preserve">hey </w:t>
      </w:r>
      <w:r>
        <w:rPr>
          <w:bCs/>
        </w:rPr>
        <w:t>B</w:t>
      </w:r>
      <w:r w:rsidRPr="00B73BC1">
        <w:rPr>
          <w:bCs/>
        </w:rPr>
        <w:t xml:space="preserve">elow </w:t>
      </w:r>
      <w:r>
        <w:rPr>
          <w:bCs/>
        </w:rPr>
        <w:t>H</w:t>
      </w:r>
      <w:r w:rsidRPr="00B73BC1">
        <w:rPr>
          <w:bCs/>
        </w:rPr>
        <w:t xml:space="preserve">istorical </w:t>
      </w:r>
      <w:r>
        <w:rPr>
          <w:bCs/>
        </w:rPr>
        <w:lastRenderedPageBreak/>
        <w:t>E</w:t>
      </w:r>
      <w:r w:rsidRPr="00B73BC1">
        <w:rPr>
          <w:bCs/>
        </w:rPr>
        <w:t xml:space="preserve">ffects of </w:t>
      </w:r>
      <w:r>
        <w:rPr>
          <w:bCs/>
        </w:rPr>
        <w:t>M</w:t>
      </w:r>
      <w:r w:rsidRPr="00B73BC1">
        <w:rPr>
          <w:bCs/>
        </w:rPr>
        <w:t xml:space="preserve">onetary </w:t>
      </w:r>
      <w:r>
        <w:rPr>
          <w:bCs/>
        </w:rPr>
        <w:t>U</w:t>
      </w:r>
      <w:r w:rsidRPr="00B73BC1">
        <w:rPr>
          <w:bCs/>
        </w:rPr>
        <w:t xml:space="preserve">nions </w:t>
      </w:r>
      <w:r>
        <w:rPr>
          <w:bCs/>
        </w:rPr>
        <w:t>A</w:t>
      </w:r>
      <w:r w:rsidRPr="00B73BC1">
        <w:rPr>
          <w:bCs/>
        </w:rPr>
        <w:t xml:space="preserve">mong </w:t>
      </w:r>
      <w:r>
        <w:rPr>
          <w:bCs/>
        </w:rPr>
        <w:t>S</w:t>
      </w:r>
      <w:r w:rsidRPr="00B73BC1">
        <w:rPr>
          <w:bCs/>
        </w:rPr>
        <w:t xml:space="preserve">maller </w:t>
      </w:r>
      <w:r>
        <w:rPr>
          <w:bCs/>
        </w:rPr>
        <w:t>C</w:t>
      </w:r>
      <w:r w:rsidRPr="00B73BC1">
        <w:rPr>
          <w:bCs/>
        </w:rPr>
        <w:t>ountries?”</w:t>
      </w:r>
      <w:r w:rsidRPr="00B73BC1">
        <w:t xml:space="preserve"> </w:t>
      </w:r>
      <w:r>
        <w:t xml:space="preserve">in </w:t>
      </w:r>
      <w:r w:rsidRPr="00B73BC1">
        <w:rPr>
          <w:i/>
          <w:iCs/>
        </w:rPr>
        <w:t xml:space="preserve">Europe and the Euro, </w:t>
      </w:r>
      <w:r w:rsidRPr="00B73BC1">
        <w:t>Alberto</w:t>
      </w:r>
      <w:r>
        <w:t xml:space="preserve"> Alesina and Francesco Giavazzi, eds. (Univ. of Chicago Press),</w:t>
      </w:r>
      <w:r w:rsidRPr="00F7796E">
        <w:t xml:space="preserve"> </w:t>
      </w:r>
      <w:r>
        <w:t>169-218</w:t>
      </w:r>
      <w:r w:rsidRPr="003E02B6">
        <w:rPr>
          <w:sz w:val="16"/>
          <w:szCs w:val="16"/>
        </w:rPr>
        <w:t xml:space="preserve">.   </w:t>
      </w:r>
    </w:p>
    <w:p w:rsidR="00752AC7" w:rsidRPr="004E5D1B" w:rsidRDefault="00C15AC9" w:rsidP="004E5D1B">
      <w:pPr>
        <w:rPr>
          <w:b/>
          <w:sz w:val="18"/>
          <w:szCs w:val="18"/>
        </w:rPr>
      </w:pPr>
      <w:r>
        <w:br/>
      </w:r>
      <w:r w:rsidR="00DA5D48">
        <w:t>Frankel, Jeffrey,</w:t>
      </w:r>
      <w:r w:rsidR="005913B9">
        <w:t xml:space="preserve"> </w:t>
      </w:r>
      <w:r w:rsidR="00DA5D48">
        <w:t>2012</w:t>
      </w:r>
      <w:r w:rsidR="005913B9">
        <w:t>, “</w:t>
      </w:r>
      <w:r w:rsidR="00752AC7" w:rsidRPr="004E5D1B">
        <w:t>The Natural Resource Curse:</w:t>
      </w:r>
      <w:r w:rsidR="00DA5D48" w:rsidRPr="004E5D1B">
        <w:t xml:space="preserve"> </w:t>
      </w:r>
      <w:r w:rsidR="00752AC7" w:rsidRPr="004E5D1B">
        <w:t>A Survey of Diagnoses and Some Prescriptions,</w:t>
      </w:r>
      <w:r w:rsidR="005913B9" w:rsidRPr="004E5D1B">
        <w:t>”</w:t>
      </w:r>
      <w:r w:rsidR="00DA5D48">
        <w:t xml:space="preserve"> </w:t>
      </w:r>
      <w:r w:rsidR="00752AC7" w:rsidRPr="00782508">
        <w:rPr>
          <w:i/>
          <w:iCs/>
        </w:rPr>
        <w:t>Commodity Price Volatility and Inclusive Growth in Low-Income Countries</w:t>
      </w:r>
      <w:r w:rsidR="00752AC7" w:rsidRPr="00782508">
        <w:t xml:space="preserve">, edited by Rabah Arezki </w:t>
      </w:r>
      <w:r w:rsidR="00752AC7">
        <w:t xml:space="preserve">and Zhu Min </w:t>
      </w:r>
      <w:r w:rsidR="00752AC7" w:rsidRPr="00782508">
        <w:t>(International Monetary Fund).</w:t>
      </w:r>
    </w:p>
    <w:p w:rsidR="0025290A" w:rsidRDefault="0025290A" w:rsidP="000D468E">
      <w:pPr>
        <w:autoSpaceDE w:val="0"/>
        <w:autoSpaceDN w:val="0"/>
        <w:adjustRightInd w:val="0"/>
        <w:rPr>
          <w:sz w:val="20"/>
          <w:szCs w:val="20"/>
        </w:rPr>
      </w:pPr>
      <w:r>
        <w:t xml:space="preserve">Frankel, Jeffrey, 2016, </w:t>
      </w:r>
      <w:r w:rsidRPr="00A60512">
        <w:t xml:space="preserve">“Mauritius: African Success Story,” </w:t>
      </w:r>
      <w:r>
        <w:t>in</w:t>
      </w:r>
      <w:r w:rsidRPr="00A60512">
        <w:t xml:space="preserve"> </w:t>
      </w:r>
      <w:hyperlink r:id="rId30" w:history="1">
        <w:r w:rsidRPr="00A60512">
          <w:rPr>
            <w:rStyle w:val="Hyperlink"/>
            <w:i/>
            <w:iCs/>
            <w:color w:val="auto"/>
          </w:rPr>
          <w:t>African Successes</w:t>
        </w:r>
      </w:hyperlink>
      <w:r w:rsidRPr="00A60512">
        <w:t xml:space="preserve">, vol. 4, </w:t>
      </w:r>
      <w:r w:rsidRPr="00A60512">
        <w:rPr>
          <w:i/>
        </w:rPr>
        <w:t>Sustainable Growth</w:t>
      </w:r>
      <w:r w:rsidR="00C15AC9">
        <w:t xml:space="preserve">, </w:t>
      </w:r>
      <w:r w:rsidRPr="00A60512">
        <w:t>S</w:t>
      </w:r>
      <w:r w:rsidR="00C15AC9">
        <w:t>ebastian Edwards, Simon Johnson</w:t>
      </w:r>
      <w:r w:rsidRPr="00A60512">
        <w:t xml:space="preserve"> and David Weil</w:t>
      </w:r>
      <w:r w:rsidR="00C15AC9">
        <w:t>, eds.</w:t>
      </w:r>
      <w:r w:rsidRPr="00A60512">
        <w:t xml:space="preserve"> (University of Chicago Press), 295-342.</w:t>
      </w:r>
      <w:r w:rsidR="00C15AC9">
        <w:t xml:space="preserve">  </w:t>
      </w:r>
    </w:p>
    <w:p w:rsidR="00C15AC9" w:rsidRDefault="000D468E" w:rsidP="001E63BE">
      <w:pPr>
        <w:autoSpaceDE w:val="0"/>
        <w:autoSpaceDN w:val="0"/>
        <w:adjustRightInd w:val="0"/>
        <w:spacing w:line="240" w:lineRule="auto"/>
      </w:pPr>
      <w:r w:rsidRPr="0025290A">
        <w:t xml:space="preserve">Frankel, Jeffrey, and David Romer, 1999, “Trade and Growth: Cause and Effect?” </w:t>
      </w:r>
      <w:r w:rsidRPr="0025290A">
        <w:rPr>
          <w:i/>
          <w:iCs/>
        </w:rPr>
        <w:t>A</w:t>
      </w:r>
      <w:r w:rsidR="0025290A">
        <w:rPr>
          <w:i/>
          <w:iCs/>
        </w:rPr>
        <w:t>merican Economic Review</w:t>
      </w:r>
      <w:r w:rsidR="00684E47">
        <w:t xml:space="preserve"> </w:t>
      </w:r>
      <w:r w:rsidRPr="0025290A">
        <w:t>89, no. 3, June, 379-</w:t>
      </w:r>
      <w:r w:rsidR="0025290A">
        <w:t>99.</w:t>
      </w:r>
    </w:p>
    <w:p w:rsidR="001E63BE" w:rsidRDefault="001E63BE" w:rsidP="001E63BE">
      <w:pPr>
        <w:pStyle w:val="Heading1"/>
        <w:spacing w:before="0" w:line="240" w:lineRule="auto"/>
        <w:rPr>
          <w:rFonts w:asciiTheme="minorHAnsi" w:hAnsiTheme="minorHAnsi" w:cs="Arial"/>
          <w:color w:val="505050"/>
          <w:sz w:val="22"/>
          <w:szCs w:val="22"/>
        </w:rPr>
      </w:pPr>
      <w:proofErr w:type="gramStart"/>
      <w:r w:rsidRPr="001E63BE">
        <w:rPr>
          <w:rFonts w:asciiTheme="minorHAnsi" w:hAnsiTheme="minorHAnsi"/>
          <w:b w:val="0"/>
          <w:color w:val="auto"/>
          <w:sz w:val="22"/>
          <w:szCs w:val="22"/>
        </w:rPr>
        <w:t>Frankel, Jeffrey, and Andrew Rose</w:t>
      </w:r>
      <w:r>
        <w:rPr>
          <w:rStyle w:val="title-text"/>
          <w:rFonts w:asciiTheme="minorHAnsi" w:hAnsiTheme="minorHAnsi" w:cs="Arial"/>
          <w:b w:val="0"/>
          <w:bCs w:val="0"/>
          <w:color w:val="auto"/>
          <w:sz w:val="22"/>
          <w:szCs w:val="22"/>
        </w:rPr>
        <w:t xml:space="preserve">, </w:t>
      </w:r>
      <w:r w:rsidRPr="001E63BE">
        <w:rPr>
          <w:rStyle w:val="title-text"/>
          <w:rFonts w:asciiTheme="minorHAnsi" w:hAnsiTheme="minorHAnsi" w:cs="Arial"/>
          <w:b w:val="0"/>
          <w:bCs w:val="0"/>
          <w:color w:val="auto"/>
          <w:sz w:val="22"/>
          <w:szCs w:val="22"/>
        </w:rPr>
        <w:t>1997, “Is EMU more justifiable ex post than ex ante?”</w:t>
      </w:r>
      <w:proofErr w:type="gramEnd"/>
      <w:r w:rsidRPr="001E63BE">
        <w:rPr>
          <w:rStyle w:val="title-text"/>
          <w:rFonts w:asciiTheme="minorHAnsi" w:hAnsiTheme="minorHAnsi" w:cs="Arial"/>
          <w:b w:val="0"/>
          <w:bCs w:val="0"/>
          <w:color w:val="auto"/>
          <w:sz w:val="22"/>
          <w:szCs w:val="22"/>
        </w:rPr>
        <w:t xml:space="preserve"> </w:t>
      </w:r>
      <w:hyperlink r:id="rId31" w:tooltip="Go to European Economic Review on ScienceDirect" w:history="1">
        <w:r w:rsidRPr="001E63BE">
          <w:rPr>
            <w:rStyle w:val="Hyperlink"/>
            <w:rFonts w:asciiTheme="minorHAnsi" w:hAnsiTheme="minorHAnsi" w:cs="Arial"/>
            <w:b w:val="0"/>
            <w:bCs w:val="0"/>
            <w:i/>
            <w:color w:val="auto"/>
            <w:sz w:val="22"/>
            <w:szCs w:val="22"/>
          </w:rPr>
          <w:t>European Economic Review</w:t>
        </w:r>
      </w:hyperlink>
      <w:r w:rsidRPr="00CB538F">
        <w:rPr>
          <w:rFonts w:asciiTheme="minorHAnsi" w:hAnsiTheme="minorHAnsi" w:cs="Arial"/>
          <w:b w:val="0"/>
          <w:bCs w:val="0"/>
          <w:color w:val="505050"/>
          <w:sz w:val="22"/>
          <w:szCs w:val="22"/>
        </w:rPr>
        <w:t xml:space="preserve">, </w:t>
      </w:r>
      <w:hyperlink r:id="rId32" w:tooltip="Go to table of contents for this volume/issue" w:history="1">
        <w:r w:rsidRPr="00CB538F">
          <w:rPr>
            <w:rStyle w:val="Hyperlink"/>
            <w:rFonts w:asciiTheme="minorHAnsi" w:hAnsiTheme="minorHAnsi" w:cs="Arial"/>
            <w:b w:val="0"/>
            <w:color w:val="auto"/>
            <w:sz w:val="22"/>
            <w:szCs w:val="22"/>
          </w:rPr>
          <w:t>Volume 41, Issues 3–5</w:t>
        </w:r>
      </w:hyperlink>
      <w:r w:rsidRPr="00CB538F">
        <w:rPr>
          <w:rFonts w:asciiTheme="minorHAnsi" w:hAnsiTheme="minorHAnsi" w:cs="Arial"/>
          <w:color w:val="505050"/>
          <w:sz w:val="22"/>
          <w:szCs w:val="22"/>
        </w:rPr>
        <w:t>, April, 753-760</w:t>
      </w:r>
      <w:r>
        <w:rPr>
          <w:rFonts w:asciiTheme="minorHAnsi" w:hAnsiTheme="minorHAnsi" w:cs="Arial"/>
          <w:color w:val="505050"/>
          <w:sz w:val="22"/>
          <w:szCs w:val="22"/>
        </w:rPr>
        <w:t>.</w:t>
      </w:r>
      <w:r>
        <w:rPr>
          <w:rFonts w:asciiTheme="minorHAnsi" w:hAnsiTheme="minorHAnsi" w:cs="Arial"/>
          <w:color w:val="505050"/>
          <w:sz w:val="22"/>
          <w:szCs w:val="22"/>
        </w:rPr>
        <w:br/>
      </w:r>
    </w:p>
    <w:p w:rsidR="001E63BE" w:rsidRPr="001E63BE" w:rsidRDefault="001E63BE" w:rsidP="001E63BE">
      <w:pPr>
        <w:pStyle w:val="volume-issue"/>
        <w:shd w:val="clear" w:color="auto" w:fill="FFFFFF"/>
        <w:spacing w:before="75" w:beforeAutospacing="0" w:after="75" w:afterAutospacing="0" w:line="263" w:lineRule="atLeast"/>
        <w:rPr>
          <w:rFonts w:ascii="Arial" w:hAnsi="Arial" w:cs="Arial"/>
          <w:color w:val="767676"/>
          <w:sz w:val="21"/>
          <w:szCs w:val="21"/>
        </w:rPr>
      </w:pPr>
      <w:r w:rsidRPr="001E63BE">
        <w:rPr>
          <w:rFonts w:asciiTheme="minorHAnsi" w:hAnsiTheme="minorHAnsi"/>
          <w:sz w:val="22"/>
          <w:szCs w:val="22"/>
        </w:rPr>
        <w:t xml:space="preserve">Frankel, Jeffrey, and Andrew Rose, 1998, “The Endogeneity of the Optimum Currency Area Criterion,” </w:t>
      </w:r>
      <w:r w:rsidRPr="001E63BE">
        <w:rPr>
          <w:rFonts w:asciiTheme="minorHAnsi" w:hAnsiTheme="minorHAnsi"/>
          <w:i/>
          <w:iCs/>
        </w:rPr>
        <w:t>The Economic Journal</w:t>
      </w:r>
      <w:r w:rsidRPr="001E63BE">
        <w:rPr>
          <w:rFonts w:asciiTheme="minorHAnsi" w:hAnsiTheme="minorHAnsi"/>
        </w:rPr>
        <w:t xml:space="preserve">, </w:t>
      </w:r>
      <w:hyperlink r:id="rId33" w:history="1">
        <w:r w:rsidRPr="001E63BE">
          <w:rPr>
            <w:rStyle w:val="Hyperlink"/>
            <w:rFonts w:asciiTheme="minorHAnsi" w:eastAsiaTheme="majorEastAsia" w:hAnsiTheme="minorHAnsi" w:cs="Arial"/>
            <w:bCs/>
            <w:color w:val="auto"/>
            <w:sz w:val="22"/>
            <w:szCs w:val="22"/>
          </w:rPr>
          <w:t xml:space="preserve">Volume </w:t>
        </w:r>
        <w:r w:rsidRPr="001E63BE">
          <w:rPr>
            <w:rStyle w:val="val"/>
            <w:rFonts w:asciiTheme="minorHAnsi" w:eastAsiaTheme="majorEastAsia" w:hAnsiTheme="minorHAnsi" w:cs="Arial"/>
            <w:bCs/>
            <w:sz w:val="22"/>
            <w:szCs w:val="22"/>
          </w:rPr>
          <w:t>108</w:t>
        </w:r>
        <w:r w:rsidRPr="001E63BE">
          <w:rPr>
            <w:rStyle w:val="Hyperlink"/>
            <w:rFonts w:asciiTheme="minorHAnsi" w:eastAsiaTheme="majorEastAsia" w:hAnsiTheme="minorHAnsi" w:cs="Arial"/>
            <w:bCs/>
            <w:color w:val="auto"/>
            <w:sz w:val="22"/>
            <w:szCs w:val="22"/>
          </w:rPr>
          <w:t xml:space="preserve">, Issue </w:t>
        </w:r>
        <w:r w:rsidRPr="001E63BE">
          <w:rPr>
            <w:rStyle w:val="val"/>
            <w:rFonts w:asciiTheme="minorHAnsi" w:eastAsiaTheme="majorEastAsia" w:hAnsiTheme="minorHAnsi" w:cs="Arial"/>
            <w:bCs/>
            <w:sz w:val="22"/>
            <w:szCs w:val="22"/>
          </w:rPr>
          <w:t>449</w:t>
        </w:r>
      </w:hyperlink>
      <w:r w:rsidRPr="001E63BE">
        <w:rPr>
          <w:rFonts w:asciiTheme="minorHAnsi" w:hAnsiTheme="minorHAnsi" w:cs="Arial"/>
          <w:bCs/>
          <w:sz w:val="22"/>
          <w:szCs w:val="22"/>
        </w:rPr>
        <w:t xml:space="preserve">, </w:t>
      </w:r>
      <w:r w:rsidRPr="001E63BE">
        <w:rPr>
          <w:rFonts w:asciiTheme="minorHAnsi" w:hAnsiTheme="minorHAnsi" w:cs="Arial"/>
          <w:sz w:val="22"/>
          <w:szCs w:val="22"/>
        </w:rPr>
        <w:t>July, 1009-1025</w:t>
      </w:r>
      <w:r>
        <w:rPr>
          <w:rFonts w:asciiTheme="minorHAnsi" w:hAnsiTheme="minorHAnsi" w:cs="Arial"/>
          <w:sz w:val="22"/>
          <w:szCs w:val="22"/>
        </w:rPr>
        <w:br/>
      </w:r>
    </w:p>
    <w:p w:rsidR="00C15AC9" w:rsidRPr="00C15AC9" w:rsidRDefault="00C15AC9" w:rsidP="001E63BE">
      <w:pPr>
        <w:autoSpaceDE w:val="0"/>
        <w:autoSpaceDN w:val="0"/>
        <w:adjustRightInd w:val="0"/>
        <w:spacing w:line="240" w:lineRule="auto"/>
      </w:pPr>
      <w:r>
        <w:t>Frankel, Jeffrey, and Andrew Rose, 2002, “</w:t>
      </w:r>
      <w:r w:rsidRPr="00A60512">
        <w:t>“</w:t>
      </w:r>
      <w:r w:rsidRPr="00A60512">
        <w:rPr>
          <w:snapToGrid w:val="0"/>
          <w:color w:val="000000"/>
        </w:rPr>
        <w:t>An Estimate of the Effect of Common Currencies on Trade and Income,”</w:t>
      </w:r>
      <w:r w:rsidRPr="00A60512">
        <w:t xml:space="preserve"> with Andrew Rose, </w:t>
      </w:r>
      <w:r w:rsidRPr="00A60512">
        <w:rPr>
          <w:i/>
          <w:snapToGrid w:val="0"/>
          <w:color w:val="000000"/>
        </w:rPr>
        <w:t>Quarterly Journal of Economics</w:t>
      </w:r>
      <w:r w:rsidRPr="00A60512">
        <w:rPr>
          <w:snapToGrid w:val="0"/>
          <w:color w:val="000000"/>
        </w:rPr>
        <w:t xml:space="preserve">, CXVII, </w:t>
      </w:r>
      <w:r>
        <w:rPr>
          <w:snapToGrid w:val="0"/>
          <w:color w:val="000000"/>
        </w:rPr>
        <w:t>2, May</w:t>
      </w:r>
      <w:r w:rsidRPr="00A60512">
        <w:rPr>
          <w:snapToGrid w:val="0"/>
          <w:color w:val="000000"/>
        </w:rPr>
        <w:t xml:space="preserve">, 437-466.  </w:t>
      </w:r>
    </w:p>
    <w:p w:rsidR="00C15AC9" w:rsidRDefault="00C15AC9" w:rsidP="0025290A">
      <w:pPr>
        <w:autoSpaceDE w:val="0"/>
        <w:autoSpaceDN w:val="0"/>
        <w:adjustRightInd w:val="0"/>
      </w:pPr>
      <w:proofErr w:type="gramStart"/>
      <w:r w:rsidRPr="00684E47">
        <w:t>Frankel, Jeffrey, Ernesto Stein</w:t>
      </w:r>
      <w:r w:rsidR="004534A7">
        <w:t>,</w:t>
      </w:r>
      <w:r w:rsidRPr="00684E47">
        <w:t xml:space="preserve"> and Shang-Jin Wei, 1997, </w:t>
      </w:r>
      <w:hyperlink r:id="rId34" w:history="1">
        <w:r w:rsidRPr="00684E47">
          <w:rPr>
            <w:rStyle w:val="Emphasis"/>
            <w:rFonts w:cs="Arial"/>
            <w:sz w:val="21"/>
            <w:szCs w:val="21"/>
            <w:shd w:val="clear" w:color="auto" w:fill="FFFFFF"/>
          </w:rPr>
          <w:t>Regional Trading Blocs</w:t>
        </w:r>
        <w:r w:rsidRPr="00684E47">
          <w:rPr>
            <w:rStyle w:val="Hyperlink"/>
            <w:rFonts w:cs="Arial"/>
            <w:color w:val="auto"/>
            <w:sz w:val="21"/>
            <w:szCs w:val="21"/>
            <w:shd w:val="clear" w:color="auto" w:fill="FFFFFF"/>
          </w:rPr>
          <w:t>, (Petersen Institute for International Economics, Washington DC).</w:t>
        </w:r>
        <w:proofErr w:type="gramEnd"/>
      </w:hyperlink>
    </w:p>
    <w:p w:rsidR="00306E44" w:rsidRDefault="00306E44" w:rsidP="0025290A">
      <w:pPr>
        <w:autoSpaceDE w:val="0"/>
        <w:autoSpaceDN w:val="0"/>
        <w:adjustRightInd w:val="0"/>
      </w:pPr>
      <w:proofErr w:type="gramStart"/>
      <w:r w:rsidRPr="0025290A">
        <w:t xml:space="preserve">Frankel, Jeffrey, </w:t>
      </w:r>
      <w:r w:rsidRPr="00A60512">
        <w:t>Carl</w:t>
      </w:r>
      <w:r w:rsidR="008652DB">
        <w:t>os Végh</w:t>
      </w:r>
      <w:r w:rsidR="004534A7">
        <w:t>,</w:t>
      </w:r>
      <w:r w:rsidR="008652DB">
        <w:t xml:space="preserve"> and Guillermo Vuletin, </w:t>
      </w:r>
      <w:r>
        <w:t xml:space="preserve">2013, </w:t>
      </w:r>
      <w:r w:rsidRPr="00A60512">
        <w:t xml:space="preserve">“On Graduation from Fiscal </w:t>
      </w:r>
      <w:r>
        <w:t>Procyclicality,”</w:t>
      </w:r>
      <w:r w:rsidRPr="00A60512">
        <w:t xml:space="preserve"> </w:t>
      </w:r>
      <w:r w:rsidRPr="00A60512">
        <w:rPr>
          <w:i/>
        </w:rPr>
        <w:t xml:space="preserve">Journal of Development Economics, </w:t>
      </w:r>
      <w:r>
        <w:t>100, no.1, Jan.</w:t>
      </w:r>
      <w:r w:rsidRPr="00A60512">
        <w:t>, pp.32-47.</w:t>
      </w:r>
      <w:proofErr w:type="gramEnd"/>
      <w:r w:rsidRPr="00A60512">
        <w:t xml:space="preserve">  </w:t>
      </w:r>
    </w:p>
    <w:p w:rsidR="00137950" w:rsidRDefault="00137950" w:rsidP="0025290A">
      <w:pPr>
        <w:autoSpaceDE w:val="0"/>
        <w:autoSpaceDN w:val="0"/>
        <w:adjustRightInd w:val="0"/>
      </w:pPr>
      <w:r>
        <w:t xml:space="preserve">Glick, </w:t>
      </w:r>
      <w:r w:rsidR="00DF17E5">
        <w:t>Reuven, and Andrew </w:t>
      </w:r>
      <w:r>
        <w:t>Rose, 201</w:t>
      </w:r>
      <w:r w:rsidR="00076D96">
        <w:t>6</w:t>
      </w:r>
      <w:r>
        <w:t xml:space="preserve">, “Currency Unions and Trade:  A Post‐EMU Reassessment,” </w:t>
      </w:r>
      <w:r w:rsidR="00076D96" w:rsidRPr="00076D96">
        <w:rPr>
          <w:rStyle w:val="HTMLCite"/>
          <w:shd w:val="clear" w:color="auto" w:fill="FFFFFF"/>
        </w:rPr>
        <w:t>European Economic Review</w:t>
      </w:r>
      <w:r w:rsidR="00076D96" w:rsidRPr="00076D96">
        <w:rPr>
          <w:shd w:val="clear" w:color="auto" w:fill="FFFFFF"/>
        </w:rPr>
        <w:t> 87, August, 78-91</w:t>
      </w:r>
      <w:r>
        <w:t xml:space="preserve">  </w:t>
      </w:r>
    </w:p>
    <w:p w:rsidR="00874BE6" w:rsidRDefault="00874BE6" w:rsidP="0025290A">
      <w:pPr>
        <w:autoSpaceDE w:val="0"/>
        <w:autoSpaceDN w:val="0"/>
        <w:adjustRightInd w:val="0"/>
      </w:pPr>
      <w:r w:rsidRPr="00760817">
        <w:rPr>
          <w:rFonts w:cs="Arial"/>
          <w:color w:val="1C1D1E"/>
          <w:shd w:val="clear" w:color="auto" w:fill="FFFFFF"/>
        </w:rPr>
        <w:t xml:space="preserve">Guillaume, D.M. and </w:t>
      </w:r>
      <w:r>
        <w:rPr>
          <w:rFonts w:cs="Arial"/>
          <w:b/>
          <w:color w:val="1C1D1E"/>
          <w:shd w:val="clear" w:color="auto" w:fill="FFFFFF"/>
        </w:rPr>
        <w:t xml:space="preserve">D. </w:t>
      </w:r>
      <w:proofErr w:type="spellStart"/>
      <w:r w:rsidRPr="00874BE6">
        <w:rPr>
          <w:rFonts w:cs="Arial"/>
          <w:color w:val="1C1D1E"/>
          <w:shd w:val="clear" w:color="auto" w:fill="FFFFFF"/>
        </w:rPr>
        <w:t>Stasavage</w:t>
      </w:r>
      <w:proofErr w:type="spellEnd"/>
      <w:r w:rsidRPr="00874BE6">
        <w:rPr>
          <w:rFonts w:cs="Arial"/>
          <w:color w:val="1C1D1E"/>
          <w:shd w:val="clear" w:color="auto" w:fill="FFFFFF"/>
        </w:rPr>
        <w:t>,</w:t>
      </w:r>
      <w:r>
        <w:rPr>
          <w:rFonts w:cs="Arial"/>
          <w:b/>
          <w:color w:val="1C1D1E"/>
          <w:shd w:val="clear" w:color="auto" w:fill="FFFFFF"/>
        </w:rPr>
        <w:t xml:space="preserve"> </w:t>
      </w:r>
      <w:r w:rsidRPr="00760817">
        <w:rPr>
          <w:rStyle w:val="pubyear"/>
          <w:rFonts w:cs="Arial"/>
          <w:color w:val="1C1D1E"/>
          <w:shd w:val="clear" w:color="auto" w:fill="FFFFFF"/>
        </w:rPr>
        <w:t>2000</w:t>
      </w:r>
      <w:r>
        <w:rPr>
          <w:rFonts w:cs="Arial"/>
          <w:b/>
          <w:color w:val="1C1D1E"/>
          <w:shd w:val="clear" w:color="auto" w:fill="FFFFFF"/>
        </w:rPr>
        <w:t>, “</w:t>
      </w:r>
      <w:r w:rsidRPr="00760817">
        <w:rPr>
          <w:rStyle w:val="articletitle"/>
          <w:rFonts w:cs="Arial"/>
          <w:color w:val="1C1D1E"/>
          <w:shd w:val="clear" w:color="auto" w:fill="FFFFFF"/>
        </w:rPr>
        <w:t>Improving policy credibility: is there a case for African monetary unions?</w:t>
      </w:r>
      <w:r>
        <w:rPr>
          <w:rStyle w:val="articletitle"/>
          <w:rFonts w:cs="Arial"/>
          <w:b/>
          <w:color w:val="1C1D1E"/>
          <w:shd w:val="clear" w:color="auto" w:fill="FFFFFF"/>
        </w:rPr>
        <w:t>”</w:t>
      </w:r>
      <w:r w:rsidRPr="00760817">
        <w:rPr>
          <w:rFonts w:cs="Arial"/>
          <w:color w:val="1C1D1E"/>
          <w:shd w:val="clear" w:color="auto" w:fill="FFFFFF"/>
        </w:rPr>
        <w:t> </w:t>
      </w:r>
      <w:r w:rsidRPr="00760817">
        <w:rPr>
          <w:rFonts w:cs="Arial"/>
          <w:i/>
          <w:iCs/>
          <w:color w:val="1C1D1E"/>
          <w:shd w:val="clear" w:color="auto" w:fill="FFFFFF"/>
        </w:rPr>
        <w:t>World Development</w:t>
      </w:r>
      <w:r w:rsidRPr="00760817">
        <w:rPr>
          <w:rFonts w:cs="Arial"/>
          <w:color w:val="1C1D1E"/>
          <w:shd w:val="clear" w:color="auto" w:fill="FFFFFF"/>
        </w:rPr>
        <w:t> </w:t>
      </w:r>
      <w:r w:rsidRPr="00760817">
        <w:rPr>
          <w:rStyle w:val="vol"/>
          <w:rFonts w:cs="Arial"/>
          <w:color w:val="1C1D1E"/>
          <w:shd w:val="clear" w:color="auto" w:fill="FFFFFF"/>
        </w:rPr>
        <w:t>28</w:t>
      </w:r>
      <w:r w:rsidRPr="00760817">
        <w:rPr>
          <w:rFonts w:cs="Arial"/>
          <w:color w:val="1C1D1E"/>
          <w:shd w:val="clear" w:color="auto" w:fill="FFFFFF"/>
        </w:rPr>
        <w:t>(8): 1391–1407.</w:t>
      </w:r>
    </w:p>
    <w:p w:rsidR="001E3325" w:rsidRDefault="001E3325" w:rsidP="0025290A">
      <w:pPr>
        <w:autoSpaceDE w:val="0"/>
        <w:autoSpaceDN w:val="0"/>
        <w:adjustRightInd w:val="0"/>
        <w:rPr>
          <w:rFonts w:cs="Arial"/>
          <w:shd w:val="clear" w:color="auto" w:fill="FFFFFF"/>
        </w:rPr>
      </w:pPr>
      <w:r w:rsidRPr="001E3325">
        <w:t>Head, Keith, and Thierry Mayer, 2014</w:t>
      </w:r>
      <w:proofErr w:type="gramStart"/>
      <w:r w:rsidRPr="001E3325">
        <w:t>,“</w:t>
      </w:r>
      <w:proofErr w:type="gramEnd"/>
      <w:r w:rsidRPr="001E3325">
        <w:t>Gravity Equations: Workhorse,</w:t>
      </w:r>
      <w:r w:rsidR="00A544A8">
        <w:t xml:space="preserve"> </w:t>
      </w:r>
      <w:r w:rsidRPr="001E3325">
        <w:t xml:space="preserve">Toolkit, and Cookbook,” </w:t>
      </w:r>
      <w:r w:rsidRPr="001E3325">
        <w:rPr>
          <w:rFonts w:cs="Arial"/>
          <w:i/>
          <w:shd w:val="clear" w:color="auto" w:fill="FFFFFF"/>
        </w:rPr>
        <w:t>Handbook of International Economics</w:t>
      </w:r>
      <w:r w:rsidRPr="001E3325">
        <w:rPr>
          <w:rFonts w:cs="Arial"/>
          <w:shd w:val="clear" w:color="auto" w:fill="FFFFFF"/>
        </w:rPr>
        <w:t xml:space="preserve"> </w:t>
      </w:r>
      <w:r>
        <w:rPr>
          <w:rFonts w:cs="Arial"/>
          <w:shd w:val="clear" w:color="auto" w:fill="FFFFFF"/>
        </w:rPr>
        <w:t>4</w:t>
      </w:r>
      <w:r w:rsidRPr="001E3325">
        <w:rPr>
          <w:rFonts w:cs="Arial"/>
          <w:shd w:val="clear" w:color="auto" w:fill="FFFFFF"/>
        </w:rPr>
        <w:t xml:space="preserve"> (</w:t>
      </w:r>
      <w:r w:rsidRPr="001E3325">
        <w:rPr>
          <w:rFonts w:cs="Arial"/>
          <w:color w:val="222222"/>
          <w:shd w:val="clear" w:color="auto" w:fill="FFFFFF"/>
        </w:rPr>
        <w:t>Elsevier</w:t>
      </w:r>
      <w:r w:rsidRPr="001E3325">
        <w:rPr>
          <w:rFonts w:cs="Arial"/>
          <w:shd w:val="clear" w:color="auto" w:fill="FFFFFF"/>
        </w:rPr>
        <w:t>)</w:t>
      </w:r>
      <w:r>
        <w:rPr>
          <w:rFonts w:cs="Arial"/>
          <w:shd w:val="clear" w:color="auto" w:fill="FFFFFF"/>
        </w:rPr>
        <w:t>,</w:t>
      </w:r>
      <w:r w:rsidRPr="001E3325">
        <w:rPr>
          <w:rFonts w:cs="Arial"/>
          <w:shd w:val="clear" w:color="auto" w:fill="FFFFFF"/>
        </w:rPr>
        <w:t xml:space="preserve"> Chapter 3, 131–195.</w:t>
      </w:r>
    </w:p>
    <w:p w:rsidR="008F457A" w:rsidRDefault="008F457A" w:rsidP="0025290A">
      <w:pPr>
        <w:autoSpaceDE w:val="0"/>
        <w:autoSpaceDN w:val="0"/>
        <w:adjustRightInd w:val="0"/>
      </w:pPr>
      <w:proofErr w:type="spellStart"/>
      <w:r w:rsidRPr="00AC6827">
        <w:rPr>
          <w:rFonts w:cs="Arial"/>
          <w:color w:val="000000"/>
          <w:sz w:val="24"/>
          <w:szCs w:val="24"/>
        </w:rPr>
        <w:t>Imbs</w:t>
      </w:r>
      <w:proofErr w:type="spellEnd"/>
      <w:r w:rsidRPr="00AC6827">
        <w:rPr>
          <w:rFonts w:cs="Arial"/>
          <w:color w:val="000000"/>
          <w:sz w:val="24"/>
          <w:szCs w:val="24"/>
        </w:rPr>
        <w:t xml:space="preserve">, </w:t>
      </w:r>
      <w:r>
        <w:rPr>
          <w:rFonts w:cs="Arial"/>
          <w:color w:val="000000"/>
          <w:sz w:val="24"/>
          <w:szCs w:val="24"/>
        </w:rPr>
        <w:t>Jean, 2004,</w:t>
      </w:r>
      <w:r w:rsidRPr="00AC6827">
        <w:rPr>
          <w:rFonts w:cs="Arial"/>
          <w:color w:val="000000"/>
          <w:sz w:val="24"/>
          <w:szCs w:val="24"/>
        </w:rPr>
        <w:t xml:space="preserve"> “Trade, Finance, Specialization, and Synchronization,” </w:t>
      </w:r>
      <w:r w:rsidRPr="008F457A">
        <w:rPr>
          <w:rFonts w:cs="Arial"/>
          <w:i/>
          <w:color w:val="000000"/>
          <w:sz w:val="24"/>
          <w:szCs w:val="24"/>
        </w:rPr>
        <w:t>Review of Economics and Statistics</w:t>
      </w:r>
      <w:r w:rsidRPr="00AC6827">
        <w:rPr>
          <w:rFonts w:cs="Arial"/>
          <w:color w:val="000000"/>
          <w:sz w:val="24"/>
          <w:szCs w:val="24"/>
        </w:rPr>
        <w:t xml:space="preserve">, </w:t>
      </w:r>
      <w:r w:rsidRPr="00AC6827">
        <w:rPr>
          <w:rStyle w:val="m7287148673969880758gmail-articlevolume"/>
          <w:rFonts w:cs="Arial"/>
          <w:color w:val="000000"/>
          <w:sz w:val="24"/>
          <w:szCs w:val="24"/>
        </w:rPr>
        <w:t>V</w:t>
      </w:r>
      <w:r>
        <w:rPr>
          <w:rStyle w:val="m7287148673969880758gmail-articlevolume"/>
          <w:rFonts w:cs="Arial"/>
          <w:color w:val="000000"/>
          <w:sz w:val="24"/>
          <w:szCs w:val="24"/>
        </w:rPr>
        <w:t>olume 86, Issue 3, August</w:t>
      </w:r>
      <w:r w:rsidRPr="00AC6827">
        <w:rPr>
          <w:rStyle w:val="m7287148673969880758gmail-articlevolume"/>
          <w:rFonts w:cs="Arial"/>
          <w:color w:val="000000"/>
          <w:sz w:val="24"/>
          <w:szCs w:val="24"/>
        </w:rPr>
        <w:t xml:space="preserve">, </w:t>
      </w:r>
      <w:r w:rsidRPr="00AC6827">
        <w:rPr>
          <w:rStyle w:val="m7287148673969880758gmail-pagerange"/>
          <w:rFonts w:cs="Arial"/>
          <w:color w:val="000000"/>
          <w:sz w:val="24"/>
          <w:szCs w:val="24"/>
        </w:rPr>
        <w:t>p.723-734</w:t>
      </w:r>
    </w:p>
    <w:p w:rsidR="00E92B14" w:rsidRPr="00E92B14" w:rsidRDefault="00E92B14" w:rsidP="00E92B14">
      <w:pPr>
        <w:rPr>
          <w:sz w:val="24"/>
          <w:szCs w:val="24"/>
        </w:rPr>
      </w:pPr>
      <w:r>
        <w:t>International Monetary Fund, 2017, “West African Economic and Monetary Union,” IMF Country Report No. 17/99. April.</w:t>
      </w:r>
    </w:p>
    <w:p w:rsidR="00306E44" w:rsidRPr="00E92B14" w:rsidRDefault="00306E44" w:rsidP="00306E44">
      <w:pPr>
        <w:shd w:val="clear" w:color="auto" w:fill="FFFFFF"/>
        <w:rPr>
          <w:rStyle w:val="page"/>
          <w:rFonts w:cs="Arial"/>
          <w:color w:val="000000"/>
          <w:shd w:val="clear" w:color="auto" w:fill="FFFFFF"/>
        </w:rPr>
      </w:pPr>
      <w:r w:rsidRPr="00E92B14">
        <w:rPr>
          <w:rStyle w:val="nlmstring-name"/>
          <w:rFonts w:cs="Arial"/>
          <w:color w:val="000000"/>
        </w:rPr>
        <w:t>Kaminsky</w:t>
      </w:r>
      <w:r w:rsidRPr="00E92B14">
        <w:rPr>
          <w:rFonts w:cs="Arial"/>
          <w:color w:val="000000"/>
        </w:rPr>
        <w:t xml:space="preserve">, </w:t>
      </w:r>
      <w:r w:rsidRPr="00E92B14">
        <w:rPr>
          <w:rStyle w:val="nlmstring-name"/>
          <w:rFonts w:cs="Arial"/>
          <w:color w:val="000000"/>
        </w:rPr>
        <w:t>Graciela, Carmen Reinhart</w:t>
      </w:r>
      <w:r w:rsidRPr="00E92B14">
        <w:rPr>
          <w:rFonts w:cs="Arial"/>
          <w:color w:val="000000"/>
        </w:rPr>
        <w:t>, and </w:t>
      </w:r>
      <w:r w:rsidRPr="00E92B14">
        <w:rPr>
          <w:rStyle w:val="nlmstring-name"/>
          <w:rFonts w:cs="Arial"/>
          <w:color w:val="000000"/>
        </w:rPr>
        <w:t>Carlos Végh</w:t>
      </w:r>
      <w:proofErr w:type="gramStart"/>
      <w:r w:rsidRPr="00E92B14">
        <w:rPr>
          <w:rFonts w:cs="Arial"/>
          <w:color w:val="000000"/>
        </w:rPr>
        <w:t>,  2004</w:t>
      </w:r>
      <w:proofErr w:type="gramEnd"/>
      <w:r w:rsidRPr="00E92B14">
        <w:rPr>
          <w:rFonts w:cs="Arial"/>
          <w:color w:val="000000"/>
        </w:rPr>
        <w:t xml:space="preserve">, </w:t>
      </w:r>
      <w:r w:rsidRPr="00E92B14">
        <w:rPr>
          <w:rFonts w:cs="Arial"/>
        </w:rPr>
        <w:t>“</w:t>
      </w:r>
      <w:hyperlink r:id="rId35" w:history="1">
        <w:r w:rsidRPr="00E92B14">
          <w:rPr>
            <w:rStyle w:val="Hyperlink"/>
            <w:rFonts w:cs="Arial"/>
            <w:bCs/>
            <w:color w:val="auto"/>
            <w:sz w:val="22"/>
            <w:szCs w:val="22"/>
          </w:rPr>
          <w:t>When It Rains, It Pours: Procyclical Capital Flows and Macroeconomic Policies</w:t>
        </w:r>
      </w:hyperlink>
      <w:r w:rsidRPr="00E92B14">
        <w:rPr>
          <w:rFonts w:cs="Arial"/>
          <w:bCs/>
        </w:rPr>
        <w:t>,”</w:t>
      </w:r>
      <w:r w:rsidRPr="00E92B14">
        <w:rPr>
          <w:rFonts w:cs="Arial"/>
          <w:b/>
          <w:bCs/>
          <w:color w:val="555555"/>
        </w:rPr>
        <w:t xml:space="preserve"> </w:t>
      </w:r>
      <w:r w:rsidRPr="00E92B14">
        <w:rPr>
          <w:rStyle w:val="journalname"/>
          <w:rFonts w:cs="Arial"/>
          <w:i/>
          <w:color w:val="000000"/>
          <w:shd w:val="clear" w:color="auto" w:fill="FFFFFF"/>
        </w:rPr>
        <w:t>NBER Macroeconomics Annual</w:t>
      </w:r>
      <w:r w:rsidRPr="00E92B14">
        <w:rPr>
          <w:rFonts w:cs="Arial"/>
          <w:i/>
          <w:color w:val="000000"/>
          <w:shd w:val="clear" w:color="auto" w:fill="FFFFFF"/>
        </w:rPr>
        <w:t> </w:t>
      </w:r>
      <w:r w:rsidRPr="00E92B14">
        <w:rPr>
          <w:rStyle w:val="year"/>
          <w:rFonts w:cs="Arial"/>
          <w:i/>
          <w:color w:val="000000"/>
          <w:shd w:val="clear" w:color="auto" w:fill="FFFFFF"/>
        </w:rPr>
        <w:t>2004</w:t>
      </w:r>
      <w:r w:rsidRPr="00E92B14">
        <w:rPr>
          <w:rFonts w:cs="Arial"/>
          <w:color w:val="000000"/>
          <w:shd w:val="clear" w:color="auto" w:fill="FFFFFF"/>
        </w:rPr>
        <w:t> </w:t>
      </w:r>
      <w:r w:rsidRPr="00E92B14">
        <w:rPr>
          <w:rStyle w:val="volume"/>
          <w:rFonts w:cs="Arial"/>
          <w:color w:val="000000"/>
          <w:shd w:val="clear" w:color="auto" w:fill="FFFFFF"/>
        </w:rPr>
        <w:t>19</w:t>
      </w:r>
      <w:r w:rsidRPr="00E92B14">
        <w:rPr>
          <w:rFonts w:cs="Arial"/>
          <w:color w:val="000000"/>
          <w:shd w:val="clear" w:color="auto" w:fill="FFFFFF"/>
        </w:rPr>
        <w:t>, </w:t>
      </w:r>
      <w:r w:rsidRPr="00E92B14">
        <w:rPr>
          <w:rStyle w:val="page"/>
          <w:rFonts w:cs="Arial"/>
          <w:color w:val="000000"/>
          <w:shd w:val="clear" w:color="auto" w:fill="FFFFFF"/>
        </w:rPr>
        <w:t>11-53.</w:t>
      </w:r>
    </w:p>
    <w:p w:rsidR="00C44B69" w:rsidRDefault="00C44B69" w:rsidP="00C44B69">
      <w:pPr>
        <w:jc w:val="both"/>
      </w:pPr>
      <w:r>
        <w:lastRenderedPageBreak/>
        <w:t>Krugman, Paul</w:t>
      </w:r>
      <w:r w:rsidR="00BB558C">
        <w:t>,</w:t>
      </w:r>
      <w:r>
        <w:t xml:space="preserve"> 1991</w:t>
      </w:r>
      <w:r w:rsidR="00BB558C">
        <w:t>,</w:t>
      </w:r>
      <w:r>
        <w:t xml:space="preserve"> "The Move Toward Free Trade Zones," in </w:t>
      </w:r>
      <w:r w:rsidRPr="00C44B69">
        <w:rPr>
          <w:i/>
        </w:rPr>
        <w:t>Policy Implications of Trade and Currency Zones</w:t>
      </w:r>
      <w:r>
        <w:t>, A Symposium Sponsored by the Federal Reserve Bank of Kansas City, Jackson Hole, Wyoming, (August): 7-42.</w:t>
      </w:r>
    </w:p>
    <w:p w:rsidR="00BB558C" w:rsidRPr="00BB558C" w:rsidRDefault="00BB558C" w:rsidP="00BB558C">
      <w:pPr>
        <w:rPr>
          <w:rFonts w:cs="Arial"/>
          <w:color w:val="1C1D1E"/>
          <w:shd w:val="clear" w:color="auto" w:fill="FFFFFF"/>
        </w:rPr>
      </w:pPr>
      <w:r>
        <w:t xml:space="preserve">Krugman Paul, 1993, “Lessons of Massachusetts for EMU,” in F. Giavazzi and F. Torres, eds., </w:t>
      </w:r>
      <w:proofErr w:type="gramStart"/>
      <w:r w:rsidRPr="00BB558C">
        <w:rPr>
          <w:i/>
        </w:rPr>
        <w:t>The</w:t>
      </w:r>
      <w:proofErr w:type="gramEnd"/>
      <w:r w:rsidRPr="00BB558C">
        <w:rPr>
          <w:i/>
        </w:rPr>
        <w:t xml:space="preserve"> Transition to Economic and Monetary Union in Europe</w:t>
      </w:r>
      <w:r>
        <w:t xml:space="preserve"> (Cambridge University Press, New York) 241-261.</w:t>
      </w:r>
    </w:p>
    <w:p w:rsidR="0086332B" w:rsidRDefault="0086332B" w:rsidP="0086332B">
      <w:pPr>
        <w:tabs>
          <w:tab w:val="left" w:pos="-1440"/>
        </w:tabs>
        <w:spacing w:line="264" w:lineRule="auto"/>
      </w:pPr>
      <w:proofErr w:type="spellStart"/>
      <w:r w:rsidRPr="0086332B">
        <w:t>Lledó</w:t>
      </w:r>
      <w:proofErr w:type="spellEnd"/>
      <w:r w:rsidRPr="0086332B">
        <w:t>, Victor</w:t>
      </w:r>
      <w:proofErr w:type="gramStart"/>
      <w:r w:rsidRPr="0086332B">
        <w:t>,  Irene</w:t>
      </w:r>
      <w:proofErr w:type="gramEnd"/>
      <w:r w:rsidRPr="0086332B">
        <w:t xml:space="preserve"> </w:t>
      </w:r>
      <w:proofErr w:type="spellStart"/>
      <w:r w:rsidRPr="0086332B">
        <w:t>Yackovlev</w:t>
      </w:r>
      <w:proofErr w:type="spellEnd"/>
      <w:r w:rsidRPr="0086332B">
        <w:t xml:space="preserve">, and Lucie </w:t>
      </w:r>
      <w:proofErr w:type="spellStart"/>
      <w:r w:rsidRPr="0086332B">
        <w:t>Gadenne</w:t>
      </w:r>
      <w:proofErr w:type="spellEnd"/>
      <w:r w:rsidRPr="0086332B">
        <w:t>, 2009, “Cyclical Patterns of Government Expenditures in Sub-Saharan Africa: Facts and Factors</w:t>
      </w:r>
      <w:bookmarkStart w:id="3" w:name="titleb"/>
      <w:bookmarkEnd w:id="3"/>
      <w:r w:rsidRPr="0086332B">
        <w:t xml:space="preserve">,” </w:t>
      </w:r>
      <w:bookmarkStart w:id="4" w:name="authors"/>
      <w:bookmarkStart w:id="5" w:name="authorsb"/>
      <w:bookmarkStart w:id="6" w:name="authtext"/>
      <w:bookmarkEnd w:id="4"/>
      <w:bookmarkEnd w:id="5"/>
      <w:bookmarkEnd w:id="6"/>
      <w:r w:rsidRPr="0086332B">
        <w:t xml:space="preserve">IMF Working Paper. </w:t>
      </w:r>
      <w:bookmarkStart w:id="7" w:name="dateb"/>
      <w:bookmarkEnd w:id="7"/>
    </w:p>
    <w:p w:rsidR="0013421E" w:rsidRPr="003C66BB" w:rsidRDefault="006C4CB1" w:rsidP="0013421E">
      <w:pPr>
        <w:shd w:val="clear" w:color="auto" w:fill="FFFFFF"/>
        <w:textAlignment w:val="baseline"/>
        <w:rPr>
          <w:rFonts w:cs="Arial"/>
          <w:color w:val="2A2A2A"/>
        </w:rPr>
      </w:pPr>
      <w:hyperlink r:id="rId36" w:history="1">
        <w:proofErr w:type="spellStart"/>
        <w:r w:rsidR="003C66BB" w:rsidRPr="003C66BB">
          <w:rPr>
            <w:rStyle w:val="Hyperlink"/>
            <w:rFonts w:cs="Arial"/>
            <w:color w:val="auto"/>
            <w:sz w:val="22"/>
            <w:szCs w:val="22"/>
            <w:bdr w:val="none" w:sz="0" w:space="0" w:color="auto" w:frame="1"/>
          </w:rPr>
          <w:t>Limão</w:t>
        </w:r>
        <w:proofErr w:type="spellEnd"/>
      </w:hyperlink>
      <w:r w:rsidR="003C66BB" w:rsidRPr="003C66BB">
        <w:rPr>
          <w:rStyle w:val="al-author-name"/>
          <w:rFonts w:cs="Arial"/>
          <w:bdr w:val="none" w:sz="0" w:space="0" w:color="auto" w:frame="1"/>
        </w:rPr>
        <w:t xml:space="preserve">, </w:t>
      </w:r>
      <w:proofErr w:type="spellStart"/>
      <w:r w:rsidR="003C66BB" w:rsidRPr="003C66BB">
        <w:rPr>
          <w:rStyle w:val="al-author-name"/>
          <w:rFonts w:cs="Arial"/>
          <w:bdr w:val="none" w:sz="0" w:space="0" w:color="auto" w:frame="1"/>
        </w:rPr>
        <w:t>Nuno</w:t>
      </w:r>
      <w:proofErr w:type="spellEnd"/>
      <w:r w:rsidR="003C66BB" w:rsidRPr="003C66BB">
        <w:rPr>
          <w:rStyle w:val="al-author-name"/>
          <w:rFonts w:cs="Arial"/>
          <w:bdr w:val="none" w:sz="0" w:space="0" w:color="auto" w:frame="1"/>
        </w:rPr>
        <w:t>, and</w:t>
      </w:r>
      <w:r w:rsidR="003C66BB" w:rsidRPr="003C66BB">
        <w:rPr>
          <w:rFonts w:cs="Arial"/>
        </w:rPr>
        <w:t> </w:t>
      </w:r>
      <w:hyperlink r:id="rId37" w:history="1">
        <w:r w:rsidR="003C66BB" w:rsidRPr="003C66BB">
          <w:rPr>
            <w:rStyle w:val="Hyperlink"/>
            <w:rFonts w:cs="Arial"/>
            <w:color w:val="auto"/>
            <w:sz w:val="22"/>
            <w:szCs w:val="22"/>
            <w:bdr w:val="none" w:sz="0" w:space="0" w:color="auto" w:frame="1"/>
          </w:rPr>
          <w:t xml:space="preserve">Anthony J. </w:t>
        </w:r>
        <w:proofErr w:type="spellStart"/>
        <w:r w:rsidR="003C66BB" w:rsidRPr="003C66BB">
          <w:rPr>
            <w:rStyle w:val="Hyperlink"/>
            <w:rFonts w:cs="Arial"/>
            <w:color w:val="auto"/>
            <w:sz w:val="22"/>
            <w:szCs w:val="22"/>
            <w:bdr w:val="none" w:sz="0" w:space="0" w:color="auto" w:frame="1"/>
          </w:rPr>
          <w:t>Venables</w:t>
        </w:r>
        <w:proofErr w:type="spellEnd"/>
      </w:hyperlink>
      <w:r w:rsidR="003C66BB" w:rsidRPr="003C66BB">
        <w:rPr>
          <w:rStyle w:val="al-author-name"/>
          <w:rFonts w:cs="Arial"/>
          <w:bdr w:val="none" w:sz="0" w:space="0" w:color="auto" w:frame="1"/>
        </w:rPr>
        <w:t>, 2001, “</w:t>
      </w:r>
      <w:r w:rsidR="0013421E" w:rsidRPr="003C66BB">
        <w:rPr>
          <w:color w:val="2A2A2A"/>
        </w:rPr>
        <w:t>Infrastructure, Geographical Disadvantage, Transport Costs, and Trade</w:t>
      </w:r>
      <w:r w:rsidR="003C66BB" w:rsidRPr="003C66BB">
        <w:rPr>
          <w:color w:val="2A2A2A"/>
        </w:rPr>
        <w:t xml:space="preserve">,” </w:t>
      </w:r>
      <w:r w:rsidR="0013421E" w:rsidRPr="003C66BB">
        <w:rPr>
          <w:rStyle w:val="Emphasis"/>
          <w:rFonts w:cs="Arial"/>
          <w:color w:val="2A2A2A"/>
          <w:bdr w:val="none" w:sz="0" w:space="0" w:color="auto" w:frame="1"/>
        </w:rPr>
        <w:t>The World Bank Economic Review</w:t>
      </w:r>
      <w:r w:rsidR="0013421E" w:rsidRPr="003C66BB">
        <w:rPr>
          <w:rFonts w:cs="Arial"/>
          <w:color w:val="2A2A2A"/>
        </w:rPr>
        <w:t>, Vo</w:t>
      </w:r>
      <w:r w:rsidR="003C66BB" w:rsidRPr="003C66BB">
        <w:rPr>
          <w:rFonts w:cs="Arial"/>
          <w:color w:val="2A2A2A"/>
        </w:rPr>
        <w:t>lume 15, Issue 3, 1 October</w:t>
      </w:r>
      <w:r w:rsidR="003C66BB">
        <w:rPr>
          <w:rFonts w:cs="Arial"/>
          <w:color w:val="2A2A2A"/>
        </w:rPr>
        <w:t>, Pages 451–479.</w:t>
      </w:r>
    </w:p>
    <w:p w:rsidR="009F2153" w:rsidRPr="009F2153" w:rsidRDefault="001E45A3" w:rsidP="009F2153">
      <w:pPr>
        <w:pStyle w:val="Heading1"/>
        <w:spacing w:before="0" w:line="25" w:lineRule="atLeast"/>
        <w:rPr>
          <w:rFonts w:asciiTheme="minorHAnsi" w:hAnsiTheme="minorHAnsi" w:cs="Arial"/>
          <w:b w:val="0"/>
          <w:bCs w:val="0"/>
          <w:color w:val="505050"/>
          <w:sz w:val="22"/>
          <w:szCs w:val="22"/>
        </w:rPr>
      </w:pPr>
      <w:proofErr w:type="gramStart"/>
      <w:r w:rsidRPr="009F2153">
        <w:rPr>
          <w:rFonts w:asciiTheme="minorHAnsi" w:hAnsiTheme="minorHAnsi"/>
          <w:b w:val="0"/>
          <w:color w:val="333333"/>
          <w:sz w:val="22"/>
          <w:szCs w:val="22"/>
          <w:shd w:val="clear" w:color="auto" w:fill="FCFCFC"/>
        </w:rPr>
        <w:t>Longo</w:t>
      </w:r>
      <w:r w:rsidR="009F2153" w:rsidRPr="009F2153">
        <w:rPr>
          <w:rFonts w:asciiTheme="minorHAnsi" w:hAnsiTheme="minorHAnsi"/>
          <w:b w:val="0"/>
          <w:color w:val="333333"/>
          <w:sz w:val="22"/>
          <w:szCs w:val="22"/>
          <w:shd w:val="clear" w:color="auto" w:fill="FCFCFC"/>
        </w:rPr>
        <w:t xml:space="preserve">, Robert, and Khalid </w:t>
      </w:r>
      <w:proofErr w:type="spellStart"/>
      <w:r w:rsidR="009F2153" w:rsidRPr="009F2153">
        <w:rPr>
          <w:rFonts w:asciiTheme="minorHAnsi" w:hAnsiTheme="minorHAnsi"/>
          <w:b w:val="0"/>
          <w:color w:val="333333"/>
          <w:sz w:val="22"/>
          <w:szCs w:val="22"/>
          <w:shd w:val="clear" w:color="auto" w:fill="FCFCFC"/>
        </w:rPr>
        <w:t>Sekkat</w:t>
      </w:r>
      <w:proofErr w:type="spellEnd"/>
      <w:r w:rsidR="009F2153" w:rsidRPr="009F2153">
        <w:rPr>
          <w:rFonts w:asciiTheme="minorHAnsi" w:hAnsiTheme="minorHAnsi"/>
          <w:b w:val="0"/>
          <w:color w:val="333333"/>
          <w:sz w:val="22"/>
          <w:szCs w:val="22"/>
          <w:shd w:val="clear" w:color="auto" w:fill="FCFCFC"/>
        </w:rPr>
        <w:t>, 2001, “</w:t>
      </w:r>
      <w:r w:rsidR="009F2153" w:rsidRPr="009F2153">
        <w:rPr>
          <w:rStyle w:val="title-text"/>
          <w:rFonts w:asciiTheme="minorHAnsi" w:hAnsiTheme="minorHAnsi" w:cs="Arial"/>
          <w:b w:val="0"/>
          <w:bCs w:val="0"/>
          <w:color w:val="505050"/>
          <w:sz w:val="22"/>
          <w:szCs w:val="22"/>
        </w:rPr>
        <w:t xml:space="preserve">Economic Obstacles to Expanding Intra-African Trade,” </w:t>
      </w:r>
      <w:r w:rsidR="009F2153" w:rsidRPr="009F2153">
        <w:rPr>
          <w:rStyle w:val="title-text"/>
          <w:rFonts w:asciiTheme="minorHAnsi" w:hAnsiTheme="minorHAnsi" w:cs="Arial"/>
          <w:b w:val="0"/>
          <w:bCs w:val="0"/>
          <w:i/>
          <w:color w:val="505050"/>
          <w:sz w:val="22"/>
          <w:szCs w:val="22"/>
        </w:rPr>
        <w:t>World Development</w:t>
      </w:r>
      <w:r w:rsidR="009F2153" w:rsidRPr="009F2153">
        <w:rPr>
          <w:rStyle w:val="title-text"/>
          <w:rFonts w:asciiTheme="minorHAnsi" w:hAnsiTheme="minorHAnsi" w:cs="Arial"/>
          <w:b w:val="0"/>
          <w:bCs w:val="0"/>
          <w:color w:val="505050"/>
          <w:sz w:val="22"/>
          <w:szCs w:val="22"/>
        </w:rPr>
        <w:t xml:space="preserve">, </w:t>
      </w:r>
      <w:hyperlink r:id="rId38" w:tooltip="Go to table of contents for this volume/issue" w:history="1">
        <w:r w:rsidR="009F2153" w:rsidRPr="009F2153">
          <w:rPr>
            <w:rStyle w:val="Hyperlink"/>
            <w:rFonts w:asciiTheme="minorHAnsi" w:hAnsiTheme="minorHAnsi" w:cs="Arial"/>
            <w:b w:val="0"/>
            <w:color w:val="auto"/>
            <w:sz w:val="22"/>
            <w:szCs w:val="22"/>
          </w:rPr>
          <w:t>Volume 32, Issue 8</w:t>
        </w:r>
      </w:hyperlink>
      <w:r w:rsidR="009F2153" w:rsidRPr="009F2153">
        <w:rPr>
          <w:rFonts w:asciiTheme="minorHAnsi" w:hAnsiTheme="minorHAnsi" w:cs="Arial"/>
          <w:b w:val="0"/>
          <w:color w:val="auto"/>
          <w:sz w:val="22"/>
          <w:szCs w:val="22"/>
        </w:rPr>
        <w:t>,</w:t>
      </w:r>
      <w:r w:rsidR="009F2153" w:rsidRPr="009F2153">
        <w:rPr>
          <w:rFonts w:asciiTheme="minorHAnsi" w:hAnsiTheme="minorHAnsi" w:cs="Arial"/>
          <w:b w:val="0"/>
          <w:color w:val="505050"/>
          <w:sz w:val="22"/>
          <w:szCs w:val="22"/>
        </w:rPr>
        <w:t> August</w:t>
      </w:r>
      <w:r w:rsidR="004407B7">
        <w:rPr>
          <w:rFonts w:asciiTheme="minorHAnsi" w:hAnsiTheme="minorHAnsi" w:cs="Arial"/>
          <w:b w:val="0"/>
          <w:color w:val="505050"/>
          <w:sz w:val="22"/>
          <w:szCs w:val="22"/>
        </w:rPr>
        <w:t xml:space="preserve">, </w:t>
      </w:r>
      <w:r w:rsidR="009F2153" w:rsidRPr="009F2153">
        <w:rPr>
          <w:rFonts w:asciiTheme="minorHAnsi" w:hAnsiTheme="minorHAnsi" w:cs="Arial"/>
          <w:b w:val="0"/>
          <w:color w:val="505050"/>
          <w:sz w:val="22"/>
          <w:szCs w:val="22"/>
        </w:rPr>
        <w:t>1309-132</w:t>
      </w:r>
      <w:r w:rsidR="004407B7">
        <w:rPr>
          <w:rFonts w:asciiTheme="minorHAnsi" w:hAnsiTheme="minorHAnsi" w:cs="Arial"/>
          <w:b w:val="0"/>
          <w:color w:val="505050"/>
          <w:sz w:val="22"/>
          <w:szCs w:val="22"/>
        </w:rPr>
        <w:t>1.</w:t>
      </w:r>
      <w:proofErr w:type="gramEnd"/>
    </w:p>
    <w:p w:rsidR="001E45A3" w:rsidRDefault="009F2153" w:rsidP="0086332B">
      <w:pPr>
        <w:tabs>
          <w:tab w:val="left" w:pos="-1440"/>
        </w:tabs>
        <w:spacing w:line="264" w:lineRule="auto"/>
        <w:rPr>
          <w:color w:val="333333"/>
          <w:shd w:val="clear" w:color="auto" w:fill="FCFCFC"/>
        </w:rPr>
      </w:pPr>
      <w:r>
        <w:rPr>
          <w:rFonts w:ascii="Arial" w:hAnsi="Arial" w:cs="Arial"/>
          <w:color w:val="505050"/>
          <w:sz w:val="20"/>
          <w:szCs w:val="20"/>
        </w:rPr>
        <w:br/>
      </w:r>
      <w:r w:rsidR="001E45A3">
        <w:t>Lopes</w:t>
      </w:r>
      <w:r w:rsidR="00622E22">
        <w:rPr>
          <w:color w:val="333333"/>
          <w:shd w:val="clear" w:color="auto" w:fill="FCFCFC"/>
        </w:rPr>
        <w:t>, Carlos, 2016, “</w:t>
      </w:r>
      <w:proofErr w:type="gramStart"/>
      <w:r w:rsidR="00622E22">
        <w:rPr>
          <w:color w:val="333333"/>
          <w:shd w:val="clear" w:color="auto" w:fill="FCFCFC"/>
        </w:rPr>
        <w:t>Regional  integration</w:t>
      </w:r>
      <w:proofErr w:type="gramEnd"/>
      <w:r w:rsidR="00622E22">
        <w:rPr>
          <w:color w:val="333333"/>
          <w:shd w:val="clear" w:color="auto" w:fill="FCFCFC"/>
        </w:rPr>
        <w:t xml:space="preserve"> and monetary unions in Africa,”  </w:t>
      </w:r>
      <w:r w:rsidR="00622E22" w:rsidRPr="00622E22">
        <w:rPr>
          <w:i/>
          <w:color w:val="333333"/>
          <w:shd w:val="clear" w:color="auto" w:fill="FCFCFC"/>
        </w:rPr>
        <w:t>Africa Cheetah Run</w:t>
      </w:r>
      <w:r w:rsidR="00622E22">
        <w:rPr>
          <w:color w:val="333333"/>
          <w:shd w:val="clear" w:color="auto" w:fill="FCFCFC"/>
        </w:rPr>
        <w:t xml:space="preserve"> [the former executive secretary’s  blog], UNECA, 21 March.  </w:t>
      </w:r>
    </w:p>
    <w:p w:rsidR="00181F8B" w:rsidRPr="00760817"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r w:rsidRPr="00760817">
        <w:rPr>
          <w:rFonts w:asciiTheme="minorHAnsi" w:hAnsiTheme="minorHAnsi" w:cs="Arial"/>
          <w:b w:val="0"/>
          <w:color w:val="1C1D1E"/>
          <w:sz w:val="22"/>
          <w:szCs w:val="22"/>
          <w:shd w:val="clear" w:color="auto" w:fill="FFFFFF"/>
        </w:rPr>
        <w:t>Masson, P</w:t>
      </w:r>
      <w:r>
        <w:rPr>
          <w:rFonts w:asciiTheme="minorHAnsi" w:hAnsiTheme="minorHAnsi" w:cs="Arial"/>
          <w:b w:val="0"/>
          <w:color w:val="1C1D1E"/>
          <w:sz w:val="22"/>
          <w:szCs w:val="22"/>
          <w:shd w:val="clear" w:color="auto" w:fill="FFFFFF"/>
        </w:rPr>
        <w:t xml:space="preserve">aul, </w:t>
      </w:r>
      <w:r w:rsidRPr="00760817">
        <w:rPr>
          <w:rStyle w:val="pubyear"/>
          <w:rFonts w:asciiTheme="minorHAnsi" w:hAnsiTheme="minorHAnsi" w:cs="Arial"/>
          <w:b w:val="0"/>
          <w:color w:val="1C1D1E"/>
          <w:sz w:val="22"/>
          <w:szCs w:val="22"/>
          <w:shd w:val="clear" w:color="auto" w:fill="FFFFFF"/>
        </w:rPr>
        <w:t>2008</w:t>
      </w:r>
      <w:r>
        <w:rPr>
          <w:rStyle w:val="pubyear"/>
          <w:rFonts w:asciiTheme="minorHAnsi" w:hAnsiTheme="minorHAnsi" w:cs="Arial"/>
          <w:b w:val="0"/>
          <w:color w:val="1C1D1E"/>
          <w:sz w:val="22"/>
          <w:szCs w:val="22"/>
          <w:shd w:val="clear" w:color="auto" w:fill="FFFFFF"/>
        </w:rPr>
        <w:t>,</w:t>
      </w:r>
      <w:r w:rsidRPr="00760817">
        <w:rPr>
          <w:rFonts w:asciiTheme="minorHAnsi" w:hAnsiTheme="minorHAnsi" w:cs="Arial"/>
          <w:b w:val="0"/>
          <w:color w:val="1C1D1E"/>
          <w:sz w:val="22"/>
          <w:szCs w:val="22"/>
          <w:shd w:val="clear" w:color="auto" w:fill="FFFFFF"/>
        </w:rPr>
        <w:t> </w:t>
      </w:r>
      <w:r>
        <w:rPr>
          <w:rFonts w:asciiTheme="minorHAnsi" w:hAnsiTheme="minorHAnsi" w:cs="Arial"/>
          <w:b w:val="0"/>
          <w:color w:val="1C1D1E"/>
          <w:sz w:val="22"/>
          <w:szCs w:val="22"/>
          <w:shd w:val="clear" w:color="auto" w:fill="FFFFFF"/>
        </w:rPr>
        <w:t>“</w:t>
      </w:r>
      <w:r w:rsidRPr="00760817">
        <w:rPr>
          <w:rStyle w:val="articletitle"/>
          <w:rFonts w:asciiTheme="minorHAnsi" w:hAnsiTheme="minorHAnsi" w:cs="Arial"/>
          <w:b w:val="0"/>
          <w:color w:val="1C1D1E"/>
          <w:sz w:val="22"/>
          <w:szCs w:val="22"/>
          <w:shd w:val="clear" w:color="auto" w:fill="FFFFFF"/>
        </w:rPr>
        <w:t>Currency unions in Africa: is the trade effect substantial enough to justify their formation?</w:t>
      </w:r>
      <w:r>
        <w:rPr>
          <w:rStyle w:val="articletitle"/>
          <w:rFonts w:asciiTheme="minorHAnsi" w:hAnsiTheme="minorHAnsi" w:cs="Arial"/>
          <w:b w:val="0"/>
          <w:color w:val="1C1D1E"/>
          <w:sz w:val="22"/>
          <w:szCs w:val="22"/>
          <w:shd w:val="clear" w:color="auto" w:fill="FFFFFF"/>
        </w:rPr>
        <w:t>”</w:t>
      </w:r>
      <w:r w:rsidRPr="00760817">
        <w:rPr>
          <w:rFonts w:asciiTheme="minorHAnsi" w:hAnsiTheme="minorHAnsi" w:cs="Arial"/>
          <w:b w:val="0"/>
          <w:color w:val="1C1D1E"/>
          <w:sz w:val="22"/>
          <w:szCs w:val="22"/>
          <w:shd w:val="clear" w:color="auto" w:fill="FFFFFF"/>
        </w:rPr>
        <w:t> </w:t>
      </w:r>
      <w:r w:rsidRPr="00760817">
        <w:rPr>
          <w:rFonts w:asciiTheme="minorHAnsi" w:hAnsiTheme="minorHAnsi" w:cs="Arial"/>
          <w:b w:val="0"/>
          <w:i/>
          <w:iCs/>
          <w:color w:val="1C1D1E"/>
          <w:sz w:val="22"/>
          <w:szCs w:val="22"/>
          <w:shd w:val="clear" w:color="auto" w:fill="FFFFFF"/>
        </w:rPr>
        <w:t>The World Economy</w:t>
      </w:r>
      <w:r w:rsidRPr="00760817">
        <w:rPr>
          <w:rFonts w:asciiTheme="minorHAnsi" w:hAnsiTheme="minorHAnsi" w:cs="Arial"/>
          <w:b w:val="0"/>
          <w:color w:val="1C1D1E"/>
          <w:sz w:val="22"/>
          <w:szCs w:val="22"/>
          <w:shd w:val="clear" w:color="auto" w:fill="FFFFFF"/>
        </w:rPr>
        <w:t> </w:t>
      </w:r>
      <w:r w:rsidRPr="00760817">
        <w:rPr>
          <w:rStyle w:val="vol"/>
          <w:rFonts w:asciiTheme="minorHAnsi" w:hAnsiTheme="minorHAnsi" w:cs="Arial"/>
          <w:b w:val="0"/>
          <w:bCs w:val="0"/>
          <w:color w:val="1C1D1E"/>
          <w:sz w:val="22"/>
          <w:szCs w:val="22"/>
          <w:shd w:val="clear" w:color="auto" w:fill="FFFFFF"/>
        </w:rPr>
        <w:t>31</w:t>
      </w:r>
      <w:r w:rsidRPr="00760817">
        <w:rPr>
          <w:rFonts w:asciiTheme="minorHAnsi" w:hAnsiTheme="minorHAnsi" w:cs="Arial"/>
          <w:b w:val="0"/>
          <w:color w:val="1C1D1E"/>
          <w:sz w:val="22"/>
          <w:szCs w:val="22"/>
          <w:shd w:val="clear" w:color="auto" w:fill="FFFFFF"/>
        </w:rPr>
        <w:t>(4): 533–547.</w:t>
      </w:r>
    </w:p>
    <w:p w:rsidR="00181F8B" w:rsidRPr="00760817"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p>
    <w:p w:rsidR="00181F8B" w:rsidRPr="00760817"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proofErr w:type="gramStart"/>
      <w:r w:rsidRPr="00760817">
        <w:rPr>
          <w:rFonts w:asciiTheme="minorHAnsi" w:hAnsiTheme="minorHAnsi" w:cs="Arial"/>
          <w:b w:val="0"/>
          <w:color w:val="1C1D1E"/>
          <w:sz w:val="22"/>
          <w:szCs w:val="22"/>
          <w:shd w:val="clear" w:color="auto" w:fill="FFFFFF"/>
        </w:rPr>
        <w:t>Masson, P</w:t>
      </w:r>
      <w:r w:rsidR="007F3C43">
        <w:rPr>
          <w:rFonts w:asciiTheme="minorHAnsi" w:hAnsiTheme="minorHAnsi" w:cs="Arial"/>
          <w:b w:val="0"/>
          <w:color w:val="1C1D1E"/>
          <w:sz w:val="22"/>
          <w:szCs w:val="22"/>
          <w:shd w:val="clear" w:color="auto" w:fill="FFFFFF"/>
        </w:rPr>
        <w:t>aul,</w:t>
      </w:r>
      <w:r w:rsidRPr="00760817">
        <w:rPr>
          <w:rFonts w:asciiTheme="minorHAnsi" w:hAnsiTheme="minorHAnsi" w:cs="Arial"/>
          <w:b w:val="0"/>
          <w:color w:val="1C1D1E"/>
          <w:sz w:val="22"/>
          <w:szCs w:val="22"/>
          <w:shd w:val="clear" w:color="auto" w:fill="FFFFFF"/>
        </w:rPr>
        <w:t xml:space="preserve"> and </w:t>
      </w:r>
      <w:r>
        <w:rPr>
          <w:rFonts w:asciiTheme="minorHAnsi" w:hAnsiTheme="minorHAnsi" w:cs="Arial"/>
          <w:b w:val="0"/>
          <w:color w:val="1C1D1E"/>
          <w:sz w:val="22"/>
          <w:szCs w:val="22"/>
          <w:shd w:val="clear" w:color="auto" w:fill="FFFFFF"/>
        </w:rPr>
        <w:t>C</w:t>
      </w:r>
      <w:r w:rsidR="007F3C43">
        <w:rPr>
          <w:rFonts w:asciiTheme="minorHAnsi" w:hAnsiTheme="minorHAnsi" w:cs="Arial"/>
          <w:b w:val="0"/>
          <w:color w:val="1C1D1E"/>
          <w:sz w:val="22"/>
          <w:szCs w:val="22"/>
          <w:shd w:val="clear" w:color="auto" w:fill="FFFFFF"/>
        </w:rPr>
        <w:t>atherine</w:t>
      </w:r>
      <w:r>
        <w:rPr>
          <w:rFonts w:asciiTheme="minorHAnsi" w:hAnsiTheme="minorHAnsi" w:cs="Arial"/>
          <w:b w:val="0"/>
          <w:color w:val="1C1D1E"/>
          <w:sz w:val="22"/>
          <w:szCs w:val="22"/>
          <w:shd w:val="clear" w:color="auto" w:fill="FFFFFF"/>
        </w:rPr>
        <w:t xml:space="preserve"> </w:t>
      </w:r>
      <w:proofErr w:type="spellStart"/>
      <w:r>
        <w:rPr>
          <w:rFonts w:asciiTheme="minorHAnsi" w:hAnsiTheme="minorHAnsi" w:cs="Arial"/>
          <w:b w:val="0"/>
          <w:color w:val="1C1D1E"/>
          <w:sz w:val="22"/>
          <w:szCs w:val="22"/>
          <w:shd w:val="clear" w:color="auto" w:fill="FFFFFF"/>
        </w:rPr>
        <w:t>Pattillo</w:t>
      </w:r>
      <w:proofErr w:type="spellEnd"/>
      <w:r>
        <w:rPr>
          <w:rFonts w:asciiTheme="minorHAnsi" w:hAnsiTheme="minorHAnsi" w:cs="Arial"/>
          <w:b w:val="0"/>
          <w:color w:val="1C1D1E"/>
          <w:sz w:val="22"/>
          <w:szCs w:val="22"/>
          <w:shd w:val="clear" w:color="auto" w:fill="FFFFFF"/>
        </w:rPr>
        <w:t xml:space="preserve">, </w:t>
      </w:r>
      <w:r w:rsidRPr="00760817">
        <w:rPr>
          <w:rStyle w:val="pubyear"/>
          <w:rFonts w:asciiTheme="minorHAnsi" w:hAnsiTheme="minorHAnsi" w:cs="Arial"/>
          <w:b w:val="0"/>
          <w:color w:val="1C1D1E"/>
          <w:sz w:val="22"/>
          <w:szCs w:val="22"/>
          <w:shd w:val="clear" w:color="auto" w:fill="FFFFFF"/>
        </w:rPr>
        <w:t>2004</w:t>
      </w:r>
      <w:r>
        <w:rPr>
          <w:rStyle w:val="pubyear"/>
          <w:rFonts w:asciiTheme="minorHAnsi" w:hAnsiTheme="minorHAnsi" w:cs="Arial"/>
          <w:b w:val="0"/>
          <w:color w:val="1C1D1E"/>
          <w:sz w:val="22"/>
          <w:szCs w:val="22"/>
          <w:shd w:val="clear" w:color="auto" w:fill="FFFFFF"/>
        </w:rPr>
        <w:t>, “</w:t>
      </w:r>
      <w:r w:rsidRPr="00760817">
        <w:rPr>
          <w:rStyle w:val="articletitle"/>
          <w:rFonts w:asciiTheme="minorHAnsi" w:hAnsiTheme="minorHAnsi" w:cs="Arial"/>
          <w:b w:val="0"/>
          <w:color w:val="1C1D1E"/>
          <w:sz w:val="22"/>
          <w:szCs w:val="22"/>
          <w:shd w:val="clear" w:color="auto" w:fill="FFFFFF"/>
        </w:rPr>
        <w:t>A single currency for Africa?</w:t>
      </w:r>
      <w:r>
        <w:rPr>
          <w:rStyle w:val="articletitle"/>
          <w:rFonts w:asciiTheme="minorHAnsi" w:hAnsiTheme="minorHAnsi" w:cs="Arial"/>
          <w:b w:val="0"/>
          <w:color w:val="1C1D1E"/>
          <w:sz w:val="22"/>
          <w:szCs w:val="22"/>
          <w:shd w:val="clear" w:color="auto" w:fill="FFFFFF"/>
        </w:rPr>
        <w:t>”</w:t>
      </w:r>
      <w:proofErr w:type="gramEnd"/>
      <w:r w:rsidRPr="00760817">
        <w:rPr>
          <w:rFonts w:asciiTheme="minorHAnsi" w:hAnsiTheme="minorHAnsi" w:cs="Arial"/>
          <w:b w:val="0"/>
          <w:color w:val="1C1D1E"/>
          <w:sz w:val="22"/>
          <w:szCs w:val="22"/>
          <w:shd w:val="clear" w:color="auto" w:fill="FFFFFF"/>
        </w:rPr>
        <w:t> </w:t>
      </w:r>
      <w:r w:rsidRPr="00760817">
        <w:rPr>
          <w:rFonts w:asciiTheme="minorHAnsi" w:hAnsiTheme="minorHAnsi" w:cs="Arial"/>
          <w:b w:val="0"/>
          <w:i/>
          <w:iCs/>
          <w:color w:val="1C1D1E"/>
          <w:sz w:val="22"/>
          <w:szCs w:val="22"/>
          <w:shd w:val="clear" w:color="auto" w:fill="FFFFFF"/>
        </w:rPr>
        <w:t>Finance and Development</w:t>
      </w:r>
      <w:r w:rsidRPr="00760817">
        <w:rPr>
          <w:rFonts w:asciiTheme="minorHAnsi" w:hAnsiTheme="minorHAnsi" w:cs="Arial"/>
          <w:b w:val="0"/>
          <w:color w:val="1C1D1E"/>
          <w:sz w:val="22"/>
          <w:szCs w:val="22"/>
          <w:shd w:val="clear" w:color="auto" w:fill="FFFFFF"/>
        </w:rPr>
        <w:t> </w:t>
      </w:r>
      <w:r w:rsidRPr="00760817">
        <w:rPr>
          <w:rStyle w:val="vol"/>
          <w:rFonts w:asciiTheme="minorHAnsi" w:hAnsiTheme="minorHAnsi" w:cs="Arial"/>
          <w:b w:val="0"/>
          <w:bCs w:val="0"/>
          <w:color w:val="1C1D1E"/>
          <w:sz w:val="22"/>
          <w:szCs w:val="22"/>
          <w:shd w:val="clear" w:color="auto" w:fill="FFFFFF"/>
        </w:rPr>
        <w:t>41</w:t>
      </w:r>
      <w:r w:rsidRPr="00760817">
        <w:rPr>
          <w:rFonts w:asciiTheme="minorHAnsi" w:hAnsiTheme="minorHAnsi" w:cs="Arial"/>
          <w:b w:val="0"/>
          <w:color w:val="1C1D1E"/>
          <w:sz w:val="22"/>
          <w:szCs w:val="22"/>
          <w:shd w:val="clear" w:color="auto" w:fill="FFFFFF"/>
        </w:rPr>
        <w:t>(4): 9–15</w:t>
      </w:r>
    </w:p>
    <w:p w:rsidR="00181F8B" w:rsidRPr="00760817"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p>
    <w:p w:rsidR="00181F8B" w:rsidRPr="00181F8B" w:rsidRDefault="00181F8B" w:rsidP="00181F8B">
      <w:pPr>
        <w:pStyle w:val="Heading1"/>
        <w:shd w:val="clear" w:color="auto" w:fill="FCFCFC"/>
        <w:spacing w:before="0"/>
        <w:rPr>
          <w:rFonts w:asciiTheme="minorHAnsi" w:hAnsiTheme="minorHAnsi" w:cs="Arial"/>
          <w:b w:val="0"/>
          <w:color w:val="1C1D1E"/>
          <w:sz w:val="22"/>
          <w:szCs w:val="22"/>
          <w:shd w:val="clear" w:color="auto" w:fill="FFFFFF"/>
        </w:rPr>
      </w:pPr>
      <w:r>
        <w:rPr>
          <w:rFonts w:asciiTheme="minorHAnsi" w:hAnsiTheme="minorHAnsi" w:cs="Arial"/>
          <w:b w:val="0"/>
          <w:color w:val="1C1D1E"/>
          <w:sz w:val="22"/>
          <w:szCs w:val="22"/>
          <w:shd w:val="clear" w:color="auto" w:fill="FFFFFF"/>
        </w:rPr>
        <w:t xml:space="preserve">Masson, P.R. and </w:t>
      </w:r>
      <w:proofErr w:type="spellStart"/>
      <w:r>
        <w:rPr>
          <w:rFonts w:asciiTheme="minorHAnsi" w:hAnsiTheme="minorHAnsi" w:cs="Arial"/>
          <w:b w:val="0"/>
          <w:color w:val="1C1D1E"/>
          <w:sz w:val="22"/>
          <w:szCs w:val="22"/>
          <w:shd w:val="clear" w:color="auto" w:fill="FFFFFF"/>
        </w:rPr>
        <w:t>Pattillo</w:t>
      </w:r>
      <w:proofErr w:type="spellEnd"/>
      <w:r>
        <w:rPr>
          <w:rFonts w:asciiTheme="minorHAnsi" w:hAnsiTheme="minorHAnsi" w:cs="Arial"/>
          <w:b w:val="0"/>
          <w:color w:val="1C1D1E"/>
          <w:sz w:val="22"/>
          <w:szCs w:val="22"/>
          <w:shd w:val="clear" w:color="auto" w:fill="FFFFFF"/>
        </w:rPr>
        <w:t>, C.</w:t>
      </w:r>
      <w:proofErr w:type="gramStart"/>
      <w:r>
        <w:rPr>
          <w:rFonts w:asciiTheme="minorHAnsi" w:hAnsiTheme="minorHAnsi" w:cs="Arial"/>
          <w:b w:val="0"/>
          <w:color w:val="1C1D1E"/>
          <w:sz w:val="22"/>
          <w:szCs w:val="22"/>
          <w:shd w:val="clear" w:color="auto" w:fill="FFFFFF"/>
        </w:rPr>
        <w:t xml:space="preserve">,  </w:t>
      </w:r>
      <w:r w:rsidRPr="00760817">
        <w:rPr>
          <w:rStyle w:val="pubyear"/>
          <w:rFonts w:asciiTheme="minorHAnsi" w:hAnsiTheme="minorHAnsi" w:cs="Arial"/>
          <w:b w:val="0"/>
          <w:color w:val="1C1D1E"/>
          <w:sz w:val="22"/>
          <w:szCs w:val="22"/>
          <w:shd w:val="clear" w:color="auto" w:fill="FFFFFF"/>
        </w:rPr>
        <w:t>2005</w:t>
      </w:r>
      <w:proofErr w:type="gramEnd"/>
      <w:r>
        <w:rPr>
          <w:rFonts w:asciiTheme="minorHAnsi" w:hAnsiTheme="minorHAnsi" w:cs="Arial"/>
          <w:b w:val="0"/>
          <w:color w:val="1C1D1E"/>
          <w:sz w:val="22"/>
          <w:szCs w:val="22"/>
          <w:shd w:val="clear" w:color="auto" w:fill="FFFFFF"/>
        </w:rPr>
        <w:t>,</w:t>
      </w:r>
      <w:r w:rsidRPr="00760817">
        <w:rPr>
          <w:rFonts w:asciiTheme="minorHAnsi" w:hAnsiTheme="minorHAnsi" w:cs="Arial"/>
          <w:b w:val="0"/>
          <w:color w:val="1C1D1E"/>
          <w:sz w:val="22"/>
          <w:szCs w:val="22"/>
          <w:shd w:val="clear" w:color="auto" w:fill="FFFFFF"/>
        </w:rPr>
        <w:t> </w:t>
      </w:r>
      <w:r w:rsidRPr="00181F8B">
        <w:rPr>
          <w:rStyle w:val="booktitle0"/>
          <w:rFonts w:asciiTheme="minorHAnsi" w:hAnsiTheme="minorHAnsi" w:cs="Arial"/>
          <w:b w:val="0"/>
          <w:i/>
          <w:color w:val="1C1D1E"/>
          <w:sz w:val="22"/>
          <w:szCs w:val="22"/>
          <w:shd w:val="clear" w:color="auto" w:fill="FFFFFF"/>
        </w:rPr>
        <w:t>The Monetary Geography of Africa</w:t>
      </w:r>
      <w:r>
        <w:rPr>
          <w:rFonts w:asciiTheme="minorHAnsi" w:hAnsiTheme="minorHAnsi" w:cs="Arial"/>
          <w:b w:val="0"/>
          <w:color w:val="1C1D1E"/>
          <w:sz w:val="22"/>
          <w:szCs w:val="22"/>
          <w:shd w:val="clear" w:color="auto" w:fill="FFFFFF"/>
        </w:rPr>
        <w:t xml:space="preserve"> (</w:t>
      </w:r>
      <w:r w:rsidRPr="00760817">
        <w:rPr>
          <w:rFonts w:asciiTheme="minorHAnsi" w:hAnsiTheme="minorHAnsi" w:cs="Arial"/>
          <w:b w:val="0"/>
          <w:color w:val="1C1D1E"/>
          <w:sz w:val="22"/>
          <w:szCs w:val="22"/>
          <w:shd w:val="clear" w:color="auto" w:fill="FFFFFF"/>
        </w:rPr>
        <w:t>Washington , DC : Brookings Institution Press</w:t>
      </w:r>
      <w:r>
        <w:rPr>
          <w:rFonts w:asciiTheme="minorHAnsi" w:hAnsiTheme="minorHAnsi" w:cs="Arial"/>
          <w:b w:val="0"/>
          <w:color w:val="1C1D1E"/>
          <w:sz w:val="22"/>
          <w:szCs w:val="22"/>
          <w:shd w:val="clear" w:color="auto" w:fill="FFFFFF"/>
        </w:rPr>
        <w:t>)</w:t>
      </w:r>
      <w:r w:rsidRPr="00760817">
        <w:rPr>
          <w:rFonts w:asciiTheme="minorHAnsi" w:hAnsiTheme="minorHAnsi" w:cs="Arial"/>
          <w:b w:val="0"/>
          <w:color w:val="1C1D1E"/>
          <w:sz w:val="22"/>
          <w:szCs w:val="22"/>
          <w:shd w:val="clear" w:color="auto" w:fill="FFFFFF"/>
        </w:rPr>
        <w:t>.</w:t>
      </w:r>
      <w:r>
        <w:rPr>
          <w:rFonts w:asciiTheme="minorHAnsi" w:hAnsiTheme="minorHAnsi" w:cs="Arial"/>
          <w:b w:val="0"/>
          <w:color w:val="1C1D1E"/>
          <w:sz w:val="22"/>
          <w:szCs w:val="22"/>
          <w:shd w:val="clear" w:color="auto" w:fill="FFFFFF"/>
        </w:rPr>
        <w:br/>
      </w:r>
    </w:p>
    <w:p w:rsidR="005913B9" w:rsidRDefault="005913B9" w:rsidP="005913B9">
      <w:pPr>
        <w:rPr>
          <w:rFonts w:cs="Arial"/>
          <w:color w:val="333333"/>
          <w:shd w:val="clear" w:color="auto" w:fill="FFFFFF"/>
        </w:rPr>
      </w:pPr>
      <w:proofErr w:type="spellStart"/>
      <w:proofErr w:type="gramStart"/>
      <w:r w:rsidRPr="005913B9">
        <w:rPr>
          <w:rFonts w:cs="Arial"/>
          <w:color w:val="333333"/>
          <w:shd w:val="clear" w:color="auto" w:fill="FFFFFF"/>
        </w:rPr>
        <w:t>McGettigan</w:t>
      </w:r>
      <w:proofErr w:type="spellEnd"/>
      <w:r w:rsidRPr="005913B9">
        <w:rPr>
          <w:rFonts w:cs="Arial"/>
          <w:color w:val="333333"/>
          <w:shd w:val="clear" w:color="auto" w:fill="FFFFFF"/>
        </w:rPr>
        <w:t xml:space="preserve">, </w:t>
      </w:r>
      <w:proofErr w:type="spellStart"/>
      <w:r w:rsidRPr="005913B9">
        <w:rPr>
          <w:rFonts w:cs="Arial"/>
          <w:color w:val="333333"/>
          <w:shd w:val="clear" w:color="auto" w:fill="FFFFFF"/>
        </w:rPr>
        <w:t>Donal</w:t>
      </w:r>
      <w:proofErr w:type="spellEnd"/>
      <w:r w:rsidRPr="005913B9">
        <w:rPr>
          <w:rFonts w:cs="Arial"/>
          <w:color w:val="333333"/>
          <w:shd w:val="clear" w:color="auto" w:fill="FFFFFF"/>
        </w:rPr>
        <w:t xml:space="preserve">, Kenji Moriyama, Jean Noah, </w:t>
      </w:r>
      <w:proofErr w:type="spellStart"/>
      <w:r w:rsidRPr="005913B9">
        <w:rPr>
          <w:rFonts w:cs="Arial"/>
          <w:color w:val="333333"/>
          <w:shd w:val="clear" w:color="auto" w:fill="FFFFFF"/>
        </w:rPr>
        <w:t>Ndela</w:t>
      </w:r>
      <w:proofErr w:type="spellEnd"/>
      <w:r w:rsidRPr="005913B9">
        <w:rPr>
          <w:rFonts w:cs="Arial"/>
          <w:color w:val="333333"/>
          <w:shd w:val="clear" w:color="auto" w:fill="FFFFFF"/>
        </w:rPr>
        <w:t xml:space="preserve"> </w:t>
      </w:r>
      <w:proofErr w:type="spellStart"/>
      <w:r w:rsidRPr="005913B9">
        <w:rPr>
          <w:rFonts w:cs="Arial"/>
          <w:color w:val="333333"/>
          <w:shd w:val="clear" w:color="auto" w:fill="FFFFFF"/>
        </w:rPr>
        <w:t>Ntsama</w:t>
      </w:r>
      <w:proofErr w:type="spellEnd"/>
      <w:r w:rsidRPr="005913B9">
        <w:rPr>
          <w:rFonts w:cs="Arial"/>
          <w:color w:val="333333"/>
          <w:shd w:val="clear" w:color="auto" w:fill="FFFFFF"/>
        </w:rPr>
        <w:t xml:space="preserve">, Francois </w:t>
      </w:r>
      <w:proofErr w:type="spellStart"/>
      <w:r w:rsidRPr="005913B9">
        <w:rPr>
          <w:rFonts w:cs="Arial"/>
          <w:color w:val="333333"/>
          <w:shd w:val="clear" w:color="auto" w:fill="FFFFFF"/>
        </w:rPr>
        <w:t>Painchaud</w:t>
      </w:r>
      <w:proofErr w:type="spellEnd"/>
      <w:r w:rsidRPr="005913B9">
        <w:rPr>
          <w:rFonts w:cs="Arial"/>
          <w:color w:val="333333"/>
          <w:shd w:val="clear" w:color="auto" w:fill="FFFFFF"/>
        </w:rPr>
        <w:t xml:space="preserve">, </w:t>
      </w:r>
      <w:proofErr w:type="spellStart"/>
      <w:r w:rsidRPr="005913B9">
        <w:rPr>
          <w:rFonts w:cs="Arial"/>
          <w:color w:val="333333"/>
          <w:shd w:val="clear" w:color="auto" w:fill="FFFFFF"/>
        </w:rPr>
        <w:t>Haonan</w:t>
      </w:r>
      <w:proofErr w:type="spellEnd"/>
      <w:r w:rsidRPr="005913B9">
        <w:rPr>
          <w:rFonts w:cs="Arial"/>
          <w:color w:val="333333"/>
          <w:shd w:val="clear" w:color="auto" w:fill="FFFFFF"/>
        </w:rPr>
        <w:t xml:space="preserve"> Qu, and Chad Steinberg, 2013.</w:t>
      </w:r>
      <w:proofErr w:type="gramEnd"/>
      <w:r w:rsidRPr="005913B9">
        <w:rPr>
          <w:rFonts w:cs="Arial"/>
          <w:color w:val="333333"/>
          <w:shd w:val="clear" w:color="auto" w:fill="FFFFFF"/>
        </w:rPr>
        <w:t xml:space="preserve"> </w:t>
      </w:r>
      <w:proofErr w:type="gramStart"/>
      <w:r w:rsidRPr="005913B9">
        <w:rPr>
          <w:rFonts w:cs="Arial"/>
          <w:shd w:val="clear" w:color="auto" w:fill="FFFFFF"/>
        </w:rPr>
        <w:t>"</w:t>
      </w:r>
      <w:hyperlink r:id="rId39" w:history="1">
        <w:r w:rsidRPr="005913B9">
          <w:rPr>
            <w:rStyle w:val="Hyperlink"/>
            <w:rFonts w:cs="Arial"/>
            <w:bCs/>
            <w:color w:val="auto"/>
            <w:sz w:val="22"/>
            <w:szCs w:val="22"/>
          </w:rPr>
          <w:t>Monetary Policy in Emerging Markets; Taming the Cycle</w:t>
        </w:r>
      </w:hyperlink>
      <w:r w:rsidRPr="005913B9">
        <w:rPr>
          <w:rFonts w:cs="Arial"/>
          <w:shd w:val="clear" w:color="auto" w:fill="FFFFFF"/>
        </w:rPr>
        <w:t>," </w:t>
      </w:r>
      <w:hyperlink r:id="rId40" w:history="1">
        <w:r w:rsidRPr="005913B9">
          <w:rPr>
            <w:rStyle w:val="Hyperlink"/>
            <w:rFonts w:cs="Arial"/>
            <w:color w:val="auto"/>
            <w:sz w:val="22"/>
            <w:szCs w:val="22"/>
          </w:rPr>
          <w:t>IMF Working Papers</w:t>
        </w:r>
      </w:hyperlink>
      <w:r w:rsidRPr="005913B9">
        <w:rPr>
          <w:rFonts w:cs="Arial"/>
          <w:color w:val="333333"/>
          <w:shd w:val="clear" w:color="auto" w:fill="FFFFFF"/>
        </w:rPr>
        <w:t> 13/96, International Monetary Fund.</w:t>
      </w:r>
      <w:proofErr w:type="gramEnd"/>
    </w:p>
    <w:p w:rsidR="00DB5DD9" w:rsidRDefault="00DB5DD9" w:rsidP="00DB5DD9">
      <w:pPr>
        <w:spacing w:line="240" w:lineRule="auto"/>
        <w:jc w:val="both"/>
        <w:rPr>
          <w:spacing w:val="-3"/>
        </w:rPr>
      </w:pPr>
      <w:proofErr w:type="gramStart"/>
      <w:r w:rsidRPr="001C1A26">
        <w:rPr>
          <w:spacing w:val="-3"/>
        </w:rPr>
        <w:t xml:space="preserve">McKinnon, Ronald, 1963, “Optimum Currency Areas,” </w:t>
      </w:r>
      <w:r w:rsidRPr="001C1A26">
        <w:rPr>
          <w:i/>
          <w:iCs/>
          <w:spacing w:val="-3"/>
        </w:rPr>
        <w:t>American Economic Review,</w:t>
      </w:r>
      <w:r w:rsidRPr="001C1A26">
        <w:rPr>
          <w:spacing w:val="-3"/>
        </w:rPr>
        <w:t xml:space="preserve"> </w:t>
      </w:r>
      <w:r>
        <w:rPr>
          <w:spacing w:val="-3"/>
        </w:rPr>
        <w:t>53.</w:t>
      </w:r>
      <w:proofErr w:type="gramEnd"/>
      <w:r>
        <w:rPr>
          <w:spacing w:val="-3"/>
        </w:rPr>
        <w:t xml:space="preserve"> </w:t>
      </w:r>
      <w:r w:rsidRPr="001C1A26">
        <w:rPr>
          <w:spacing w:val="-3"/>
        </w:rPr>
        <w:t>Sept., pp. 717-24</w:t>
      </w:r>
      <w:r>
        <w:rPr>
          <w:spacing w:val="-3"/>
        </w:rPr>
        <w:t>.</w:t>
      </w:r>
    </w:p>
    <w:p w:rsidR="007F3C43" w:rsidRPr="007F3C43" w:rsidRDefault="007F3C43" w:rsidP="007F3C43">
      <w:pPr>
        <w:pStyle w:val="Heading1"/>
        <w:shd w:val="clear" w:color="auto" w:fill="FFFFFF"/>
        <w:spacing w:before="0" w:after="150"/>
        <w:rPr>
          <w:rFonts w:asciiTheme="minorHAnsi" w:hAnsiTheme="minorHAnsi"/>
          <w:b w:val="0"/>
          <w:bCs w:val="0"/>
          <w:color w:val="000000"/>
          <w:sz w:val="22"/>
          <w:szCs w:val="22"/>
        </w:rPr>
      </w:pPr>
      <w:r w:rsidRPr="007F3C43">
        <w:rPr>
          <w:rFonts w:asciiTheme="minorHAnsi" w:hAnsiTheme="minorHAnsi" w:cs="Arial"/>
          <w:b w:val="0"/>
          <w:color w:val="000000"/>
          <w:sz w:val="22"/>
          <w:szCs w:val="22"/>
        </w:rPr>
        <w:t xml:space="preserve">Porter, Eduardo, and Karl </w:t>
      </w:r>
      <w:proofErr w:type="spellStart"/>
      <w:r w:rsidRPr="007F3C43">
        <w:rPr>
          <w:rFonts w:asciiTheme="minorHAnsi" w:hAnsiTheme="minorHAnsi" w:cs="Arial"/>
          <w:b w:val="0"/>
          <w:color w:val="000000"/>
          <w:sz w:val="22"/>
          <w:szCs w:val="22"/>
        </w:rPr>
        <w:t>Russsell</w:t>
      </w:r>
      <w:proofErr w:type="spellEnd"/>
      <w:r w:rsidRPr="007F3C43">
        <w:rPr>
          <w:rFonts w:asciiTheme="minorHAnsi" w:hAnsiTheme="minorHAnsi" w:cs="Arial"/>
          <w:b w:val="0"/>
          <w:color w:val="000000"/>
          <w:sz w:val="22"/>
          <w:szCs w:val="22"/>
        </w:rPr>
        <w:t>, 2018,</w:t>
      </w:r>
      <w:r w:rsidRPr="007F3C43">
        <w:rPr>
          <w:rFonts w:asciiTheme="minorHAnsi" w:hAnsiTheme="minorHAnsi" w:cs="Arial"/>
          <w:color w:val="000000"/>
          <w:sz w:val="22"/>
          <w:szCs w:val="22"/>
        </w:rPr>
        <w:t xml:space="preserve"> </w:t>
      </w:r>
      <w:proofErr w:type="gramStart"/>
      <w:r w:rsidRPr="007F3C43">
        <w:rPr>
          <w:rFonts w:asciiTheme="minorHAnsi" w:hAnsiTheme="minorHAnsi" w:cs="Arial"/>
          <w:color w:val="000000"/>
          <w:sz w:val="22"/>
          <w:szCs w:val="22"/>
        </w:rPr>
        <w:t>“</w:t>
      </w:r>
      <w:r w:rsidRPr="007F3C43">
        <w:rPr>
          <w:rFonts w:asciiTheme="minorHAnsi" w:eastAsia="Times New Roman" w:hAnsiTheme="minorHAnsi" w:cs="Arial"/>
          <w:color w:val="000000"/>
          <w:sz w:val="22"/>
          <w:szCs w:val="22"/>
        </w:rPr>
        <w:t xml:space="preserve"> </w:t>
      </w:r>
      <w:r w:rsidRPr="007F3C43">
        <w:rPr>
          <w:rFonts w:asciiTheme="minorHAnsi" w:hAnsiTheme="minorHAnsi"/>
          <w:b w:val="0"/>
          <w:bCs w:val="0"/>
          <w:color w:val="000000"/>
          <w:sz w:val="22"/>
          <w:szCs w:val="22"/>
        </w:rPr>
        <w:t>Migrants</w:t>
      </w:r>
      <w:proofErr w:type="gramEnd"/>
      <w:r w:rsidRPr="007F3C43">
        <w:rPr>
          <w:rFonts w:asciiTheme="minorHAnsi" w:hAnsiTheme="minorHAnsi"/>
          <w:b w:val="0"/>
          <w:bCs w:val="0"/>
          <w:color w:val="000000"/>
          <w:sz w:val="22"/>
          <w:szCs w:val="22"/>
        </w:rPr>
        <w:t xml:space="preserve"> Are on the Rise Ar</w:t>
      </w:r>
      <w:r w:rsidR="00855F9F">
        <w:rPr>
          <w:rFonts w:asciiTheme="minorHAnsi" w:hAnsiTheme="minorHAnsi"/>
          <w:b w:val="0"/>
          <w:bCs w:val="0"/>
          <w:color w:val="000000"/>
          <w:sz w:val="22"/>
          <w:szCs w:val="22"/>
        </w:rPr>
        <w:t xml:space="preserve">ound </w:t>
      </w:r>
      <w:r w:rsidRPr="007F3C43">
        <w:rPr>
          <w:rFonts w:asciiTheme="minorHAnsi" w:hAnsiTheme="minorHAnsi"/>
          <w:b w:val="0"/>
          <w:bCs w:val="0"/>
          <w:color w:val="000000"/>
          <w:sz w:val="22"/>
          <w:szCs w:val="22"/>
        </w:rPr>
        <w:t xml:space="preserve">the World, and Myths About Them Are Shaping Attitudes,” </w:t>
      </w:r>
      <w:r w:rsidRPr="007F3C43">
        <w:rPr>
          <w:rFonts w:asciiTheme="minorHAnsi" w:hAnsiTheme="minorHAnsi"/>
          <w:b w:val="0"/>
          <w:bCs w:val="0"/>
          <w:i/>
          <w:color w:val="000000"/>
          <w:sz w:val="22"/>
          <w:szCs w:val="22"/>
        </w:rPr>
        <w:t>New York Times</w:t>
      </w:r>
      <w:r w:rsidRPr="007F3C43">
        <w:rPr>
          <w:rFonts w:asciiTheme="minorHAnsi" w:hAnsiTheme="minorHAnsi"/>
          <w:b w:val="0"/>
          <w:bCs w:val="0"/>
          <w:color w:val="000000"/>
          <w:sz w:val="22"/>
          <w:szCs w:val="22"/>
        </w:rPr>
        <w:t xml:space="preserve">, </w:t>
      </w:r>
      <w:r w:rsidRPr="007F3C43">
        <w:rPr>
          <w:rFonts w:asciiTheme="minorHAnsi" w:hAnsiTheme="minorHAnsi"/>
          <w:b w:val="0"/>
          <w:bCs w:val="0"/>
          <w:color w:val="000000"/>
          <w:sz w:val="22"/>
          <w:szCs w:val="22"/>
        </w:rPr>
        <w:t>June 20</w:t>
      </w:r>
      <w:r w:rsidR="00855F9F">
        <w:rPr>
          <w:rFonts w:asciiTheme="minorHAnsi" w:hAnsiTheme="minorHAnsi"/>
          <w:b w:val="0"/>
          <w:bCs w:val="0"/>
          <w:color w:val="000000"/>
          <w:sz w:val="22"/>
          <w:szCs w:val="22"/>
        </w:rPr>
        <w:t xml:space="preserve">, </w:t>
      </w:r>
      <w:r w:rsidR="00855F9F" w:rsidRPr="00855F9F">
        <w:rPr>
          <w:rFonts w:asciiTheme="minorHAnsi" w:hAnsiTheme="minorHAnsi"/>
          <w:b w:val="0"/>
          <w:bCs w:val="0"/>
          <w:color w:val="000000"/>
          <w:sz w:val="22"/>
          <w:szCs w:val="22"/>
        </w:rPr>
        <w:t>www.nytimes.com/interactive/2018/06/20/business/economy/immigration-economic-impact.html</w:t>
      </w:r>
      <w:r w:rsidR="00855F9F">
        <w:rPr>
          <w:rFonts w:asciiTheme="minorHAnsi" w:hAnsiTheme="minorHAnsi"/>
          <w:b w:val="0"/>
          <w:bCs w:val="0"/>
          <w:color w:val="000000"/>
          <w:sz w:val="22"/>
          <w:szCs w:val="22"/>
        </w:rPr>
        <w:t>.</w:t>
      </w:r>
    </w:p>
    <w:p w:rsidR="00376975" w:rsidRDefault="000D468E" w:rsidP="000D468E">
      <w:pPr>
        <w:rPr>
          <w:rFonts w:ascii="Tahoma" w:hAnsi="Tahoma" w:cs="Tahoma"/>
          <w:color w:val="000000"/>
          <w:sz w:val="20"/>
          <w:szCs w:val="20"/>
        </w:rPr>
      </w:pPr>
      <w:r w:rsidRPr="0025290A">
        <w:t>Rodrik, Dani, 199</w:t>
      </w:r>
      <w:r w:rsidR="00376975">
        <w:t>9</w:t>
      </w:r>
      <w:r w:rsidRPr="0025290A">
        <w:t>, “Trade Policy and Economic Performance in Sub-Saharan Africa,</w:t>
      </w:r>
      <w:proofErr w:type="gramStart"/>
      <w:r w:rsidRPr="0025290A">
        <w:t>”</w:t>
      </w:r>
      <w:r w:rsidRPr="0025290A">
        <w:rPr>
          <w:i/>
          <w:iCs/>
        </w:rPr>
        <w:t xml:space="preserve">  </w:t>
      </w:r>
      <w:r w:rsidR="00376975">
        <w:rPr>
          <w:rFonts w:ascii="Tahoma" w:hAnsi="Tahoma" w:cs="Tahoma"/>
          <w:color w:val="000000"/>
          <w:sz w:val="20"/>
          <w:szCs w:val="20"/>
        </w:rPr>
        <w:t>Expert</w:t>
      </w:r>
      <w:proofErr w:type="gramEnd"/>
      <w:r w:rsidR="00376975">
        <w:rPr>
          <w:rFonts w:ascii="Tahoma" w:hAnsi="Tahoma" w:cs="Tahoma"/>
          <w:color w:val="000000"/>
          <w:sz w:val="20"/>
          <w:szCs w:val="20"/>
        </w:rPr>
        <w:t xml:space="preserve"> Group on Development Issues,</w:t>
      </w:r>
      <w:r w:rsidR="00376975" w:rsidRPr="0025290A">
        <w:rPr>
          <w:i/>
          <w:iCs/>
        </w:rPr>
        <w:t xml:space="preserve"> </w:t>
      </w:r>
      <w:r w:rsidRPr="0025290A">
        <w:rPr>
          <w:i/>
          <w:iCs/>
        </w:rPr>
        <w:t>Swedi</w:t>
      </w:r>
      <w:r w:rsidR="00376975">
        <w:rPr>
          <w:i/>
          <w:iCs/>
        </w:rPr>
        <w:t>sh Ministry for Foreign Affairs</w:t>
      </w:r>
      <w:r w:rsidR="00376975">
        <w:rPr>
          <w:rFonts w:ascii="Tahoma" w:hAnsi="Tahoma" w:cs="Tahoma"/>
          <w:color w:val="000000"/>
          <w:sz w:val="20"/>
          <w:szCs w:val="20"/>
        </w:rPr>
        <w:t xml:space="preserve"> (Almqvist and </w:t>
      </w:r>
      <w:proofErr w:type="spellStart"/>
      <w:r w:rsidR="00376975">
        <w:rPr>
          <w:rFonts w:ascii="Tahoma" w:hAnsi="Tahoma" w:cs="Tahoma"/>
          <w:color w:val="000000"/>
          <w:sz w:val="20"/>
          <w:szCs w:val="20"/>
        </w:rPr>
        <w:t>Wiksell</w:t>
      </w:r>
      <w:proofErr w:type="spellEnd"/>
      <w:r w:rsidR="00376975">
        <w:rPr>
          <w:rFonts w:ascii="Tahoma" w:hAnsi="Tahoma" w:cs="Tahoma"/>
          <w:color w:val="000000"/>
          <w:sz w:val="20"/>
          <w:szCs w:val="20"/>
        </w:rPr>
        <w:t xml:space="preserve"> International: Stockholm).</w:t>
      </w:r>
    </w:p>
    <w:p w:rsidR="00B35B0E" w:rsidRDefault="000D468E">
      <w:r w:rsidRPr="0025290A">
        <w:t xml:space="preserve">Rodrik, Dani, Arvind Subramanian, and Francesco Trebbi, 2004, “Institutions Rule: The Primacy of Institutions over Geography and Integration in Economic Development,” </w:t>
      </w:r>
      <w:r w:rsidRPr="0025290A">
        <w:rPr>
          <w:i/>
          <w:iCs/>
        </w:rPr>
        <w:t>Journal of Economic Growth</w:t>
      </w:r>
      <w:r w:rsidR="00376975">
        <w:t xml:space="preserve"> 9 no. 2, 131-65.</w:t>
      </w:r>
    </w:p>
    <w:p w:rsidR="00BD5A31" w:rsidRDefault="004504A0" w:rsidP="004504A0">
      <w:pPr>
        <w:pStyle w:val="BodyTextIndent2"/>
        <w:tabs>
          <w:tab w:val="left" w:pos="3240"/>
        </w:tabs>
        <w:spacing w:line="240" w:lineRule="auto"/>
        <w:ind w:left="0"/>
        <w:rPr>
          <w:rFonts w:asciiTheme="minorHAnsi" w:hAnsiTheme="minorHAnsi"/>
          <w:b/>
          <w:sz w:val="22"/>
          <w:szCs w:val="22"/>
        </w:rPr>
      </w:pPr>
      <w:r w:rsidRPr="00584D3B">
        <w:rPr>
          <w:rFonts w:asciiTheme="minorHAnsi" w:hAnsiTheme="minorHAnsi"/>
          <w:sz w:val="22"/>
          <w:szCs w:val="22"/>
        </w:rPr>
        <w:lastRenderedPageBreak/>
        <w:t xml:space="preserve">Rose, Andrew, 2000, “One Money, One Market: Estimating </w:t>
      </w:r>
      <w:proofErr w:type="gramStart"/>
      <w:r w:rsidRPr="00584D3B">
        <w:rPr>
          <w:rFonts w:asciiTheme="minorHAnsi" w:hAnsiTheme="minorHAnsi"/>
          <w:sz w:val="22"/>
          <w:szCs w:val="22"/>
        </w:rPr>
        <w:t>The</w:t>
      </w:r>
      <w:proofErr w:type="gramEnd"/>
      <w:r w:rsidRPr="00584D3B">
        <w:rPr>
          <w:rFonts w:asciiTheme="minorHAnsi" w:hAnsiTheme="minorHAnsi"/>
          <w:sz w:val="22"/>
          <w:szCs w:val="22"/>
        </w:rPr>
        <w:t xml:space="preserve"> Effect of Common Currencies on Trade,” </w:t>
      </w:r>
      <w:r w:rsidRPr="00584D3B">
        <w:rPr>
          <w:rFonts w:asciiTheme="minorHAnsi" w:hAnsiTheme="minorHAnsi"/>
          <w:i/>
          <w:sz w:val="22"/>
          <w:szCs w:val="22"/>
        </w:rPr>
        <w:t>Economic Policy</w:t>
      </w:r>
      <w:r>
        <w:rPr>
          <w:rFonts w:asciiTheme="minorHAnsi" w:hAnsiTheme="minorHAnsi"/>
          <w:sz w:val="22"/>
          <w:szCs w:val="22"/>
        </w:rPr>
        <w:t xml:space="preserve">, Vol. 15, no. 30, </w:t>
      </w:r>
      <w:r w:rsidRPr="00584D3B">
        <w:rPr>
          <w:rFonts w:asciiTheme="minorHAnsi" w:hAnsiTheme="minorHAnsi"/>
          <w:sz w:val="22"/>
          <w:szCs w:val="22"/>
        </w:rPr>
        <w:t>April, 9-44</w:t>
      </w:r>
      <w:r w:rsidRPr="00584D3B">
        <w:rPr>
          <w:rFonts w:asciiTheme="minorHAnsi" w:hAnsiTheme="minorHAnsi"/>
          <w:b/>
          <w:sz w:val="22"/>
          <w:szCs w:val="22"/>
        </w:rPr>
        <w:t>.</w:t>
      </w:r>
    </w:p>
    <w:p w:rsidR="00BA71B5" w:rsidRPr="00146244" w:rsidRDefault="00BA71B5" w:rsidP="00BA71B5">
      <w:pPr>
        <w:rPr>
          <w:color w:val="000000"/>
        </w:rPr>
      </w:pPr>
      <w:r w:rsidRPr="00146244">
        <w:t xml:space="preserve">Rose, Andrew, 2017, </w:t>
      </w:r>
      <w:r w:rsidRPr="00146244">
        <w:rPr>
          <w:rFonts w:cs="Arial"/>
          <w:bCs/>
        </w:rPr>
        <w:t xml:space="preserve">“Why do Estimates of the EMU Effect on Trade Vary So Much?" </w:t>
      </w:r>
      <w:r>
        <w:rPr>
          <w:rFonts w:cs="Arial"/>
          <w:bCs/>
          <w:i/>
        </w:rPr>
        <w:t xml:space="preserve">Open Economies Review, </w:t>
      </w:r>
      <w:r w:rsidRPr="00146244">
        <w:rPr>
          <w:rStyle w:val="articlecitationvolume"/>
          <w:rFonts w:cs="Helvetica"/>
          <w:color w:val="333333"/>
          <w:spacing w:val="4"/>
          <w:shd w:val="clear" w:color="auto" w:fill="FCFCFC"/>
        </w:rPr>
        <w:t>Vol</w:t>
      </w:r>
      <w:r>
        <w:rPr>
          <w:rStyle w:val="articlecitationvolume"/>
          <w:rFonts w:cs="Helvetica"/>
          <w:color w:val="333333"/>
          <w:spacing w:val="4"/>
          <w:shd w:val="clear" w:color="auto" w:fill="FCFCFC"/>
        </w:rPr>
        <w:t>.</w:t>
      </w:r>
      <w:r w:rsidRPr="00146244">
        <w:rPr>
          <w:rStyle w:val="articlecitationvolume"/>
          <w:rFonts w:cs="Helvetica"/>
          <w:color w:val="333333"/>
          <w:spacing w:val="4"/>
          <w:shd w:val="clear" w:color="auto" w:fill="FCFCFC"/>
        </w:rPr>
        <w:t xml:space="preserve"> 28, </w:t>
      </w:r>
      <w:r w:rsidRPr="00146244">
        <w:rPr>
          <w:rFonts w:cs="Helvetica"/>
          <w:spacing w:val="4"/>
          <w:shd w:val="clear" w:color="auto" w:fill="FCFCFC"/>
        </w:rPr>
        <w:t>Issue 1</w:t>
      </w:r>
      <w:r w:rsidRPr="00146244">
        <w:rPr>
          <w:rFonts w:cs="Helvetica"/>
          <w:color w:val="333333"/>
          <w:spacing w:val="4"/>
          <w:shd w:val="clear" w:color="auto" w:fill="FCFCFC"/>
        </w:rPr>
        <w:t xml:space="preserve">, </w:t>
      </w:r>
      <w:r w:rsidRPr="00146244">
        <w:rPr>
          <w:rStyle w:val="articlecitationyear"/>
          <w:rFonts w:cs="Helvetica"/>
          <w:color w:val="333333"/>
          <w:spacing w:val="4"/>
          <w:shd w:val="clear" w:color="auto" w:fill="FCFCFC"/>
        </w:rPr>
        <w:t>Feb</w:t>
      </w:r>
      <w:r>
        <w:rPr>
          <w:rStyle w:val="articlecitationyear"/>
          <w:rFonts w:cs="Helvetica"/>
          <w:color w:val="333333"/>
          <w:spacing w:val="4"/>
          <w:shd w:val="clear" w:color="auto" w:fill="FCFCFC"/>
        </w:rPr>
        <w:t>.</w:t>
      </w:r>
      <w:r w:rsidRPr="00146244">
        <w:rPr>
          <w:rStyle w:val="articlecitationyear"/>
          <w:rFonts w:cs="Helvetica"/>
          <w:color w:val="333333"/>
          <w:spacing w:val="4"/>
          <w:shd w:val="clear" w:color="auto" w:fill="FCFCFC"/>
        </w:rPr>
        <w:t xml:space="preserve">, </w:t>
      </w:r>
      <w:r w:rsidRPr="00146244">
        <w:rPr>
          <w:rStyle w:val="articlecitationpages"/>
          <w:rFonts w:cs="Helvetica"/>
          <w:color w:val="333333"/>
          <w:spacing w:val="4"/>
          <w:shd w:val="clear" w:color="auto" w:fill="FCFCFC"/>
        </w:rPr>
        <w:t>1–18.</w:t>
      </w:r>
    </w:p>
    <w:p w:rsidR="00DA5D48" w:rsidRPr="00DA5D48" w:rsidRDefault="00B35B0E" w:rsidP="00DA5D48">
      <w:pPr>
        <w:rPr>
          <w:rFonts w:cs="BODEGM+TimesNewRoman"/>
          <w:color w:val="000000"/>
        </w:rPr>
      </w:pPr>
      <w:r w:rsidRPr="0025290A">
        <w:t>Sachs, Jeffrey, 2003, “Institutions Don’t Rule: Direct Effects of Geography on Per Capita Income,” NBER WP 9490</w:t>
      </w:r>
      <w:r w:rsidRPr="0025290A">
        <w:rPr>
          <w:rFonts w:cs="BODEGM+TimesNewRoman"/>
          <w:color w:val="000000"/>
        </w:rPr>
        <w:t>, February.</w:t>
      </w:r>
    </w:p>
    <w:p w:rsidR="00DA5D48" w:rsidRPr="00DA5D48" w:rsidRDefault="00DA5D48" w:rsidP="00B35B0E">
      <w:r w:rsidRPr="00DA5D48">
        <w:t xml:space="preserve">Sachs, Jeffrey, and Andrew Warner, 1995, “Natural Resource Abundance and Economic Growth,” in G. Meier and J. Rauch, eds., </w:t>
      </w:r>
      <w:r w:rsidRPr="00DA5D48">
        <w:rPr>
          <w:i/>
          <w:iCs/>
        </w:rPr>
        <w:t>Leading Issues in Economic Development</w:t>
      </w:r>
      <w:r w:rsidRPr="00DA5D48">
        <w:t xml:space="preserve">, New York: Oxford University Press.     </w:t>
      </w:r>
    </w:p>
    <w:p w:rsidR="00DA5D48" w:rsidRPr="00DA5D48" w:rsidRDefault="00B35B0E" w:rsidP="00DA5D48">
      <w:pPr>
        <w:autoSpaceDE w:val="0"/>
        <w:autoSpaceDN w:val="0"/>
        <w:adjustRightInd w:val="0"/>
      </w:pPr>
      <w:r w:rsidRPr="00DA5D48">
        <w:t>Sachs, Jeffrey and Andrew Warner, 1997, “Sources of Slow Growth in African Economies</w:t>
      </w:r>
      <w:r w:rsidRPr="00DA5D48">
        <w:rPr>
          <w:i/>
          <w:iCs/>
        </w:rPr>
        <w:t>,” Journal of African Economies</w:t>
      </w:r>
      <w:r w:rsidRPr="00DA5D48">
        <w:t>, 6 (3): 335-76.</w:t>
      </w:r>
    </w:p>
    <w:p w:rsidR="00DA5D48" w:rsidRPr="00DA5D48" w:rsidRDefault="00DA5D48" w:rsidP="00DA5D48">
      <w:r w:rsidRPr="00DA5D48">
        <w:t xml:space="preserve">Sachs, Jeffrey, and Andrew Warner, 2001, “The Curse of Natural Resources,” </w:t>
      </w:r>
      <w:r w:rsidRPr="00DA5D48">
        <w:rPr>
          <w:i/>
          <w:iCs/>
        </w:rPr>
        <w:t xml:space="preserve">European </w:t>
      </w:r>
      <w:hyperlink r:id="rId41" w:history="1">
        <w:r w:rsidRPr="00DA5D48">
          <w:rPr>
            <w:rStyle w:val="Hyperlink"/>
            <w:i/>
            <w:iCs/>
            <w:sz w:val="22"/>
            <w:szCs w:val="22"/>
          </w:rPr>
          <w:t>Economic Review</w:t>
        </w:r>
      </w:hyperlink>
      <w:r w:rsidRPr="00DA5D48">
        <w:t xml:space="preserve"> (Elsevier), vo</w:t>
      </w:r>
      <w:r>
        <w:t>l. 45(4-6), pages 827-838, May.</w:t>
      </w:r>
    </w:p>
    <w:p w:rsidR="00DA5D48" w:rsidRDefault="00DA5D48" w:rsidP="00DA5D48">
      <w:pPr>
        <w:rPr>
          <w:color w:val="000000"/>
        </w:rPr>
      </w:pPr>
      <w:r w:rsidRPr="00DA5D48">
        <w:rPr>
          <w:color w:val="000000"/>
        </w:rPr>
        <w:t>Sala-I-Martin, Xavier, and Arvind Subramanian, 20</w:t>
      </w:r>
      <w:r>
        <w:rPr>
          <w:color w:val="000000"/>
        </w:rPr>
        <w:t>13</w:t>
      </w:r>
      <w:r w:rsidRPr="00DA5D48">
        <w:rPr>
          <w:color w:val="000000"/>
        </w:rPr>
        <w:t>, “Addressing the Natural Resource Curs</w:t>
      </w:r>
      <w:r w:rsidR="000255ED">
        <w:rPr>
          <w:color w:val="000000"/>
        </w:rPr>
        <w:t>e: An Illustration from Nigeria,</w:t>
      </w:r>
      <w:r w:rsidRPr="00DA5D48">
        <w:rPr>
          <w:color w:val="000000"/>
        </w:rPr>
        <w:t>”</w:t>
      </w:r>
      <w:r>
        <w:rPr>
          <w:color w:val="000000"/>
        </w:rPr>
        <w:t xml:space="preserve"> </w:t>
      </w:r>
      <w:r w:rsidRPr="00DA5D48">
        <w:rPr>
          <w:rStyle w:val="Emphasis"/>
          <w:rFonts w:cs="Arial"/>
          <w:color w:val="2A2A2A"/>
          <w:bdr w:val="none" w:sz="0" w:space="0" w:color="auto" w:frame="1"/>
          <w:shd w:val="clear" w:color="auto" w:fill="FFFFFF"/>
        </w:rPr>
        <w:t>Journal of African Economies</w:t>
      </w:r>
      <w:r w:rsidRPr="00DA5D48">
        <w:rPr>
          <w:rFonts w:cs="Arial"/>
          <w:color w:val="2A2A2A"/>
          <w:shd w:val="clear" w:color="auto" w:fill="FFFFFF"/>
        </w:rPr>
        <w:t>, Volume 22, Issue 4, 1 August, Pages 570–615,</w:t>
      </w:r>
      <w:r>
        <w:rPr>
          <w:color w:val="000000"/>
        </w:rPr>
        <w:t xml:space="preserve">  </w:t>
      </w:r>
      <w:r w:rsidRPr="00DA5D48">
        <w:rPr>
          <w:color w:val="000000"/>
        </w:rPr>
        <w:t xml:space="preserve"> </w:t>
      </w:r>
      <w:r w:rsidRPr="00DA5D48">
        <w:rPr>
          <w:i/>
          <w:color w:val="000000"/>
        </w:rPr>
        <w:t>IMF Working Paper WP/03/139</w:t>
      </w:r>
      <w:r w:rsidRPr="00DA5D48">
        <w:rPr>
          <w:color w:val="000000"/>
        </w:rPr>
        <w:t xml:space="preserve">. </w:t>
      </w:r>
    </w:p>
    <w:p w:rsidR="004A4262" w:rsidRPr="004A4262" w:rsidRDefault="004A4262" w:rsidP="004A4262">
      <w:pPr>
        <w:shd w:val="clear" w:color="auto" w:fill="FFFFFF"/>
        <w:spacing w:after="0" w:line="240" w:lineRule="auto"/>
        <w:textAlignment w:val="baseline"/>
        <w:outlineLvl w:val="0"/>
        <w:rPr>
          <w:rFonts w:eastAsia="Times New Roman" w:cs="Arial"/>
          <w:color w:val="2A2A2A"/>
        </w:rPr>
      </w:pPr>
      <w:proofErr w:type="spellStart"/>
      <w:r w:rsidRPr="00F6155D">
        <w:rPr>
          <w:rFonts w:eastAsia="Times New Roman" w:cs="Times New Roman"/>
          <w:bCs/>
          <w:color w:val="2A2A2A"/>
          <w:kern w:val="36"/>
        </w:rPr>
        <w:t>Savvides</w:t>
      </w:r>
      <w:proofErr w:type="spellEnd"/>
      <w:r w:rsidRPr="00F6155D">
        <w:rPr>
          <w:rFonts w:eastAsia="Times New Roman" w:cs="Times New Roman"/>
          <w:bCs/>
          <w:color w:val="2A2A2A"/>
          <w:kern w:val="36"/>
        </w:rPr>
        <w:t xml:space="preserve">, Andreas, 1996, “CFA Franc Zone Membership and Exchange Rate Variability,” </w:t>
      </w:r>
      <w:r w:rsidRPr="00F6155D">
        <w:rPr>
          <w:rFonts w:eastAsia="Times New Roman" w:cs="Arial"/>
          <w:i/>
          <w:iCs/>
          <w:color w:val="2A2A2A"/>
          <w:bdr w:val="none" w:sz="0" w:space="0" w:color="auto" w:frame="1"/>
        </w:rPr>
        <w:t>Journal of African Economies</w:t>
      </w:r>
      <w:r w:rsidRPr="00F6155D">
        <w:rPr>
          <w:rFonts w:eastAsia="Times New Roman" w:cs="Arial"/>
          <w:color w:val="2A2A2A"/>
        </w:rPr>
        <w:t>, Volume</w:t>
      </w:r>
      <w:r>
        <w:rPr>
          <w:rFonts w:eastAsia="Times New Roman" w:cs="Arial"/>
          <w:color w:val="2A2A2A"/>
        </w:rPr>
        <w:t xml:space="preserve"> 5, Issue 1, 1 March, </w:t>
      </w:r>
      <w:r w:rsidRPr="00F6155D">
        <w:rPr>
          <w:rFonts w:eastAsia="Times New Roman" w:cs="Arial"/>
          <w:color w:val="2A2A2A"/>
        </w:rPr>
        <w:t>52–68,</w:t>
      </w:r>
      <w:r>
        <w:rPr>
          <w:rFonts w:eastAsia="Times New Roman" w:cs="Arial"/>
          <w:color w:val="2A2A2A"/>
        </w:rPr>
        <w:br/>
      </w:r>
    </w:p>
    <w:p w:rsidR="00A00A7E" w:rsidRDefault="00A00A7E" w:rsidP="00DA5D48">
      <w:pPr>
        <w:rPr>
          <w:color w:val="333333"/>
          <w:spacing w:val="2"/>
          <w:shd w:val="clear" w:color="auto" w:fill="FCFCFC"/>
        </w:rPr>
      </w:pPr>
      <w:r w:rsidRPr="00A00A7E">
        <w:rPr>
          <w:color w:val="333333"/>
          <w:spacing w:val="2"/>
          <w:shd w:val="clear" w:color="auto" w:fill="FCFCFC"/>
        </w:rPr>
        <w:t xml:space="preserve">Subramanian, A., and N.T. </w:t>
      </w:r>
      <w:proofErr w:type="spellStart"/>
      <w:r w:rsidRPr="00A00A7E">
        <w:rPr>
          <w:color w:val="333333"/>
          <w:spacing w:val="2"/>
          <w:shd w:val="clear" w:color="auto" w:fill="FCFCFC"/>
        </w:rPr>
        <w:t>Tamirisa</w:t>
      </w:r>
      <w:proofErr w:type="spellEnd"/>
      <w:r w:rsidRPr="00A00A7E">
        <w:rPr>
          <w:color w:val="333333"/>
          <w:spacing w:val="2"/>
          <w:shd w:val="clear" w:color="auto" w:fill="FCFCFC"/>
        </w:rPr>
        <w:t xml:space="preserve">, 2003, “Is Africa Integrated in the Global Economy?” </w:t>
      </w:r>
      <w:r w:rsidRPr="00A00A7E">
        <w:rPr>
          <w:i/>
          <w:color w:val="333333"/>
          <w:spacing w:val="2"/>
          <w:shd w:val="clear" w:color="auto" w:fill="FCFCFC"/>
        </w:rPr>
        <w:t>IMF Staff Papers</w:t>
      </w:r>
      <w:r w:rsidRPr="00A00A7E">
        <w:rPr>
          <w:color w:val="333333"/>
          <w:spacing w:val="2"/>
          <w:shd w:val="clear" w:color="auto" w:fill="FCFCFC"/>
        </w:rPr>
        <w:t>, Vol. 50 (December), pp. 352–372.</w:t>
      </w:r>
    </w:p>
    <w:p w:rsidR="00A00A7E" w:rsidRDefault="00A00A7E" w:rsidP="00DA5D48">
      <w:r>
        <w:t xml:space="preserve">Tavlas, George, </w:t>
      </w:r>
      <w:r w:rsidRPr="001A2B4A">
        <w:t>2008</w:t>
      </w:r>
      <w:r>
        <w:t>,</w:t>
      </w:r>
      <w:r w:rsidRPr="00C00854">
        <w:rPr>
          <w:b/>
        </w:rPr>
        <w:t xml:space="preserve"> “</w:t>
      </w:r>
      <w:r w:rsidRPr="001A2B4A">
        <w:t>The Benefits and Cost</w:t>
      </w:r>
      <w:r>
        <w:t xml:space="preserve">s of Monetary Union in Southern Africa: A Critical Survey of the Literature,” </w:t>
      </w:r>
      <w:r w:rsidRPr="00C00854">
        <w:rPr>
          <w:i/>
        </w:rPr>
        <w:t>Journal of Economic Surveys</w:t>
      </w:r>
      <w:r>
        <w:t>, vol. 23, no. 1, 1-43.</w:t>
      </w:r>
    </w:p>
    <w:p w:rsidR="00BD5A31" w:rsidRPr="00BD5A31" w:rsidRDefault="000B4050" w:rsidP="00181F8B">
      <w:pPr>
        <w:pStyle w:val="Heading1"/>
        <w:shd w:val="clear" w:color="auto" w:fill="FCFCFC"/>
        <w:spacing w:before="0" w:after="120"/>
        <w:rPr>
          <w:rFonts w:asciiTheme="minorHAnsi" w:hAnsiTheme="minorHAnsi"/>
          <w:b w:val="0"/>
          <w:color w:val="auto"/>
          <w:sz w:val="22"/>
          <w:szCs w:val="22"/>
        </w:rPr>
      </w:pPr>
      <w:r w:rsidRPr="00760817">
        <w:rPr>
          <w:rFonts w:asciiTheme="minorHAnsi" w:hAnsiTheme="minorHAnsi" w:cs="Helvetica"/>
          <w:b w:val="0"/>
          <w:color w:val="333333"/>
          <w:sz w:val="22"/>
          <w:szCs w:val="22"/>
        </w:rPr>
        <w:t xml:space="preserve">Tsangarides, </w:t>
      </w:r>
      <w:r>
        <w:rPr>
          <w:rFonts w:asciiTheme="minorHAnsi" w:hAnsiTheme="minorHAnsi" w:cs="Helvetica"/>
          <w:b w:val="0"/>
          <w:color w:val="333333"/>
          <w:sz w:val="22"/>
          <w:szCs w:val="22"/>
        </w:rPr>
        <w:t xml:space="preserve">Charalambos, </w:t>
      </w:r>
      <w:r w:rsidRPr="00760817">
        <w:rPr>
          <w:rFonts w:asciiTheme="minorHAnsi" w:hAnsiTheme="minorHAnsi" w:cs="Helvetica"/>
          <w:b w:val="0"/>
          <w:color w:val="333333"/>
          <w:sz w:val="22"/>
          <w:szCs w:val="22"/>
        </w:rPr>
        <w:t>Pierre </w:t>
      </w:r>
      <w:proofErr w:type="spellStart"/>
      <w:r w:rsidRPr="00760817">
        <w:rPr>
          <w:rFonts w:asciiTheme="minorHAnsi" w:hAnsiTheme="minorHAnsi" w:cs="Helvetica"/>
          <w:b w:val="0"/>
          <w:color w:val="333333"/>
          <w:sz w:val="22"/>
          <w:szCs w:val="22"/>
        </w:rPr>
        <w:t>Ewenczyk</w:t>
      </w:r>
      <w:proofErr w:type="spellEnd"/>
      <w:r w:rsidRPr="00760817">
        <w:rPr>
          <w:rFonts w:asciiTheme="minorHAnsi" w:hAnsiTheme="minorHAnsi" w:cs="Helvetica"/>
          <w:b w:val="0"/>
          <w:color w:val="333333"/>
          <w:sz w:val="22"/>
          <w:szCs w:val="22"/>
        </w:rPr>
        <w:t>, Michal </w:t>
      </w:r>
      <w:proofErr w:type="spellStart"/>
      <w:r w:rsidRPr="00760817">
        <w:rPr>
          <w:rFonts w:asciiTheme="minorHAnsi" w:hAnsiTheme="minorHAnsi" w:cs="Helvetica"/>
          <w:b w:val="0"/>
          <w:color w:val="333333"/>
          <w:sz w:val="22"/>
          <w:szCs w:val="22"/>
        </w:rPr>
        <w:t>Hulej</w:t>
      </w:r>
      <w:proofErr w:type="spellEnd"/>
      <w:r w:rsidR="00BD5A31">
        <w:rPr>
          <w:rFonts w:asciiTheme="minorHAnsi" w:hAnsiTheme="minorHAnsi"/>
          <w:b w:val="0"/>
          <w:color w:val="auto"/>
          <w:sz w:val="22"/>
          <w:szCs w:val="22"/>
        </w:rPr>
        <w:t>, 2006,</w:t>
      </w:r>
      <w:r w:rsidR="00BD5A31" w:rsidRPr="00BD5A31">
        <w:rPr>
          <w:rFonts w:asciiTheme="minorHAnsi" w:hAnsiTheme="minorHAnsi"/>
          <w:b w:val="0"/>
          <w:color w:val="auto"/>
          <w:sz w:val="22"/>
          <w:szCs w:val="22"/>
        </w:rPr>
        <w:t xml:space="preserve"> “Stylized facts on bilateral trade and currency unions: Implications for Africa”, </w:t>
      </w:r>
      <w:r w:rsidR="00BD5A31" w:rsidRPr="00BD5A31">
        <w:rPr>
          <w:rFonts w:asciiTheme="minorHAnsi" w:hAnsiTheme="minorHAnsi"/>
          <w:b w:val="0"/>
          <w:i/>
          <w:iCs/>
          <w:color w:val="auto"/>
          <w:sz w:val="22"/>
          <w:szCs w:val="22"/>
        </w:rPr>
        <w:t xml:space="preserve">IMF Working Paper </w:t>
      </w:r>
      <w:r w:rsidR="00BD5A31" w:rsidRPr="00BD5A31">
        <w:rPr>
          <w:rFonts w:asciiTheme="minorHAnsi" w:hAnsiTheme="minorHAnsi"/>
          <w:b w:val="0"/>
          <w:color w:val="auto"/>
          <w:sz w:val="22"/>
          <w:szCs w:val="22"/>
        </w:rPr>
        <w:t>No. WP/06/31, (IMF: Washington).</w:t>
      </w:r>
    </w:p>
    <w:p w:rsidR="00181F8B" w:rsidRPr="00181F8B" w:rsidRDefault="00181F8B" w:rsidP="00181F8B">
      <w:pPr>
        <w:pStyle w:val="Heading1"/>
        <w:shd w:val="clear" w:color="auto" w:fill="FCFCFC"/>
        <w:spacing w:before="0" w:after="120"/>
        <w:rPr>
          <w:rFonts w:asciiTheme="minorHAnsi" w:hAnsiTheme="minorHAnsi" w:cs="Helvetica"/>
          <w:b w:val="0"/>
          <w:color w:val="333333"/>
          <w:spacing w:val="4"/>
          <w:sz w:val="22"/>
          <w:szCs w:val="22"/>
          <w:shd w:val="clear" w:color="auto" w:fill="FCFCFC"/>
        </w:rPr>
      </w:pPr>
      <w:r w:rsidRPr="00760817">
        <w:rPr>
          <w:rFonts w:asciiTheme="minorHAnsi" w:hAnsiTheme="minorHAnsi" w:cs="Helvetica"/>
          <w:b w:val="0"/>
          <w:color w:val="333333"/>
          <w:sz w:val="22"/>
          <w:szCs w:val="22"/>
        </w:rPr>
        <w:t xml:space="preserve">Tsangarides, </w:t>
      </w:r>
      <w:r>
        <w:rPr>
          <w:rFonts w:asciiTheme="minorHAnsi" w:hAnsiTheme="minorHAnsi" w:cs="Helvetica"/>
          <w:b w:val="0"/>
          <w:color w:val="333333"/>
          <w:sz w:val="22"/>
          <w:szCs w:val="22"/>
        </w:rPr>
        <w:t xml:space="preserve">Charalambos, </w:t>
      </w:r>
      <w:r w:rsidRPr="00760817">
        <w:rPr>
          <w:rFonts w:asciiTheme="minorHAnsi" w:hAnsiTheme="minorHAnsi" w:cs="Helvetica"/>
          <w:b w:val="0"/>
          <w:color w:val="333333"/>
          <w:sz w:val="22"/>
          <w:szCs w:val="22"/>
        </w:rPr>
        <w:t>Pierre </w:t>
      </w:r>
      <w:proofErr w:type="spellStart"/>
      <w:r w:rsidRPr="00760817">
        <w:rPr>
          <w:rFonts w:asciiTheme="minorHAnsi" w:hAnsiTheme="minorHAnsi" w:cs="Helvetica"/>
          <w:b w:val="0"/>
          <w:color w:val="333333"/>
          <w:sz w:val="22"/>
          <w:szCs w:val="22"/>
        </w:rPr>
        <w:t>Ewenczyk</w:t>
      </w:r>
      <w:proofErr w:type="spellEnd"/>
      <w:r w:rsidRPr="00760817">
        <w:rPr>
          <w:rFonts w:asciiTheme="minorHAnsi" w:hAnsiTheme="minorHAnsi" w:cs="Helvetica"/>
          <w:b w:val="0"/>
          <w:color w:val="333333"/>
          <w:sz w:val="22"/>
          <w:szCs w:val="22"/>
        </w:rPr>
        <w:t>, Michal </w:t>
      </w:r>
      <w:proofErr w:type="spellStart"/>
      <w:r w:rsidRPr="00760817">
        <w:rPr>
          <w:rFonts w:asciiTheme="minorHAnsi" w:hAnsiTheme="minorHAnsi" w:cs="Helvetica"/>
          <w:b w:val="0"/>
          <w:color w:val="333333"/>
          <w:sz w:val="22"/>
          <w:szCs w:val="22"/>
        </w:rPr>
        <w:t>Hulej</w:t>
      </w:r>
      <w:proofErr w:type="spellEnd"/>
      <w:r w:rsidRPr="00760817">
        <w:rPr>
          <w:rFonts w:asciiTheme="minorHAnsi" w:hAnsiTheme="minorHAnsi" w:cs="Helvetica"/>
          <w:b w:val="0"/>
          <w:color w:val="333333"/>
          <w:sz w:val="22"/>
          <w:szCs w:val="22"/>
        </w:rPr>
        <w:t>, and Mahvash Saeed Qureshi</w:t>
      </w:r>
      <w:r w:rsidR="00BD5A31">
        <w:rPr>
          <w:rFonts w:asciiTheme="minorHAnsi" w:hAnsiTheme="minorHAnsi" w:cs="Helvetica"/>
          <w:b w:val="0"/>
          <w:color w:val="333333"/>
          <w:sz w:val="22"/>
          <w:szCs w:val="22"/>
        </w:rPr>
        <w:t xml:space="preserve">, </w:t>
      </w:r>
      <w:r w:rsidRPr="00760817">
        <w:rPr>
          <w:rFonts w:asciiTheme="minorHAnsi" w:hAnsiTheme="minorHAnsi" w:cs="Helvetica"/>
          <w:b w:val="0"/>
          <w:color w:val="333333"/>
          <w:sz w:val="22"/>
          <w:szCs w:val="22"/>
        </w:rPr>
        <w:t>2009, “</w:t>
      </w:r>
      <w:r w:rsidRPr="00760817">
        <w:rPr>
          <w:rFonts w:asciiTheme="minorHAnsi" w:hAnsiTheme="minorHAnsi"/>
          <w:b w:val="0"/>
          <w:bCs w:val="0"/>
          <w:color w:val="333333"/>
          <w:spacing w:val="2"/>
          <w:sz w:val="22"/>
          <w:szCs w:val="22"/>
          <w:lang w:val="en"/>
        </w:rPr>
        <w:t>Are Africa's Currency Unions Good for Trade?”</w:t>
      </w:r>
      <w:r w:rsidRPr="00760817">
        <w:rPr>
          <w:rFonts w:asciiTheme="minorHAnsi" w:hAnsiTheme="minorHAnsi" w:cs="Helvetica"/>
          <w:b w:val="0"/>
          <w:color w:val="333333"/>
          <w:spacing w:val="4"/>
          <w:sz w:val="22"/>
          <w:szCs w:val="22"/>
          <w:shd w:val="clear" w:color="auto" w:fill="FCFCFC"/>
        </w:rPr>
        <w:t> </w:t>
      </w:r>
      <w:r w:rsidRPr="00760817">
        <w:rPr>
          <w:rFonts w:asciiTheme="minorHAnsi" w:hAnsiTheme="minorHAnsi" w:cs="Helvetica"/>
          <w:b w:val="0"/>
          <w:i/>
          <w:color w:val="333333"/>
          <w:spacing w:val="4"/>
          <w:sz w:val="22"/>
          <w:szCs w:val="22"/>
          <w:shd w:val="clear" w:color="auto" w:fill="FCFCFC"/>
        </w:rPr>
        <w:t>IMF Staff Papers</w:t>
      </w:r>
      <w:r>
        <w:rPr>
          <w:rFonts w:asciiTheme="minorHAnsi" w:hAnsiTheme="minorHAnsi" w:cs="Helvetica"/>
          <w:b w:val="0"/>
          <w:i/>
          <w:color w:val="333333"/>
          <w:spacing w:val="4"/>
          <w:sz w:val="22"/>
          <w:szCs w:val="22"/>
          <w:shd w:val="clear" w:color="auto" w:fill="FCFCFC"/>
        </w:rPr>
        <w:t xml:space="preserve">, </w:t>
      </w:r>
      <w:r w:rsidRPr="00760817">
        <w:rPr>
          <w:rStyle w:val="articlecitationvolume"/>
          <w:rFonts w:asciiTheme="minorHAnsi" w:hAnsiTheme="minorHAnsi" w:cs="Helvetica"/>
          <w:b w:val="0"/>
          <w:color w:val="333333"/>
          <w:spacing w:val="4"/>
          <w:sz w:val="22"/>
          <w:szCs w:val="22"/>
          <w:shd w:val="clear" w:color="auto" w:fill="FCFCFC"/>
        </w:rPr>
        <w:t>Volume 56,</w:t>
      </w:r>
      <w:r w:rsidRPr="00181F8B">
        <w:rPr>
          <w:rStyle w:val="articlecitationvolume"/>
          <w:rFonts w:asciiTheme="minorHAnsi" w:hAnsiTheme="minorHAnsi" w:cs="Helvetica"/>
          <w:b w:val="0"/>
          <w:color w:val="333333"/>
          <w:spacing w:val="4"/>
          <w:sz w:val="22"/>
          <w:szCs w:val="22"/>
          <w:shd w:val="clear" w:color="auto" w:fill="FCFCFC"/>
        </w:rPr>
        <w:t> </w:t>
      </w:r>
      <w:hyperlink r:id="rId42" w:history="1">
        <w:r w:rsidRPr="00181F8B">
          <w:rPr>
            <w:rStyle w:val="Hyperlink"/>
            <w:rFonts w:asciiTheme="minorHAnsi" w:hAnsiTheme="minorHAnsi" w:cs="Helvetica"/>
            <w:b w:val="0"/>
            <w:color w:val="auto"/>
            <w:spacing w:val="4"/>
            <w:sz w:val="22"/>
            <w:szCs w:val="22"/>
            <w:shd w:val="clear" w:color="auto" w:fill="FCFCFC"/>
          </w:rPr>
          <w:t>Issue 4</w:t>
        </w:r>
      </w:hyperlink>
      <w:r>
        <w:rPr>
          <w:rStyle w:val="Hyperlink"/>
          <w:rFonts w:asciiTheme="minorHAnsi" w:hAnsiTheme="minorHAnsi" w:cs="Helvetica"/>
          <w:b w:val="0"/>
          <w:color w:val="auto"/>
          <w:spacing w:val="4"/>
          <w:sz w:val="22"/>
          <w:szCs w:val="22"/>
          <w:shd w:val="clear" w:color="auto" w:fill="FCFCFC"/>
        </w:rPr>
        <w:t xml:space="preserve">, </w:t>
      </w:r>
      <w:r w:rsidRPr="00760817">
        <w:rPr>
          <w:rFonts w:asciiTheme="minorHAnsi" w:hAnsiTheme="minorHAnsi" w:cs="Helvetica"/>
          <w:b w:val="0"/>
          <w:color w:val="333333"/>
          <w:spacing w:val="4"/>
          <w:sz w:val="22"/>
          <w:szCs w:val="22"/>
          <w:shd w:val="clear" w:color="auto" w:fill="FCFCFC"/>
        </w:rPr>
        <w:t>Nov</w:t>
      </w:r>
      <w:r w:rsidR="000B4050">
        <w:rPr>
          <w:rFonts w:asciiTheme="minorHAnsi" w:hAnsiTheme="minorHAnsi" w:cs="Helvetica"/>
          <w:b w:val="0"/>
          <w:color w:val="333333"/>
          <w:spacing w:val="4"/>
          <w:sz w:val="22"/>
          <w:szCs w:val="22"/>
          <w:shd w:val="clear" w:color="auto" w:fill="FCFCFC"/>
        </w:rPr>
        <w:t>.</w:t>
      </w:r>
      <w:r w:rsidRPr="00181F8B">
        <w:rPr>
          <w:rFonts w:asciiTheme="minorHAnsi" w:hAnsiTheme="minorHAnsi" w:cs="Helvetica"/>
          <w:b w:val="0"/>
          <w:color w:val="auto"/>
          <w:spacing w:val="4"/>
          <w:sz w:val="22"/>
          <w:szCs w:val="22"/>
          <w:shd w:val="clear" w:color="auto" w:fill="FCFCFC"/>
        </w:rPr>
        <w:t>,</w:t>
      </w:r>
      <w:r w:rsidRPr="00760817">
        <w:rPr>
          <w:rFonts w:asciiTheme="minorHAnsi" w:hAnsiTheme="minorHAnsi" w:cs="Helvetica"/>
          <w:b w:val="0"/>
          <w:color w:val="333333"/>
          <w:spacing w:val="4"/>
          <w:sz w:val="22"/>
          <w:szCs w:val="22"/>
          <w:shd w:val="clear" w:color="auto" w:fill="FCFCFC"/>
        </w:rPr>
        <w:t> </w:t>
      </w:r>
      <w:r w:rsidRPr="00760817">
        <w:rPr>
          <w:rStyle w:val="articlecitationpages"/>
          <w:rFonts w:asciiTheme="minorHAnsi" w:hAnsiTheme="minorHAnsi" w:cs="Helvetica"/>
          <w:b w:val="0"/>
          <w:color w:val="333333"/>
          <w:spacing w:val="4"/>
          <w:sz w:val="22"/>
          <w:szCs w:val="22"/>
          <w:shd w:val="clear" w:color="auto" w:fill="FCFCFC"/>
        </w:rPr>
        <w:t>876–918</w:t>
      </w:r>
      <w:r>
        <w:rPr>
          <w:rFonts w:asciiTheme="minorHAnsi" w:hAnsiTheme="minorHAnsi" w:cs="Helvetica"/>
          <w:b w:val="0"/>
          <w:color w:val="333333"/>
          <w:spacing w:val="4"/>
          <w:sz w:val="22"/>
          <w:szCs w:val="22"/>
          <w:shd w:val="clear" w:color="auto" w:fill="FCFCFC"/>
        </w:rPr>
        <w:t>.</w:t>
      </w:r>
    </w:p>
    <w:p w:rsidR="005913B9" w:rsidRPr="005913B9" w:rsidRDefault="00CE1E43" w:rsidP="00DA5D48">
      <w:pPr>
        <w:rPr>
          <w:sz w:val="18"/>
          <w:szCs w:val="18"/>
        </w:rPr>
      </w:pPr>
      <w:r>
        <w:t>Vé</w:t>
      </w:r>
      <w:r w:rsidR="000B4050">
        <w:t>gh, Carlos,</w:t>
      </w:r>
      <w:r w:rsidR="005913B9">
        <w:t xml:space="preserve"> and Guillermo Vuletin, 2013, “Overcoming the Fear of Free Falling: Monetary Policy Graduation in Emerging Markets,” in</w:t>
      </w:r>
      <w:r w:rsidR="005913B9">
        <w:rPr>
          <w:rFonts w:ascii="Verdana" w:hAnsi="Verdana"/>
          <w:color w:val="000000"/>
          <w:sz w:val="17"/>
          <w:szCs w:val="17"/>
          <w:shd w:val="clear" w:color="auto" w:fill="FFFFFF"/>
        </w:rPr>
        <w:t> </w:t>
      </w:r>
      <w:r w:rsidR="005913B9" w:rsidRPr="005913B9">
        <w:rPr>
          <w:i/>
          <w:color w:val="000000"/>
          <w:shd w:val="clear" w:color="auto" w:fill="FFFFFF"/>
        </w:rPr>
        <w:t>The Role of Central Banks in Financial Stability</w:t>
      </w:r>
      <w:r w:rsidR="000B4050">
        <w:rPr>
          <w:rFonts w:ascii="Verdana" w:hAnsi="Verdana"/>
          <w:color w:val="000000"/>
          <w:sz w:val="17"/>
          <w:szCs w:val="17"/>
          <w:shd w:val="clear" w:color="auto" w:fill="FFFFFF"/>
        </w:rPr>
        <w:t xml:space="preserve">, </w:t>
      </w:r>
      <w:r w:rsidR="005913B9">
        <w:rPr>
          <w:rFonts w:ascii="Verdana" w:hAnsi="Verdana"/>
          <w:color w:val="000000"/>
          <w:sz w:val="17"/>
          <w:szCs w:val="17"/>
          <w:shd w:val="clear" w:color="auto" w:fill="FFFFFF"/>
        </w:rPr>
        <w:t>105-129.</w:t>
      </w:r>
      <w:r w:rsidR="005913B9">
        <w:t xml:space="preserve">  NBER Working Paper No. 18175.</w:t>
      </w:r>
    </w:p>
    <w:p w:rsidR="00B35B0E" w:rsidRDefault="00BB706A">
      <w:proofErr w:type="spellStart"/>
      <w:r w:rsidRPr="00BB706A">
        <w:t>Wantchekon</w:t>
      </w:r>
      <w:proofErr w:type="spellEnd"/>
      <w:r w:rsidRPr="00BB706A">
        <w:t>, Leonard</w:t>
      </w:r>
      <w:r>
        <w:t>,</w:t>
      </w:r>
      <w:r w:rsidRPr="00BB706A">
        <w:t xml:space="preserve"> 2002, “Why do Resource Dependent Countries Have Authoritarian Governments?” </w:t>
      </w:r>
      <w:r w:rsidRPr="00BB706A">
        <w:rPr>
          <w:i/>
        </w:rPr>
        <w:t>Journal of African Finance and Economic Development</w:t>
      </w:r>
      <w:r w:rsidRPr="00BB706A">
        <w:t xml:space="preserve"> 2, 57-77.</w:t>
      </w:r>
    </w:p>
    <w:p w:rsidR="00C44B69" w:rsidRPr="00A544A8" w:rsidRDefault="00E16B50" w:rsidP="00A544A8">
      <w:pPr>
        <w:pStyle w:val="Heading2"/>
        <w:spacing w:before="0" w:after="120"/>
        <w:textAlignment w:val="baseline"/>
        <w:rPr>
          <w:rFonts w:asciiTheme="minorHAnsi" w:hAnsiTheme="minorHAnsi" w:cs="Arial"/>
          <w:sz w:val="22"/>
          <w:szCs w:val="22"/>
        </w:rPr>
      </w:pPr>
      <w:r w:rsidRPr="00E16B50">
        <w:rPr>
          <w:rFonts w:asciiTheme="minorHAnsi" w:hAnsiTheme="minorHAnsi" w:cs="Arial"/>
          <w:b w:val="0"/>
          <w:color w:val="000000"/>
          <w:sz w:val="22"/>
          <w:szCs w:val="22"/>
        </w:rPr>
        <w:t>Yeats, Alexander, 1999, “</w:t>
      </w:r>
      <w:r w:rsidR="000C3FC4" w:rsidRPr="00E16B50">
        <w:rPr>
          <w:rFonts w:asciiTheme="minorHAnsi" w:hAnsiTheme="minorHAnsi" w:cs="Arial"/>
          <w:b w:val="0"/>
          <w:color w:val="000000"/>
          <w:sz w:val="22"/>
          <w:szCs w:val="22"/>
        </w:rPr>
        <w:t xml:space="preserve">What can be expected from African regional trade arrangements? </w:t>
      </w:r>
      <w:proofErr w:type="gramStart"/>
      <w:r w:rsidR="000C3FC4" w:rsidRPr="00E16B50">
        <w:rPr>
          <w:rFonts w:asciiTheme="minorHAnsi" w:hAnsiTheme="minorHAnsi" w:cs="Arial"/>
          <w:b w:val="0"/>
          <w:color w:val="000000"/>
          <w:sz w:val="22"/>
          <w:szCs w:val="22"/>
        </w:rPr>
        <w:t>Some empirical evidence</w:t>
      </w:r>
      <w:r w:rsidR="000B4050">
        <w:rPr>
          <w:rFonts w:asciiTheme="minorHAnsi" w:hAnsiTheme="minorHAnsi" w:cs="Arial"/>
          <w:b w:val="0"/>
          <w:color w:val="000000"/>
          <w:sz w:val="22"/>
          <w:szCs w:val="22"/>
        </w:rPr>
        <w:t>,”</w:t>
      </w:r>
      <w:r w:rsidR="000C3FC4" w:rsidRPr="00E16B50">
        <w:rPr>
          <w:rFonts w:asciiTheme="minorHAnsi" w:hAnsiTheme="minorHAnsi" w:cs="Arial"/>
          <w:b w:val="0"/>
          <w:color w:val="000000"/>
          <w:sz w:val="22"/>
          <w:szCs w:val="22"/>
        </w:rPr>
        <w:t xml:space="preserve"> </w:t>
      </w:r>
      <w:r w:rsidRPr="00E16B50">
        <w:rPr>
          <w:rFonts w:asciiTheme="minorHAnsi" w:hAnsiTheme="minorHAnsi" w:cs="Arial"/>
          <w:b w:val="0"/>
          <w:i/>
          <w:color w:val="000000"/>
          <w:sz w:val="22"/>
          <w:szCs w:val="22"/>
        </w:rPr>
        <w:t>Worl</w:t>
      </w:r>
      <w:r>
        <w:rPr>
          <w:rFonts w:asciiTheme="minorHAnsi" w:hAnsiTheme="minorHAnsi" w:cs="Arial"/>
          <w:b w:val="0"/>
          <w:i/>
          <w:color w:val="000000"/>
          <w:sz w:val="22"/>
          <w:szCs w:val="22"/>
        </w:rPr>
        <w:t>d Bank Policy Research Working P</w:t>
      </w:r>
      <w:r w:rsidRPr="00E16B50">
        <w:rPr>
          <w:rFonts w:asciiTheme="minorHAnsi" w:hAnsiTheme="minorHAnsi" w:cs="Arial"/>
          <w:b w:val="0"/>
          <w:i/>
          <w:color w:val="000000"/>
          <w:sz w:val="22"/>
          <w:szCs w:val="22"/>
        </w:rPr>
        <w:t>aper 2004</w:t>
      </w:r>
      <w:r>
        <w:rPr>
          <w:rFonts w:asciiTheme="minorHAnsi" w:hAnsiTheme="minorHAnsi" w:cs="Arial"/>
          <w:sz w:val="22"/>
          <w:szCs w:val="22"/>
        </w:rPr>
        <w:t>.</w:t>
      </w:r>
      <w:proofErr w:type="gramEnd"/>
    </w:p>
    <w:sectPr w:rsidR="00C44B69" w:rsidRPr="00A544A8" w:rsidSect="00D55266">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B1" w:rsidRDefault="006C4CB1" w:rsidP="00B35B0E">
      <w:pPr>
        <w:spacing w:after="0" w:line="240" w:lineRule="auto"/>
      </w:pPr>
      <w:r>
        <w:separator/>
      </w:r>
    </w:p>
  </w:endnote>
  <w:endnote w:type="continuationSeparator" w:id="0">
    <w:p w:rsidR="006C4CB1" w:rsidRDefault="006C4CB1" w:rsidP="00B3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EGM+TimesNewRoman">
    <w:altName w:val="Times New Roman"/>
    <w:panose1 w:val="00000000000000000000"/>
    <w:charset w:val="00"/>
    <w:family w:val="roman"/>
    <w:notTrueType/>
    <w:pitch w:val="default"/>
    <w:sig w:usb0="00000003" w:usb1="00000000" w:usb2="00000000" w:usb3="00000000" w:csb0="00000001" w:csb1="00000000"/>
  </w:font>
  <w:font w:name="-webkit-standar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39061"/>
      <w:docPartObj>
        <w:docPartGallery w:val="Page Numbers (Bottom of Page)"/>
        <w:docPartUnique/>
      </w:docPartObj>
    </w:sdtPr>
    <w:sdtEndPr>
      <w:rPr>
        <w:noProof/>
      </w:rPr>
    </w:sdtEndPr>
    <w:sdtContent>
      <w:p w:rsidR="006C4CB1" w:rsidRDefault="006C4CB1">
        <w:pPr>
          <w:pStyle w:val="Footer"/>
          <w:jc w:val="right"/>
        </w:pPr>
        <w:r>
          <w:fldChar w:fldCharType="begin"/>
        </w:r>
        <w:r>
          <w:instrText xml:space="preserve"> PAGE   \* MERGEFORMAT </w:instrText>
        </w:r>
        <w:r>
          <w:fldChar w:fldCharType="separate"/>
        </w:r>
        <w:r w:rsidR="00E0725D">
          <w:rPr>
            <w:noProof/>
          </w:rPr>
          <w:t>29</w:t>
        </w:r>
        <w:r>
          <w:rPr>
            <w:noProof/>
          </w:rPr>
          <w:fldChar w:fldCharType="end"/>
        </w:r>
      </w:p>
    </w:sdtContent>
  </w:sdt>
  <w:p w:rsidR="006C4CB1" w:rsidRDefault="006C4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B1" w:rsidRDefault="006C4CB1" w:rsidP="00B35B0E">
      <w:pPr>
        <w:spacing w:after="0" w:line="240" w:lineRule="auto"/>
      </w:pPr>
      <w:r>
        <w:separator/>
      </w:r>
    </w:p>
  </w:footnote>
  <w:footnote w:type="continuationSeparator" w:id="0">
    <w:p w:rsidR="006C4CB1" w:rsidRDefault="006C4CB1" w:rsidP="00B35B0E">
      <w:pPr>
        <w:spacing w:after="0" w:line="240" w:lineRule="auto"/>
      </w:pPr>
      <w:r>
        <w:continuationSeparator/>
      </w:r>
    </w:p>
  </w:footnote>
  <w:footnote w:id="1">
    <w:p w:rsidR="006C4CB1" w:rsidRPr="00E81DC1" w:rsidRDefault="006C4CB1" w:rsidP="00E81DC1">
      <w:pPr>
        <w:pStyle w:val="volume-issue"/>
        <w:shd w:val="clear" w:color="auto" w:fill="FFFFFF"/>
        <w:spacing w:before="75" w:beforeAutospacing="0" w:after="75" w:afterAutospacing="0" w:line="263" w:lineRule="atLeast"/>
        <w:rPr>
          <w:rFonts w:asciiTheme="minorHAnsi" w:hAnsiTheme="minorHAnsi"/>
          <w:sz w:val="22"/>
          <w:szCs w:val="22"/>
        </w:rPr>
      </w:pPr>
      <w:r w:rsidRPr="00A815CA">
        <w:rPr>
          <w:rStyle w:val="FootnoteReference"/>
          <w:rFonts w:asciiTheme="minorHAnsi" w:hAnsiTheme="minorHAnsi"/>
          <w:sz w:val="22"/>
          <w:szCs w:val="22"/>
        </w:rPr>
        <w:footnoteRef/>
      </w:r>
      <w:r w:rsidRPr="00A815CA">
        <w:rPr>
          <w:rFonts w:asciiTheme="minorHAnsi" w:hAnsiTheme="minorHAnsi"/>
          <w:sz w:val="22"/>
          <w:szCs w:val="22"/>
        </w:rPr>
        <w:t xml:space="preserve"> Frankel (2012) surveys the Natural Resource Curse, including its possible causal channels. Some of the many research contributions include </w:t>
      </w:r>
      <w:proofErr w:type="spellStart"/>
      <w:r w:rsidRPr="00A815CA">
        <w:rPr>
          <w:rFonts w:asciiTheme="minorHAnsi" w:hAnsiTheme="minorHAnsi"/>
          <w:sz w:val="22"/>
          <w:szCs w:val="22"/>
        </w:rPr>
        <w:t>Auty</w:t>
      </w:r>
      <w:proofErr w:type="spellEnd"/>
      <w:r w:rsidRPr="00A815CA">
        <w:rPr>
          <w:rFonts w:asciiTheme="minorHAnsi" w:hAnsiTheme="minorHAnsi"/>
          <w:sz w:val="22"/>
          <w:szCs w:val="22"/>
        </w:rPr>
        <w:t xml:space="preserve"> (1993), Sachs and Warner (1995, 2001), </w:t>
      </w:r>
      <w:proofErr w:type="spellStart"/>
      <w:r w:rsidRPr="00A815CA">
        <w:rPr>
          <w:rFonts w:asciiTheme="minorHAnsi" w:hAnsiTheme="minorHAnsi"/>
          <w:sz w:val="22"/>
          <w:szCs w:val="22"/>
        </w:rPr>
        <w:t>Wantchekon</w:t>
      </w:r>
      <w:proofErr w:type="spellEnd"/>
      <w:r w:rsidRPr="00A815CA">
        <w:rPr>
          <w:rFonts w:asciiTheme="minorHAnsi" w:hAnsiTheme="minorHAnsi"/>
          <w:sz w:val="22"/>
          <w:szCs w:val="22"/>
        </w:rPr>
        <w:t xml:space="preserve"> (2002), Sala-i-Martin and Subramanian (2003); Collier and </w:t>
      </w:r>
      <w:proofErr w:type="spellStart"/>
      <w:r w:rsidRPr="00A815CA">
        <w:rPr>
          <w:rFonts w:asciiTheme="minorHAnsi" w:hAnsiTheme="minorHAnsi"/>
          <w:sz w:val="22"/>
          <w:szCs w:val="22"/>
        </w:rPr>
        <w:t>Goderis</w:t>
      </w:r>
      <w:proofErr w:type="spellEnd"/>
      <w:r w:rsidRPr="00A815CA">
        <w:rPr>
          <w:rFonts w:asciiTheme="minorHAnsi" w:hAnsiTheme="minorHAnsi"/>
          <w:sz w:val="22"/>
          <w:szCs w:val="22"/>
        </w:rPr>
        <w:t xml:space="preserve"> (2007), </w:t>
      </w:r>
      <w:proofErr w:type="spellStart"/>
      <w:r w:rsidRPr="00A815CA">
        <w:rPr>
          <w:rFonts w:asciiTheme="minorHAnsi" w:hAnsiTheme="minorHAnsi"/>
          <w:sz w:val="22"/>
          <w:szCs w:val="22"/>
        </w:rPr>
        <w:t>Beny</w:t>
      </w:r>
      <w:proofErr w:type="spellEnd"/>
      <w:r w:rsidRPr="00A815CA">
        <w:rPr>
          <w:rFonts w:asciiTheme="minorHAnsi" w:hAnsiTheme="minorHAnsi"/>
          <w:sz w:val="22"/>
          <w:szCs w:val="22"/>
        </w:rPr>
        <w:t xml:space="preserve"> and Cook (2009)</w:t>
      </w:r>
      <w:r>
        <w:rPr>
          <w:rFonts w:asciiTheme="minorHAnsi" w:hAnsiTheme="minorHAnsi"/>
          <w:sz w:val="22"/>
          <w:szCs w:val="22"/>
        </w:rPr>
        <w:t xml:space="preserve">, and Arezki and Van der </w:t>
      </w:r>
      <w:proofErr w:type="spellStart"/>
      <w:r>
        <w:rPr>
          <w:rFonts w:asciiTheme="minorHAnsi" w:hAnsiTheme="minorHAnsi"/>
          <w:sz w:val="22"/>
          <w:szCs w:val="22"/>
        </w:rPr>
        <w:t>Ploeg</w:t>
      </w:r>
      <w:proofErr w:type="spellEnd"/>
      <w:r>
        <w:rPr>
          <w:rFonts w:asciiTheme="minorHAnsi" w:hAnsiTheme="minorHAnsi"/>
          <w:sz w:val="22"/>
          <w:szCs w:val="22"/>
        </w:rPr>
        <w:t xml:space="preserve"> (2011</w:t>
      </w:r>
      <w:r w:rsidRPr="00A815CA">
        <w:rPr>
          <w:rFonts w:asciiTheme="minorHAnsi" w:hAnsiTheme="minorHAnsi"/>
          <w:sz w:val="22"/>
          <w:szCs w:val="22"/>
        </w:rPr>
        <w:t>).</w:t>
      </w:r>
    </w:p>
  </w:footnote>
  <w:footnote w:id="2">
    <w:p w:rsidR="006C4CB1" w:rsidRPr="00AE2B9A" w:rsidRDefault="006C4CB1" w:rsidP="007B1DBB">
      <w:pPr>
        <w:pStyle w:val="FootnoteText"/>
        <w:rPr>
          <w:rFonts w:asciiTheme="minorHAnsi" w:hAnsiTheme="minorHAnsi"/>
        </w:rPr>
      </w:pPr>
      <w:r w:rsidRPr="00AE2B9A">
        <w:rPr>
          <w:rStyle w:val="FootnoteReference"/>
          <w:rFonts w:asciiTheme="minorHAnsi" w:eastAsiaTheme="majorEastAsia" w:hAnsiTheme="minorHAnsi"/>
          <w:sz w:val="22"/>
          <w:szCs w:val="22"/>
        </w:rPr>
        <w:footnoteRef/>
      </w:r>
      <w:r w:rsidRPr="00AE2B9A">
        <w:rPr>
          <w:rFonts w:asciiTheme="minorHAnsi" w:hAnsiTheme="minorHAnsi"/>
          <w:sz w:val="22"/>
          <w:szCs w:val="22"/>
        </w:rPr>
        <w:t xml:space="preserve"> </w:t>
      </w:r>
      <w:r>
        <w:rPr>
          <w:rFonts w:asciiTheme="minorHAnsi" w:hAnsiTheme="minorHAnsi"/>
          <w:sz w:val="22"/>
          <w:szCs w:val="22"/>
        </w:rPr>
        <w:t>E.g., Frankel and Romer (1999),</w:t>
      </w:r>
      <w:r w:rsidRPr="00AE2B9A">
        <w:rPr>
          <w:rFonts w:asciiTheme="minorHAnsi" w:hAnsiTheme="minorHAnsi"/>
          <w:sz w:val="22"/>
          <w:szCs w:val="22"/>
        </w:rPr>
        <w:t xml:space="preserve"> Ta</w:t>
      </w:r>
      <w:r>
        <w:rPr>
          <w:rFonts w:asciiTheme="minorHAnsi" w:hAnsiTheme="minorHAnsi"/>
          <w:sz w:val="22"/>
          <w:szCs w:val="22"/>
        </w:rPr>
        <w:t>ble 3.</w:t>
      </w:r>
      <w:r w:rsidRPr="00AE2B9A">
        <w:rPr>
          <w:rFonts w:asciiTheme="minorHAnsi" w:hAnsiTheme="minorHAnsi"/>
          <w:sz w:val="22"/>
          <w:szCs w:val="22"/>
        </w:rPr>
        <w:br/>
      </w:r>
    </w:p>
  </w:footnote>
  <w:footnote w:id="3">
    <w:p w:rsidR="006C4CB1" w:rsidRPr="000B47B8" w:rsidRDefault="006C4CB1">
      <w:pPr>
        <w:pStyle w:val="FootnoteText"/>
        <w:rPr>
          <w:rFonts w:asciiTheme="minorHAnsi" w:hAnsiTheme="minorHAnsi"/>
          <w:sz w:val="22"/>
          <w:szCs w:val="22"/>
        </w:rPr>
      </w:pPr>
      <w:r w:rsidRPr="000B47B8">
        <w:rPr>
          <w:rStyle w:val="FootnoteReference"/>
          <w:rFonts w:asciiTheme="minorHAnsi" w:hAnsiTheme="minorHAnsi"/>
          <w:sz w:val="22"/>
          <w:szCs w:val="22"/>
        </w:rPr>
        <w:footnoteRef/>
      </w:r>
      <w:r w:rsidRPr="000B47B8">
        <w:rPr>
          <w:rFonts w:asciiTheme="minorHAnsi" w:hAnsiTheme="minorHAnsi"/>
          <w:sz w:val="22"/>
          <w:szCs w:val="22"/>
        </w:rPr>
        <w:t xml:space="preserve"> </w:t>
      </w:r>
      <w:proofErr w:type="gramStart"/>
      <w:r w:rsidRPr="000B47B8">
        <w:rPr>
          <w:rFonts w:asciiTheme="minorHAnsi" w:hAnsiTheme="minorHAnsi"/>
          <w:sz w:val="22"/>
          <w:szCs w:val="22"/>
        </w:rPr>
        <w:t>Frankel (2016).</w:t>
      </w:r>
      <w:proofErr w:type="gramEnd"/>
      <w:r w:rsidRPr="000B47B8">
        <w:rPr>
          <w:rFonts w:asciiTheme="minorHAnsi" w:hAnsiTheme="minorHAnsi"/>
          <w:sz w:val="22"/>
          <w:szCs w:val="22"/>
        </w:rPr>
        <w:t xml:space="preserve">  Part of the problem is that variables like tropical location are shared by most Sub-Saharan African countries and thus cannot explain much variation </w:t>
      </w:r>
      <w:r w:rsidRPr="000B47B8">
        <w:rPr>
          <w:rFonts w:asciiTheme="minorHAnsi" w:hAnsiTheme="minorHAnsi"/>
          <w:i/>
          <w:sz w:val="22"/>
          <w:szCs w:val="22"/>
        </w:rPr>
        <w:t>within</w:t>
      </w:r>
      <w:r w:rsidRPr="000B47B8">
        <w:rPr>
          <w:rFonts w:asciiTheme="minorHAnsi" w:hAnsiTheme="minorHAnsi"/>
          <w:sz w:val="22"/>
          <w:szCs w:val="22"/>
        </w:rPr>
        <w:t xml:space="preserve"> the region.</w:t>
      </w:r>
    </w:p>
  </w:footnote>
  <w:footnote w:id="4">
    <w:p w:rsidR="006C4CB1" w:rsidRPr="000B47B8" w:rsidRDefault="006C4CB1" w:rsidP="005E7649">
      <w:r w:rsidRPr="000B47B8">
        <w:rPr>
          <w:rStyle w:val="FootnoteReference"/>
        </w:rPr>
        <w:footnoteRef/>
      </w:r>
      <w:r w:rsidRPr="000B47B8">
        <w:t xml:space="preserve"> Acemoglu, Johnson, Robinson, and </w:t>
      </w:r>
      <w:proofErr w:type="spellStart"/>
      <w:r w:rsidRPr="000B47B8">
        <w:t>Thaicharoen</w:t>
      </w:r>
      <w:proofErr w:type="spellEnd"/>
      <w:r w:rsidRPr="000B47B8">
        <w:t xml:space="preserve"> (2003), </w:t>
      </w:r>
      <w:r w:rsidRPr="000B47B8">
        <w:rPr>
          <w:rStyle w:val="nlmstring-name"/>
          <w:rFonts w:cs="Arial"/>
          <w:color w:val="000000"/>
        </w:rPr>
        <w:t>Kaminsky</w:t>
      </w:r>
      <w:r w:rsidRPr="000B47B8">
        <w:rPr>
          <w:rFonts w:cs="Arial"/>
          <w:color w:val="000000"/>
        </w:rPr>
        <w:t xml:space="preserve">, </w:t>
      </w:r>
      <w:r w:rsidRPr="000B47B8">
        <w:rPr>
          <w:rStyle w:val="nlmstring-name"/>
          <w:rFonts w:cs="Arial"/>
          <w:color w:val="000000"/>
        </w:rPr>
        <w:t>Reinhart</w:t>
      </w:r>
      <w:r w:rsidRPr="000B47B8">
        <w:rPr>
          <w:rFonts w:cs="Arial"/>
          <w:color w:val="000000"/>
        </w:rPr>
        <w:t xml:space="preserve"> and </w:t>
      </w:r>
      <w:r w:rsidRPr="000B47B8">
        <w:rPr>
          <w:rStyle w:val="nlmstring-name"/>
          <w:rFonts w:cs="Arial"/>
          <w:color w:val="000000"/>
        </w:rPr>
        <w:t>Végh</w:t>
      </w:r>
      <w:r w:rsidRPr="000B47B8">
        <w:rPr>
          <w:rFonts w:cs="Arial"/>
          <w:color w:val="000000"/>
        </w:rPr>
        <w:t xml:space="preserve"> (2004),  </w:t>
      </w:r>
      <w:proofErr w:type="spellStart"/>
      <w:r w:rsidRPr="000B47B8">
        <w:t>Lledó</w:t>
      </w:r>
      <w:proofErr w:type="spellEnd"/>
      <w:r w:rsidRPr="000B47B8">
        <w:t xml:space="preserve">, </w:t>
      </w:r>
      <w:proofErr w:type="spellStart"/>
      <w:r w:rsidRPr="000B47B8">
        <w:t>Yackovlev</w:t>
      </w:r>
      <w:proofErr w:type="spellEnd"/>
      <w:r w:rsidRPr="000B47B8">
        <w:t xml:space="preserve">, and </w:t>
      </w:r>
      <w:proofErr w:type="spellStart"/>
      <w:r w:rsidRPr="000B47B8">
        <w:t>Gadenne</w:t>
      </w:r>
      <w:proofErr w:type="spellEnd"/>
      <w:r w:rsidRPr="000B47B8">
        <w:t xml:space="preserve"> (2009), </w:t>
      </w:r>
      <w:proofErr w:type="spellStart"/>
      <w:r w:rsidRPr="000B47B8">
        <w:rPr>
          <w:rFonts w:cs="Arial"/>
          <w:color w:val="333333"/>
          <w:shd w:val="clear" w:color="auto" w:fill="FFFFFF"/>
        </w:rPr>
        <w:t>McGettigan</w:t>
      </w:r>
      <w:proofErr w:type="spellEnd"/>
      <w:r w:rsidRPr="000B47B8">
        <w:rPr>
          <w:rFonts w:cs="Arial"/>
          <w:color w:val="333333"/>
          <w:shd w:val="clear" w:color="auto" w:fill="FFFFFF"/>
        </w:rPr>
        <w:t>, et al (2013),</w:t>
      </w:r>
      <w:r w:rsidRPr="000B47B8">
        <w:t xml:space="preserve"> Frankel, Végh and Vuletin (2013), Végh and Vuletin (2013) and</w:t>
      </w:r>
      <w:r>
        <w:t xml:space="preserve"> Calderon, Duncan and </w:t>
      </w:r>
      <w:proofErr w:type="spellStart"/>
      <w:r>
        <w:t>Schmidt_Hebbel</w:t>
      </w:r>
      <w:proofErr w:type="spellEnd"/>
      <w:r>
        <w:t xml:space="preserve"> (2016).</w:t>
      </w:r>
    </w:p>
    <w:p w:rsidR="006C4CB1" w:rsidRPr="00306E44" w:rsidRDefault="006C4CB1" w:rsidP="005E7649">
      <w:pPr>
        <w:pStyle w:val="FootnoteText"/>
        <w:rPr>
          <w:rFonts w:asciiTheme="minorHAnsi" w:hAnsiTheme="minorHAnsi"/>
        </w:rPr>
      </w:pPr>
      <w:r w:rsidRPr="0086332B">
        <w:rPr>
          <w:rFonts w:asciiTheme="minorHAnsi" w:hAnsiTheme="minorHAnsi"/>
        </w:rPr>
        <w:t>.</w:t>
      </w:r>
    </w:p>
  </w:footnote>
  <w:footnote w:id="5">
    <w:p w:rsidR="006C4CB1" w:rsidRPr="000B47B8" w:rsidRDefault="006C4CB1">
      <w:pPr>
        <w:pStyle w:val="FootnoteText"/>
        <w:rPr>
          <w:rFonts w:asciiTheme="minorHAnsi" w:hAnsiTheme="minorHAnsi"/>
          <w:sz w:val="22"/>
          <w:szCs w:val="22"/>
        </w:rPr>
      </w:pPr>
      <w:r w:rsidRPr="000B47B8">
        <w:rPr>
          <w:rStyle w:val="FootnoteReference"/>
          <w:rFonts w:asciiTheme="minorHAnsi" w:hAnsiTheme="minorHAnsi"/>
          <w:sz w:val="22"/>
          <w:szCs w:val="22"/>
        </w:rPr>
        <w:footnoteRef/>
      </w:r>
      <w:r w:rsidRPr="000B47B8">
        <w:rPr>
          <w:rFonts w:asciiTheme="minorHAnsi" w:hAnsiTheme="minorHAnsi"/>
          <w:sz w:val="22"/>
          <w:szCs w:val="22"/>
        </w:rPr>
        <w:t xml:space="preserve"> A third kind of trade-promoting policy is investment in infrastructure to promote trade, including roads, railroads, ports, airports, and information/telecommunications links such as fiber-optic cable.  </w:t>
      </w:r>
      <w:proofErr w:type="spellStart"/>
      <w:r w:rsidRPr="000B47B8">
        <w:rPr>
          <w:rFonts w:asciiTheme="minorHAnsi" w:hAnsiTheme="minorHAnsi"/>
          <w:color w:val="333333"/>
          <w:sz w:val="22"/>
          <w:szCs w:val="22"/>
          <w:shd w:val="clear" w:color="auto" w:fill="FCFCFC"/>
        </w:rPr>
        <w:t>Limao</w:t>
      </w:r>
      <w:proofErr w:type="spellEnd"/>
      <w:r w:rsidRPr="000B47B8">
        <w:rPr>
          <w:rFonts w:asciiTheme="minorHAnsi" w:hAnsiTheme="minorHAnsi"/>
          <w:color w:val="333333"/>
          <w:sz w:val="22"/>
          <w:szCs w:val="22"/>
          <w:shd w:val="clear" w:color="auto" w:fill="FCFCFC"/>
        </w:rPr>
        <w:t xml:space="preserve"> and </w:t>
      </w:r>
      <w:proofErr w:type="spellStart"/>
      <w:r w:rsidRPr="000B47B8">
        <w:rPr>
          <w:rFonts w:asciiTheme="minorHAnsi" w:hAnsiTheme="minorHAnsi"/>
          <w:color w:val="333333"/>
          <w:sz w:val="22"/>
          <w:szCs w:val="22"/>
          <w:shd w:val="clear" w:color="auto" w:fill="FCFCFC"/>
        </w:rPr>
        <w:t>Venables</w:t>
      </w:r>
      <w:proofErr w:type="spellEnd"/>
      <w:r w:rsidRPr="000B47B8">
        <w:rPr>
          <w:rFonts w:asciiTheme="minorHAnsi" w:hAnsiTheme="minorHAnsi"/>
          <w:color w:val="333333"/>
          <w:sz w:val="22"/>
          <w:szCs w:val="22"/>
          <w:shd w:val="clear" w:color="auto" w:fill="FCFCFC"/>
        </w:rPr>
        <w:t xml:space="preserve"> (2001) find that the relatively low level of African trade in general is largely due to poor infrastructure.</w:t>
      </w:r>
    </w:p>
  </w:footnote>
  <w:footnote w:id="6">
    <w:p w:rsidR="006C4CB1" w:rsidRPr="001E45A3" w:rsidRDefault="006C4CB1" w:rsidP="00E73E18">
      <w:pPr>
        <w:pStyle w:val="Heading1"/>
        <w:shd w:val="clear" w:color="auto" w:fill="FCFCFC"/>
        <w:spacing w:before="0"/>
        <w:rPr>
          <w:rFonts w:asciiTheme="minorHAnsi" w:hAnsiTheme="minorHAnsi"/>
          <w:b w:val="0"/>
          <w:color w:val="333333"/>
          <w:sz w:val="22"/>
          <w:szCs w:val="22"/>
          <w:shd w:val="clear" w:color="auto" w:fill="FCFCFC"/>
        </w:rPr>
      </w:pPr>
      <w:r>
        <w:rPr>
          <w:rStyle w:val="FootnoteReference"/>
        </w:rPr>
        <w:footnoteRef/>
      </w:r>
      <w:r>
        <w:t xml:space="preserve"> </w:t>
      </w:r>
      <w:proofErr w:type="gramStart"/>
      <w:r>
        <w:rPr>
          <w:rFonts w:asciiTheme="minorHAnsi" w:hAnsiTheme="minorHAnsi"/>
          <w:b w:val="0"/>
          <w:color w:val="333333"/>
          <w:sz w:val="22"/>
          <w:szCs w:val="22"/>
          <w:shd w:val="clear" w:color="auto" w:fill="FCFCFC"/>
        </w:rPr>
        <w:t xml:space="preserve">E.g., Longo and </w:t>
      </w:r>
      <w:proofErr w:type="spellStart"/>
      <w:r>
        <w:rPr>
          <w:rFonts w:asciiTheme="minorHAnsi" w:hAnsiTheme="minorHAnsi"/>
          <w:b w:val="0"/>
          <w:color w:val="333333"/>
          <w:sz w:val="22"/>
          <w:szCs w:val="22"/>
          <w:shd w:val="clear" w:color="auto" w:fill="FCFCFC"/>
        </w:rPr>
        <w:t>Sekkat</w:t>
      </w:r>
      <w:proofErr w:type="spellEnd"/>
      <w:r>
        <w:rPr>
          <w:rFonts w:asciiTheme="minorHAnsi" w:hAnsiTheme="minorHAnsi"/>
          <w:b w:val="0"/>
          <w:color w:val="333333"/>
          <w:sz w:val="22"/>
          <w:szCs w:val="22"/>
          <w:shd w:val="clear" w:color="auto" w:fill="FCFCFC"/>
        </w:rPr>
        <w:t xml:space="preserve"> (2001), Subramanian and </w:t>
      </w:r>
      <w:proofErr w:type="spellStart"/>
      <w:r>
        <w:rPr>
          <w:rFonts w:asciiTheme="minorHAnsi" w:hAnsiTheme="minorHAnsi"/>
          <w:b w:val="0"/>
          <w:color w:val="333333"/>
          <w:sz w:val="22"/>
          <w:szCs w:val="22"/>
          <w:shd w:val="clear" w:color="auto" w:fill="FCFCFC"/>
        </w:rPr>
        <w:t>Tamirisa</w:t>
      </w:r>
      <w:proofErr w:type="spellEnd"/>
      <w:r>
        <w:rPr>
          <w:rFonts w:asciiTheme="minorHAnsi" w:hAnsiTheme="minorHAnsi"/>
          <w:b w:val="0"/>
          <w:color w:val="333333"/>
          <w:sz w:val="22"/>
          <w:szCs w:val="22"/>
          <w:shd w:val="clear" w:color="auto" w:fill="FCFCFC"/>
        </w:rPr>
        <w:t xml:space="preserve"> (2001), Tavlas (2008), and Lopes (2016), among many others.</w:t>
      </w:r>
      <w:proofErr w:type="gramEnd"/>
    </w:p>
  </w:footnote>
  <w:footnote w:id="7">
    <w:p w:rsidR="006C4CB1" w:rsidRPr="00C44B69" w:rsidRDefault="006C4CB1" w:rsidP="00E73E18">
      <w:pPr>
        <w:pStyle w:val="Heading1"/>
        <w:keepNext w:val="0"/>
        <w:keepLines w:val="0"/>
        <w:shd w:val="clear" w:color="auto" w:fill="FCFCFC"/>
        <w:spacing w:before="0" w:line="240" w:lineRule="auto"/>
        <w:rPr>
          <w:rFonts w:asciiTheme="minorHAnsi" w:hAnsiTheme="minorHAnsi"/>
          <w:b w:val="0"/>
          <w:color w:val="auto"/>
          <w:sz w:val="22"/>
          <w:szCs w:val="22"/>
          <w:shd w:val="clear" w:color="auto" w:fill="FCFCFC"/>
        </w:rPr>
      </w:pPr>
      <w:r w:rsidRPr="00C44B69">
        <w:rPr>
          <w:rStyle w:val="FootnoteReference"/>
          <w:color w:val="auto"/>
        </w:rPr>
        <w:footnoteRef/>
      </w:r>
      <w:r w:rsidRPr="00C44B69">
        <w:rPr>
          <w:color w:val="auto"/>
        </w:rPr>
        <w:t xml:space="preserve"> </w:t>
      </w:r>
      <w:proofErr w:type="gramStart"/>
      <w:r w:rsidRPr="00C44B69">
        <w:rPr>
          <w:rFonts w:asciiTheme="minorHAnsi" w:hAnsiTheme="minorHAnsi"/>
          <w:b w:val="0"/>
          <w:color w:val="auto"/>
          <w:sz w:val="22"/>
          <w:szCs w:val="22"/>
          <w:shd w:val="clear" w:color="auto" w:fill="FCFCFC"/>
        </w:rPr>
        <w:t>Considering reasons for low intra-African trade</w:t>
      </w:r>
      <w:r w:rsidRPr="00C44B69">
        <w:rPr>
          <w:rFonts w:ascii="Arial" w:hAnsi="Arial" w:cs="Arial"/>
          <w:b w:val="0"/>
          <w:color w:val="auto"/>
        </w:rPr>
        <w:t xml:space="preserve">, </w:t>
      </w:r>
      <w:r w:rsidRPr="00C44B69">
        <w:rPr>
          <w:rFonts w:asciiTheme="minorHAnsi" w:hAnsiTheme="minorHAnsi"/>
          <w:b w:val="0"/>
          <w:color w:val="auto"/>
          <w:sz w:val="22"/>
          <w:szCs w:val="22"/>
          <w:shd w:val="clear" w:color="auto" w:fill="FCFCFC"/>
        </w:rPr>
        <w:t xml:space="preserve">Longo and </w:t>
      </w:r>
      <w:proofErr w:type="spellStart"/>
      <w:r w:rsidRPr="00C44B69">
        <w:rPr>
          <w:rFonts w:asciiTheme="minorHAnsi" w:hAnsiTheme="minorHAnsi"/>
          <w:b w:val="0"/>
          <w:color w:val="auto"/>
          <w:sz w:val="22"/>
          <w:szCs w:val="22"/>
          <w:shd w:val="clear" w:color="auto" w:fill="FCFCFC"/>
        </w:rPr>
        <w:t>Sekkat</w:t>
      </w:r>
      <w:proofErr w:type="spellEnd"/>
      <w:r w:rsidRPr="00C44B69">
        <w:rPr>
          <w:rFonts w:asciiTheme="minorHAnsi" w:hAnsiTheme="minorHAnsi"/>
          <w:b w:val="0"/>
          <w:color w:val="auto"/>
          <w:sz w:val="22"/>
          <w:szCs w:val="22"/>
          <w:shd w:val="clear" w:color="auto" w:fill="FCFCFC"/>
        </w:rPr>
        <w:t xml:space="preserve"> (2001) list </w:t>
      </w:r>
      <w:r w:rsidRPr="00C44B69">
        <w:rPr>
          <w:rFonts w:asciiTheme="minorHAnsi" w:hAnsiTheme="minorHAnsi" w:cs="Arial"/>
          <w:b w:val="0"/>
          <w:color w:val="auto"/>
          <w:sz w:val="22"/>
          <w:szCs w:val="22"/>
        </w:rPr>
        <w:t>“besides traditional gravity variables, poor infrastructure, economic policy mismanagement, and internal political tensions.”</w:t>
      </w:r>
      <w:proofErr w:type="gramEnd"/>
      <w:r w:rsidRPr="00C44B69">
        <w:rPr>
          <w:rFonts w:asciiTheme="minorHAnsi" w:hAnsiTheme="minorHAnsi" w:cs="Arial"/>
          <w:b w:val="0"/>
          <w:color w:val="auto"/>
          <w:sz w:val="22"/>
          <w:szCs w:val="22"/>
        </w:rPr>
        <w:t xml:space="preserve">   Yeats </w:t>
      </w:r>
      <w:r>
        <w:rPr>
          <w:rFonts w:asciiTheme="minorHAnsi" w:hAnsiTheme="minorHAnsi" w:cs="Arial"/>
          <w:b w:val="0"/>
          <w:color w:val="auto"/>
          <w:sz w:val="22"/>
          <w:szCs w:val="22"/>
        </w:rPr>
        <w:t>(1999) emphasizes</w:t>
      </w:r>
      <w:r w:rsidRPr="00C44B69">
        <w:rPr>
          <w:rFonts w:asciiTheme="minorHAnsi" w:hAnsiTheme="minorHAnsi" w:cs="Arial"/>
          <w:b w:val="0"/>
          <w:color w:val="auto"/>
          <w:sz w:val="22"/>
          <w:szCs w:val="22"/>
        </w:rPr>
        <w:t xml:space="preserve"> s</w:t>
      </w:r>
      <w:r>
        <w:rPr>
          <w:rFonts w:asciiTheme="minorHAnsi" w:hAnsiTheme="minorHAnsi" w:cs="Arial"/>
          <w:b w:val="0"/>
          <w:color w:val="auto"/>
          <w:sz w:val="22"/>
          <w:szCs w:val="22"/>
        </w:rPr>
        <w:t xml:space="preserve">imilarity of export products.  </w:t>
      </w:r>
      <w:r w:rsidRPr="00C44B69">
        <w:rPr>
          <w:rFonts w:asciiTheme="minorHAnsi" w:hAnsiTheme="minorHAnsi" w:cs="Arial"/>
          <w:b w:val="0"/>
          <w:color w:val="auto"/>
          <w:sz w:val="22"/>
          <w:szCs w:val="22"/>
        </w:rPr>
        <w:t xml:space="preserve">That </w:t>
      </w:r>
      <w:r>
        <w:rPr>
          <w:rFonts w:asciiTheme="minorHAnsi" w:hAnsiTheme="minorHAnsi" w:cs="Arial"/>
          <w:b w:val="0"/>
          <w:color w:val="auto"/>
          <w:sz w:val="22"/>
          <w:szCs w:val="22"/>
        </w:rPr>
        <w:t xml:space="preserve">especially refers to mineral, energy, and agricultural </w:t>
      </w:r>
      <w:r w:rsidRPr="00C44B69">
        <w:rPr>
          <w:rFonts w:asciiTheme="minorHAnsi" w:hAnsiTheme="minorHAnsi" w:cs="Arial"/>
          <w:b w:val="0"/>
          <w:color w:val="auto"/>
          <w:sz w:val="22"/>
          <w:szCs w:val="22"/>
        </w:rPr>
        <w:t>commodities, though it is worth noting that Latin America and the Middle East are also commodity exporters.  Tavlas (2008) lists</w:t>
      </w:r>
      <w:r w:rsidRPr="00C44B69">
        <w:rPr>
          <w:rFonts w:ascii="Arial" w:hAnsi="Arial" w:cs="Arial"/>
          <w:b w:val="0"/>
          <w:color w:val="auto"/>
        </w:rPr>
        <w:t xml:space="preserve"> </w:t>
      </w:r>
      <w:r w:rsidRPr="00C44B69">
        <w:rPr>
          <w:rFonts w:asciiTheme="minorHAnsi" w:hAnsiTheme="minorHAnsi"/>
          <w:b w:val="0"/>
          <w:color w:val="auto"/>
          <w:sz w:val="22"/>
          <w:szCs w:val="22"/>
          <w:shd w:val="clear" w:color="auto" w:fill="FCFCFC"/>
        </w:rPr>
        <w:t>low per capita income, similar products, distance (understated by miles-as-the-crow-flies, due to limited transportation, and informal trade (missing from the official statistics).</w:t>
      </w:r>
    </w:p>
    <w:p w:rsidR="006C4CB1" w:rsidRDefault="006C4CB1" w:rsidP="00E73E18">
      <w:pPr>
        <w:pStyle w:val="FootnoteText"/>
      </w:pPr>
    </w:p>
  </w:footnote>
  <w:footnote w:id="8">
    <w:p w:rsidR="006C4CB1" w:rsidRPr="00E27208" w:rsidRDefault="006C4CB1" w:rsidP="00E73E18">
      <w:pPr>
        <w:tabs>
          <w:tab w:val="left" w:pos="0"/>
        </w:tabs>
        <w:suppressAutoHyphens/>
        <w:spacing w:line="240" w:lineRule="auto"/>
        <w:rPr>
          <w:spacing w:val="-3"/>
        </w:rPr>
      </w:pPr>
      <w:r w:rsidRPr="00E27208">
        <w:rPr>
          <w:rStyle w:val="FootnoteReference"/>
        </w:rPr>
        <w:footnoteRef/>
      </w:r>
      <w:r w:rsidRPr="00E27208">
        <w:t xml:space="preserve"> </w:t>
      </w:r>
      <w:r w:rsidRPr="00E27208">
        <w:rPr>
          <w:spacing w:val="-3"/>
        </w:rPr>
        <w:t xml:space="preserve">It is a necessary property of the intra-regional share measure that the smaller the set of economies around which one throws the lasso, the lower will be the apparent bias toward trade within.  </w:t>
      </w:r>
      <w:r>
        <w:rPr>
          <w:spacing w:val="-3"/>
        </w:rPr>
        <w:t>(</w:t>
      </w:r>
      <w:r w:rsidRPr="00E27208">
        <w:rPr>
          <w:spacing w:val="-3"/>
        </w:rPr>
        <w:t>In the limit, if one throws the lasso around all countries of planet Earth, one would find a</w:t>
      </w:r>
      <w:r>
        <w:rPr>
          <w:spacing w:val="-3"/>
        </w:rPr>
        <w:t>n intra-</w:t>
      </w:r>
      <w:proofErr w:type="gramStart"/>
      <w:r>
        <w:rPr>
          <w:spacing w:val="-3"/>
        </w:rPr>
        <w:t xml:space="preserve">Earth </w:t>
      </w:r>
      <w:r w:rsidRPr="00E27208">
        <w:rPr>
          <w:spacing w:val="-3"/>
        </w:rPr>
        <w:t xml:space="preserve"> ratio</w:t>
      </w:r>
      <w:proofErr w:type="gramEnd"/>
      <w:r w:rsidRPr="00E27208">
        <w:rPr>
          <w:spacing w:val="-3"/>
        </w:rPr>
        <w:t xml:space="preserve"> of 100 percent.</w:t>
      </w:r>
      <w:r>
        <w:rPr>
          <w:spacing w:val="-3"/>
        </w:rPr>
        <w:t>)</w:t>
      </w:r>
      <w:r w:rsidRPr="00E27208">
        <w:rPr>
          <w:spacing w:val="-3"/>
        </w:rPr>
        <w:t xml:space="preserve">  </w:t>
      </w:r>
      <w:proofErr w:type="gramStart"/>
      <w:r w:rsidRPr="00E27208">
        <w:rPr>
          <w:spacing w:val="-3"/>
        </w:rPr>
        <w:t>Frankel (1997), Chapter 2.</w:t>
      </w:r>
      <w:proofErr w:type="gramEnd"/>
    </w:p>
  </w:footnote>
  <w:footnote w:id="9">
    <w:p w:rsidR="006C4CB1" w:rsidRPr="006671D1" w:rsidRDefault="006C4CB1" w:rsidP="00E73E18">
      <w:pPr>
        <w:pStyle w:val="FootnoteText"/>
        <w:rPr>
          <w:rFonts w:asciiTheme="minorHAnsi" w:hAnsiTheme="minorHAnsi"/>
          <w:sz w:val="22"/>
          <w:szCs w:val="22"/>
        </w:rPr>
      </w:pPr>
      <w:r w:rsidRPr="006671D1">
        <w:rPr>
          <w:rStyle w:val="FootnoteReference"/>
          <w:rFonts w:asciiTheme="minorHAnsi" w:hAnsiTheme="minorHAnsi"/>
          <w:sz w:val="22"/>
          <w:szCs w:val="22"/>
        </w:rPr>
        <w:footnoteRef/>
      </w:r>
      <w:r w:rsidRPr="006671D1">
        <w:rPr>
          <w:rFonts w:asciiTheme="minorHAnsi" w:hAnsiTheme="minorHAnsi"/>
          <w:sz w:val="22"/>
          <w:szCs w:val="22"/>
        </w:rPr>
        <w:t xml:space="preserve"> For example Frankel et al (1997, p.26) found that for </w:t>
      </w:r>
      <w:r>
        <w:rPr>
          <w:rFonts w:asciiTheme="minorHAnsi" w:hAnsiTheme="minorHAnsi"/>
          <w:sz w:val="22"/>
          <w:szCs w:val="22"/>
        </w:rPr>
        <w:t xml:space="preserve">most of </w:t>
      </w:r>
      <w:r w:rsidRPr="006671D1">
        <w:rPr>
          <w:rFonts w:asciiTheme="minorHAnsi" w:hAnsiTheme="minorHAnsi"/>
          <w:sz w:val="22"/>
          <w:szCs w:val="22"/>
        </w:rPr>
        <w:t>the period 1962-1994</w:t>
      </w:r>
      <w:r>
        <w:rPr>
          <w:rFonts w:asciiTheme="minorHAnsi" w:hAnsiTheme="minorHAnsi"/>
          <w:sz w:val="22"/>
          <w:szCs w:val="22"/>
        </w:rPr>
        <w:t xml:space="preserve"> </w:t>
      </w:r>
      <w:r w:rsidRPr="006671D1">
        <w:rPr>
          <w:rFonts w:asciiTheme="minorHAnsi" w:hAnsiTheme="minorHAnsi"/>
          <w:sz w:val="22"/>
          <w:szCs w:val="22"/>
        </w:rPr>
        <w:t>Africa had a</w:t>
      </w:r>
      <w:r>
        <w:rPr>
          <w:rFonts w:asciiTheme="minorHAnsi" w:hAnsiTheme="minorHAnsi"/>
          <w:sz w:val="22"/>
          <w:szCs w:val="22"/>
        </w:rPr>
        <w:t xml:space="preserve">mong </w:t>
      </w:r>
      <w:r w:rsidRPr="006671D1">
        <w:rPr>
          <w:rFonts w:asciiTheme="minorHAnsi" w:hAnsiTheme="minorHAnsi"/>
          <w:sz w:val="22"/>
          <w:szCs w:val="22"/>
        </w:rPr>
        <w:t xml:space="preserve">the lowest concentration ratio of standard regional groupings. </w:t>
      </w:r>
      <w:r>
        <w:rPr>
          <w:rFonts w:asciiTheme="minorHAnsi" w:hAnsiTheme="minorHAnsi"/>
          <w:sz w:val="22"/>
          <w:szCs w:val="22"/>
        </w:rPr>
        <w:t>But</w:t>
      </w:r>
      <w:r w:rsidRPr="006671D1">
        <w:rPr>
          <w:rFonts w:asciiTheme="minorHAnsi" w:hAnsiTheme="minorHAnsi"/>
          <w:sz w:val="22"/>
          <w:szCs w:val="22"/>
        </w:rPr>
        <w:t xml:space="preserve"> African trade </w:t>
      </w:r>
      <w:r>
        <w:rPr>
          <w:rFonts w:asciiTheme="minorHAnsi" w:hAnsiTheme="minorHAnsi"/>
          <w:sz w:val="22"/>
          <w:szCs w:val="22"/>
        </w:rPr>
        <w:t>wa</w:t>
      </w:r>
      <w:r w:rsidRPr="006671D1">
        <w:rPr>
          <w:rFonts w:asciiTheme="minorHAnsi" w:hAnsiTheme="minorHAnsi"/>
          <w:sz w:val="22"/>
          <w:szCs w:val="22"/>
        </w:rPr>
        <w:t xml:space="preserve">s seen to swing </w:t>
      </w:r>
      <w:r>
        <w:rPr>
          <w:rFonts w:asciiTheme="minorHAnsi" w:hAnsiTheme="minorHAnsi"/>
          <w:sz w:val="22"/>
          <w:szCs w:val="22"/>
        </w:rPr>
        <w:t xml:space="preserve">strongly </w:t>
      </w:r>
      <w:r w:rsidRPr="006671D1">
        <w:rPr>
          <w:rFonts w:asciiTheme="minorHAnsi" w:hAnsiTheme="minorHAnsi"/>
          <w:sz w:val="22"/>
          <w:szCs w:val="22"/>
        </w:rPr>
        <w:t>in the intra-regional direction in the 1990s</w:t>
      </w:r>
      <w:r>
        <w:rPr>
          <w:rFonts w:asciiTheme="minorHAnsi" w:hAnsiTheme="minorHAnsi"/>
          <w:sz w:val="22"/>
          <w:szCs w:val="22"/>
        </w:rPr>
        <w:t xml:space="preserve">, especially </w:t>
      </w:r>
      <w:r w:rsidRPr="006671D1">
        <w:rPr>
          <w:rFonts w:asciiTheme="minorHAnsi" w:hAnsiTheme="minorHAnsi"/>
          <w:sz w:val="22"/>
          <w:szCs w:val="22"/>
        </w:rPr>
        <w:t xml:space="preserve">(ib. p.28) according to the intensity </w:t>
      </w:r>
      <w:r>
        <w:rPr>
          <w:rFonts w:asciiTheme="minorHAnsi" w:hAnsiTheme="minorHAnsi"/>
          <w:sz w:val="22"/>
          <w:szCs w:val="22"/>
        </w:rPr>
        <w:t>coefficient,</w:t>
      </w:r>
      <w:r w:rsidRPr="006671D1">
        <w:rPr>
          <w:rFonts w:asciiTheme="minorHAnsi" w:hAnsiTheme="minorHAnsi"/>
          <w:sz w:val="22"/>
          <w:szCs w:val="22"/>
        </w:rPr>
        <w:t xml:space="preserve"> a</w:t>
      </w:r>
      <w:r>
        <w:rPr>
          <w:rFonts w:asciiTheme="minorHAnsi" w:hAnsiTheme="minorHAnsi"/>
          <w:sz w:val="22"/>
          <w:szCs w:val="22"/>
        </w:rPr>
        <w:t xml:space="preserve"> slightly more refined measure </w:t>
      </w:r>
      <w:r w:rsidRPr="006671D1">
        <w:rPr>
          <w:rFonts w:asciiTheme="minorHAnsi" w:hAnsiTheme="minorHAnsi"/>
          <w:sz w:val="22"/>
          <w:szCs w:val="22"/>
        </w:rPr>
        <w:t xml:space="preserve">of Anderson and </w:t>
      </w:r>
      <w:proofErr w:type="spellStart"/>
      <w:r w:rsidRPr="006671D1">
        <w:rPr>
          <w:rFonts w:asciiTheme="minorHAnsi" w:hAnsiTheme="minorHAnsi"/>
          <w:sz w:val="22"/>
          <w:szCs w:val="22"/>
        </w:rPr>
        <w:t>Norheim</w:t>
      </w:r>
      <w:proofErr w:type="spellEnd"/>
      <w:r w:rsidRPr="006671D1">
        <w:rPr>
          <w:rFonts w:asciiTheme="minorHAnsi" w:hAnsiTheme="minorHAnsi"/>
          <w:sz w:val="22"/>
          <w:szCs w:val="22"/>
        </w:rPr>
        <w:t xml:space="preserve"> (1993).</w:t>
      </w:r>
      <w:r>
        <w:rPr>
          <w:rFonts w:asciiTheme="minorHAnsi" w:hAnsiTheme="minorHAnsi"/>
          <w:sz w:val="22"/>
          <w:szCs w:val="22"/>
        </w:rPr>
        <w:br/>
      </w:r>
    </w:p>
  </w:footnote>
  <w:footnote w:id="10">
    <w:p w:rsidR="006C4CB1" w:rsidRPr="001E3325" w:rsidRDefault="006C4CB1" w:rsidP="00E73E18">
      <w:pPr>
        <w:pStyle w:val="FootnoteText"/>
      </w:pPr>
      <w:r w:rsidRPr="0093222D">
        <w:rPr>
          <w:rStyle w:val="FootnoteReference"/>
          <w:rFonts w:asciiTheme="minorHAnsi" w:hAnsiTheme="minorHAnsi"/>
          <w:sz w:val="22"/>
          <w:szCs w:val="22"/>
        </w:rPr>
        <w:footnoteRef/>
      </w:r>
      <w:r w:rsidRPr="0093222D">
        <w:rPr>
          <w:rFonts w:asciiTheme="minorHAnsi" w:hAnsiTheme="minorHAnsi"/>
          <w:sz w:val="22"/>
          <w:szCs w:val="22"/>
        </w:rPr>
        <w:t xml:space="preserve">  As we will see shortly, the gravity model holds constant not only for country size, but also </w:t>
      </w:r>
      <w:r>
        <w:rPr>
          <w:rFonts w:asciiTheme="minorHAnsi" w:hAnsiTheme="minorHAnsi"/>
          <w:sz w:val="22"/>
          <w:szCs w:val="22"/>
        </w:rPr>
        <w:t xml:space="preserve">for </w:t>
      </w:r>
      <w:r w:rsidRPr="0093222D">
        <w:rPr>
          <w:rFonts w:asciiTheme="minorHAnsi" w:hAnsiTheme="minorHAnsi"/>
          <w:sz w:val="22"/>
          <w:szCs w:val="22"/>
        </w:rPr>
        <w:t xml:space="preserve">bilateral distance, common borders, </w:t>
      </w:r>
      <w:proofErr w:type="spellStart"/>
      <w:r w:rsidRPr="0093222D">
        <w:rPr>
          <w:rFonts w:asciiTheme="minorHAnsi" w:hAnsiTheme="minorHAnsi"/>
          <w:sz w:val="22"/>
          <w:szCs w:val="22"/>
        </w:rPr>
        <w:t>landlockedness</w:t>
      </w:r>
      <w:proofErr w:type="spellEnd"/>
      <w:r w:rsidRPr="0093222D">
        <w:rPr>
          <w:rFonts w:asciiTheme="minorHAnsi" w:hAnsiTheme="minorHAnsi"/>
          <w:sz w:val="22"/>
          <w:szCs w:val="22"/>
        </w:rPr>
        <w:t xml:space="preserve">, common language, </w:t>
      </w:r>
      <w:r>
        <w:rPr>
          <w:rFonts w:asciiTheme="minorHAnsi" w:hAnsiTheme="minorHAnsi"/>
          <w:sz w:val="22"/>
          <w:szCs w:val="22"/>
        </w:rPr>
        <w:t>and other variables</w:t>
      </w:r>
      <w:r w:rsidRPr="0093222D">
        <w:rPr>
          <w:rFonts w:asciiTheme="minorHAnsi" w:hAnsiTheme="minorHAnsi"/>
          <w:sz w:val="22"/>
          <w:szCs w:val="22"/>
        </w:rPr>
        <w:t>.</w:t>
      </w:r>
      <w:r>
        <w:t xml:space="preserve">  </w:t>
      </w:r>
      <w:proofErr w:type="gramStart"/>
      <w:r>
        <w:rPr>
          <w:rFonts w:asciiTheme="minorHAnsi" w:hAnsiTheme="minorHAnsi"/>
          <w:sz w:val="22"/>
          <w:szCs w:val="22"/>
        </w:rPr>
        <w:t xml:space="preserve">Head </w:t>
      </w:r>
      <w:r w:rsidRPr="001E3325">
        <w:rPr>
          <w:rFonts w:asciiTheme="minorHAnsi" w:hAnsiTheme="minorHAnsi"/>
          <w:sz w:val="22"/>
          <w:szCs w:val="22"/>
        </w:rPr>
        <w:t xml:space="preserve">and </w:t>
      </w:r>
      <w:r>
        <w:rPr>
          <w:rFonts w:asciiTheme="minorHAnsi" w:hAnsiTheme="minorHAnsi"/>
          <w:sz w:val="22"/>
          <w:szCs w:val="22"/>
        </w:rPr>
        <w:t>Mayer (</w:t>
      </w:r>
      <w:r w:rsidRPr="001E3325">
        <w:rPr>
          <w:rFonts w:asciiTheme="minorHAnsi" w:hAnsiTheme="minorHAnsi"/>
          <w:sz w:val="22"/>
          <w:szCs w:val="22"/>
        </w:rPr>
        <w:t>2014</w:t>
      </w:r>
      <w:r>
        <w:rPr>
          <w:rFonts w:asciiTheme="minorHAnsi" w:hAnsiTheme="minorHAnsi"/>
          <w:sz w:val="22"/>
          <w:szCs w:val="22"/>
        </w:rPr>
        <w:t>) a</w:t>
      </w:r>
      <w:r w:rsidRPr="001E3325">
        <w:rPr>
          <w:rFonts w:asciiTheme="minorHAnsi" w:hAnsiTheme="minorHAnsi" w:cs="Arial"/>
          <w:sz w:val="22"/>
          <w:szCs w:val="22"/>
          <w:shd w:val="clear" w:color="auto" w:fill="FFFFFF"/>
        </w:rPr>
        <w:t>nd Frankel, Stein and Wei (1997).</w:t>
      </w:r>
      <w:proofErr w:type="gramEnd"/>
      <w:r>
        <w:rPr>
          <w:rFonts w:asciiTheme="minorHAnsi" w:hAnsiTheme="minorHAnsi" w:cs="Arial"/>
          <w:sz w:val="22"/>
          <w:szCs w:val="22"/>
          <w:shd w:val="clear" w:color="auto" w:fill="FFFFFF"/>
        </w:rPr>
        <w:br/>
      </w:r>
    </w:p>
  </w:footnote>
  <w:footnote w:id="11">
    <w:p w:rsidR="006C4CB1" w:rsidRDefault="006C4CB1" w:rsidP="00184E48">
      <w:pPr>
        <w:pStyle w:val="FootnoteText"/>
      </w:pPr>
      <w:r>
        <w:rPr>
          <w:rStyle w:val="FootnoteReference"/>
        </w:rPr>
        <w:footnoteRef/>
      </w:r>
      <w:r>
        <w:t xml:space="preserve"> </w:t>
      </w:r>
      <w:proofErr w:type="gramStart"/>
      <w:r w:rsidRPr="005B4508">
        <w:rPr>
          <w:rFonts w:asciiTheme="minorHAnsi" w:hAnsiTheme="minorHAnsi"/>
          <w:sz w:val="22"/>
          <w:szCs w:val="22"/>
        </w:rPr>
        <w:t>Rodrik (1999).</w:t>
      </w:r>
      <w:proofErr w:type="gramEnd"/>
      <w:r>
        <w:rPr>
          <w:rFonts w:asciiTheme="minorHAnsi" w:hAnsiTheme="minorHAnsi"/>
          <w:sz w:val="22"/>
          <w:szCs w:val="22"/>
        </w:rPr>
        <w:br/>
      </w:r>
    </w:p>
  </w:footnote>
  <w:footnote w:id="12">
    <w:p w:rsidR="006C4CB1" w:rsidRPr="00682149" w:rsidRDefault="006C4CB1">
      <w:pPr>
        <w:pStyle w:val="FootnoteText"/>
        <w:rPr>
          <w:rFonts w:asciiTheme="minorHAnsi" w:hAnsiTheme="minorHAnsi"/>
          <w:sz w:val="22"/>
          <w:szCs w:val="22"/>
        </w:rPr>
      </w:pPr>
      <w:r w:rsidRPr="00682149">
        <w:rPr>
          <w:rStyle w:val="FootnoteReference"/>
          <w:rFonts w:asciiTheme="minorHAnsi" w:hAnsiTheme="minorHAnsi"/>
          <w:sz w:val="22"/>
          <w:szCs w:val="22"/>
        </w:rPr>
        <w:footnoteRef/>
      </w:r>
      <w:r w:rsidRPr="00682149">
        <w:rPr>
          <w:rFonts w:asciiTheme="minorHAnsi" w:hAnsiTheme="minorHAnsi"/>
          <w:sz w:val="22"/>
          <w:szCs w:val="22"/>
        </w:rPr>
        <w:t xml:space="preserve"> With respect to trade policy, this argues for multilateral reduction of trade barriers via the WTO (Yeats, 1999).  With respect to </w:t>
      </w:r>
      <w:r>
        <w:rPr>
          <w:rFonts w:asciiTheme="minorHAnsi" w:hAnsiTheme="minorHAnsi"/>
          <w:sz w:val="22"/>
          <w:szCs w:val="22"/>
        </w:rPr>
        <w:t xml:space="preserve">currency policy, linking to all the major currencies is not logically an option, because they float against each other.  But this leads to the question whether the CFA franc should peg to the euro or the dollar, or follow some other strategy (to be considered in Memo 3).  </w:t>
      </w:r>
      <w:r w:rsidRPr="004A4262">
        <w:rPr>
          <w:rFonts w:asciiTheme="minorHAnsi" w:hAnsiTheme="minorHAnsi"/>
          <w:sz w:val="22"/>
          <w:szCs w:val="22"/>
        </w:rPr>
        <w:t>[</w:t>
      </w:r>
      <w:proofErr w:type="spellStart"/>
      <w:r w:rsidRPr="004A4262">
        <w:rPr>
          <w:rFonts w:asciiTheme="minorHAnsi" w:hAnsiTheme="minorHAnsi"/>
          <w:bCs/>
          <w:color w:val="2A2A2A"/>
          <w:kern w:val="36"/>
          <w:sz w:val="22"/>
          <w:szCs w:val="22"/>
        </w:rPr>
        <w:t>Savvides</w:t>
      </w:r>
      <w:proofErr w:type="spellEnd"/>
      <w:r w:rsidRPr="004A4262">
        <w:rPr>
          <w:rFonts w:asciiTheme="minorHAnsi" w:hAnsiTheme="minorHAnsi"/>
          <w:bCs/>
          <w:color w:val="2A2A2A"/>
          <w:kern w:val="36"/>
          <w:sz w:val="22"/>
          <w:szCs w:val="22"/>
        </w:rPr>
        <w:t xml:space="preserve"> (1996)</w:t>
      </w:r>
      <w:r>
        <w:rPr>
          <w:rFonts w:asciiTheme="minorHAnsi" w:hAnsiTheme="minorHAnsi"/>
          <w:bCs/>
          <w:color w:val="2A2A2A"/>
          <w:kern w:val="36"/>
          <w:sz w:val="22"/>
          <w:szCs w:val="22"/>
        </w:rPr>
        <w:t xml:space="preserve"> found</w:t>
      </w:r>
      <w:r w:rsidRPr="004A4262">
        <w:rPr>
          <w:rFonts w:asciiTheme="minorHAnsi" w:hAnsiTheme="minorHAnsi"/>
          <w:bCs/>
          <w:color w:val="2A2A2A"/>
          <w:kern w:val="36"/>
          <w:sz w:val="22"/>
          <w:szCs w:val="22"/>
        </w:rPr>
        <w:t xml:space="preserve"> that the CFA lowered t</w:t>
      </w:r>
      <w:r>
        <w:rPr>
          <w:rFonts w:asciiTheme="minorHAnsi" w:hAnsiTheme="minorHAnsi"/>
          <w:bCs/>
          <w:color w:val="2A2A2A"/>
          <w:kern w:val="36"/>
          <w:sz w:val="22"/>
          <w:szCs w:val="22"/>
        </w:rPr>
        <w:t>he members’ exchange variabilit</w:t>
      </w:r>
      <w:r w:rsidRPr="004A4262">
        <w:rPr>
          <w:rFonts w:asciiTheme="minorHAnsi" w:hAnsiTheme="minorHAnsi"/>
          <w:bCs/>
          <w:color w:val="2A2A2A"/>
          <w:kern w:val="36"/>
          <w:sz w:val="22"/>
          <w:szCs w:val="22"/>
        </w:rPr>
        <w:t>y, not just vis-à-vis each other and the French franc, but multilaterally as well.</w:t>
      </w:r>
      <w:r w:rsidRPr="004A4262">
        <w:rPr>
          <w:rFonts w:asciiTheme="minorHAnsi" w:hAnsiTheme="minorHAnsi"/>
          <w:sz w:val="22"/>
          <w:szCs w:val="22"/>
        </w:rPr>
        <w:t>]</w:t>
      </w:r>
      <w:r>
        <w:rPr>
          <w:rFonts w:asciiTheme="minorHAnsi" w:hAnsiTheme="minorHAnsi"/>
          <w:sz w:val="22"/>
          <w:szCs w:val="22"/>
        </w:rPr>
        <w:br/>
      </w:r>
    </w:p>
  </w:footnote>
  <w:footnote w:id="13">
    <w:p w:rsidR="006C4CB1" w:rsidRPr="000B47B8" w:rsidRDefault="006C4CB1">
      <w:pPr>
        <w:pStyle w:val="FootnoteText"/>
        <w:rPr>
          <w:rFonts w:asciiTheme="minorHAnsi" w:hAnsiTheme="minorHAnsi"/>
          <w:sz w:val="22"/>
          <w:szCs w:val="22"/>
        </w:rPr>
      </w:pPr>
      <w:r w:rsidRPr="000B47B8">
        <w:rPr>
          <w:rStyle w:val="FootnoteReference"/>
          <w:rFonts w:asciiTheme="minorHAnsi" w:hAnsiTheme="minorHAnsi"/>
          <w:sz w:val="22"/>
          <w:szCs w:val="22"/>
        </w:rPr>
        <w:footnoteRef/>
      </w:r>
      <w:r w:rsidRPr="000B47B8">
        <w:rPr>
          <w:rFonts w:asciiTheme="minorHAnsi" w:hAnsiTheme="minorHAnsi"/>
          <w:sz w:val="22"/>
          <w:szCs w:val="22"/>
        </w:rPr>
        <w:t xml:space="preserve"> </w:t>
      </w:r>
      <w:r>
        <w:rPr>
          <w:rFonts w:asciiTheme="minorHAnsi" w:hAnsiTheme="minorHAnsi"/>
          <w:sz w:val="22"/>
          <w:szCs w:val="22"/>
        </w:rPr>
        <w:t xml:space="preserve">This argument in favor of regional trading arrangements is developed by </w:t>
      </w:r>
      <w:r w:rsidRPr="000B47B8">
        <w:rPr>
          <w:rFonts w:asciiTheme="minorHAnsi" w:hAnsiTheme="minorHAnsi"/>
          <w:sz w:val="22"/>
          <w:szCs w:val="22"/>
        </w:rPr>
        <w:t>Krugman (1991) and Frankel</w:t>
      </w:r>
      <w:r>
        <w:rPr>
          <w:rFonts w:asciiTheme="minorHAnsi" w:hAnsiTheme="minorHAnsi"/>
          <w:sz w:val="22"/>
          <w:szCs w:val="22"/>
        </w:rPr>
        <w:t>,</w:t>
      </w:r>
      <w:r w:rsidRPr="000B47B8">
        <w:rPr>
          <w:rFonts w:asciiTheme="minorHAnsi" w:hAnsiTheme="minorHAnsi"/>
          <w:sz w:val="22"/>
          <w:szCs w:val="22"/>
        </w:rPr>
        <w:t xml:space="preserve"> et al (1997).</w:t>
      </w:r>
      <w:r>
        <w:rPr>
          <w:rFonts w:asciiTheme="minorHAnsi" w:hAnsiTheme="minorHAnsi"/>
          <w:sz w:val="22"/>
          <w:szCs w:val="22"/>
        </w:rPr>
        <w:t xml:space="preserve">  Frankel and Rose (2002) offer evidence that an analogous argument extends to monetary unions, i.e., that there is little trade-diversion and that the resulting increase in trade is good for economic growth.</w:t>
      </w:r>
      <w:r>
        <w:rPr>
          <w:rFonts w:asciiTheme="minorHAnsi" w:hAnsiTheme="minorHAnsi"/>
          <w:sz w:val="22"/>
          <w:szCs w:val="22"/>
        </w:rPr>
        <w:br/>
      </w:r>
    </w:p>
  </w:footnote>
  <w:footnote w:id="14">
    <w:p w:rsidR="006C4CB1" w:rsidRPr="00E92B14" w:rsidRDefault="006C4CB1" w:rsidP="00452796">
      <w:pPr>
        <w:pStyle w:val="FootnoteText"/>
        <w:rPr>
          <w:rFonts w:asciiTheme="minorHAnsi" w:hAnsiTheme="minorHAnsi"/>
          <w:sz w:val="22"/>
          <w:szCs w:val="22"/>
        </w:rPr>
      </w:pPr>
      <w:r w:rsidRPr="00E92B14">
        <w:rPr>
          <w:rStyle w:val="FootnoteReference"/>
          <w:rFonts w:asciiTheme="minorHAnsi" w:hAnsiTheme="minorHAnsi"/>
          <w:sz w:val="22"/>
          <w:szCs w:val="22"/>
        </w:rPr>
        <w:footnoteRef/>
      </w:r>
      <w:r w:rsidRPr="00E92B14">
        <w:rPr>
          <w:rFonts w:asciiTheme="minorHAnsi" w:hAnsiTheme="minorHAnsi"/>
          <w:sz w:val="22"/>
          <w:szCs w:val="22"/>
        </w:rPr>
        <w:t xml:space="preserve"> IMF (2107)</w:t>
      </w:r>
      <w:r>
        <w:rPr>
          <w:rFonts w:asciiTheme="minorHAnsi" w:hAnsiTheme="minorHAnsi"/>
          <w:sz w:val="22"/>
          <w:szCs w:val="22"/>
        </w:rPr>
        <w:t xml:space="preserve"> confirms </w:t>
      </w:r>
      <w:r w:rsidRPr="00860448">
        <w:rPr>
          <w:rFonts w:asciiTheme="minorHAnsi" w:hAnsiTheme="minorHAnsi"/>
          <w:sz w:val="22"/>
          <w:szCs w:val="22"/>
        </w:rPr>
        <w:t xml:space="preserve">that </w:t>
      </w:r>
      <w:r w:rsidRPr="00860448">
        <w:rPr>
          <w:rFonts w:asciiTheme="minorHAnsi" w:hAnsiTheme="minorHAnsi"/>
          <w:sz w:val="24"/>
          <w:szCs w:val="24"/>
        </w:rPr>
        <w:t>2013-17 was a period of good economic performance among the UEMOA countries</w:t>
      </w:r>
      <w:r w:rsidRPr="00860448">
        <w:rPr>
          <w:rFonts w:asciiTheme="minorHAnsi" w:hAnsiTheme="minorHAnsi"/>
          <w:sz w:val="22"/>
          <w:szCs w:val="22"/>
        </w:rPr>
        <w:t>.</w:t>
      </w:r>
      <w:r>
        <w:rPr>
          <w:rFonts w:asciiTheme="minorHAnsi" w:hAnsiTheme="minorHAnsi"/>
          <w:sz w:val="22"/>
          <w:szCs w:val="22"/>
        </w:rPr>
        <w:br/>
      </w:r>
    </w:p>
  </w:footnote>
  <w:footnote w:id="15">
    <w:p w:rsidR="006C4CB1" w:rsidRPr="00510C53" w:rsidRDefault="006C4CB1">
      <w:pPr>
        <w:pStyle w:val="FootnoteText"/>
        <w:rPr>
          <w:rFonts w:asciiTheme="minorHAnsi" w:hAnsiTheme="minorHAnsi"/>
          <w:sz w:val="22"/>
          <w:szCs w:val="22"/>
        </w:rPr>
      </w:pPr>
      <w:r w:rsidRPr="00510C53">
        <w:rPr>
          <w:rStyle w:val="FootnoteReference"/>
          <w:rFonts w:asciiTheme="minorHAnsi" w:hAnsiTheme="minorHAnsi"/>
          <w:sz w:val="22"/>
          <w:szCs w:val="22"/>
        </w:rPr>
        <w:footnoteRef/>
      </w:r>
      <w:r w:rsidRPr="00510C53">
        <w:rPr>
          <w:rFonts w:asciiTheme="minorHAnsi" w:hAnsiTheme="minorHAnsi"/>
          <w:sz w:val="22"/>
          <w:szCs w:val="22"/>
        </w:rPr>
        <w:t xml:space="preserve"> If one relies on the Mauritanian dat</w:t>
      </w:r>
      <w:r>
        <w:rPr>
          <w:rFonts w:asciiTheme="minorHAnsi" w:hAnsiTheme="minorHAnsi"/>
          <w:sz w:val="22"/>
          <w:szCs w:val="22"/>
        </w:rPr>
        <w:t xml:space="preserve">a from 1985 </w:t>
      </w:r>
      <w:r w:rsidRPr="00510C53">
        <w:rPr>
          <w:rFonts w:asciiTheme="minorHAnsi" w:hAnsiTheme="minorHAnsi"/>
          <w:sz w:val="22"/>
          <w:szCs w:val="22"/>
        </w:rPr>
        <w:t>onwa</w:t>
      </w:r>
      <w:r>
        <w:rPr>
          <w:rFonts w:asciiTheme="minorHAnsi" w:hAnsiTheme="minorHAnsi"/>
          <w:sz w:val="22"/>
          <w:szCs w:val="22"/>
        </w:rPr>
        <w:t>rd</w:t>
      </w:r>
      <w:r w:rsidRPr="00510C53">
        <w:rPr>
          <w:rFonts w:asciiTheme="minorHAnsi" w:hAnsiTheme="minorHAnsi"/>
          <w:sz w:val="22"/>
          <w:szCs w:val="22"/>
        </w:rPr>
        <w:t xml:space="preserve"> they show a </w:t>
      </w:r>
      <w:r>
        <w:rPr>
          <w:rFonts w:asciiTheme="minorHAnsi" w:hAnsiTheme="minorHAnsi"/>
          <w:sz w:val="22"/>
          <w:szCs w:val="22"/>
        </w:rPr>
        <w:t xml:space="preserve">much </w:t>
      </w:r>
      <w:r w:rsidRPr="00510C53">
        <w:rPr>
          <w:rFonts w:asciiTheme="minorHAnsi" w:hAnsiTheme="minorHAnsi"/>
          <w:sz w:val="22"/>
          <w:szCs w:val="22"/>
        </w:rPr>
        <w:t>higher share of CFA trade than before 1973.</w:t>
      </w:r>
      <w:r>
        <w:rPr>
          <w:rFonts w:asciiTheme="minorHAnsi" w:hAnsiTheme="minorHAnsi"/>
          <w:sz w:val="22"/>
          <w:szCs w:val="22"/>
        </w:rPr>
        <w:t xml:space="preserve"> </w:t>
      </w:r>
      <w:r>
        <w:rPr>
          <w:rFonts w:asciiTheme="minorHAnsi" w:hAnsiTheme="minorHAnsi"/>
          <w:sz w:val="22"/>
          <w:szCs w:val="22"/>
        </w:rPr>
        <w:br/>
      </w:r>
    </w:p>
  </w:footnote>
  <w:footnote w:id="16">
    <w:p w:rsidR="006C4CB1" w:rsidRPr="007C697F" w:rsidRDefault="006C4CB1" w:rsidP="007C697F">
      <w:pPr>
        <w:pStyle w:val="FootnoteText"/>
        <w:rPr>
          <w:rFonts w:asciiTheme="minorHAnsi" w:hAnsiTheme="minorHAnsi"/>
          <w:sz w:val="22"/>
          <w:szCs w:val="22"/>
        </w:rPr>
      </w:pPr>
      <w:r w:rsidRPr="007C697F">
        <w:rPr>
          <w:rStyle w:val="FootnoteReference"/>
          <w:rFonts w:asciiTheme="minorHAnsi" w:hAnsiTheme="minorHAnsi"/>
          <w:sz w:val="22"/>
          <w:szCs w:val="22"/>
        </w:rPr>
        <w:footnoteRef/>
      </w:r>
      <w:r w:rsidRPr="007C697F">
        <w:rPr>
          <w:rFonts w:asciiTheme="minorHAnsi" w:hAnsiTheme="minorHAnsi"/>
          <w:sz w:val="22"/>
          <w:szCs w:val="22"/>
        </w:rPr>
        <w:t xml:space="preserve"> Guinea-Bissau reports very high trade with other CFA countries in </w:t>
      </w:r>
      <w:r>
        <w:rPr>
          <w:rFonts w:asciiTheme="minorHAnsi" w:hAnsiTheme="minorHAnsi"/>
          <w:sz w:val="22"/>
          <w:szCs w:val="22"/>
        </w:rPr>
        <w:t xml:space="preserve">two years, </w:t>
      </w:r>
      <w:r w:rsidRPr="007C697F">
        <w:rPr>
          <w:rFonts w:asciiTheme="minorHAnsi" w:hAnsiTheme="minorHAnsi"/>
          <w:sz w:val="22"/>
          <w:szCs w:val="22"/>
        </w:rPr>
        <w:t>1992 and 1993, which pulls the pre-entry average share up slightly above the post-entry average.</w:t>
      </w:r>
      <w:r>
        <w:rPr>
          <w:rFonts w:asciiTheme="minorHAnsi" w:hAnsiTheme="minorHAnsi"/>
          <w:sz w:val="22"/>
          <w:szCs w:val="22"/>
        </w:rPr>
        <w:t xml:space="preserve">  </w:t>
      </w:r>
      <w:r>
        <w:rPr>
          <w:rFonts w:asciiTheme="minorHAnsi" w:hAnsiTheme="minorHAnsi"/>
          <w:sz w:val="22"/>
          <w:szCs w:val="22"/>
        </w:rPr>
        <w:br/>
      </w:r>
    </w:p>
  </w:footnote>
  <w:footnote w:id="17">
    <w:p w:rsidR="006C4CB1" w:rsidRPr="00A544A8" w:rsidRDefault="006C4CB1">
      <w:pPr>
        <w:pStyle w:val="FootnoteText"/>
        <w:rPr>
          <w:rFonts w:asciiTheme="minorHAnsi" w:hAnsiTheme="minorHAnsi"/>
          <w:sz w:val="22"/>
          <w:szCs w:val="22"/>
        </w:rPr>
      </w:pPr>
      <w:r w:rsidRPr="00A544A8">
        <w:rPr>
          <w:rStyle w:val="FootnoteReference"/>
          <w:rFonts w:asciiTheme="minorHAnsi" w:hAnsiTheme="minorHAnsi"/>
          <w:sz w:val="22"/>
          <w:szCs w:val="22"/>
        </w:rPr>
        <w:footnoteRef/>
      </w:r>
      <w:r w:rsidRPr="00A544A8">
        <w:rPr>
          <w:rFonts w:asciiTheme="minorHAnsi" w:hAnsiTheme="minorHAnsi"/>
          <w:sz w:val="22"/>
          <w:szCs w:val="22"/>
        </w:rPr>
        <w:t xml:space="preserve"> Surveys of the gravity model are offered by Anderson (2011), Head and Mayer (2014</w:t>
      </w:r>
      <w:r>
        <w:rPr>
          <w:rFonts w:asciiTheme="minorHAnsi" w:hAnsiTheme="minorHAnsi"/>
          <w:sz w:val="22"/>
          <w:szCs w:val="22"/>
        </w:rPr>
        <w:t xml:space="preserve">) </w:t>
      </w:r>
      <w:r w:rsidRPr="00A544A8">
        <w:rPr>
          <w:rFonts w:asciiTheme="minorHAnsi" w:hAnsiTheme="minorHAnsi"/>
          <w:sz w:val="22"/>
          <w:szCs w:val="22"/>
        </w:rPr>
        <w:t>and Frankel, et al (1997).</w:t>
      </w:r>
    </w:p>
  </w:footnote>
  <w:footnote w:id="18">
    <w:p w:rsidR="006C4CB1" w:rsidRPr="003A20B8" w:rsidRDefault="006C4CB1">
      <w:pPr>
        <w:pStyle w:val="FootnoteText"/>
        <w:rPr>
          <w:rFonts w:asciiTheme="minorHAnsi" w:hAnsiTheme="minorHAnsi"/>
          <w:sz w:val="22"/>
          <w:szCs w:val="22"/>
        </w:rPr>
      </w:pPr>
      <w:r w:rsidRPr="003A20B8">
        <w:rPr>
          <w:rStyle w:val="FootnoteReference"/>
          <w:rFonts w:asciiTheme="minorHAnsi" w:hAnsiTheme="minorHAnsi"/>
          <w:sz w:val="22"/>
          <w:szCs w:val="22"/>
        </w:rPr>
        <w:footnoteRef/>
      </w:r>
      <w:r w:rsidRPr="003A20B8">
        <w:rPr>
          <w:rFonts w:asciiTheme="minorHAnsi" w:hAnsiTheme="minorHAnsi"/>
          <w:sz w:val="22"/>
          <w:szCs w:val="22"/>
        </w:rPr>
        <w:t xml:space="preserve"> For example, it has been shown that estimates of the effects of the euro on intra-zone trade may be inaccurate if the data net is not cast widely enough.  </w:t>
      </w:r>
      <w:proofErr w:type="gramStart"/>
      <w:r>
        <w:rPr>
          <w:rFonts w:asciiTheme="minorHAnsi" w:hAnsiTheme="minorHAnsi"/>
          <w:sz w:val="22"/>
          <w:szCs w:val="22"/>
        </w:rPr>
        <w:t xml:space="preserve">Frankel (2010) </w:t>
      </w:r>
      <w:r w:rsidRPr="003A20B8">
        <w:rPr>
          <w:rFonts w:asciiTheme="minorHAnsi" w:hAnsiTheme="minorHAnsi"/>
          <w:sz w:val="22"/>
          <w:szCs w:val="22"/>
        </w:rPr>
        <w:t>and Rose (201</w:t>
      </w:r>
      <w:r>
        <w:rPr>
          <w:rFonts w:asciiTheme="minorHAnsi" w:hAnsiTheme="minorHAnsi"/>
          <w:sz w:val="22"/>
          <w:szCs w:val="22"/>
        </w:rPr>
        <w:t>7</w:t>
      </w:r>
      <w:r w:rsidRPr="003A20B8">
        <w:rPr>
          <w:rFonts w:asciiTheme="minorHAnsi" w:hAnsiTheme="minorHAnsi"/>
          <w:sz w:val="22"/>
          <w:szCs w:val="22"/>
        </w:rPr>
        <w:t>).</w:t>
      </w:r>
      <w:proofErr w:type="gramEnd"/>
    </w:p>
  </w:footnote>
  <w:footnote w:id="19">
    <w:p w:rsidR="006C4CB1" w:rsidRPr="0067430D" w:rsidRDefault="006C4CB1">
      <w:pPr>
        <w:pStyle w:val="FootnoteText"/>
        <w:rPr>
          <w:rFonts w:asciiTheme="minorHAnsi" w:hAnsiTheme="minorHAnsi"/>
          <w:sz w:val="22"/>
          <w:szCs w:val="22"/>
        </w:rPr>
      </w:pPr>
      <w:r w:rsidRPr="0067430D">
        <w:rPr>
          <w:rStyle w:val="FootnoteReference"/>
          <w:rFonts w:asciiTheme="minorHAnsi" w:hAnsiTheme="minorHAnsi"/>
          <w:sz w:val="22"/>
          <w:szCs w:val="22"/>
        </w:rPr>
        <w:footnoteRef/>
      </w:r>
      <w:r w:rsidRPr="0067430D">
        <w:rPr>
          <w:rFonts w:asciiTheme="minorHAnsi" w:hAnsiTheme="minorHAnsi"/>
          <w:sz w:val="22"/>
          <w:szCs w:val="22"/>
        </w:rPr>
        <w:t xml:space="preserve"> We have also dropped the Glick-Rose dummy variable for when two geographical units are parts of the same country, focusing instead on results for independent countries.</w:t>
      </w:r>
    </w:p>
    <w:p w:rsidR="006C4CB1" w:rsidRDefault="006C4CB1">
      <w:pPr>
        <w:pStyle w:val="FootnoteText"/>
      </w:pPr>
    </w:p>
  </w:footnote>
  <w:footnote w:id="20">
    <w:p w:rsidR="006C4CB1" w:rsidRPr="001A6FE3" w:rsidRDefault="006C4CB1">
      <w:pPr>
        <w:pStyle w:val="FootnoteText"/>
        <w:rPr>
          <w:rFonts w:asciiTheme="minorHAnsi" w:hAnsiTheme="minorHAnsi"/>
          <w:sz w:val="22"/>
          <w:szCs w:val="22"/>
        </w:rPr>
      </w:pPr>
      <w:r w:rsidRPr="001A6FE3">
        <w:rPr>
          <w:rStyle w:val="FootnoteReference"/>
          <w:rFonts w:asciiTheme="minorHAnsi" w:hAnsiTheme="minorHAnsi"/>
          <w:sz w:val="22"/>
          <w:szCs w:val="22"/>
        </w:rPr>
        <w:footnoteRef/>
      </w:r>
      <w:r w:rsidRPr="001A6FE3">
        <w:rPr>
          <w:rFonts w:asciiTheme="minorHAnsi" w:hAnsiTheme="minorHAnsi"/>
          <w:sz w:val="22"/>
          <w:szCs w:val="22"/>
        </w:rPr>
        <w:t xml:space="preserve"> When the equation is estimated </w:t>
      </w:r>
      <w:r>
        <w:rPr>
          <w:rFonts w:asciiTheme="minorHAnsi" w:hAnsiTheme="minorHAnsi"/>
          <w:sz w:val="22"/>
          <w:szCs w:val="22"/>
        </w:rPr>
        <w:t xml:space="preserve">as in Glick and Rose (2016), </w:t>
      </w:r>
      <w:r w:rsidRPr="001A6FE3">
        <w:rPr>
          <w:rFonts w:asciiTheme="minorHAnsi" w:hAnsiTheme="minorHAnsi"/>
          <w:sz w:val="22"/>
          <w:szCs w:val="22"/>
        </w:rPr>
        <w:t>for the</w:t>
      </w:r>
      <w:r>
        <w:rPr>
          <w:rFonts w:asciiTheme="minorHAnsi" w:hAnsiTheme="minorHAnsi"/>
          <w:sz w:val="22"/>
          <w:szCs w:val="22"/>
        </w:rPr>
        <w:t xml:space="preserve"> time period 1948-2013</w:t>
      </w:r>
      <w:r w:rsidRPr="001A6FE3">
        <w:rPr>
          <w:rFonts w:asciiTheme="minorHAnsi" w:hAnsiTheme="minorHAnsi"/>
          <w:sz w:val="22"/>
          <w:szCs w:val="22"/>
        </w:rPr>
        <w:t xml:space="preserve"> without the additional four years of data, the intra-CFA effect is</w:t>
      </w:r>
      <w:r>
        <w:rPr>
          <w:rFonts w:asciiTheme="minorHAnsi" w:hAnsiTheme="minorHAnsi"/>
          <w:sz w:val="22"/>
          <w:szCs w:val="22"/>
        </w:rPr>
        <w:t xml:space="preserve"> a full doubling [=</w:t>
      </w:r>
      <w:proofErr w:type="spellStart"/>
      <w:r>
        <w:rPr>
          <w:rFonts w:asciiTheme="minorHAnsi" w:hAnsiTheme="minorHAnsi"/>
          <w:sz w:val="22"/>
          <w:szCs w:val="22"/>
        </w:rPr>
        <w:t>exp</w:t>
      </w:r>
      <w:proofErr w:type="spellEnd"/>
      <w:r>
        <w:rPr>
          <w:rFonts w:asciiTheme="minorHAnsi" w:hAnsiTheme="minorHAnsi"/>
          <w:sz w:val="22"/>
          <w:szCs w:val="22"/>
        </w:rPr>
        <w:t>(.7)-1]</w:t>
      </w:r>
      <w:r w:rsidRPr="001A6FE3">
        <w:rPr>
          <w:rFonts w:asciiTheme="minorHAnsi" w:hAnsiTheme="minorHAnsi"/>
          <w:sz w:val="22"/>
          <w:szCs w:val="22"/>
        </w:rPr>
        <w:t xml:space="preserve"> .</w:t>
      </w:r>
    </w:p>
  </w:footnote>
  <w:footnote w:id="21">
    <w:p w:rsidR="006C4CB1" w:rsidRPr="001E33BC" w:rsidRDefault="006C4CB1" w:rsidP="00A0508A">
      <w:pPr>
        <w:pStyle w:val="FootnoteText"/>
        <w:rPr>
          <w:sz w:val="22"/>
          <w:szCs w:val="22"/>
        </w:rPr>
      </w:pPr>
      <w:r w:rsidRPr="001E33BC">
        <w:rPr>
          <w:rStyle w:val="FootnoteReference"/>
          <w:sz w:val="22"/>
          <w:szCs w:val="22"/>
        </w:rPr>
        <w:footnoteRef/>
      </w:r>
      <w:r w:rsidRPr="001E33BC">
        <w:rPr>
          <w:sz w:val="22"/>
          <w:szCs w:val="22"/>
        </w:rPr>
        <w:t xml:space="preserve"> </w:t>
      </w:r>
      <w:proofErr w:type="gramStart"/>
      <w:r w:rsidRPr="001E33BC">
        <w:rPr>
          <w:rFonts w:asciiTheme="minorHAnsi" w:eastAsiaTheme="majorEastAsia" w:hAnsiTheme="minorHAnsi" w:cs="Arial"/>
          <w:sz w:val="22"/>
          <w:szCs w:val="22"/>
        </w:rPr>
        <w:t>Asongu</w:t>
      </w:r>
      <w:r w:rsidRPr="001E33BC">
        <w:rPr>
          <w:rFonts w:asciiTheme="minorHAnsi" w:hAnsiTheme="minorHAnsi" w:cs="Arial"/>
          <w:sz w:val="22"/>
          <w:szCs w:val="22"/>
        </w:rPr>
        <w:t xml:space="preserve">, </w:t>
      </w:r>
      <w:r w:rsidRPr="001E33BC">
        <w:rPr>
          <w:rFonts w:asciiTheme="minorHAnsi" w:eastAsiaTheme="majorEastAsia" w:hAnsiTheme="minorHAnsi" w:cs="Arial"/>
          <w:sz w:val="22"/>
          <w:szCs w:val="22"/>
        </w:rPr>
        <w:t>Nwachukwu</w:t>
      </w:r>
      <w:r w:rsidRPr="001E33BC">
        <w:rPr>
          <w:rFonts w:asciiTheme="minorHAnsi" w:hAnsiTheme="minorHAnsi" w:cs="Arial"/>
          <w:sz w:val="22"/>
          <w:szCs w:val="22"/>
        </w:rPr>
        <w:t xml:space="preserve">, and </w:t>
      </w:r>
      <w:r w:rsidRPr="001E33BC">
        <w:rPr>
          <w:rFonts w:asciiTheme="minorHAnsi" w:eastAsiaTheme="majorEastAsia" w:hAnsiTheme="minorHAnsi" w:cs="Arial"/>
          <w:sz w:val="22"/>
          <w:szCs w:val="22"/>
        </w:rPr>
        <w:t>Tchamyou (2017).</w:t>
      </w:r>
      <w:proofErr w:type="gramEnd"/>
      <w:r>
        <w:rPr>
          <w:rFonts w:asciiTheme="minorHAnsi" w:eastAsiaTheme="majorEastAsia" w:hAnsiTheme="minorHAnsi" w:cs="Arial"/>
          <w:sz w:val="22"/>
          <w:szCs w:val="22"/>
        </w:rPr>
        <w:br/>
      </w:r>
    </w:p>
  </w:footnote>
  <w:footnote w:id="22">
    <w:p w:rsidR="007F5144" w:rsidRDefault="007F5144" w:rsidP="007F5144">
      <w:pPr>
        <w:pStyle w:val="FootnoteText"/>
      </w:pPr>
      <w:r>
        <w:rPr>
          <w:rStyle w:val="FootnoteReference"/>
        </w:rPr>
        <w:footnoteRef/>
      </w:r>
      <w:r>
        <w:t xml:space="preserve"> </w:t>
      </w:r>
      <w:proofErr w:type="gramStart"/>
      <w:r>
        <w:t>Connor (2018).</w:t>
      </w:r>
      <w:proofErr w:type="gramEnd"/>
    </w:p>
  </w:footnote>
  <w:footnote w:id="23">
    <w:p w:rsidR="007F5144" w:rsidRPr="003B0FB9" w:rsidRDefault="007F5144" w:rsidP="007F5144">
      <w:pPr>
        <w:pStyle w:val="FootnoteText"/>
        <w:rPr>
          <w:rFonts w:asciiTheme="minorHAnsi" w:hAnsiTheme="minorHAnsi"/>
          <w:sz w:val="22"/>
          <w:szCs w:val="22"/>
        </w:rPr>
      </w:pPr>
      <w:r w:rsidRPr="003B0FB9">
        <w:rPr>
          <w:rStyle w:val="FootnoteReference"/>
          <w:rFonts w:asciiTheme="minorHAnsi" w:hAnsiTheme="minorHAnsi"/>
          <w:sz w:val="22"/>
          <w:szCs w:val="22"/>
        </w:rPr>
        <w:footnoteRef/>
      </w:r>
      <w:r w:rsidRPr="003B0FB9">
        <w:rPr>
          <w:rFonts w:asciiTheme="minorHAnsi" w:hAnsiTheme="minorHAnsi"/>
          <w:sz w:val="22"/>
          <w:szCs w:val="22"/>
        </w:rPr>
        <w:t xml:space="preserve">  For the small-population countries like Sao </w:t>
      </w:r>
      <w:proofErr w:type="spellStart"/>
      <w:r w:rsidRPr="003B0FB9">
        <w:rPr>
          <w:rFonts w:asciiTheme="minorHAnsi" w:hAnsiTheme="minorHAnsi"/>
          <w:sz w:val="22"/>
          <w:szCs w:val="22"/>
        </w:rPr>
        <w:t>Thome</w:t>
      </w:r>
      <w:proofErr w:type="spellEnd"/>
      <w:r w:rsidRPr="003B0FB9">
        <w:rPr>
          <w:rFonts w:asciiTheme="minorHAnsi" w:hAnsiTheme="minorHAnsi"/>
          <w:sz w:val="22"/>
          <w:szCs w:val="22"/>
        </w:rPr>
        <w:t xml:space="preserve"> and Principe and Botswana, out -migration was of c</w:t>
      </w:r>
      <w:r w:rsidRPr="003B0FB9">
        <w:rPr>
          <w:rFonts w:asciiTheme="minorHAnsi" w:hAnsiTheme="minorHAnsi"/>
          <w:color w:val="333333"/>
          <w:sz w:val="22"/>
          <w:szCs w:val="22"/>
          <w:shd w:val="clear" w:color="auto" w:fill="FFFFFF"/>
        </w:rPr>
        <w:t>ourse low in absolute numbers even though high in percentage terms.</w:t>
      </w:r>
      <w:r w:rsidR="003B0FB9">
        <w:rPr>
          <w:rFonts w:asciiTheme="minorHAnsi" w:hAnsiTheme="minorHAnsi"/>
          <w:color w:val="333333"/>
          <w:sz w:val="22"/>
          <w:szCs w:val="22"/>
          <w:shd w:val="clear" w:color="auto" w:fill="FFFFFF"/>
        </w:rPr>
        <w:br/>
      </w:r>
    </w:p>
  </w:footnote>
  <w:footnote w:id="24">
    <w:p w:rsidR="003B0FB9" w:rsidRDefault="003B0FB9">
      <w:pPr>
        <w:pStyle w:val="FootnoteText"/>
      </w:pPr>
      <w:r w:rsidRPr="003B0FB9">
        <w:rPr>
          <w:rStyle w:val="FootnoteReference"/>
          <w:rFonts w:asciiTheme="minorHAnsi" w:hAnsiTheme="minorHAnsi"/>
          <w:sz w:val="22"/>
          <w:szCs w:val="22"/>
        </w:rPr>
        <w:footnoteRef/>
      </w:r>
      <w:r w:rsidRPr="003B0FB9">
        <w:rPr>
          <w:rFonts w:asciiTheme="minorHAnsi" w:hAnsiTheme="minorHAnsi"/>
          <w:sz w:val="22"/>
          <w:szCs w:val="22"/>
        </w:rPr>
        <w:t xml:space="preserve"> </w:t>
      </w:r>
      <w:r>
        <w:rPr>
          <w:rFonts w:asciiTheme="minorHAnsi" w:hAnsiTheme="minorHAnsi"/>
          <w:sz w:val="22"/>
          <w:szCs w:val="22"/>
        </w:rPr>
        <w:t>W</w:t>
      </w:r>
      <w:r w:rsidRPr="003B0FB9">
        <w:rPr>
          <w:rFonts w:asciiTheme="minorHAnsi" w:hAnsiTheme="minorHAnsi"/>
          <w:sz w:val="22"/>
          <w:szCs w:val="22"/>
        </w:rPr>
        <w:t xml:space="preserve">e </w:t>
      </w:r>
      <w:r w:rsidR="00A31780">
        <w:rPr>
          <w:rFonts w:asciiTheme="minorHAnsi" w:hAnsiTheme="minorHAnsi"/>
          <w:sz w:val="22"/>
          <w:szCs w:val="22"/>
        </w:rPr>
        <w:t xml:space="preserve">should normalize countries’ migration flows by the size of their populations or even </w:t>
      </w:r>
      <w:r w:rsidRPr="003B0FB9">
        <w:rPr>
          <w:rFonts w:asciiTheme="minorHAnsi" w:hAnsiTheme="minorHAnsi"/>
          <w:sz w:val="22"/>
          <w:szCs w:val="22"/>
        </w:rPr>
        <w:t xml:space="preserve">estimate a </w:t>
      </w:r>
      <w:r w:rsidR="00A31780">
        <w:rPr>
          <w:rFonts w:asciiTheme="minorHAnsi" w:hAnsiTheme="minorHAnsi"/>
          <w:sz w:val="22"/>
          <w:szCs w:val="22"/>
        </w:rPr>
        <w:t xml:space="preserve">full-fledged migration version of the </w:t>
      </w:r>
      <w:r w:rsidRPr="003B0FB9">
        <w:rPr>
          <w:rFonts w:asciiTheme="minorHAnsi" w:hAnsiTheme="minorHAnsi"/>
          <w:sz w:val="22"/>
          <w:szCs w:val="22"/>
        </w:rPr>
        <w:t>gravity model.</w:t>
      </w:r>
      <w:r w:rsidR="00A31780">
        <w:rPr>
          <w:rFonts w:asciiTheme="minorHAnsi" w:hAnsiTheme="minorHAnsi"/>
          <w:sz w:val="22"/>
          <w:szCs w:val="22"/>
        </w:rPr>
        <w:br/>
      </w:r>
    </w:p>
  </w:footnote>
  <w:footnote w:id="25">
    <w:p w:rsidR="007F3C43" w:rsidRDefault="007F3C43">
      <w:pPr>
        <w:pStyle w:val="FootnoteText"/>
        <w:rPr>
          <w:rFonts w:asciiTheme="minorHAnsi" w:hAnsiTheme="minorHAnsi"/>
          <w:sz w:val="22"/>
          <w:szCs w:val="22"/>
          <w:shd w:val="clear" w:color="auto" w:fill="FFFFFF"/>
        </w:rPr>
      </w:pPr>
      <w:r w:rsidRPr="007F3C43">
        <w:rPr>
          <w:rStyle w:val="FootnoteReference"/>
          <w:rFonts w:asciiTheme="minorHAnsi" w:hAnsiTheme="minorHAnsi"/>
          <w:sz w:val="22"/>
          <w:szCs w:val="22"/>
        </w:rPr>
        <w:footnoteRef/>
      </w:r>
      <w:r w:rsidRPr="007F3C43">
        <w:rPr>
          <w:rFonts w:asciiTheme="minorHAnsi" w:hAnsiTheme="minorHAnsi"/>
          <w:sz w:val="22"/>
          <w:szCs w:val="22"/>
        </w:rPr>
        <w:t xml:space="preserve"> Data Source: UN </w:t>
      </w:r>
      <w:r w:rsidRPr="007F3C43">
        <w:rPr>
          <w:rFonts w:asciiTheme="minorHAnsi" w:hAnsiTheme="minorHAnsi"/>
          <w:sz w:val="22"/>
          <w:szCs w:val="22"/>
          <w:shd w:val="clear" w:color="auto" w:fill="FFFFFF"/>
        </w:rPr>
        <w:t>Department of Economic and Social Affairs, Population Division</w:t>
      </w:r>
      <w:r w:rsidRPr="007F3C43">
        <w:rPr>
          <w:rFonts w:asciiTheme="minorHAnsi" w:hAnsiTheme="minorHAnsi"/>
          <w:sz w:val="22"/>
          <w:szCs w:val="22"/>
          <w:shd w:val="clear" w:color="auto" w:fill="FFFFFF"/>
        </w:rPr>
        <w:t xml:space="preserve">, via </w:t>
      </w:r>
      <w:r>
        <w:rPr>
          <w:rFonts w:asciiTheme="minorHAnsi" w:hAnsiTheme="minorHAnsi"/>
          <w:sz w:val="22"/>
          <w:szCs w:val="22"/>
          <w:shd w:val="clear" w:color="auto" w:fill="FFFFFF"/>
        </w:rPr>
        <w:t xml:space="preserve">Porter and </w:t>
      </w:r>
      <w:r w:rsidR="00A31780">
        <w:rPr>
          <w:rFonts w:asciiTheme="minorHAnsi" w:hAnsiTheme="minorHAnsi"/>
          <w:sz w:val="22"/>
          <w:szCs w:val="22"/>
          <w:shd w:val="clear" w:color="auto" w:fill="FFFFFF"/>
        </w:rPr>
        <w:t xml:space="preserve">Russell </w:t>
      </w:r>
      <w:r>
        <w:rPr>
          <w:rFonts w:asciiTheme="minorHAnsi" w:hAnsiTheme="minorHAnsi"/>
          <w:sz w:val="22"/>
          <w:szCs w:val="22"/>
          <w:shd w:val="clear" w:color="auto" w:fill="FFFFFF"/>
        </w:rPr>
        <w:t>(2018).</w:t>
      </w:r>
    </w:p>
    <w:p w:rsidR="006000B3" w:rsidRPr="007F3C43" w:rsidRDefault="006000B3">
      <w:pPr>
        <w:pStyle w:val="FootnoteText"/>
        <w:rPr>
          <w:rFonts w:asciiTheme="minorHAnsi" w:hAnsiTheme="minorHAnsi"/>
          <w:sz w:val="22"/>
          <w:szCs w:val="22"/>
        </w:rPr>
      </w:pPr>
    </w:p>
  </w:footnote>
  <w:footnote w:id="26">
    <w:p w:rsidR="006000B3" w:rsidRDefault="006000B3">
      <w:pPr>
        <w:pStyle w:val="FootnoteText"/>
      </w:pPr>
      <w:r>
        <w:rPr>
          <w:rStyle w:val="FootnoteReference"/>
        </w:rPr>
        <w:footnoteRef/>
      </w:r>
      <w:r>
        <w:t xml:space="preserve"> </w:t>
      </w:r>
      <w:r w:rsidRPr="007F3C43">
        <w:rPr>
          <w:rFonts w:asciiTheme="minorHAnsi" w:hAnsiTheme="minorHAnsi"/>
          <w:sz w:val="22"/>
          <w:szCs w:val="22"/>
        </w:rPr>
        <w:t>Source</w:t>
      </w:r>
      <w:r w:rsidR="004E3A22">
        <w:rPr>
          <w:rFonts w:asciiTheme="minorHAnsi" w:hAnsiTheme="minorHAnsi"/>
          <w:sz w:val="22"/>
          <w:szCs w:val="22"/>
        </w:rPr>
        <w:t xml:space="preserve"> for</w:t>
      </w:r>
      <w:r w:rsidR="004E3A22">
        <w:rPr>
          <w:rFonts w:ascii="Verdana" w:hAnsi="Verdana"/>
          <w:color w:val="888888"/>
          <w:sz w:val="23"/>
          <w:szCs w:val="23"/>
        </w:rPr>
        <w:t> </w:t>
      </w:r>
      <w:hyperlink r:id="rId1" w:history="1">
        <w:r w:rsidR="004E3A22" w:rsidRPr="004E3A22">
          <w:rPr>
            <w:rStyle w:val="Hyperlink"/>
            <w:rFonts w:asciiTheme="minorHAnsi" w:eastAsiaTheme="majorEastAsia" w:hAnsiTheme="minorHAnsi"/>
            <w:color w:val="0070C0"/>
            <w:sz w:val="22"/>
            <w:szCs w:val="22"/>
            <w:bdr w:val="none" w:sz="0" w:space="0" w:color="auto" w:frame="1"/>
          </w:rPr>
          <w:t>international migrant data</w:t>
        </w:r>
      </w:hyperlink>
      <w:r w:rsidRPr="004E3A22">
        <w:rPr>
          <w:rFonts w:asciiTheme="minorHAnsi" w:hAnsiTheme="minorHAnsi"/>
          <w:color w:val="0070C0"/>
          <w:sz w:val="22"/>
          <w:szCs w:val="22"/>
        </w:rPr>
        <w:t>:</w:t>
      </w:r>
      <w:r w:rsidRPr="007F3C43">
        <w:rPr>
          <w:rFonts w:asciiTheme="minorHAnsi" w:hAnsiTheme="minorHAnsi"/>
          <w:sz w:val="22"/>
          <w:szCs w:val="22"/>
        </w:rPr>
        <w:t xml:space="preserve"> UN </w:t>
      </w:r>
      <w:r w:rsidRPr="007F3C43">
        <w:rPr>
          <w:rFonts w:asciiTheme="minorHAnsi" w:hAnsiTheme="minorHAnsi"/>
          <w:sz w:val="22"/>
          <w:szCs w:val="22"/>
          <w:shd w:val="clear" w:color="auto" w:fill="FFFFFF"/>
        </w:rPr>
        <w:t>Department of Economic and Social Affairs, Population Division</w:t>
      </w:r>
      <w:r>
        <w:rPr>
          <w:rFonts w:asciiTheme="minorHAnsi" w:hAnsiTheme="minorHAnsi"/>
          <w:sz w:val="22"/>
          <w:szCs w:val="22"/>
          <w:shd w:val="clear" w:color="auto" w:fill="FFFFFF"/>
        </w:rPr>
        <w:t xml:space="preserve">, </w:t>
      </w:r>
      <w:r w:rsidR="004E3A22">
        <w:rPr>
          <w:rFonts w:asciiTheme="minorHAnsi" w:hAnsiTheme="minorHAnsi"/>
          <w:sz w:val="22"/>
          <w:szCs w:val="22"/>
          <w:shd w:val="clear" w:color="auto" w:fill="FFFFFF"/>
        </w:rPr>
        <w:t>via Connor (2018).</w:t>
      </w:r>
    </w:p>
  </w:footnote>
  <w:footnote w:id="27">
    <w:p w:rsidR="006C4CB1" w:rsidRPr="000B2D00" w:rsidRDefault="006C4CB1" w:rsidP="00A0508A">
      <w:pPr>
        <w:pStyle w:val="FootnoteText"/>
        <w:rPr>
          <w:rFonts w:asciiTheme="minorHAnsi" w:hAnsiTheme="minorHAnsi"/>
          <w:sz w:val="22"/>
          <w:szCs w:val="22"/>
        </w:rPr>
      </w:pPr>
      <w:r w:rsidRPr="000B2D00">
        <w:rPr>
          <w:rStyle w:val="FootnoteReference"/>
          <w:rFonts w:asciiTheme="minorHAnsi" w:hAnsiTheme="minorHAnsi"/>
          <w:sz w:val="22"/>
          <w:szCs w:val="22"/>
        </w:rPr>
        <w:footnoteRef/>
      </w:r>
      <w:r w:rsidRPr="000B2D00">
        <w:rPr>
          <w:rFonts w:asciiTheme="minorHAnsi" w:hAnsiTheme="minorHAnsi"/>
          <w:sz w:val="22"/>
          <w:szCs w:val="22"/>
        </w:rPr>
        <w:t xml:space="preserve"> He finds that they do not share common supply shocks.  But monetary policy cannot do much to counteract supply shocks anyway, an under-appreciated point</w:t>
      </w:r>
      <w:r>
        <w:rPr>
          <w:rFonts w:asciiTheme="minorHAnsi" w:hAnsiTheme="minorHAnsi"/>
          <w:sz w:val="22"/>
          <w:szCs w:val="22"/>
        </w:rPr>
        <w:t xml:space="preserve"> in the context of optimum currency areas</w:t>
      </w:r>
      <w:r w:rsidRPr="000B2D00">
        <w:rPr>
          <w:rFonts w:asciiTheme="minorHAnsi" w:hAnsiTheme="minorHAnsi"/>
          <w:sz w:val="22"/>
          <w:szCs w:val="22"/>
        </w:rPr>
        <w:t>.</w:t>
      </w:r>
    </w:p>
    <w:p w:rsidR="006C4CB1" w:rsidRDefault="006C4CB1" w:rsidP="00A0508A">
      <w:pPr>
        <w:pStyle w:val="FootnoteText"/>
      </w:pPr>
    </w:p>
  </w:footnote>
  <w:footnote w:id="28">
    <w:p w:rsidR="006C4CB1" w:rsidRPr="000255ED" w:rsidRDefault="006C4CB1" w:rsidP="004F3582">
      <w:pPr>
        <w:pStyle w:val="FootnoteText"/>
        <w:rPr>
          <w:rFonts w:asciiTheme="minorHAnsi" w:hAnsiTheme="minorHAnsi"/>
        </w:rPr>
      </w:pPr>
      <w:r w:rsidRPr="000255ED">
        <w:rPr>
          <w:rStyle w:val="FootnoteReference"/>
          <w:rFonts w:asciiTheme="minorHAnsi" w:hAnsiTheme="minorHAnsi"/>
        </w:rPr>
        <w:footnoteRef/>
      </w:r>
      <w:r w:rsidRPr="008F457A">
        <w:rPr>
          <w:rFonts w:asciiTheme="minorHAnsi" w:hAnsiTheme="minorHAnsi"/>
          <w:sz w:val="22"/>
          <w:szCs w:val="22"/>
        </w:rPr>
        <w:t xml:space="preserve"> </w:t>
      </w:r>
      <w:proofErr w:type="gramStart"/>
      <w:r w:rsidRPr="008F457A">
        <w:rPr>
          <w:rFonts w:asciiTheme="minorHAnsi" w:hAnsiTheme="minorHAnsi"/>
          <w:sz w:val="22"/>
          <w:szCs w:val="22"/>
        </w:rPr>
        <w:t>Frankel and Rose (199</w:t>
      </w:r>
      <w:r>
        <w:rPr>
          <w:rFonts w:asciiTheme="minorHAnsi" w:hAnsiTheme="minorHAnsi"/>
          <w:sz w:val="22"/>
          <w:szCs w:val="22"/>
        </w:rPr>
        <w:t>7, 199</w:t>
      </w:r>
      <w:r w:rsidRPr="008F457A">
        <w:rPr>
          <w:rFonts w:asciiTheme="minorHAnsi" w:hAnsiTheme="minorHAnsi"/>
          <w:sz w:val="22"/>
          <w:szCs w:val="22"/>
        </w:rPr>
        <w:t xml:space="preserve">8), </w:t>
      </w:r>
      <w:r w:rsidRPr="001E63BE">
        <w:rPr>
          <w:rFonts w:asciiTheme="minorHAnsi" w:hAnsiTheme="minorHAnsi"/>
          <w:sz w:val="22"/>
          <w:szCs w:val="22"/>
        </w:rPr>
        <w:t xml:space="preserve">de </w:t>
      </w:r>
      <w:proofErr w:type="spellStart"/>
      <w:r w:rsidRPr="001E63BE">
        <w:rPr>
          <w:rFonts w:asciiTheme="minorHAnsi" w:hAnsiTheme="minorHAnsi"/>
          <w:sz w:val="22"/>
          <w:szCs w:val="22"/>
        </w:rPr>
        <w:t>Grauwe</w:t>
      </w:r>
      <w:proofErr w:type="spellEnd"/>
      <w:r w:rsidRPr="001E63BE">
        <w:rPr>
          <w:rFonts w:asciiTheme="minorHAnsi" w:hAnsiTheme="minorHAnsi"/>
          <w:sz w:val="22"/>
          <w:szCs w:val="22"/>
        </w:rPr>
        <w:t xml:space="preserve"> (2007)</w:t>
      </w:r>
      <w:r>
        <w:rPr>
          <w:rFonts w:asciiTheme="minorHAnsi" w:hAnsiTheme="minorHAnsi"/>
          <w:sz w:val="22"/>
          <w:szCs w:val="22"/>
        </w:rPr>
        <w:t xml:space="preserve">, </w:t>
      </w:r>
      <w:r w:rsidRPr="008F457A">
        <w:rPr>
          <w:rFonts w:asciiTheme="minorHAnsi" w:hAnsiTheme="minorHAnsi"/>
          <w:sz w:val="22"/>
          <w:szCs w:val="22"/>
        </w:rPr>
        <w:t xml:space="preserve">and </w:t>
      </w:r>
      <w:r w:rsidRPr="000255ED">
        <w:rPr>
          <w:rFonts w:asciiTheme="minorHAnsi" w:hAnsiTheme="minorHAnsi"/>
          <w:sz w:val="22"/>
          <w:szCs w:val="22"/>
        </w:rPr>
        <w:t>Tavlas (2008).</w:t>
      </w:r>
      <w:proofErr w:type="gramEnd"/>
      <w:r>
        <w:rPr>
          <w:rFonts w:asciiTheme="minorHAnsi" w:hAnsiTheme="minorHAnsi"/>
          <w:sz w:val="22"/>
          <w:szCs w:val="22"/>
        </w:rPr>
        <w:t xml:space="preserve">  </w:t>
      </w:r>
      <w:r>
        <w:rPr>
          <w:rFonts w:asciiTheme="minorHAnsi" w:hAnsiTheme="minorHAnsi"/>
          <w:sz w:val="22"/>
          <w:szCs w:val="22"/>
        </w:rPr>
        <w:br/>
      </w:r>
    </w:p>
  </w:footnote>
  <w:footnote w:id="29">
    <w:p w:rsidR="006C4CB1" w:rsidRDefault="006C4CB1">
      <w:pPr>
        <w:pStyle w:val="FootnoteText"/>
      </w:pPr>
      <w:r>
        <w:rPr>
          <w:rStyle w:val="FootnoteReference"/>
        </w:rPr>
        <w:footnoteRef/>
      </w:r>
      <w:r>
        <w:t xml:space="preserve"> </w:t>
      </w:r>
      <w:r>
        <w:rPr>
          <w:rFonts w:asciiTheme="minorHAnsi" w:hAnsiTheme="minorHAnsi"/>
          <w:sz w:val="22"/>
          <w:szCs w:val="22"/>
        </w:rPr>
        <w:t>Frankel and Rose (1998</w:t>
      </w:r>
      <w:r w:rsidRPr="00CB538F">
        <w:rPr>
          <w:rFonts w:asciiTheme="minorHAnsi" w:hAnsiTheme="minorHAnsi"/>
          <w:sz w:val="22"/>
          <w:szCs w:val="22"/>
        </w:rPr>
        <w:t>)</w:t>
      </w:r>
      <w:r>
        <w:rPr>
          <w:rFonts w:asciiTheme="minorHAnsi" w:hAnsiTheme="minorHAnsi"/>
          <w:sz w:val="22"/>
          <w:szCs w:val="22"/>
        </w:rPr>
        <w:t xml:space="preserve">, </w:t>
      </w:r>
      <w:proofErr w:type="spellStart"/>
      <w:r w:rsidRPr="008F457A">
        <w:rPr>
          <w:rFonts w:asciiTheme="minorHAnsi" w:hAnsiTheme="minorHAnsi"/>
          <w:sz w:val="22"/>
          <w:szCs w:val="22"/>
        </w:rPr>
        <w:t>Imbs</w:t>
      </w:r>
      <w:proofErr w:type="spellEnd"/>
      <w:r w:rsidRPr="008F457A">
        <w:rPr>
          <w:rFonts w:asciiTheme="minorHAnsi" w:hAnsiTheme="minorHAnsi"/>
          <w:sz w:val="22"/>
          <w:szCs w:val="22"/>
        </w:rPr>
        <w:t xml:space="preserve"> (2004), </w:t>
      </w:r>
      <w:hyperlink r:id="rId2" w:anchor="!" w:history="1">
        <w:r w:rsidRPr="008F457A">
          <w:rPr>
            <w:rStyle w:val="text"/>
            <w:rFonts w:asciiTheme="minorHAnsi" w:hAnsiTheme="minorHAnsi" w:cs="Arial"/>
            <w:sz w:val="22"/>
            <w:szCs w:val="22"/>
          </w:rPr>
          <w:t>Calderón</w:t>
        </w:r>
        <w:r>
          <w:rPr>
            <w:rStyle w:val="text"/>
            <w:rFonts w:asciiTheme="minorHAnsi" w:hAnsiTheme="minorHAnsi" w:cs="Arial"/>
            <w:sz w:val="22"/>
            <w:szCs w:val="22"/>
          </w:rPr>
          <w:t xml:space="preserve"> and Chong (2007)</w:t>
        </w:r>
      </w:hyperlink>
      <w:r>
        <w:rPr>
          <w:rStyle w:val="text"/>
          <w:rFonts w:asciiTheme="minorHAnsi" w:hAnsiTheme="minorHAnsi" w:cs="Arial"/>
          <w:sz w:val="22"/>
          <w:szCs w:val="22"/>
        </w:rPr>
        <w:t xml:space="preserve">, </w:t>
      </w:r>
      <w:r w:rsidRPr="00D9110A">
        <w:rPr>
          <w:rFonts w:asciiTheme="minorHAnsi" w:eastAsiaTheme="majorEastAsia" w:hAnsiTheme="minorHAnsi" w:cs="Arial"/>
          <w:color w:val="1C1D1E"/>
          <w:sz w:val="22"/>
          <w:szCs w:val="22"/>
          <w:shd w:val="clear" w:color="auto" w:fill="FFFFFF"/>
        </w:rPr>
        <w:t>di Giovanni,</w:t>
      </w:r>
      <w:proofErr w:type="gramStart"/>
      <w:r w:rsidRPr="00D9110A">
        <w:rPr>
          <w:rFonts w:asciiTheme="minorHAnsi" w:eastAsiaTheme="majorEastAsia" w:hAnsiTheme="minorHAnsi" w:cs="Arial"/>
          <w:color w:val="1C1D1E"/>
          <w:sz w:val="22"/>
          <w:szCs w:val="22"/>
          <w:shd w:val="clear" w:color="auto" w:fill="FFFFFF"/>
        </w:rPr>
        <w:t> </w:t>
      </w:r>
      <w:r>
        <w:rPr>
          <w:rFonts w:cs="Arial"/>
          <w:color w:val="1C1D1E"/>
          <w:shd w:val="clear" w:color="auto" w:fill="FFFFFF"/>
        </w:rPr>
        <w:t xml:space="preserve"> </w:t>
      </w:r>
      <w:r>
        <w:rPr>
          <w:rFonts w:asciiTheme="minorHAnsi" w:eastAsiaTheme="majorEastAsia" w:hAnsiTheme="minorHAnsi" w:cs="Arial"/>
          <w:color w:val="1C1D1E"/>
          <w:sz w:val="22"/>
          <w:szCs w:val="22"/>
          <w:shd w:val="clear" w:color="auto" w:fill="FFFFFF"/>
        </w:rPr>
        <w:t>Levchenko</w:t>
      </w:r>
      <w:proofErr w:type="gramEnd"/>
      <w:r>
        <w:rPr>
          <w:rFonts w:asciiTheme="minorHAnsi" w:eastAsiaTheme="majorEastAsia" w:hAnsiTheme="minorHAnsi" w:cs="Arial"/>
          <w:color w:val="1C1D1E"/>
          <w:sz w:val="22"/>
          <w:szCs w:val="22"/>
          <w:shd w:val="clear" w:color="auto" w:fill="FFFFFF"/>
        </w:rPr>
        <w:t xml:space="preserve"> and </w:t>
      </w:r>
      <w:proofErr w:type="spellStart"/>
      <w:r w:rsidRPr="00D9110A">
        <w:rPr>
          <w:rFonts w:asciiTheme="minorHAnsi" w:eastAsiaTheme="majorEastAsia" w:hAnsiTheme="minorHAnsi" w:cs="Arial"/>
          <w:color w:val="1C1D1E"/>
          <w:sz w:val="22"/>
          <w:szCs w:val="22"/>
          <w:shd w:val="clear" w:color="auto" w:fill="FFFFFF"/>
        </w:rPr>
        <w:t>Mejean</w:t>
      </w:r>
      <w:proofErr w:type="spellEnd"/>
      <w:r>
        <w:rPr>
          <w:rFonts w:asciiTheme="minorHAnsi" w:eastAsiaTheme="majorEastAsia" w:hAnsiTheme="minorHAnsi" w:cs="Arial"/>
          <w:color w:val="1C1D1E"/>
          <w:sz w:val="22"/>
          <w:szCs w:val="22"/>
          <w:shd w:val="clear" w:color="auto" w:fill="FFFFFF"/>
        </w:rPr>
        <w:t xml:space="preserve"> (</w:t>
      </w:r>
      <w:r w:rsidRPr="00D9110A">
        <w:rPr>
          <w:rFonts w:asciiTheme="minorHAnsi" w:hAnsiTheme="minorHAnsi" w:cs="Arial"/>
          <w:color w:val="1C1D1E"/>
          <w:sz w:val="22"/>
          <w:szCs w:val="22"/>
          <w:shd w:val="clear" w:color="auto" w:fill="FFFFFF"/>
        </w:rPr>
        <w:t>2018</w:t>
      </w:r>
      <w:r>
        <w:rPr>
          <w:rFonts w:asciiTheme="minorHAnsi" w:hAnsiTheme="minorHAnsi" w:cs="Arial"/>
          <w:color w:val="1C1D1E"/>
          <w:sz w:val="22"/>
          <w:szCs w:val="22"/>
          <w:shd w:val="clear" w:color="auto" w:fill="FFFFFF"/>
        </w:rPr>
        <w:t>)</w:t>
      </w:r>
      <w:r>
        <w:rPr>
          <w:rStyle w:val="text"/>
          <w:rFonts w:asciiTheme="minorHAnsi" w:hAnsiTheme="minorHAnsi" w:cs="Arial"/>
          <w:sz w:val="22"/>
          <w:szCs w:val="22"/>
        </w:rPr>
        <w:t>.</w:t>
      </w:r>
      <w:r>
        <w:rPr>
          <w:rStyle w:val="text"/>
          <w:rFonts w:asciiTheme="minorHAnsi" w:hAnsiTheme="minorHAnsi" w:cs="Arial"/>
          <w:sz w:val="22"/>
          <w:szCs w:val="22"/>
        </w:rPr>
        <w:br/>
      </w:r>
    </w:p>
  </w:footnote>
  <w:footnote w:id="30">
    <w:p w:rsidR="006C4CB1" w:rsidRPr="00CB538F" w:rsidRDefault="006C4CB1">
      <w:pPr>
        <w:pStyle w:val="FootnoteText"/>
        <w:rPr>
          <w:rFonts w:asciiTheme="minorHAnsi" w:hAnsiTheme="minorHAnsi"/>
          <w:sz w:val="22"/>
          <w:szCs w:val="22"/>
        </w:rPr>
      </w:pPr>
      <w:r w:rsidRPr="00CB538F">
        <w:rPr>
          <w:rStyle w:val="FootnoteReference"/>
          <w:rFonts w:asciiTheme="minorHAnsi" w:hAnsiTheme="minorHAnsi"/>
          <w:sz w:val="22"/>
          <w:szCs w:val="22"/>
        </w:rPr>
        <w:footnoteRef/>
      </w:r>
      <w:r w:rsidRPr="00CB538F">
        <w:rPr>
          <w:rFonts w:asciiTheme="minorHAnsi" w:hAnsiTheme="minorHAnsi"/>
          <w:sz w:val="22"/>
          <w:szCs w:val="22"/>
        </w:rPr>
        <w:t xml:space="preserve"> </w:t>
      </w:r>
      <w:proofErr w:type="gramStart"/>
      <w:r w:rsidRPr="00CB538F">
        <w:rPr>
          <w:rFonts w:asciiTheme="minorHAnsi" w:hAnsiTheme="minorHAnsi"/>
          <w:sz w:val="22"/>
          <w:szCs w:val="22"/>
        </w:rPr>
        <w:t>Frankel and Rose (1997)</w:t>
      </w:r>
      <w:r>
        <w:rPr>
          <w:rStyle w:val="text"/>
          <w:rFonts w:asciiTheme="minorHAnsi" w:hAnsiTheme="minorHAnsi" w:cs="Arial"/>
          <w:sz w:val="22"/>
          <w:szCs w:val="2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36FC"/>
    <w:multiLevelType w:val="hybridMultilevel"/>
    <w:tmpl w:val="FD40025A"/>
    <w:lvl w:ilvl="0" w:tplc="A8067C32">
      <w:start w:val="1"/>
      <w:numFmt w:val="lowerRoman"/>
      <w:lvlText w:val="(%1)"/>
      <w:lvlJc w:val="left"/>
      <w:pPr>
        <w:ind w:left="960" w:hanging="9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E87205"/>
    <w:multiLevelType w:val="multilevel"/>
    <w:tmpl w:val="0220F4F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D8037C"/>
    <w:multiLevelType w:val="hybridMultilevel"/>
    <w:tmpl w:val="09E02842"/>
    <w:lvl w:ilvl="0" w:tplc="390E4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22F86"/>
    <w:multiLevelType w:val="hybridMultilevel"/>
    <w:tmpl w:val="B5C01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13420A"/>
    <w:multiLevelType w:val="hybridMultilevel"/>
    <w:tmpl w:val="FA5651CC"/>
    <w:lvl w:ilvl="0" w:tplc="48B6C07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81F8D"/>
    <w:multiLevelType w:val="hybridMultilevel"/>
    <w:tmpl w:val="EC6C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61FB"/>
    <w:rsid w:val="000037A9"/>
    <w:rsid w:val="00004C85"/>
    <w:rsid w:val="00005A43"/>
    <w:rsid w:val="000140FD"/>
    <w:rsid w:val="00015CCB"/>
    <w:rsid w:val="00016067"/>
    <w:rsid w:val="00016948"/>
    <w:rsid w:val="00020579"/>
    <w:rsid w:val="00020A4C"/>
    <w:rsid w:val="00022E5D"/>
    <w:rsid w:val="000255ED"/>
    <w:rsid w:val="000359D4"/>
    <w:rsid w:val="000467CB"/>
    <w:rsid w:val="00046BD6"/>
    <w:rsid w:val="00047782"/>
    <w:rsid w:val="0007327F"/>
    <w:rsid w:val="00076D96"/>
    <w:rsid w:val="00084D23"/>
    <w:rsid w:val="00090C16"/>
    <w:rsid w:val="00097C44"/>
    <w:rsid w:val="000A78D8"/>
    <w:rsid w:val="000B2D00"/>
    <w:rsid w:val="000B4050"/>
    <w:rsid w:val="000B47B8"/>
    <w:rsid w:val="000B7B6B"/>
    <w:rsid w:val="000C316B"/>
    <w:rsid w:val="000C33A7"/>
    <w:rsid w:val="000C3FC4"/>
    <w:rsid w:val="000D1FBB"/>
    <w:rsid w:val="000D468E"/>
    <w:rsid w:val="000D612A"/>
    <w:rsid w:val="000D7D07"/>
    <w:rsid w:val="000E194C"/>
    <w:rsid w:val="000E2AC0"/>
    <w:rsid w:val="000E534D"/>
    <w:rsid w:val="00100F59"/>
    <w:rsid w:val="00103639"/>
    <w:rsid w:val="001063B0"/>
    <w:rsid w:val="00111FF1"/>
    <w:rsid w:val="00112A45"/>
    <w:rsid w:val="00113AEC"/>
    <w:rsid w:val="00121EF3"/>
    <w:rsid w:val="0013421E"/>
    <w:rsid w:val="00137398"/>
    <w:rsid w:val="00137950"/>
    <w:rsid w:val="00144F55"/>
    <w:rsid w:val="00150B01"/>
    <w:rsid w:val="00151D1B"/>
    <w:rsid w:val="00157279"/>
    <w:rsid w:val="00157341"/>
    <w:rsid w:val="00176360"/>
    <w:rsid w:val="00181F8B"/>
    <w:rsid w:val="00184E48"/>
    <w:rsid w:val="00194146"/>
    <w:rsid w:val="001A6FE3"/>
    <w:rsid w:val="001B0B6E"/>
    <w:rsid w:val="001B1330"/>
    <w:rsid w:val="001D4428"/>
    <w:rsid w:val="001D64A6"/>
    <w:rsid w:val="001D7BB3"/>
    <w:rsid w:val="001E3325"/>
    <w:rsid w:val="001E33BC"/>
    <w:rsid w:val="001E45A3"/>
    <w:rsid w:val="001E63BE"/>
    <w:rsid w:val="002007EB"/>
    <w:rsid w:val="00211C0E"/>
    <w:rsid w:val="00214E0C"/>
    <w:rsid w:val="00220C41"/>
    <w:rsid w:val="0022497F"/>
    <w:rsid w:val="002422A3"/>
    <w:rsid w:val="00244C3E"/>
    <w:rsid w:val="0025290A"/>
    <w:rsid w:val="0025410F"/>
    <w:rsid w:val="002648EB"/>
    <w:rsid w:val="00267EC2"/>
    <w:rsid w:val="00293213"/>
    <w:rsid w:val="002A2017"/>
    <w:rsid w:val="002B30A5"/>
    <w:rsid w:val="002B4AEB"/>
    <w:rsid w:val="002B6623"/>
    <w:rsid w:val="002B677B"/>
    <w:rsid w:val="002C3859"/>
    <w:rsid w:val="002C6A00"/>
    <w:rsid w:val="002D45E3"/>
    <w:rsid w:val="002F2E47"/>
    <w:rsid w:val="00303412"/>
    <w:rsid w:val="0030499C"/>
    <w:rsid w:val="00306E44"/>
    <w:rsid w:val="00307F1B"/>
    <w:rsid w:val="00315199"/>
    <w:rsid w:val="00315660"/>
    <w:rsid w:val="003219D7"/>
    <w:rsid w:val="003227F5"/>
    <w:rsid w:val="00346AC3"/>
    <w:rsid w:val="00347A56"/>
    <w:rsid w:val="0035383F"/>
    <w:rsid w:val="0035420B"/>
    <w:rsid w:val="00354AC5"/>
    <w:rsid w:val="00361D38"/>
    <w:rsid w:val="003647EB"/>
    <w:rsid w:val="00365D20"/>
    <w:rsid w:val="003701FC"/>
    <w:rsid w:val="0037273F"/>
    <w:rsid w:val="00376650"/>
    <w:rsid w:val="00376975"/>
    <w:rsid w:val="00380B39"/>
    <w:rsid w:val="00383952"/>
    <w:rsid w:val="0038662E"/>
    <w:rsid w:val="00394BAA"/>
    <w:rsid w:val="00394C37"/>
    <w:rsid w:val="00396BD8"/>
    <w:rsid w:val="003A20B8"/>
    <w:rsid w:val="003A7069"/>
    <w:rsid w:val="003B0704"/>
    <w:rsid w:val="003B0FB9"/>
    <w:rsid w:val="003B1398"/>
    <w:rsid w:val="003B18AF"/>
    <w:rsid w:val="003B22DB"/>
    <w:rsid w:val="003B26C6"/>
    <w:rsid w:val="003B4CDB"/>
    <w:rsid w:val="003B7BF6"/>
    <w:rsid w:val="003C1D39"/>
    <w:rsid w:val="003C66BB"/>
    <w:rsid w:val="003D4FD9"/>
    <w:rsid w:val="003E06FB"/>
    <w:rsid w:val="003F545D"/>
    <w:rsid w:val="00401568"/>
    <w:rsid w:val="00406E88"/>
    <w:rsid w:val="004167D8"/>
    <w:rsid w:val="00421034"/>
    <w:rsid w:val="00424F5F"/>
    <w:rsid w:val="00425BE0"/>
    <w:rsid w:val="00430305"/>
    <w:rsid w:val="00436527"/>
    <w:rsid w:val="004407B7"/>
    <w:rsid w:val="00443E5B"/>
    <w:rsid w:val="004504A0"/>
    <w:rsid w:val="00452796"/>
    <w:rsid w:val="00452839"/>
    <w:rsid w:val="00452F1C"/>
    <w:rsid w:val="004534A7"/>
    <w:rsid w:val="00453E77"/>
    <w:rsid w:val="004566E1"/>
    <w:rsid w:val="00456FCD"/>
    <w:rsid w:val="00462217"/>
    <w:rsid w:val="00465187"/>
    <w:rsid w:val="0047290A"/>
    <w:rsid w:val="004756BE"/>
    <w:rsid w:val="00477FED"/>
    <w:rsid w:val="0049201D"/>
    <w:rsid w:val="00495839"/>
    <w:rsid w:val="0049684D"/>
    <w:rsid w:val="004A4262"/>
    <w:rsid w:val="004A645E"/>
    <w:rsid w:val="004C00A1"/>
    <w:rsid w:val="004C6489"/>
    <w:rsid w:val="004E0218"/>
    <w:rsid w:val="004E1F5A"/>
    <w:rsid w:val="004E3A22"/>
    <w:rsid w:val="004E5D1B"/>
    <w:rsid w:val="004E7895"/>
    <w:rsid w:val="004F3582"/>
    <w:rsid w:val="004F6C8D"/>
    <w:rsid w:val="00510C53"/>
    <w:rsid w:val="0054046A"/>
    <w:rsid w:val="00550769"/>
    <w:rsid w:val="00551A4B"/>
    <w:rsid w:val="005535BF"/>
    <w:rsid w:val="00556103"/>
    <w:rsid w:val="00556AA1"/>
    <w:rsid w:val="0057013D"/>
    <w:rsid w:val="00576952"/>
    <w:rsid w:val="00577917"/>
    <w:rsid w:val="005839E1"/>
    <w:rsid w:val="005913B9"/>
    <w:rsid w:val="005A13D6"/>
    <w:rsid w:val="005A2169"/>
    <w:rsid w:val="005A69E2"/>
    <w:rsid w:val="005A6C6C"/>
    <w:rsid w:val="005B05B0"/>
    <w:rsid w:val="005B40B7"/>
    <w:rsid w:val="005B4508"/>
    <w:rsid w:val="005C3485"/>
    <w:rsid w:val="005D1D13"/>
    <w:rsid w:val="005D23E1"/>
    <w:rsid w:val="005D2D9E"/>
    <w:rsid w:val="005D438E"/>
    <w:rsid w:val="005E2BC9"/>
    <w:rsid w:val="005E3E6D"/>
    <w:rsid w:val="005E7649"/>
    <w:rsid w:val="006000B3"/>
    <w:rsid w:val="00622E22"/>
    <w:rsid w:val="00644A91"/>
    <w:rsid w:val="00652AE9"/>
    <w:rsid w:val="00656808"/>
    <w:rsid w:val="00663023"/>
    <w:rsid w:val="006671D1"/>
    <w:rsid w:val="00670EA4"/>
    <w:rsid w:val="0067430D"/>
    <w:rsid w:val="00682149"/>
    <w:rsid w:val="00683DE7"/>
    <w:rsid w:val="00684E47"/>
    <w:rsid w:val="00685CE9"/>
    <w:rsid w:val="0068656D"/>
    <w:rsid w:val="0069153C"/>
    <w:rsid w:val="00695E90"/>
    <w:rsid w:val="006A63EF"/>
    <w:rsid w:val="006B1294"/>
    <w:rsid w:val="006B2A7D"/>
    <w:rsid w:val="006B7569"/>
    <w:rsid w:val="006C4CB1"/>
    <w:rsid w:val="006E6B2F"/>
    <w:rsid w:val="006E7120"/>
    <w:rsid w:val="006F44A6"/>
    <w:rsid w:val="00713F3F"/>
    <w:rsid w:val="007329C2"/>
    <w:rsid w:val="00735B7B"/>
    <w:rsid w:val="00737374"/>
    <w:rsid w:val="007455CA"/>
    <w:rsid w:val="00746927"/>
    <w:rsid w:val="00747781"/>
    <w:rsid w:val="00752AC7"/>
    <w:rsid w:val="00761192"/>
    <w:rsid w:val="00762C9D"/>
    <w:rsid w:val="00774694"/>
    <w:rsid w:val="00776D65"/>
    <w:rsid w:val="00785EB3"/>
    <w:rsid w:val="00787C2A"/>
    <w:rsid w:val="00791BFC"/>
    <w:rsid w:val="00797BE4"/>
    <w:rsid w:val="007A0FA7"/>
    <w:rsid w:val="007B1DBB"/>
    <w:rsid w:val="007C697F"/>
    <w:rsid w:val="007C6DE5"/>
    <w:rsid w:val="007E31C0"/>
    <w:rsid w:val="007E4B47"/>
    <w:rsid w:val="007F3C43"/>
    <w:rsid w:val="007F5144"/>
    <w:rsid w:val="008076BF"/>
    <w:rsid w:val="008309A5"/>
    <w:rsid w:val="00841BBB"/>
    <w:rsid w:val="008440C2"/>
    <w:rsid w:val="00850A5E"/>
    <w:rsid w:val="00855F9F"/>
    <w:rsid w:val="00860448"/>
    <w:rsid w:val="0086332B"/>
    <w:rsid w:val="008652DB"/>
    <w:rsid w:val="00871376"/>
    <w:rsid w:val="0087444A"/>
    <w:rsid w:val="00874BE6"/>
    <w:rsid w:val="00887F36"/>
    <w:rsid w:val="008933E5"/>
    <w:rsid w:val="008A3B58"/>
    <w:rsid w:val="008A7C5E"/>
    <w:rsid w:val="008C0AA8"/>
    <w:rsid w:val="008C1ADC"/>
    <w:rsid w:val="008C269D"/>
    <w:rsid w:val="008C2B95"/>
    <w:rsid w:val="008D3919"/>
    <w:rsid w:val="008E16E6"/>
    <w:rsid w:val="008E3EE7"/>
    <w:rsid w:val="008F261D"/>
    <w:rsid w:val="008F3F8F"/>
    <w:rsid w:val="008F457A"/>
    <w:rsid w:val="0090755B"/>
    <w:rsid w:val="009138FF"/>
    <w:rsid w:val="00914434"/>
    <w:rsid w:val="00921C57"/>
    <w:rsid w:val="0093222D"/>
    <w:rsid w:val="0093371E"/>
    <w:rsid w:val="00934636"/>
    <w:rsid w:val="00936409"/>
    <w:rsid w:val="009433DA"/>
    <w:rsid w:val="00953CF7"/>
    <w:rsid w:val="00964431"/>
    <w:rsid w:val="00965909"/>
    <w:rsid w:val="00967AE7"/>
    <w:rsid w:val="00972A18"/>
    <w:rsid w:val="00975388"/>
    <w:rsid w:val="00987490"/>
    <w:rsid w:val="009B1218"/>
    <w:rsid w:val="009B24F8"/>
    <w:rsid w:val="009B2924"/>
    <w:rsid w:val="009B5901"/>
    <w:rsid w:val="009C0BD6"/>
    <w:rsid w:val="009C4748"/>
    <w:rsid w:val="009C5626"/>
    <w:rsid w:val="009D0CF8"/>
    <w:rsid w:val="009D17B3"/>
    <w:rsid w:val="009E367F"/>
    <w:rsid w:val="009E6570"/>
    <w:rsid w:val="009F2099"/>
    <w:rsid w:val="009F2153"/>
    <w:rsid w:val="009F56F3"/>
    <w:rsid w:val="009F6140"/>
    <w:rsid w:val="00A00A7E"/>
    <w:rsid w:val="00A02E31"/>
    <w:rsid w:val="00A0508A"/>
    <w:rsid w:val="00A11E88"/>
    <w:rsid w:val="00A23242"/>
    <w:rsid w:val="00A307A7"/>
    <w:rsid w:val="00A31780"/>
    <w:rsid w:val="00A44488"/>
    <w:rsid w:val="00A514F6"/>
    <w:rsid w:val="00A53F75"/>
    <w:rsid w:val="00A544A8"/>
    <w:rsid w:val="00A563AD"/>
    <w:rsid w:val="00A66C14"/>
    <w:rsid w:val="00A73118"/>
    <w:rsid w:val="00A815CA"/>
    <w:rsid w:val="00A91C42"/>
    <w:rsid w:val="00AA0543"/>
    <w:rsid w:val="00AA428A"/>
    <w:rsid w:val="00AA44D1"/>
    <w:rsid w:val="00AA5560"/>
    <w:rsid w:val="00AB5B23"/>
    <w:rsid w:val="00AD2098"/>
    <w:rsid w:val="00AD28B3"/>
    <w:rsid w:val="00AE2702"/>
    <w:rsid w:val="00AE2B9A"/>
    <w:rsid w:val="00AE4270"/>
    <w:rsid w:val="00AF3DCC"/>
    <w:rsid w:val="00AF5480"/>
    <w:rsid w:val="00B05ACD"/>
    <w:rsid w:val="00B20599"/>
    <w:rsid w:val="00B353B7"/>
    <w:rsid w:val="00B35B0E"/>
    <w:rsid w:val="00B36D71"/>
    <w:rsid w:val="00B500F0"/>
    <w:rsid w:val="00B506C7"/>
    <w:rsid w:val="00B50D3D"/>
    <w:rsid w:val="00B52883"/>
    <w:rsid w:val="00B652A5"/>
    <w:rsid w:val="00B658BC"/>
    <w:rsid w:val="00B70753"/>
    <w:rsid w:val="00B7081D"/>
    <w:rsid w:val="00B73C3F"/>
    <w:rsid w:val="00B76F65"/>
    <w:rsid w:val="00B808BF"/>
    <w:rsid w:val="00B81221"/>
    <w:rsid w:val="00B94C06"/>
    <w:rsid w:val="00BA60D6"/>
    <w:rsid w:val="00BA71B5"/>
    <w:rsid w:val="00BB558C"/>
    <w:rsid w:val="00BB61FB"/>
    <w:rsid w:val="00BB706A"/>
    <w:rsid w:val="00BC1720"/>
    <w:rsid w:val="00BD308E"/>
    <w:rsid w:val="00BD5A31"/>
    <w:rsid w:val="00BD6AF8"/>
    <w:rsid w:val="00BE1ACA"/>
    <w:rsid w:val="00BE1F61"/>
    <w:rsid w:val="00BE2768"/>
    <w:rsid w:val="00BE376E"/>
    <w:rsid w:val="00BE57C5"/>
    <w:rsid w:val="00BF505F"/>
    <w:rsid w:val="00C00F07"/>
    <w:rsid w:val="00C15AC9"/>
    <w:rsid w:val="00C226B6"/>
    <w:rsid w:val="00C22EB4"/>
    <w:rsid w:val="00C27AA4"/>
    <w:rsid w:val="00C36CA0"/>
    <w:rsid w:val="00C44B69"/>
    <w:rsid w:val="00C44E01"/>
    <w:rsid w:val="00C44EFC"/>
    <w:rsid w:val="00C51F27"/>
    <w:rsid w:val="00C6044D"/>
    <w:rsid w:val="00C62C1A"/>
    <w:rsid w:val="00C65934"/>
    <w:rsid w:val="00C66723"/>
    <w:rsid w:val="00C67BF6"/>
    <w:rsid w:val="00C800D2"/>
    <w:rsid w:val="00C81D81"/>
    <w:rsid w:val="00C85C48"/>
    <w:rsid w:val="00C87F09"/>
    <w:rsid w:val="00C947FD"/>
    <w:rsid w:val="00C967C2"/>
    <w:rsid w:val="00C97A27"/>
    <w:rsid w:val="00CA242D"/>
    <w:rsid w:val="00CA5E8F"/>
    <w:rsid w:val="00CB09BE"/>
    <w:rsid w:val="00CB538F"/>
    <w:rsid w:val="00CC1C37"/>
    <w:rsid w:val="00CC75E8"/>
    <w:rsid w:val="00CE0DAD"/>
    <w:rsid w:val="00CE0F16"/>
    <w:rsid w:val="00CE1E43"/>
    <w:rsid w:val="00CE2405"/>
    <w:rsid w:val="00CE3A81"/>
    <w:rsid w:val="00D042F2"/>
    <w:rsid w:val="00D1567C"/>
    <w:rsid w:val="00D207E2"/>
    <w:rsid w:val="00D236DC"/>
    <w:rsid w:val="00D31A0A"/>
    <w:rsid w:val="00D43F70"/>
    <w:rsid w:val="00D4413F"/>
    <w:rsid w:val="00D44328"/>
    <w:rsid w:val="00D46478"/>
    <w:rsid w:val="00D46895"/>
    <w:rsid w:val="00D55266"/>
    <w:rsid w:val="00D63B20"/>
    <w:rsid w:val="00D708B7"/>
    <w:rsid w:val="00D70C60"/>
    <w:rsid w:val="00D7260A"/>
    <w:rsid w:val="00D805AE"/>
    <w:rsid w:val="00D83C46"/>
    <w:rsid w:val="00D90490"/>
    <w:rsid w:val="00D9110A"/>
    <w:rsid w:val="00D964D2"/>
    <w:rsid w:val="00DA391E"/>
    <w:rsid w:val="00DA5D48"/>
    <w:rsid w:val="00DA603C"/>
    <w:rsid w:val="00DA685B"/>
    <w:rsid w:val="00DB51EB"/>
    <w:rsid w:val="00DB5DD9"/>
    <w:rsid w:val="00DC0A27"/>
    <w:rsid w:val="00DC79D9"/>
    <w:rsid w:val="00DD35D1"/>
    <w:rsid w:val="00DE13DD"/>
    <w:rsid w:val="00DE305E"/>
    <w:rsid w:val="00DF17E5"/>
    <w:rsid w:val="00DF1F73"/>
    <w:rsid w:val="00E027E7"/>
    <w:rsid w:val="00E068A3"/>
    <w:rsid w:val="00E0725D"/>
    <w:rsid w:val="00E16B50"/>
    <w:rsid w:val="00E21F49"/>
    <w:rsid w:val="00E27208"/>
    <w:rsid w:val="00E350F2"/>
    <w:rsid w:val="00E375C0"/>
    <w:rsid w:val="00E413D8"/>
    <w:rsid w:val="00E62A33"/>
    <w:rsid w:val="00E72C17"/>
    <w:rsid w:val="00E73A74"/>
    <w:rsid w:val="00E73E18"/>
    <w:rsid w:val="00E80114"/>
    <w:rsid w:val="00E80829"/>
    <w:rsid w:val="00E81DC1"/>
    <w:rsid w:val="00E92B14"/>
    <w:rsid w:val="00EA1310"/>
    <w:rsid w:val="00EA25E2"/>
    <w:rsid w:val="00EA39E0"/>
    <w:rsid w:val="00EA6066"/>
    <w:rsid w:val="00EB2EE7"/>
    <w:rsid w:val="00EB6167"/>
    <w:rsid w:val="00ED264E"/>
    <w:rsid w:val="00F07E3E"/>
    <w:rsid w:val="00F41624"/>
    <w:rsid w:val="00F44970"/>
    <w:rsid w:val="00F550ED"/>
    <w:rsid w:val="00F60F49"/>
    <w:rsid w:val="00F60F74"/>
    <w:rsid w:val="00F6413F"/>
    <w:rsid w:val="00F64722"/>
    <w:rsid w:val="00F64888"/>
    <w:rsid w:val="00F655BC"/>
    <w:rsid w:val="00F65E8F"/>
    <w:rsid w:val="00F72A98"/>
    <w:rsid w:val="00F86850"/>
    <w:rsid w:val="00F90C2F"/>
    <w:rsid w:val="00F90E56"/>
    <w:rsid w:val="00FA5F7B"/>
    <w:rsid w:val="00FB1B2D"/>
    <w:rsid w:val="00FD3E90"/>
    <w:rsid w:val="00FD5825"/>
    <w:rsid w:val="00FD7B28"/>
    <w:rsid w:val="00FE1630"/>
    <w:rsid w:val="00FE29CA"/>
    <w:rsid w:val="00F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1FB"/>
  </w:style>
  <w:style w:type="paragraph" w:styleId="Heading1">
    <w:name w:val="heading 1"/>
    <w:basedOn w:val="Normal"/>
    <w:next w:val="Normal"/>
    <w:link w:val="Heading1Char"/>
    <w:uiPriority w:val="9"/>
    <w:qFormat/>
    <w:rsid w:val="00097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97C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pPr>
      <w:spacing w:line="240" w:lineRule="auto"/>
    </w:pPr>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FootnoteText">
    <w:name w:val="footnote text"/>
    <w:basedOn w:val="Normal"/>
    <w:link w:val="FootnoteTextChar"/>
    <w:uiPriority w:val="99"/>
    <w:semiHidden/>
    <w:rsid w:val="00B35B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35B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35B0E"/>
    <w:rPr>
      <w:vertAlign w:val="superscript"/>
    </w:rPr>
  </w:style>
  <w:style w:type="character" w:styleId="Hyperlink">
    <w:name w:val="Hyperlink"/>
    <w:basedOn w:val="DefaultParagraphFont"/>
    <w:rsid w:val="002007EB"/>
    <w:rPr>
      <w:strike w:val="0"/>
      <w:dstrike w:val="0"/>
      <w:color w:val="5A597B"/>
      <w:sz w:val="24"/>
      <w:szCs w:val="24"/>
      <w:u w:val="none"/>
      <w:effect w:val="none"/>
    </w:rPr>
  </w:style>
  <w:style w:type="paragraph" w:styleId="PlainText">
    <w:name w:val="Plain Text"/>
    <w:basedOn w:val="Normal"/>
    <w:link w:val="PlainTextChar"/>
    <w:rsid w:val="00DA5D4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A5D48"/>
    <w:rPr>
      <w:rFonts w:ascii="Courier New" w:eastAsia="Times New Roman" w:hAnsi="Courier New" w:cs="Courier New"/>
      <w:sz w:val="20"/>
      <w:szCs w:val="20"/>
    </w:rPr>
  </w:style>
  <w:style w:type="paragraph" w:customStyle="1" w:styleId="volume-issue">
    <w:name w:val="volume-issue"/>
    <w:basedOn w:val="Normal"/>
    <w:rsid w:val="00DA5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DA5D48"/>
  </w:style>
  <w:style w:type="paragraph" w:styleId="NormalWeb">
    <w:name w:val="Normal (Web)"/>
    <w:basedOn w:val="Normal"/>
    <w:uiPriority w:val="99"/>
    <w:unhideWhenUsed/>
    <w:rsid w:val="00DA5D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ange">
    <w:name w:val="page-range"/>
    <w:basedOn w:val="Normal"/>
    <w:rsid w:val="00DA5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md1">
    <w:name w:val="addmd1"/>
    <w:basedOn w:val="DefaultParagraphFont"/>
    <w:rsid w:val="00DA603C"/>
    <w:rPr>
      <w:rFonts w:ascii="Arial" w:hAnsi="Arial" w:cs="Arial" w:hint="default"/>
      <w:sz w:val="20"/>
      <w:szCs w:val="20"/>
    </w:rPr>
  </w:style>
  <w:style w:type="character" w:customStyle="1" w:styleId="nlmstring-name">
    <w:name w:val="nlm_string-name"/>
    <w:basedOn w:val="DefaultParagraphFont"/>
    <w:rsid w:val="00306E44"/>
  </w:style>
  <w:style w:type="character" w:customStyle="1" w:styleId="journalname">
    <w:name w:val="journalname"/>
    <w:basedOn w:val="DefaultParagraphFont"/>
    <w:rsid w:val="00306E44"/>
  </w:style>
  <w:style w:type="character" w:customStyle="1" w:styleId="year">
    <w:name w:val="year"/>
    <w:basedOn w:val="DefaultParagraphFont"/>
    <w:rsid w:val="00306E44"/>
  </w:style>
  <w:style w:type="character" w:customStyle="1" w:styleId="volume">
    <w:name w:val="volume"/>
    <w:basedOn w:val="DefaultParagraphFont"/>
    <w:rsid w:val="00306E44"/>
  </w:style>
  <w:style w:type="character" w:customStyle="1" w:styleId="page">
    <w:name w:val="page"/>
    <w:basedOn w:val="DefaultParagraphFont"/>
    <w:rsid w:val="00306E44"/>
  </w:style>
  <w:style w:type="character" w:customStyle="1" w:styleId="Caractresdenotedebasdepage">
    <w:name w:val="Caractères de note de bas de page"/>
    <w:basedOn w:val="DefaultParagraphFont"/>
    <w:rsid w:val="0086332B"/>
    <w:rPr>
      <w:sz w:val="20"/>
      <w:vertAlign w:val="superscript"/>
    </w:rPr>
  </w:style>
  <w:style w:type="character" w:customStyle="1" w:styleId="hlfld-contribauthor">
    <w:name w:val="hlfld-contribauthor"/>
    <w:basedOn w:val="DefaultParagraphFont"/>
    <w:rsid w:val="004E5D1B"/>
  </w:style>
  <w:style w:type="character" w:customStyle="1" w:styleId="nlmsource">
    <w:name w:val="nlm_source"/>
    <w:basedOn w:val="DefaultParagraphFont"/>
    <w:rsid w:val="004E5D1B"/>
  </w:style>
  <w:style w:type="paragraph" w:styleId="Header">
    <w:name w:val="header"/>
    <w:basedOn w:val="Normal"/>
    <w:link w:val="HeaderChar"/>
    <w:uiPriority w:val="99"/>
    <w:unhideWhenUsed/>
    <w:rsid w:val="00F6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F49"/>
  </w:style>
  <w:style w:type="paragraph" w:styleId="Footer">
    <w:name w:val="footer"/>
    <w:basedOn w:val="Normal"/>
    <w:link w:val="FooterChar"/>
    <w:uiPriority w:val="99"/>
    <w:unhideWhenUsed/>
    <w:rsid w:val="00F6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F49"/>
  </w:style>
  <w:style w:type="character" w:customStyle="1" w:styleId="al-author-name">
    <w:name w:val="al-author-name"/>
    <w:basedOn w:val="DefaultParagraphFont"/>
    <w:rsid w:val="0013421E"/>
  </w:style>
  <w:style w:type="character" w:customStyle="1" w:styleId="hlfld-title">
    <w:name w:val="hlfld-title"/>
    <w:basedOn w:val="DefaultParagraphFont"/>
    <w:rsid w:val="001E45A3"/>
  </w:style>
  <w:style w:type="character" w:customStyle="1" w:styleId="titleauthoretc">
    <w:name w:val="titleauthoretc"/>
    <w:basedOn w:val="DefaultParagraphFont"/>
    <w:rsid w:val="00157279"/>
  </w:style>
  <w:style w:type="character" w:customStyle="1" w:styleId="title-text">
    <w:name w:val="title-text"/>
    <w:basedOn w:val="DefaultParagraphFont"/>
    <w:rsid w:val="009F2153"/>
  </w:style>
  <w:style w:type="character" w:customStyle="1" w:styleId="sr-only">
    <w:name w:val="sr-only"/>
    <w:basedOn w:val="DefaultParagraphFont"/>
    <w:rsid w:val="009F2153"/>
  </w:style>
  <w:style w:type="character" w:customStyle="1" w:styleId="text">
    <w:name w:val="text"/>
    <w:basedOn w:val="DefaultParagraphFont"/>
    <w:rsid w:val="009F2153"/>
  </w:style>
  <w:style w:type="character" w:customStyle="1" w:styleId="issue">
    <w:name w:val="issue"/>
    <w:basedOn w:val="DefaultParagraphFont"/>
    <w:rsid w:val="00A544A8"/>
  </w:style>
  <w:style w:type="character" w:customStyle="1" w:styleId="addmd">
    <w:name w:val="addmd"/>
    <w:basedOn w:val="DefaultParagraphFont"/>
    <w:rsid w:val="00436527"/>
  </w:style>
  <w:style w:type="character" w:customStyle="1" w:styleId="pubyear">
    <w:name w:val="pubyear"/>
    <w:basedOn w:val="DefaultParagraphFont"/>
    <w:rsid w:val="00181F8B"/>
  </w:style>
  <w:style w:type="character" w:customStyle="1" w:styleId="articletitle">
    <w:name w:val="articletitle"/>
    <w:basedOn w:val="DefaultParagraphFont"/>
    <w:rsid w:val="00181F8B"/>
  </w:style>
  <w:style w:type="character" w:customStyle="1" w:styleId="vol">
    <w:name w:val="vol"/>
    <w:basedOn w:val="DefaultParagraphFont"/>
    <w:rsid w:val="00181F8B"/>
  </w:style>
  <w:style w:type="character" w:customStyle="1" w:styleId="booktitle0">
    <w:name w:val="booktitle"/>
    <w:basedOn w:val="DefaultParagraphFont"/>
    <w:rsid w:val="00181F8B"/>
  </w:style>
  <w:style w:type="character" w:customStyle="1" w:styleId="articlecitationvolume">
    <w:name w:val="articlecitation_volume"/>
    <w:basedOn w:val="DefaultParagraphFont"/>
    <w:rsid w:val="00181F8B"/>
  </w:style>
  <w:style w:type="character" w:customStyle="1" w:styleId="articlecitationpages">
    <w:name w:val="articlecitation_pages"/>
    <w:basedOn w:val="DefaultParagraphFont"/>
    <w:rsid w:val="00181F8B"/>
  </w:style>
  <w:style w:type="paragraph" w:styleId="BalloonText">
    <w:name w:val="Balloon Text"/>
    <w:basedOn w:val="Normal"/>
    <w:link w:val="BalloonTextChar"/>
    <w:uiPriority w:val="99"/>
    <w:semiHidden/>
    <w:unhideWhenUsed/>
    <w:rsid w:val="00AA0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543"/>
    <w:rPr>
      <w:rFonts w:ascii="Tahoma" w:hAnsi="Tahoma" w:cs="Tahoma"/>
      <w:sz w:val="16"/>
      <w:szCs w:val="16"/>
    </w:rPr>
  </w:style>
  <w:style w:type="paragraph" w:styleId="BodyTextIndent2">
    <w:name w:val="Body Text Indent 2"/>
    <w:basedOn w:val="Normal"/>
    <w:link w:val="BodyTextIndent2Char"/>
    <w:rsid w:val="004504A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504A0"/>
    <w:rPr>
      <w:rFonts w:ascii="Times New Roman" w:eastAsia="Times New Roman" w:hAnsi="Times New Roman" w:cs="Times New Roman"/>
      <w:sz w:val="24"/>
      <w:szCs w:val="24"/>
    </w:rPr>
  </w:style>
  <w:style w:type="character" w:customStyle="1" w:styleId="size-xl">
    <w:name w:val="size-xl"/>
    <w:basedOn w:val="DefaultParagraphFont"/>
    <w:rsid w:val="000140FD"/>
  </w:style>
  <w:style w:type="character" w:customStyle="1" w:styleId="size-m">
    <w:name w:val="size-m"/>
    <w:basedOn w:val="DefaultParagraphFont"/>
    <w:rsid w:val="000140FD"/>
  </w:style>
  <w:style w:type="character" w:customStyle="1" w:styleId="articlecitationyear">
    <w:name w:val="articlecitation_year"/>
    <w:basedOn w:val="DefaultParagraphFont"/>
    <w:rsid w:val="00BA71B5"/>
  </w:style>
  <w:style w:type="character" w:customStyle="1" w:styleId="m7287148673969880758gmail-articlevolume">
    <w:name w:val="m_7287148673969880758gmail-articlevolume"/>
    <w:basedOn w:val="DefaultParagraphFont"/>
    <w:rsid w:val="008F457A"/>
  </w:style>
  <w:style w:type="character" w:customStyle="1" w:styleId="m7287148673969880758gmail-pagerange">
    <w:name w:val="m_7287148673969880758gmail-pagerange"/>
    <w:basedOn w:val="DefaultParagraphFont"/>
    <w:rsid w:val="008F457A"/>
  </w:style>
  <w:style w:type="character" w:customStyle="1" w:styleId="seperator">
    <w:name w:val="seperator"/>
    <w:basedOn w:val="DefaultParagraphFont"/>
    <w:rsid w:val="00D9110A"/>
  </w:style>
  <w:style w:type="character" w:customStyle="1" w:styleId="seriestitle">
    <w:name w:val="seriestitle"/>
    <w:basedOn w:val="DefaultParagraphFont"/>
    <w:rsid w:val="00D9110A"/>
  </w:style>
  <w:style w:type="character" w:customStyle="1" w:styleId="pub-year">
    <w:name w:val="pub-year"/>
    <w:basedOn w:val="DefaultParagraphFont"/>
    <w:rsid w:val="00D9110A"/>
  </w:style>
  <w:style w:type="table" w:styleId="TableGrid">
    <w:name w:val="Table Grid"/>
    <w:basedOn w:val="TableNormal"/>
    <w:uiPriority w:val="39"/>
    <w:rsid w:val="00975388"/>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076D96"/>
    <w:rPr>
      <w:i/>
      <w:iCs/>
    </w:rPr>
  </w:style>
  <w:style w:type="character" w:styleId="FollowedHyperlink">
    <w:name w:val="FollowedHyperlink"/>
    <w:basedOn w:val="DefaultParagraphFont"/>
    <w:uiPriority w:val="99"/>
    <w:semiHidden/>
    <w:unhideWhenUsed/>
    <w:rsid w:val="003B13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6428">
      <w:bodyDiv w:val="1"/>
      <w:marLeft w:val="0"/>
      <w:marRight w:val="0"/>
      <w:marTop w:val="0"/>
      <w:marBottom w:val="0"/>
      <w:divBdr>
        <w:top w:val="none" w:sz="0" w:space="0" w:color="auto"/>
        <w:left w:val="none" w:sz="0" w:space="0" w:color="auto"/>
        <w:bottom w:val="none" w:sz="0" w:space="0" w:color="auto"/>
        <w:right w:val="none" w:sz="0" w:space="0" w:color="auto"/>
      </w:divBdr>
    </w:div>
    <w:div w:id="261959321">
      <w:bodyDiv w:val="1"/>
      <w:marLeft w:val="0"/>
      <w:marRight w:val="0"/>
      <w:marTop w:val="0"/>
      <w:marBottom w:val="0"/>
      <w:divBdr>
        <w:top w:val="none" w:sz="0" w:space="0" w:color="auto"/>
        <w:left w:val="none" w:sz="0" w:space="0" w:color="auto"/>
        <w:bottom w:val="none" w:sz="0" w:space="0" w:color="auto"/>
        <w:right w:val="none" w:sz="0" w:space="0" w:color="auto"/>
      </w:divBdr>
      <w:divsChild>
        <w:div w:id="1936013908">
          <w:marLeft w:val="0"/>
          <w:marRight w:val="0"/>
          <w:marTop w:val="0"/>
          <w:marBottom w:val="0"/>
          <w:divBdr>
            <w:top w:val="none" w:sz="0" w:space="0" w:color="auto"/>
            <w:left w:val="none" w:sz="0" w:space="0" w:color="auto"/>
            <w:bottom w:val="none" w:sz="0" w:space="0" w:color="auto"/>
            <w:right w:val="none" w:sz="0" w:space="0" w:color="auto"/>
          </w:divBdr>
          <w:divsChild>
            <w:div w:id="1311711901">
              <w:marLeft w:val="0"/>
              <w:marRight w:val="0"/>
              <w:marTop w:val="0"/>
              <w:marBottom w:val="165"/>
              <w:divBdr>
                <w:top w:val="none" w:sz="0" w:space="0" w:color="auto"/>
                <w:left w:val="none" w:sz="0" w:space="0" w:color="auto"/>
                <w:bottom w:val="none" w:sz="0" w:space="0" w:color="auto"/>
                <w:right w:val="none" w:sz="0" w:space="0" w:color="auto"/>
              </w:divBdr>
            </w:div>
          </w:divsChild>
        </w:div>
        <w:div w:id="1599364480">
          <w:marLeft w:val="0"/>
          <w:marRight w:val="0"/>
          <w:marTop w:val="165"/>
          <w:marBottom w:val="165"/>
          <w:divBdr>
            <w:top w:val="none" w:sz="0" w:space="0" w:color="auto"/>
            <w:left w:val="none" w:sz="0" w:space="0" w:color="auto"/>
            <w:bottom w:val="none" w:sz="0" w:space="0" w:color="auto"/>
            <w:right w:val="none" w:sz="0" w:space="0" w:color="auto"/>
          </w:divBdr>
          <w:divsChild>
            <w:div w:id="1774669148">
              <w:marLeft w:val="0"/>
              <w:marRight w:val="0"/>
              <w:marTop w:val="0"/>
              <w:marBottom w:val="0"/>
              <w:divBdr>
                <w:top w:val="none" w:sz="0" w:space="0" w:color="auto"/>
                <w:left w:val="none" w:sz="0" w:space="0" w:color="auto"/>
                <w:bottom w:val="none" w:sz="0" w:space="0" w:color="auto"/>
                <w:right w:val="none" w:sz="0" w:space="0" w:color="auto"/>
              </w:divBdr>
              <w:divsChild>
                <w:div w:id="13211570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90869049">
      <w:bodyDiv w:val="1"/>
      <w:marLeft w:val="0"/>
      <w:marRight w:val="0"/>
      <w:marTop w:val="0"/>
      <w:marBottom w:val="0"/>
      <w:divBdr>
        <w:top w:val="none" w:sz="0" w:space="0" w:color="auto"/>
        <w:left w:val="none" w:sz="0" w:space="0" w:color="auto"/>
        <w:bottom w:val="none" w:sz="0" w:space="0" w:color="auto"/>
        <w:right w:val="none" w:sz="0" w:space="0" w:color="auto"/>
      </w:divBdr>
    </w:div>
    <w:div w:id="428627470">
      <w:bodyDiv w:val="1"/>
      <w:marLeft w:val="0"/>
      <w:marRight w:val="0"/>
      <w:marTop w:val="0"/>
      <w:marBottom w:val="0"/>
      <w:divBdr>
        <w:top w:val="none" w:sz="0" w:space="0" w:color="auto"/>
        <w:left w:val="none" w:sz="0" w:space="0" w:color="auto"/>
        <w:bottom w:val="none" w:sz="0" w:space="0" w:color="auto"/>
        <w:right w:val="none" w:sz="0" w:space="0" w:color="auto"/>
      </w:divBdr>
    </w:div>
    <w:div w:id="444203375">
      <w:bodyDiv w:val="1"/>
      <w:marLeft w:val="0"/>
      <w:marRight w:val="0"/>
      <w:marTop w:val="0"/>
      <w:marBottom w:val="0"/>
      <w:divBdr>
        <w:top w:val="none" w:sz="0" w:space="0" w:color="auto"/>
        <w:left w:val="none" w:sz="0" w:space="0" w:color="auto"/>
        <w:bottom w:val="none" w:sz="0" w:space="0" w:color="auto"/>
        <w:right w:val="none" w:sz="0" w:space="0" w:color="auto"/>
      </w:divBdr>
    </w:div>
    <w:div w:id="507405595">
      <w:bodyDiv w:val="1"/>
      <w:marLeft w:val="0"/>
      <w:marRight w:val="0"/>
      <w:marTop w:val="0"/>
      <w:marBottom w:val="0"/>
      <w:divBdr>
        <w:top w:val="none" w:sz="0" w:space="0" w:color="auto"/>
        <w:left w:val="none" w:sz="0" w:space="0" w:color="auto"/>
        <w:bottom w:val="none" w:sz="0" w:space="0" w:color="auto"/>
        <w:right w:val="none" w:sz="0" w:space="0" w:color="auto"/>
      </w:divBdr>
      <w:divsChild>
        <w:div w:id="1169171445">
          <w:marLeft w:val="0"/>
          <w:marRight w:val="0"/>
          <w:marTop w:val="0"/>
          <w:marBottom w:val="0"/>
          <w:divBdr>
            <w:top w:val="none" w:sz="0" w:space="0" w:color="auto"/>
            <w:left w:val="none" w:sz="0" w:space="0" w:color="auto"/>
            <w:bottom w:val="none" w:sz="0" w:space="0" w:color="auto"/>
            <w:right w:val="none" w:sz="0" w:space="0" w:color="auto"/>
          </w:divBdr>
        </w:div>
        <w:div w:id="2030325746">
          <w:marLeft w:val="0"/>
          <w:marRight w:val="0"/>
          <w:marTop w:val="0"/>
          <w:marBottom w:val="0"/>
          <w:divBdr>
            <w:top w:val="none" w:sz="0" w:space="0" w:color="auto"/>
            <w:left w:val="none" w:sz="0" w:space="0" w:color="auto"/>
            <w:bottom w:val="none" w:sz="0" w:space="0" w:color="auto"/>
            <w:right w:val="none" w:sz="0" w:space="0" w:color="auto"/>
          </w:divBdr>
        </w:div>
      </w:divsChild>
    </w:div>
    <w:div w:id="619068701">
      <w:bodyDiv w:val="1"/>
      <w:marLeft w:val="0"/>
      <w:marRight w:val="0"/>
      <w:marTop w:val="0"/>
      <w:marBottom w:val="0"/>
      <w:divBdr>
        <w:top w:val="none" w:sz="0" w:space="0" w:color="auto"/>
        <w:left w:val="none" w:sz="0" w:space="0" w:color="auto"/>
        <w:bottom w:val="none" w:sz="0" w:space="0" w:color="auto"/>
        <w:right w:val="none" w:sz="0" w:space="0" w:color="auto"/>
      </w:divBdr>
      <w:divsChild>
        <w:div w:id="1141387929">
          <w:marLeft w:val="0"/>
          <w:marRight w:val="0"/>
          <w:marTop w:val="0"/>
          <w:marBottom w:val="0"/>
          <w:divBdr>
            <w:top w:val="none" w:sz="0" w:space="0" w:color="auto"/>
            <w:left w:val="none" w:sz="0" w:space="0" w:color="auto"/>
            <w:bottom w:val="none" w:sz="0" w:space="0" w:color="auto"/>
            <w:right w:val="none" w:sz="0" w:space="0" w:color="auto"/>
          </w:divBdr>
          <w:divsChild>
            <w:div w:id="642078307">
              <w:marLeft w:val="0"/>
              <w:marRight w:val="0"/>
              <w:marTop w:val="0"/>
              <w:marBottom w:val="165"/>
              <w:divBdr>
                <w:top w:val="none" w:sz="0" w:space="0" w:color="auto"/>
                <w:left w:val="none" w:sz="0" w:space="0" w:color="auto"/>
                <w:bottom w:val="none" w:sz="0" w:space="0" w:color="auto"/>
                <w:right w:val="none" w:sz="0" w:space="0" w:color="auto"/>
              </w:divBdr>
            </w:div>
          </w:divsChild>
        </w:div>
        <w:div w:id="2029137961">
          <w:marLeft w:val="0"/>
          <w:marRight w:val="0"/>
          <w:marTop w:val="165"/>
          <w:marBottom w:val="165"/>
          <w:divBdr>
            <w:top w:val="none" w:sz="0" w:space="0" w:color="auto"/>
            <w:left w:val="none" w:sz="0" w:space="0" w:color="auto"/>
            <w:bottom w:val="none" w:sz="0" w:space="0" w:color="auto"/>
            <w:right w:val="none" w:sz="0" w:space="0" w:color="auto"/>
          </w:divBdr>
          <w:divsChild>
            <w:div w:id="1572425139">
              <w:marLeft w:val="0"/>
              <w:marRight w:val="0"/>
              <w:marTop w:val="0"/>
              <w:marBottom w:val="0"/>
              <w:divBdr>
                <w:top w:val="none" w:sz="0" w:space="0" w:color="auto"/>
                <w:left w:val="none" w:sz="0" w:space="0" w:color="auto"/>
                <w:bottom w:val="none" w:sz="0" w:space="0" w:color="auto"/>
                <w:right w:val="none" w:sz="0" w:space="0" w:color="auto"/>
              </w:divBdr>
              <w:divsChild>
                <w:div w:id="6529561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60740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 w:id="697582321">
      <w:bodyDiv w:val="1"/>
      <w:marLeft w:val="0"/>
      <w:marRight w:val="0"/>
      <w:marTop w:val="0"/>
      <w:marBottom w:val="0"/>
      <w:divBdr>
        <w:top w:val="none" w:sz="0" w:space="0" w:color="auto"/>
        <w:left w:val="none" w:sz="0" w:space="0" w:color="auto"/>
        <w:bottom w:val="none" w:sz="0" w:space="0" w:color="auto"/>
        <w:right w:val="none" w:sz="0" w:space="0" w:color="auto"/>
      </w:divBdr>
      <w:divsChild>
        <w:div w:id="176162391">
          <w:marLeft w:val="0"/>
          <w:marRight w:val="0"/>
          <w:marTop w:val="0"/>
          <w:marBottom w:val="0"/>
          <w:divBdr>
            <w:top w:val="none" w:sz="0" w:space="0" w:color="auto"/>
            <w:left w:val="none" w:sz="0" w:space="0" w:color="auto"/>
            <w:bottom w:val="none" w:sz="0" w:space="0" w:color="auto"/>
            <w:right w:val="none" w:sz="0" w:space="0" w:color="auto"/>
          </w:divBdr>
          <w:divsChild>
            <w:div w:id="773743530">
              <w:marLeft w:val="0"/>
              <w:marRight w:val="0"/>
              <w:marTop w:val="0"/>
              <w:marBottom w:val="165"/>
              <w:divBdr>
                <w:top w:val="none" w:sz="0" w:space="0" w:color="auto"/>
                <w:left w:val="none" w:sz="0" w:space="0" w:color="auto"/>
                <w:bottom w:val="none" w:sz="0" w:space="0" w:color="auto"/>
                <w:right w:val="none" w:sz="0" w:space="0" w:color="auto"/>
              </w:divBdr>
            </w:div>
          </w:divsChild>
        </w:div>
        <w:div w:id="313026308">
          <w:marLeft w:val="0"/>
          <w:marRight w:val="0"/>
          <w:marTop w:val="165"/>
          <w:marBottom w:val="165"/>
          <w:divBdr>
            <w:top w:val="none" w:sz="0" w:space="0" w:color="auto"/>
            <w:left w:val="none" w:sz="0" w:space="0" w:color="auto"/>
            <w:bottom w:val="none" w:sz="0" w:space="0" w:color="auto"/>
            <w:right w:val="none" w:sz="0" w:space="0" w:color="auto"/>
          </w:divBdr>
          <w:divsChild>
            <w:div w:id="321280737">
              <w:marLeft w:val="0"/>
              <w:marRight w:val="0"/>
              <w:marTop w:val="0"/>
              <w:marBottom w:val="0"/>
              <w:divBdr>
                <w:top w:val="none" w:sz="0" w:space="0" w:color="auto"/>
                <w:left w:val="none" w:sz="0" w:space="0" w:color="auto"/>
                <w:bottom w:val="none" w:sz="0" w:space="0" w:color="auto"/>
                <w:right w:val="none" w:sz="0" w:space="0" w:color="auto"/>
              </w:divBdr>
              <w:divsChild>
                <w:div w:id="13005282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82983962">
      <w:bodyDiv w:val="1"/>
      <w:marLeft w:val="0"/>
      <w:marRight w:val="0"/>
      <w:marTop w:val="0"/>
      <w:marBottom w:val="0"/>
      <w:divBdr>
        <w:top w:val="none" w:sz="0" w:space="0" w:color="auto"/>
        <w:left w:val="none" w:sz="0" w:space="0" w:color="auto"/>
        <w:bottom w:val="none" w:sz="0" w:space="0" w:color="auto"/>
        <w:right w:val="none" w:sz="0" w:space="0" w:color="auto"/>
      </w:divBdr>
      <w:divsChild>
        <w:div w:id="1891308266">
          <w:marLeft w:val="0"/>
          <w:marRight w:val="0"/>
          <w:marTop w:val="0"/>
          <w:marBottom w:val="0"/>
          <w:divBdr>
            <w:top w:val="none" w:sz="0" w:space="0" w:color="auto"/>
            <w:left w:val="none" w:sz="0" w:space="0" w:color="auto"/>
            <w:bottom w:val="none" w:sz="0" w:space="0" w:color="auto"/>
            <w:right w:val="none" w:sz="0" w:space="0" w:color="auto"/>
          </w:divBdr>
        </w:div>
      </w:divsChild>
    </w:div>
    <w:div w:id="979193953">
      <w:bodyDiv w:val="1"/>
      <w:marLeft w:val="0"/>
      <w:marRight w:val="0"/>
      <w:marTop w:val="0"/>
      <w:marBottom w:val="0"/>
      <w:divBdr>
        <w:top w:val="none" w:sz="0" w:space="0" w:color="auto"/>
        <w:left w:val="none" w:sz="0" w:space="0" w:color="auto"/>
        <w:bottom w:val="none" w:sz="0" w:space="0" w:color="auto"/>
        <w:right w:val="none" w:sz="0" w:space="0" w:color="auto"/>
      </w:divBdr>
    </w:div>
    <w:div w:id="1227840090">
      <w:bodyDiv w:val="1"/>
      <w:marLeft w:val="0"/>
      <w:marRight w:val="0"/>
      <w:marTop w:val="0"/>
      <w:marBottom w:val="0"/>
      <w:divBdr>
        <w:top w:val="none" w:sz="0" w:space="0" w:color="auto"/>
        <w:left w:val="none" w:sz="0" w:space="0" w:color="auto"/>
        <w:bottom w:val="none" w:sz="0" w:space="0" w:color="auto"/>
        <w:right w:val="none" w:sz="0" w:space="0" w:color="auto"/>
      </w:divBdr>
      <w:divsChild>
        <w:div w:id="1624194571">
          <w:marLeft w:val="0"/>
          <w:marRight w:val="0"/>
          <w:marTop w:val="0"/>
          <w:marBottom w:val="0"/>
          <w:divBdr>
            <w:top w:val="none" w:sz="0" w:space="0" w:color="auto"/>
            <w:left w:val="none" w:sz="0" w:space="0" w:color="auto"/>
            <w:bottom w:val="none" w:sz="0" w:space="0" w:color="auto"/>
            <w:right w:val="none" w:sz="0" w:space="0" w:color="auto"/>
          </w:divBdr>
        </w:div>
        <w:div w:id="1148936831">
          <w:marLeft w:val="0"/>
          <w:marRight w:val="0"/>
          <w:marTop w:val="0"/>
          <w:marBottom w:val="0"/>
          <w:divBdr>
            <w:top w:val="none" w:sz="0" w:space="0" w:color="auto"/>
            <w:left w:val="none" w:sz="0" w:space="0" w:color="auto"/>
            <w:bottom w:val="none" w:sz="0" w:space="0" w:color="auto"/>
            <w:right w:val="none" w:sz="0" w:space="0" w:color="auto"/>
          </w:divBdr>
        </w:div>
      </w:divsChild>
    </w:div>
    <w:div w:id="1329822070">
      <w:bodyDiv w:val="1"/>
      <w:marLeft w:val="0"/>
      <w:marRight w:val="0"/>
      <w:marTop w:val="0"/>
      <w:marBottom w:val="0"/>
      <w:divBdr>
        <w:top w:val="none" w:sz="0" w:space="0" w:color="auto"/>
        <w:left w:val="none" w:sz="0" w:space="0" w:color="auto"/>
        <w:bottom w:val="none" w:sz="0" w:space="0" w:color="auto"/>
        <w:right w:val="none" w:sz="0" w:space="0" w:color="auto"/>
      </w:divBdr>
      <w:divsChild>
        <w:div w:id="282884597">
          <w:marLeft w:val="0"/>
          <w:marRight w:val="0"/>
          <w:marTop w:val="100"/>
          <w:marBottom w:val="100"/>
          <w:divBdr>
            <w:top w:val="none" w:sz="0" w:space="0" w:color="auto"/>
            <w:left w:val="none" w:sz="0" w:space="0" w:color="auto"/>
            <w:bottom w:val="none" w:sz="0" w:space="0" w:color="auto"/>
            <w:right w:val="none" w:sz="0" w:space="0" w:color="auto"/>
          </w:divBdr>
          <w:divsChild>
            <w:div w:id="16138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6485">
      <w:bodyDiv w:val="1"/>
      <w:marLeft w:val="0"/>
      <w:marRight w:val="0"/>
      <w:marTop w:val="0"/>
      <w:marBottom w:val="0"/>
      <w:divBdr>
        <w:top w:val="none" w:sz="0" w:space="0" w:color="auto"/>
        <w:left w:val="none" w:sz="0" w:space="0" w:color="auto"/>
        <w:bottom w:val="none" w:sz="0" w:space="0" w:color="auto"/>
        <w:right w:val="none" w:sz="0" w:space="0" w:color="auto"/>
      </w:divBdr>
    </w:div>
    <w:div w:id="1482041808">
      <w:bodyDiv w:val="1"/>
      <w:marLeft w:val="0"/>
      <w:marRight w:val="0"/>
      <w:marTop w:val="0"/>
      <w:marBottom w:val="0"/>
      <w:divBdr>
        <w:top w:val="none" w:sz="0" w:space="0" w:color="auto"/>
        <w:left w:val="none" w:sz="0" w:space="0" w:color="auto"/>
        <w:bottom w:val="none" w:sz="0" w:space="0" w:color="auto"/>
        <w:right w:val="none" w:sz="0" w:space="0" w:color="auto"/>
      </w:divBdr>
      <w:divsChild>
        <w:div w:id="2135249946">
          <w:marLeft w:val="0"/>
          <w:marRight w:val="0"/>
          <w:marTop w:val="0"/>
          <w:marBottom w:val="0"/>
          <w:divBdr>
            <w:top w:val="none" w:sz="0" w:space="0" w:color="auto"/>
            <w:left w:val="none" w:sz="0" w:space="0" w:color="auto"/>
            <w:bottom w:val="none" w:sz="0" w:space="0" w:color="auto"/>
            <w:right w:val="none" w:sz="0" w:space="0" w:color="auto"/>
          </w:divBdr>
          <w:divsChild>
            <w:div w:id="1709866843">
              <w:marLeft w:val="0"/>
              <w:marRight w:val="0"/>
              <w:marTop w:val="0"/>
              <w:marBottom w:val="165"/>
              <w:divBdr>
                <w:top w:val="none" w:sz="0" w:space="0" w:color="auto"/>
                <w:left w:val="none" w:sz="0" w:space="0" w:color="auto"/>
                <w:bottom w:val="none" w:sz="0" w:space="0" w:color="auto"/>
                <w:right w:val="none" w:sz="0" w:space="0" w:color="auto"/>
              </w:divBdr>
            </w:div>
          </w:divsChild>
        </w:div>
        <w:div w:id="273633064">
          <w:marLeft w:val="0"/>
          <w:marRight w:val="0"/>
          <w:marTop w:val="165"/>
          <w:marBottom w:val="165"/>
          <w:divBdr>
            <w:top w:val="none" w:sz="0" w:space="0" w:color="auto"/>
            <w:left w:val="none" w:sz="0" w:space="0" w:color="auto"/>
            <w:bottom w:val="none" w:sz="0" w:space="0" w:color="auto"/>
            <w:right w:val="none" w:sz="0" w:space="0" w:color="auto"/>
          </w:divBdr>
          <w:divsChild>
            <w:div w:id="1600719613">
              <w:marLeft w:val="0"/>
              <w:marRight w:val="0"/>
              <w:marTop w:val="0"/>
              <w:marBottom w:val="0"/>
              <w:divBdr>
                <w:top w:val="none" w:sz="0" w:space="0" w:color="auto"/>
                <w:left w:val="none" w:sz="0" w:space="0" w:color="auto"/>
                <w:bottom w:val="none" w:sz="0" w:space="0" w:color="auto"/>
                <w:right w:val="none" w:sz="0" w:space="0" w:color="auto"/>
              </w:divBdr>
              <w:divsChild>
                <w:div w:id="1523796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66261760">
      <w:bodyDiv w:val="1"/>
      <w:marLeft w:val="0"/>
      <w:marRight w:val="0"/>
      <w:marTop w:val="0"/>
      <w:marBottom w:val="0"/>
      <w:divBdr>
        <w:top w:val="none" w:sz="0" w:space="0" w:color="auto"/>
        <w:left w:val="none" w:sz="0" w:space="0" w:color="auto"/>
        <w:bottom w:val="none" w:sz="0" w:space="0" w:color="auto"/>
        <w:right w:val="none" w:sz="0" w:space="0" w:color="auto"/>
      </w:divBdr>
    </w:div>
    <w:div w:id="1604069657">
      <w:bodyDiv w:val="1"/>
      <w:marLeft w:val="0"/>
      <w:marRight w:val="0"/>
      <w:marTop w:val="0"/>
      <w:marBottom w:val="0"/>
      <w:divBdr>
        <w:top w:val="none" w:sz="0" w:space="0" w:color="auto"/>
        <w:left w:val="none" w:sz="0" w:space="0" w:color="auto"/>
        <w:bottom w:val="none" w:sz="0" w:space="0" w:color="auto"/>
        <w:right w:val="none" w:sz="0" w:space="0" w:color="auto"/>
      </w:divBdr>
      <w:divsChild>
        <w:div w:id="1708020644">
          <w:marLeft w:val="0"/>
          <w:marRight w:val="0"/>
          <w:marTop w:val="0"/>
          <w:marBottom w:val="120"/>
          <w:divBdr>
            <w:top w:val="none" w:sz="0" w:space="0" w:color="auto"/>
            <w:left w:val="none" w:sz="0" w:space="0" w:color="auto"/>
            <w:bottom w:val="none" w:sz="0" w:space="0" w:color="auto"/>
            <w:right w:val="none" w:sz="0" w:space="0" w:color="auto"/>
          </w:divBdr>
          <w:divsChild>
            <w:div w:id="2147119088">
              <w:marLeft w:val="0"/>
              <w:marRight w:val="0"/>
              <w:marTop w:val="0"/>
              <w:marBottom w:val="0"/>
              <w:divBdr>
                <w:top w:val="none" w:sz="0" w:space="0" w:color="auto"/>
                <w:left w:val="none" w:sz="0" w:space="0" w:color="auto"/>
                <w:bottom w:val="none" w:sz="0" w:space="0" w:color="auto"/>
                <w:right w:val="none" w:sz="0" w:space="0" w:color="auto"/>
              </w:divBdr>
              <w:divsChild>
                <w:div w:id="1417750614">
                  <w:marLeft w:val="0"/>
                  <w:marRight w:val="0"/>
                  <w:marTop w:val="0"/>
                  <w:marBottom w:val="0"/>
                  <w:divBdr>
                    <w:top w:val="none" w:sz="0" w:space="0" w:color="auto"/>
                    <w:left w:val="none" w:sz="0" w:space="0" w:color="auto"/>
                    <w:bottom w:val="none" w:sz="0" w:space="0" w:color="auto"/>
                    <w:right w:val="none" w:sz="0" w:space="0" w:color="auto"/>
                  </w:divBdr>
                  <w:divsChild>
                    <w:div w:id="8104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9628">
      <w:bodyDiv w:val="1"/>
      <w:marLeft w:val="0"/>
      <w:marRight w:val="0"/>
      <w:marTop w:val="0"/>
      <w:marBottom w:val="0"/>
      <w:divBdr>
        <w:top w:val="none" w:sz="0" w:space="0" w:color="auto"/>
        <w:left w:val="none" w:sz="0" w:space="0" w:color="auto"/>
        <w:bottom w:val="none" w:sz="0" w:space="0" w:color="auto"/>
        <w:right w:val="none" w:sz="0" w:space="0" w:color="auto"/>
      </w:divBdr>
    </w:div>
    <w:div w:id="1987008006">
      <w:bodyDiv w:val="1"/>
      <w:marLeft w:val="0"/>
      <w:marRight w:val="0"/>
      <w:marTop w:val="0"/>
      <w:marBottom w:val="0"/>
      <w:divBdr>
        <w:top w:val="none" w:sz="0" w:space="0" w:color="auto"/>
        <w:left w:val="none" w:sz="0" w:space="0" w:color="auto"/>
        <w:bottom w:val="none" w:sz="0" w:space="0" w:color="auto"/>
        <w:right w:val="none" w:sz="0" w:space="0" w:color="auto"/>
      </w:divBdr>
    </w:div>
    <w:div w:id="2119904906">
      <w:bodyDiv w:val="1"/>
      <w:marLeft w:val="0"/>
      <w:marRight w:val="0"/>
      <w:marTop w:val="0"/>
      <w:marBottom w:val="0"/>
      <w:divBdr>
        <w:top w:val="none" w:sz="0" w:space="0" w:color="auto"/>
        <w:left w:val="none" w:sz="0" w:space="0" w:color="auto"/>
        <w:bottom w:val="none" w:sz="0" w:space="0" w:color="auto"/>
        <w:right w:val="none" w:sz="0" w:space="0" w:color="auto"/>
      </w:divBdr>
      <w:divsChild>
        <w:div w:id="36051859">
          <w:marLeft w:val="0"/>
          <w:marRight w:val="0"/>
          <w:marTop w:val="0"/>
          <w:marBottom w:val="0"/>
          <w:divBdr>
            <w:top w:val="none" w:sz="0" w:space="0" w:color="auto"/>
            <w:left w:val="none" w:sz="0" w:space="0" w:color="auto"/>
            <w:bottom w:val="none" w:sz="0" w:space="0" w:color="auto"/>
            <w:right w:val="none" w:sz="0" w:space="0" w:color="auto"/>
          </w:divBdr>
        </w:div>
        <w:div w:id="189681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www.annualreviews.org/doi/abs/10.1146/annurev-economics-111809-125114" TargetMode="External"/><Relationship Id="rId26" Type="http://schemas.openxmlformats.org/officeDocument/2006/relationships/hyperlink" Target="https://www.sciencedirect.com/science/journal/00221996/71/1" TargetMode="External"/><Relationship Id="rId39" Type="http://schemas.openxmlformats.org/officeDocument/2006/relationships/hyperlink" Target="https://ideas.repec.org/p/imf/imfwpa/13-96.html" TargetMode="External"/><Relationship Id="rId3" Type="http://schemas.openxmlformats.org/officeDocument/2006/relationships/styles" Target="styles.xml"/><Relationship Id="rId21" Type="http://schemas.openxmlformats.org/officeDocument/2006/relationships/hyperlink" Target="https://onlinelibrary.wiley.com/action/doSearch?ContribAuthorStored=B%C3%A9nassy-Qu%C3%A9r%C3%A9%2C+Agn%C3%A8s" TargetMode="External"/><Relationship Id="rId34" Type="http://schemas.openxmlformats.org/officeDocument/2006/relationships/hyperlink" Target="http://bookstore.piie.com/book-store/72.html" TargetMode="External"/><Relationship Id="rId42" Type="http://schemas.openxmlformats.org/officeDocument/2006/relationships/hyperlink" Target="https://link-springer-com.ezp-prod1.hul.harvard.edu/journal/41308/56/4/page/1"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ideas.repec.org/s/eee/moneco.html" TargetMode="External"/><Relationship Id="rId25" Type="http://schemas.openxmlformats.org/officeDocument/2006/relationships/hyperlink" Target="https://www.sciencedirect.com/science/article/pii/S0022199606000833" TargetMode="External"/><Relationship Id="rId33" Type="http://schemas.openxmlformats.org/officeDocument/2006/relationships/hyperlink" Target="https://onlinelibrary-wiley-com.ezp-prod1.hul.harvard.edu/toc/14680297/1998/108/449" TargetMode="External"/><Relationship Id="rId38" Type="http://schemas.openxmlformats.org/officeDocument/2006/relationships/hyperlink" Target="https://www.sciencedirect.com/science/journal/0305750X/32/8" TargetMode="External"/><Relationship Id="rId2" Type="http://schemas.openxmlformats.org/officeDocument/2006/relationships/numbering" Target="numbering.xml"/><Relationship Id="rId16" Type="http://schemas.openxmlformats.org/officeDocument/2006/relationships/hyperlink" Target="https://onlinelibrary.wiley.com/action/doSearch?ContribAuthorStored=Coupet%2C+Maylis" TargetMode="External"/><Relationship Id="rId20" Type="http://schemas.openxmlformats.org/officeDocument/2006/relationships/hyperlink" Target="https://onlinelibrary.wiley.com/toc/14679361/2011/15/3" TargetMode="External"/><Relationship Id="rId29" Type="http://schemas.openxmlformats.org/officeDocument/2006/relationships/hyperlink" Target="https://books.google.com/books?hl=en&amp;lr=&amp;id=VHjOx9aQEjQC&amp;oi=fnd&amp;pg=PA369&amp;dq=elbadawi+African+Regional+Agreements:+Currency+Unions&amp;ots=GEi1dMRo7Z&amp;sig=F9IlJXhAdUpKCUalDLc7OLL7gq0" TargetMode="External"/><Relationship Id="rId41" Type="http://schemas.openxmlformats.org/officeDocument/2006/relationships/hyperlink" Target="http://ideas.repec.org/s/eee/eecrev.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sciencedirect.com/science/article/pii/S0022199606000833" TargetMode="External"/><Relationship Id="rId32" Type="http://schemas.openxmlformats.org/officeDocument/2006/relationships/hyperlink" Target="https://www-sciencedirect-com.ezp-prod1.hul.harvard.edu/science/journal/00142921/41/3" TargetMode="External"/><Relationship Id="rId37" Type="http://schemas.openxmlformats.org/officeDocument/2006/relationships/hyperlink" Target="javascript:;" TargetMode="External"/><Relationship Id="rId40" Type="http://schemas.openxmlformats.org/officeDocument/2006/relationships/hyperlink" Target="https://ideas.repec.org/s/imf/imfwpa.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library.wiley.com/action/doSearch?ContribAuthorStored=B%C3%A9nassy-Qu%C3%A9r%C3%A9%2C+Agn%C3%A8s" TargetMode="External"/><Relationship Id="rId23" Type="http://schemas.openxmlformats.org/officeDocument/2006/relationships/hyperlink" Target="javascript:;" TargetMode="External"/><Relationship Id="rId28" Type="http://schemas.openxmlformats.org/officeDocument/2006/relationships/hyperlink" Target="https://search.proquest.com/indexingvolumeissuelinkhandler/40735/Journal+of+Economic+Literature/01999Y03Y01$23Mar+1999$3b++Vol.+37+$281$29/37/1;jsessionid=674258543E0F31E9D4B33A695962AA77.i-02c92343d90e5bc4b" TargetMode="External"/><Relationship Id="rId36" Type="http://schemas.openxmlformats.org/officeDocument/2006/relationships/hyperlink" Target="javascript:;" TargetMode="External"/><Relationship Id="rId10" Type="http://schemas.openxmlformats.org/officeDocument/2006/relationships/chart" Target="charts/chart1.xml"/><Relationship Id="rId19" Type="http://schemas.openxmlformats.org/officeDocument/2006/relationships/hyperlink" Target="http://onlinelibrary.wiley.com/doi/10.1111/j.1467-9396.1993.tb00008.x/full" TargetMode="External"/><Relationship Id="rId31" Type="http://schemas.openxmlformats.org/officeDocument/2006/relationships/hyperlink" Target="https://www-sciencedirect-com.ezp-prod1.hul.harvard.edu/science/journal/00142921"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Yaound%C3%A9" TargetMode="External"/><Relationship Id="rId14" Type="http://schemas.openxmlformats.org/officeDocument/2006/relationships/image" Target="media/image2.emf"/><Relationship Id="rId22" Type="http://schemas.openxmlformats.org/officeDocument/2006/relationships/hyperlink" Target="https://onlinelibrary.wiley.com/action/doSearch?ContribAuthorStored=Coupet%2C+Maylis" TargetMode="External"/><Relationship Id="rId27" Type="http://schemas.openxmlformats.org/officeDocument/2006/relationships/hyperlink" Target="https://search.proquest.com/pubidlinkhandler/sng/pubtitle/Journal+of+Economic+Literature/$N/40735/OpenView/213289847/$B/D431F82D3775411BPQ/1;jsessionid=674258543E0F31E9D4B33A695962AA77.i-02c92343d90e5bc4b" TargetMode="External"/><Relationship Id="rId30" Type="http://schemas.openxmlformats.org/officeDocument/2006/relationships/hyperlink" Target="http://www.nber.org/AfricanSuccesses/index.html" TargetMode="External"/><Relationship Id="rId35" Type="http://schemas.openxmlformats.org/officeDocument/2006/relationships/hyperlink" Target="https://www.journals.uchicago.edu/doi/abs/10.1086/ma.19.3585327"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ciencedirect.com/science/article/pii/S0022199606000833" TargetMode="External"/><Relationship Id="rId1" Type="http://schemas.openxmlformats.org/officeDocument/2006/relationships/hyperlink" Target="http://www.un.org/en/development/desa/population/migration/data/estimates2/data/UN_MigrantStockTotal_2017.xls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zhanguva\Dropbox\Frankel%20RA\5%20Year%20Trade%20Panel%20Analysis%2020180614_H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zhanguva\Dropbox\Frankel%20RA\5%20Year%20Trade%20Panel%20Analysis%2020180614_HZ.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zhanguva\Dropbox\Frankel%20RA\5%20Year%20Trade%20Panel%20Analysis%2020180614_H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en-US" sz="1800" b="1"/>
              <a:t>5-Year</a:t>
            </a:r>
            <a:r>
              <a:rPr lang="en-US" sz="1800" b="1" baseline="0"/>
              <a:t> Moving Average of Median Inflation</a:t>
            </a:r>
          </a:p>
          <a:p>
            <a:pPr>
              <a:defRPr sz="1800" b="1" i="0" u="none" strike="noStrike" kern="1200" spc="0" baseline="0">
                <a:solidFill>
                  <a:schemeClr val="tx1">
                    <a:lumMod val="65000"/>
                    <a:lumOff val="35000"/>
                  </a:schemeClr>
                </a:solidFill>
                <a:latin typeface="+mn-lt"/>
                <a:ea typeface="+mn-ea"/>
                <a:cs typeface="+mn-cs"/>
              </a:defRPr>
            </a:pPr>
            <a:r>
              <a:rPr lang="en-US" sz="1200" b="1" baseline="0"/>
              <a:t>(GDP Deflator)</a:t>
            </a:r>
            <a:endParaRPr lang="en-US" sz="1200" b="1"/>
          </a:p>
        </c:rich>
      </c:tx>
      <c:layout/>
      <c:overlay val="0"/>
      <c:spPr>
        <a:noFill/>
        <a:ln>
          <a:noFill/>
        </a:ln>
        <a:effectLst/>
      </c:spPr>
    </c:title>
    <c:autoTitleDeleted val="0"/>
    <c:plotArea>
      <c:layout/>
      <c:lineChart>
        <c:grouping val="standard"/>
        <c:varyColors val="0"/>
        <c:ser>
          <c:idx val="1"/>
          <c:order val="0"/>
          <c:tx>
            <c:strRef>
              <c:f>OUT_MovAvgInf!$L$30</c:f>
              <c:strCache>
                <c:ptCount val="1"/>
                <c:pt idx="0">
                  <c:v>CEMAC</c:v>
                </c:pt>
              </c:strCache>
            </c:strRef>
          </c:tx>
          <c:spPr>
            <a:ln w="28575" cap="rnd">
              <a:solidFill>
                <a:schemeClr val="accent2"/>
              </a:solidFill>
              <a:round/>
            </a:ln>
            <a:effectLst/>
          </c:spPr>
          <c:marker>
            <c:symbol val="none"/>
          </c:marker>
          <c:cat>
            <c:strRef>
              <c:f>OUT_MovAvgInf!$K$31:$K$76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OUT_MovAvgInf!$L$31:$L$76</c:f>
              <c:numCache>
                <c:formatCode>General</c:formatCode>
                <c:ptCount val="46"/>
                <c:pt idx="0">
                  <c:v>4.4739105024953973</c:v>
                </c:pt>
                <c:pt idx="1">
                  <c:v>4.6141685562022561</c:v>
                </c:pt>
                <c:pt idx="2">
                  <c:v>5.2201518506085263</c:v>
                </c:pt>
                <c:pt idx="3">
                  <c:v>6.0632026242128862</c:v>
                </c:pt>
                <c:pt idx="4">
                  <c:v>6.9587524005736539</c:v>
                </c:pt>
                <c:pt idx="5">
                  <c:v>7.8111026307141014</c:v>
                </c:pt>
                <c:pt idx="6">
                  <c:v>8.9081248393288242</c:v>
                </c:pt>
                <c:pt idx="7">
                  <c:v>8.6616543201505234</c:v>
                </c:pt>
                <c:pt idx="8">
                  <c:v>10.115003406739696</c:v>
                </c:pt>
                <c:pt idx="9">
                  <c:v>12.30339167224262</c:v>
                </c:pt>
                <c:pt idx="10">
                  <c:v>12.743872230365783</c:v>
                </c:pt>
                <c:pt idx="11">
                  <c:v>14.007783794280204</c:v>
                </c:pt>
                <c:pt idx="12">
                  <c:v>14.066711321224068</c:v>
                </c:pt>
                <c:pt idx="13">
                  <c:v>13.686167059059823</c:v>
                </c:pt>
                <c:pt idx="14">
                  <c:v>10.344936318645335</c:v>
                </c:pt>
                <c:pt idx="15">
                  <c:v>4.1838218918520225</c:v>
                </c:pt>
                <c:pt idx="16">
                  <c:v>1.0017526894625148</c:v>
                </c:pt>
                <c:pt idx="17">
                  <c:v>0.25888957190617817</c:v>
                </c:pt>
                <c:pt idx="18">
                  <c:v>-1.6721483910798185</c:v>
                </c:pt>
                <c:pt idx="19">
                  <c:v>-0.5693906148129827</c:v>
                </c:pt>
                <c:pt idx="20">
                  <c:v>2.7392114801840366</c:v>
                </c:pt>
                <c:pt idx="21">
                  <c:v>2.2267011516019379</c:v>
                </c:pt>
                <c:pt idx="22">
                  <c:v>1.4389692197894361</c:v>
                </c:pt>
                <c:pt idx="23">
                  <c:v>8.2982933903989302</c:v>
                </c:pt>
                <c:pt idx="24">
                  <c:v>8.2319943990769158</c:v>
                </c:pt>
                <c:pt idx="25">
                  <c:v>10.601648510751389</c:v>
                </c:pt>
                <c:pt idx="26">
                  <c:v>11.104809560352493</c:v>
                </c:pt>
                <c:pt idx="27">
                  <c:v>7.8104500084460824</c:v>
                </c:pt>
                <c:pt idx="28">
                  <c:v>4.2981520554819923</c:v>
                </c:pt>
                <c:pt idx="29">
                  <c:v>8.3798539592275922</c:v>
                </c:pt>
                <c:pt idx="30">
                  <c:v>6.0544311825749419</c:v>
                </c:pt>
                <c:pt idx="31">
                  <c:v>5.5485457610261246</c:v>
                </c:pt>
                <c:pt idx="32">
                  <c:v>9.1216269951324076</c:v>
                </c:pt>
                <c:pt idx="33">
                  <c:v>7.2302111134282994</c:v>
                </c:pt>
                <c:pt idx="34">
                  <c:v>5.8782331711980138</c:v>
                </c:pt>
                <c:pt idx="35">
                  <c:v>7.9088505417671939</c:v>
                </c:pt>
                <c:pt idx="36">
                  <c:v>8.832959367515917</c:v>
                </c:pt>
                <c:pt idx="37">
                  <c:v>12.785166215565393</c:v>
                </c:pt>
                <c:pt idx="38">
                  <c:v>7.2234077578454272</c:v>
                </c:pt>
                <c:pt idx="39">
                  <c:v>6.2703839063544988</c:v>
                </c:pt>
                <c:pt idx="40">
                  <c:v>6.4075556755318335</c:v>
                </c:pt>
                <c:pt idx="41">
                  <c:v>6.0194740461070664</c:v>
                </c:pt>
                <c:pt idx="42">
                  <c:v>1.3198175502851797</c:v>
                </c:pt>
                <c:pt idx="43">
                  <c:v>4.7644804152435283</c:v>
                </c:pt>
                <c:pt idx="44">
                  <c:v>-0.47991259073413345</c:v>
                </c:pt>
                <c:pt idx="45">
                  <c:v>-3.6024950172940864</c:v>
                </c:pt>
              </c:numCache>
            </c:numRef>
          </c:val>
          <c:smooth val="0"/>
        </c:ser>
        <c:ser>
          <c:idx val="2"/>
          <c:order val="1"/>
          <c:tx>
            <c:strRef>
              <c:f>OUT_MovAvgInf!$M$30</c:f>
              <c:strCache>
                <c:ptCount val="1"/>
                <c:pt idx="0">
                  <c:v>UEMOA</c:v>
                </c:pt>
              </c:strCache>
            </c:strRef>
          </c:tx>
          <c:spPr>
            <a:ln w="28575" cap="rnd">
              <a:solidFill>
                <a:schemeClr val="accent3"/>
              </a:solidFill>
              <a:round/>
            </a:ln>
            <a:effectLst/>
          </c:spPr>
          <c:marker>
            <c:symbol val="none"/>
          </c:marker>
          <c:cat>
            <c:strRef>
              <c:f>OUT_MovAvgInf!$K$31:$K$76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OUT_MovAvgInf!$M$31:$M$76</c:f>
              <c:numCache>
                <c:formatCode>General</c:formatCode>
                <c:ptCount val="46"/>
                <c:pt idx="0">
                  <c:v>2.1958615712226477</c:v>
                </c:pt>
                <c:pt idx="1">
                  <c:v>2.9667826380353746</c:v>
                </c:pt>
                <c:pt idx="2">
                  <c:v>4.2053073182517604</c:v>
                </c:pt>
                <c:pt idx="3">
                  <c:v>5.831137047872085</c:v>
                </c:pt>
                <c:pt idx="4">
                  <c:v>6.770887453631806</c:v>
                </c:pt>
                <c:pt idx="5">
                  <c:v>8.6262484326299838</c:v>
                </c:pt>
                <c:pt idx="6">
                  <c:v>10.109619905367506</c:v>
                </c:pt>
                <c:pt idx="7">
                  <c:v>10.392384449607306</c:v>
                </c:pt>
                <c:pt idx="8">
                  <c:v>9.3288949458254855</c:v>
                </c:pt>
                <c:pt idx="9">
                  <c:v>10.097530564255754</c:v>
                </c:pt>
                <c:pt idx="10">
                  <c:v>9.904938257585858</c:v>
                </c:pt>
                <c:pt idx="11">
                  <c:v>9.5501788280609023</c:v>
                </c:pt>
                <c:pt idx="12">
                  <c:v>9.8487999950880898</c:v>
                </c:pt>
                <c:pt idx="13">
                  <c:v>10.023071248644886</c:v>
                </c:pt>
                <c:pt idx="14">
                  <c:v>7.8265879399575882</c:v>
                </c:pt>
                <c:pt idx="15">
                  <c:v>5.4670405758429172</c:v>
                </c:pt>
                <c:pt idx="16">
                  <c:v>3.7202415245774261</c:v>
                </c:pt>
                <c:pt idx="17">
                  <c:v>1.7889987560370186</c:v>
                </c:pt>
                <c:pt idx="18">
                  <c:v>0.45890076786276096</c:v>
                </c:pt>
                <c:pt idx="19">
                  <c:v>0.74748962492292181</c:v>
                </c:pt>
                <c:pt idx="20">
                  <c:v>0.95728873910207002</c:v>
                </c:pt>
                <c:pt idx="21">
                  <c:v>0.85156675241514534</c:v>
                </c:pt>
                <c:pt idx="22">
                  <c:v>1.1755781028636263</c:v>
                </c:pt>
                <c:pt idx="23">
                  <c:v>7.6934718561015574</c:v>
                </c:pt>
                <c:pt idx="24">
                  <c:v>9.5076106431997882</c:v>
                </c:pt>
                <c:pt idx="25">
                  <c:v>10.485269021373041</c:v>
                </c:pt>
                <c:pt idx="26">
                  <c:v>10.97790473068509</c:v>
                </c:pt>
                <c:pt idx="27">
                  <c:v>11.640145472247097</c:v>
                </c:pt>
                <c:pt idx="28">
                  <c:v>5.3919145796113979</c:v>
                </c:pt>
                <c:pt idx="29">
                  <c:v>3.5972583196921546</c:v>
                </c:pt>
                <c:pt idx="30">
                  <c:v>3.4919139602561686</c:v>
                </c:pt>
                <c:pt idx="31">
                  <c:v>3.5219826124829736</c:v>
                </c:pt>
                <c:pt idx="32">
                  <c:v>2.6517373834775739</c:v>
                </c:pt>
                <c:pt idx="33">
                  <c:v>2.1378904042567681</c:v>
                </c:pt>
                <c:pt idx="34">
                  <c:v>2.7291818371293957</c:v>
                </c:pt>
                <c:pt idx="35">
                  <c:v>2.0718844104348988</c:v>
                </c:pt>
                <c:pt idx="36">
                  <c:v>2.0969671848189377</c:v>
                </c:pt>
                <c:pt idx="37">
                  <c:v>3.5794440492473099</c:v>
                </c:pt>
                <c:pt idx="38">
                  <c:v>3.9245238030215872</c:v>
                </c:pt>
                <c:pt idx="39">
                  <c:v>3.4680465138433334</c:v>
                </c:pt>
                <c:pt idx="40">
                  <c:v>4.3663052763333496</c:v>
                </c:pt>
                <c:pt idx="41">
                  <c:v>4.5760662794412621</c:v>
                </c:pt>
                <c:pt idx="42">
                  <c:v>3.0536242238106239</c:v>
                </c:pt>
                <c:pt idx="43">
                  <c:v>2.5524019136900988</c:v>
                </c:pt>
                <c:pt idx="44">
                  <c:v>2.3701221532521459</c:v>
                </c:pt>
                <c:pt idx="45">
                  <c:v>1.5727575090183108</c:v>
                </c:pt>
              </c:numCache>
            </c:numRef>
          </c:val>
          <c:smooth val="0"/>
        </c:ser>
        <c:ser>
          <c:idx val="3"/>
          <c:order val="2"/>
          <c:tx>
            <c:strRef>
              <c:f>OUT_MovAvgInf!$N$30</c:f>
              <c:strCache>
                <c:ptCount val="1"/>
                <c:pt idx="0">
                  <c:v>Non-CFA ECOWAS</c:v>
                </c:pt>
              </c:strCache>
            </c:strRef>
          </c:tx>
          <c:spPr>
            <a:ln w="28575" cap="rnd">
              <a:solidFill>
                <a:schemeClr val="accent4"/>
              </a:solidFill>
              <a:round/>
            </a:ln>
            <a:effectLst/>
          </c:spPr>
          <c:marker>
            <c:symbol val="none"/>
          </c:marker>
          <c:cat>
            <c:strRef>
              <c:f>OUT_MovAvgInf!$K$31:$K$76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OUT_MovAvgInf!$N$31:$N$76</c:f>
              <c:numCache>
                <c:formatCode>General</c:formatCode>
                <c:ptCount val="46"/>
                <c:pt idx="0">
                  <c:v>1.9479127075111264</c:v>
                </c:pt>
                <c:pt idx="1">
                  <c:v>3.1897705303212702</c:v>
                </c:pt>
                <c:pt idx="2">
                  <c:v>5.3518239331495696</c:v>
                </c:pt>
                <c:pt idx="3">
                  <c:v>8.410022812763696</c:v>
                </c:pt>
                <c:pt idx="4">
                  <c:v>11.895324094490604</c:v>
                </c:pt>
                <c:pt idx="5">
                  <c:v>13.241924464378476</c:v>
                </c:pt>
                <c:pt idx="6">
                  <c:v>15.375615600488732</c:v>
                </c:pt>
                <c:pt idx="7">
                  <c:v>15.00657436895967</c:v>
                </c:pt>
                <c:pt idx="8">
                  <c:v>13.202447031089036</c:v>
                </c:pt>
                <c:pt idx="9">
                  <c:v>11.018111766423839</c:v>
                </c:pt>
                <c:pt idx="10">
                  <c:v>10.616713664656938</c:v>
                </c:pt>
                <c:pt idx="11">
                  <c:v>9.9963342682874838</c:v>
                </c:pt>
                <c:pt idx="12">
                  <c:v>10.061150952241125</c:v>
                </c:pt>
                <c:pt idx="13">
                  <c:v>10.1767070111544</c:v>
                </c:pt>
                <c:pt idx="14">
                  <c:v>11.663343759827034</c:v>
                </c:pt>
                <c:pt idx="15">
                  <c:v>15.281681275174947</c:v>
                </c:pt>
                <c:pt idx="16">
                  <c:v>18.276341671871041</c:v>
                </c:pt>
                <c:pt idx="17">
                  <c:v>20.50474257303069</c:v>
                </c:pt>
                <c:pt idx="18">
                  <c:v>22.549853654374072</c:v>
                </c:pt>
                <c:pt idx="19">
                  <c:v>21.85342625449929</c:v>
                </c:pt>
                <c:pt idx="20">
                  <c:v>21.802481324111028</c:v>
                </c:pt>
                <c:pt idx="21">
                  <c:v>18.580499838849136</c:v>
                </c:pt>
                <c:pt idx="22">
                  <c:v>16.632348977905504</c:v>
                </c:pt>
                <c:pt idx="23">
                  <c:v>14.387754561754003</c:v>
                </c:pt>
                <c:pt idx="24">
                  <c:v>13.29698557265761</c:v>
                </c:pt>
                <c:pt idx="25">
                  <c:v>9.8069653825242966</c:v>
                </c:pt>
                <c:pt idx="26">
                  <c:v>7.8637741788617692</c:v>
                </c:pt>
                <c:pt idx="27">
                  <c:v>6.5635614916869001</c:v>
                </c:pt>
                <c:pt idx="28">
                  <c:v>5.4440259487689842</c:v>
                </c:pt>
                <c:pt idx="29">
                  <c:v>5.2226225943479081</c:v>
                </c:pt>
                <c:pt idx="30">
                  <c:v>3.9099962031515929</c:v>
                </c:pt>
                <c:pt idx="31">
                  <c:v>5.2140624617962263</c:v>
                </c:pt>
                <c:pt idx="32">
                  <c:v>6.710486380785551</c:v>
                </c:pt>
                <c:pt idx="33">
                  <c:v>8.1765024252534086</c:v>
                </c:pt>
                <c:pt idx="34">
                  <c:v>10.088511742267883</c:v>
                </c:pt>
                <c:pt idx="35">
                  <c:v>13.194980516544835</c:v>
                </c:pt>
                <c:pt idx="36">
                  <c:v>12.963320475209139</c:v>
                </c:pt>
                <c:pt idx="37">
                  <c:v>12.382984716346959</c:v>
                </c:pt>
                <c:pt idx="38">
                  <c:v>10.853801695313214</c:v>
                </c:pt>
                <c:pt idx="39">
                  <c:v>11.21444430015814</c:v>
                </c:pt>
                <c:pt idx="40">
                  <c:v>9.8445779426354001</c:v>
                </c:pt>
                <c:pt idx="41">
                  <c:v>10.055616004721182</c:v>
                </c:pt>
                <c:pt idx="42">
                  <c:v>9.231822691693182</c:v>
                </c:pt>
                <c:pt idx="43">
                  <c:v>8.7468432257297621</c:v>
                </c:pt>
                <c:pt idx="44">
                  <c:v>5.9661899960448697</c:v>
                </c:pt>
                <c:pt idx="45">
                  <c:v>5.296596274422666</c:v>
                </c:pt>
              </c:numCache>
            </c:numRef>
          </c:val>
          <c:smooth val="0"/>
        </c:ser>
        <c:ser>
          <c:idx val="4"/>
          <c:order val="3"/>
          <c:tx>
            <c:strRef>
              <c:f>OUT_MovAvgInf!$O$30</c:f>
              <c:strCache>
                <c:ptCount val="1"/>
                <c:pt idx="0">
                  <c:v>Rest of Africa</c:v>
                </c:pt>
              </c:strCache>
            </c:strRef>
          </c:tx>
          <c:spPr>
            <a:ln w="28575" cap="rnd">
              <a:solidFill>
                <a:schemeClr val="accent5"/>
              </a:solidFill>
              <a:round/>
            </a:ln>
            <a:effectLst/>
          </c:spPr>
          <c:marker>
            <c:symbol val="none"/>
          </c:marker>
          <c:cat>
            <c:strRef>
              <c:f>OUT_MovAvgInf!$K$31:$K$76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OUT_MovAvgInf!$O$31:$O$76</c:f>
              <c:numCache>
                <c:formatCode>General</c:formatCode>
                <c:ptCount val="46"/>
                <c:pt idx="0">
                  <c:v>4.023878409117108</c:v>
                </c:pt>
                <c:pt idx="1">
                  <c:v>5.5053258924265975</c:v>
                </c:pt>
                <c:pt idx="2">
                  <c:v>7.1484482152171624</c:v>
                </c:pt>
                <c:pt idx="3">
                  <c:v>9.1698813023948595</c:v>
                </c:pt>
                <c:pt idx="4">
                  <c:v>10.420592507996849</c:v>
                </c:pt>
                <c:pt idx="5">
                  <c:v>11.790971002458187</c:v>
                </c:pt>
                <c:pt idx="6">
                  <c:v>12.026493775496872</c:v>
                </c:pt>
                <c:pt idx="7">
                  <c:v>11.940185722674041</c:v>
                </c:pt>
                <c:pt idx="8">
                  <c:v>11.717750476783149</c:v>
                </c:pt>
                <c:pt idx="9">
                  <c:v>12.568406527909334</c:v>
                </c:pt>
                <c:pt idx="10">
                  <c:v>12.579096916311098</c:v>
                </c:pt>
                <c:pt idx="11">
                  <c:v>12.736631889623677</c:v>
                </c:pt>
                <c:pt idx="12">
                  <c:v>12.960384002592775</c:v>
                </c:pt>
                <c:pt idx="13">
                  <c:v>12.647108262348279</c:v>
                </c:pt>
                <c:pt idx="14">
                  <c:v>12.229661565145868</c:v>
                </c:pt>
                <c:pt idx="15">
                  <c:v>12.832815860049667</c:v>
                </c:pt>
                <c:pt idx="16">
                  <c:v>12.861461812451761</c:v>
                </c:pt>
                <c:pt idx="17">
                  <c:v>14.417571055674921</c:v>
                </c:pt>
                <c:pt idx="18">
                  <c:v>14.825111704154466</c:v>
                </c:pt>
                <c:pt idx="19">
                  <c:v>14.236800949255997</c:v>
                </c:pt>
                <c:pt idx="20">
                  <c:v>14.076576860032105</c:v>
                </c:pt>
                <c:pt idx="21">
                  <c:v>14.45096126375787</c:v>
                </c:pt>
                <c:pt idx="22">
                  <c:v>13.208841595558772</c:v>
                </c:pt>
                <c:pt idx="23">
                  <c:v>12.335624227841462</c:v>
                </c:pt>
                <c:pt idx="24">
                  <c:v>12.664977722450136</c:v>
                </c:pt>
                <c:pt idx="25">
                  <c:v>12.307628099370422</c:v>
                </c:pt>
                <c:pt idx="26">
                  <c:v>11.173691871847083</c:v>
                </c:pt>
                <c:pt idx="27">
                  <c:v>10.065888964514048</c:v>
                </c:pt>
                <c:pt idx="28">
                  <c:v>9.3938504292309055</c:v>
                </c:pt>
                <c:pt idx="29">
                  <c:v>8.7455203997016788</c:v>
                </c:pt>
                <c:pt idx="30">
                  <c:v>8.082170014050126</c:v>
                </c:pt>
                <c:pt idx="31">
                  <c:v>7.9433859225241195</c:v>
                </c:pt>
                <c:pt idx="32">
                  <c:v>7.4973692047038138</c:v>
                </c:pt>
                <c:pt idx="33">
                  <c:v>7.79239033869752</c:v>
                </c:pt>
                <c:pt idx="34">
                  <c:v>7.3174977998944302</c:v>
                </c:pt>
                <c:pt idx="35">
                  <c:v>7.6653425852359991</c:v>
                </c:pt>
                <c:pt idx="36">
                  <c:v>7.6774673710856494</c:v>
                </c:pt>
                <c:pt idx="37">
                  <c:v>8.7907356471737792</c:v>
                </c:pt>
                <c:pt idx="38">
                  <c:v>8.5822302198129989</c:v>
                </c:pt>
                <c:pt idx="39">
                  <c:v>8.6928824450222013</c:v>
                </c:pt>
                <c:pt idx="40">
                  <c:v>8.470089679209762</c:v>
                </c:pt>
                <c:pt idx="41">
                  <c:v>8.4152294935090008</c:v>
                </c:pt>
                <c:pt idx="42">
                  <c:v>7.0804861272235105</c:v>
                </c:pt>
                <c:pt idx="43">
                  <c:v>6.6271201576104612</c:v>
                </c:pt>
                <c:pt idx="44">
                  <c:v>5.967225796299128</c:v>
                </c:pt>
                <c:pt idx="45">
                  <c:v>5.5406728307192905</c:v>
                </c:pt>
              </c:numCache>
            </c:numRef>
          </c:val>
          <c:smooth val="0"/>
        </c:ser>
        <c:dLbls>
          <c:showLegendKey val="0"/>
          <c:showVal val="0"/>
          <c:showCatName val="0"/>
          <c:showSerName val="0"/>
          <c:showPercent val="0"/>
          <c:showBubbleSize val="0"/>
        </c:dLbls>
        <c:marker val="1"/>
        <c:smooth val="0"/>
        <c:axId val="87714432"/>
        <c:axId val="97049216"/>
      </c:lineChart>
      <c:catAx>
        <c:axId val="877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7049216"/>
        <c:crosses val="autoZero"/>
        <c:auto val="1"/>
        <c:lblAlgn val="ctr"/>
        <c:lblOffset val="100"/>
        <c:tickLblSkip val="1"/>
        <c:noMultiLvlLbl val="0"/>
      </c:catAx>
      <c:valAx>
        <c:axId val="9704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a:t>
                </a:r>
              </a:p>
            </c:rich>
          </c:tx>
          <c:layout>
            <c:manualLayout>
              <c:xMode val="edge"/>
              <c:yMode val="edge"/>
              <c:x val="4.6076250684127303E-2"/>
              <c:y val="4.344303698888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7714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en-US" sz="1800" b="1"/>
              <a:t>5-Year</a:t>
            </a:r>
            <a:r>
              <a:rPr lang="en-US" sz="1800" b="1" baseline="0"/>
              <a:t> Moving Average of Median Inflation</a:t>
            </a:r>
          </a:p>
          <a:p>
            <a:pPr>
              <a:defRPr sz="1800" b="1" i="0" u="none" strike="noStrike" kern="1200" spc="0" baseline="0">
                <a:solidFill>
                  <a:schemeClr val="tx1">
                    <a:lumMod val="65000"/>
                    <a:lumOff val="35000"/>
                  </a:schemeClr>
                </a:solidFill>
                <a:latin typeface="+mn-lt"/>
                <a:ea typeface="+mn-ea"/>
                <a:cs typeface="+mn-cs"/>
              </a:defRPr>
            </a:pPr>
            <a:r>
              <a:rPr lang="en-US" sz="1200" b="1" baseline="0"/>
              <a:t>(Consumer Price)</a:t>
            </a:r>
            <a:endParaRPr lang="en-US" sz="1200" b="1"/>
          </a:p>
        </c:rich>
      </c:tx>
      <c:layout/>
      <c:overlay val="0"/>
      <c:spPr>
        <a:noFill/>
        <a:ln>
          <a:noFill/>
        </a:ln>
        <a:effectLst/>
      </c:spPr>
    </c:title>
    <c:autoTitleDeleted val="0"/>
    <c:plotArea>
      <c:layout/>
      <c:lineChart>
        <c:grouping val="standard"/>
        <c:varyColors val="0"/>
        <c:ser>
          <c:idx val="1"/>
          <c:order val="0"/>
          <c:tx>
            <c:strRef>
              <c:f>OUT_MovAvgInf_cpi!$L$30</c:f>
              <c:strCache>
                <c:ptCount val="1"/>
                <c:pt idx="0">
                  <c:v>CEMAC</c:v>
                </c:pt>
              </c:strCache>
            </c:strRef>
          </c:tx>
          <c:spPr>
            <a:ln w="28575" cap="rnd">
              <a:solidFill>
                <a:schemeClr val="accent2"/>
              </a:solidFill>
              <a:round/>
            </a:ln>
            <a:effectLst/>
          </c:spPr>
          <c:marker>
            <c:symbol val="none"/>
          </c:marker>
          <c:cat>
            <c:strRef>
              <c:f>OUT_MovAvgInf_cpi!$K$31:$K$76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OUT_MovAvgInf_cpi!$L$31:$L$76</c:f>
              <c:numCache>
                <c:formatCode>General</c:formatCode>
                <c:ptCount val="46"/>
                <c:pt idx="0">
                  <c:v>2.9928821315999996</c:v>
                </c:pt>
                <c:pt idx="1">
                  <c:v>3.2947521507999999</c:v>
                </c:pt>
                <c:pt idx="2">
                  <c:v>4.0690595725999996</c:v>
                </c:pt>
                <c:pt idx="3">
                  <c:v>5.8885925611999994</c:v>
                </c:pt>
                <c:pt idx="4">
                  <c:v>10.816648107599999</c:v>
                </c:pt>
                <c:pt idx="5">
                  <c:v>14.078308820200002</c:v>
                </c:pt>
                <c:pt idx="6">
                  <c:v>16.151404309600004</c:v>
                </c:pt>
                <c:pt idx="7">
                  <c:v>17.062809895999997</c:v>
                </c:pt>
                <c:pt idx="8">
                  <c:v>16.238788765599999</c:v>
                </c:pt>
                <c:pt idx="9">
                  <c:v>13.016272089599999</c:v>
                </c:pt>
                <c:pt idx="10">
                  <c:v>9.8492760792000009</c:v>
                </c:pt>
                <c:pt idx="11">
                  <c:v>10.0769518192</c:v>
                </c:pt>
                <c:pt idx="12">
                  <c:v>10.452572804199999</c:v>
                </c:pt>
                <c:pt idx="13">
                  <c:v>10.033461667999999</c:v>
                </c:pt>
                <c:pt idx="14">
                  <c:v>9.0363749712000008</c:v>
                </c:pt>
                <c:pt idx="15">
                  <c:v>8.6180885920000012</c:v>
                </c:pt>
                <c:pt idx="16">
                  <c:v>4.4249304805999996</c:v>
                </c:pt>
                <c:pt idx="17">
                  <c:v>2.1025600720000002</c:v>
                </c:pt>
                <c:pt idx="18">
                  <c:v>1.068942662</c:v>
                </c:pt>
                <c:pt idx="19">
                  <c:v>-0.23046818299999999</c:v>
                </c:pt>
                <c:pt idx="20">
                  <c:v>-1.2319712468000001</c:v>
                </c:pt>
                <c:pt idx="21">
                  <c:v>-0.82409631360000013</c:v>
                </c:pt>
                <c:pt idx="22">
                  <c:v>-0.92343139880000003</c:v>
                </c:pt>
                <c:pt idx="23">
                  <c:v>6.1620065797999999</c:v>
                </c:pt>
                <c:pt idx="24">
                  <c:v>7.9197384777999984</c:v>
                </c:pt>
                <c:pt idx="25">
                  <c:v>9.3803565821999992</c:v>
                </c:pt>
                <c:pt idx="26">
                  <c:v>10.866445750599999</c:v>
                </c:pt>
                <c:pt idx="27">
                  <c:v>11.3304554039</c:v>
                </c:pt>
                <c:pt idx="28">
                  <c:v>3.8243658237</c:v>
                </c:pt>
                <c:pt idx="29">
                  <c:v>2.5357397986999999</c:v>
                </c:pt>
                <c:pt idx="30">
                  <c:v>2.3945663760999998</c:v>
                </c:pt>
                <c:pt idx="31">
                  <c:v>2.5713227715000002</c:v>
                </c:pt>
                <c:pt idx="32">
                  <c:v>2.4476344342000003</c:v>
                </c:pt>
                <c:pt idx="33">
                  <c:v>2.8121159358000001</c:v>
                </c:pt>
                <c:pt idx="34">
                  <c:v>2.9131024191999999</c:v>
                </c:pt>
                <c:pt idx="35">
                  <c:v>3.4536990893999997</c:v>
                </c:pt>
                <c:pt idx="36">
                  <c:v>3.1092297944</c:v>
                </c:pt>
                <c:pt idx="37">
                  <c:v>4.1290082445999996</c:v>
                </c:pt>
                <c:pt idx="38">
                  <c:v>4.9855803185999994</c:v>
                </c:pt>
                <c:pt idx="39">
                  <c:v>4.5362224573999992</c:v>
                </c:pt>
                <c:pt idx="40">
                  <c:v>3.4825223112000003</c:v>
                </c:pt>
                <c:pt idx="41">
                  <c:v>4.1056897813999997</c:v>
                </c:pt>
                <c:pt idx="42">
                  <c:v>2.9392097288000003</c:v>
                </c:pt>
                <c:pt idx="43">
                  <c:v>2.8629963256000002</c:v>
                </c:pt>
                <c:pt idx="44">
                  <c:v>3.3046676069999998</c:v>
                </c:pt>
                <c:pt idx="45">
                  <c:v>3.4034613451999993</c:v>
                </c:pt>
              </c:numCache>
            </c:numRef>
          </c:val>
          <c:smooth val="0"/>
        </c:ser>
        <c:ser>
          <c:idx val="2"/>
          <c:order val="1"/>
          <c:tx>
            <c:strRef>
              <c:f>OUT_MovAvgInf_cpi!$M$30</c:f>
              <c:strCache>
                <c:ptCount val="1"/>
                <c:pt idx="0">
                  <c:v>UEMOA</c:v>
                </c:pt>
              </c:strCache>
            </c:strRef>
          </c:tx>
          <c:spPr>
            <a:ln w="28575" cap="rnd">
              <a:solidFill>
                <a:schemeClr val="accent3"/>
              </a:solidFill>
              <a:round/>
            </a:ln>
            <a:effectLst/>
          </c:spPr>
          <c:marker>
            <c:symbol val="none"/>
          </c:marker>
          <c:cat>
            <c:strRef>
              <c:f>OUT_MovAvgInf_cpi!$K$31:$K$76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OUT_MovAvgInf_cpi!$M$31:$M$76</c:f>
              <c:numCache>
                <c:formatCode>General</c:formatCode>
                <c:ptCount val="46"/>
                <c:pt idx="0">
                  <c:v>2.3636949154</c:v>
                </c:pt>
                <c:pt idx="1">
                  <c:v>3.7834894861999997</c:v>
                </c:pt>
                <c:pt idx="2">
                  <c:v>5.9924201535999995</c:v>
                </c:pt>
                <c:pt idx="3">
                  <c:v>7.3556506729999995</c:v>
                </c:pt>
                <c:pt idx="4">
                  <c:v>10.3960409332</c:v>
                </c:pt>
                <c:pt idx="5">
                  <c:v>11.948546568800001</c:v>
                </c:pt>
                <c:pt idx="6">
                  <c:v>15.367787656000001</c:v>
                </c:pt>
                <c:pt idx="7">
                  <c:v>14.8010183364</c:v>
                </c:pt>
                <c:pt idx="8">
                  <c:v>14.165303969000002</c:v>
                </c:pt>
                <c:pt idx="9">
                  <c:v>13.003391369000003</c:v>
                </c:pt>
                <c:pt idx="10">
                  <c:v>12.4350873736</c:v>
                </c:pt>
                <c:pt idx="11">
                  <c:v>10.1132365996</c:v>
                </c:pt>
                <c:pt idx="12">
                  <c:v>10.090161139999999</c:v>
                </c:pt>
                <c:pt idx="13">
                  <c:v>9.1288807058000003</c:v>
                </c:pt>
                <c:pt idx="14">
                  <c:v>7.0611140602000004</c:v>
                </c:pt>
                <c:pt idx="15">
                  <c:v>6.1261949464000001</c:v>
                </c:pt>
                <c:pt idx="16">
                  <c:v>3.2614709513999998</c:v>
                </c:pt>
                <c:pt idx="17">
                  <c:v>2.0411889004000003</c:v>
                </c:pt>
                <c:pt idx="18">
                  <c:v>1.0564587643999999</c:v>
                </c:pt>
                <c:pt idx="19">
                  <c:v>0.74871783599999997</c:v>
                </c:pt>
                <c:pt idx="20">
                  <c:v>0.26046448299999997</c:v>
                </c:pt>
                <c:pt idx="21">
                  <c:v>0.77483273659999996</c:v>
                </c:pt>
                <c:pt idx="22">
                  <c:v>0.38204536590000004</c:v>
                </c:pt>
                <c:pt idx="23">
                  <c:v>6.2349078505000008</c:v>
                </c:pt>
                <c:pt idx="24">
                  <c:v>8.9435720014999998</c:v>
                </c:pt>
                <c:pt idx="25">
                  <c:v>9.6272120255999987</c:v>
                </c:pt>
                <c:pt idx="26">
                  <c:v>10.289175462999999</c:v>
                </c:pt>
                <c:pt idx="27">
                  <c:v>11.1874386671</c:v>
                </c:pt>
                <c:pt idx="28">
                  <c:v>5.2356001277999997</c:v>
                </c:pt>
                <c:pt idx="29">
                  <c:v>2.9039985514</c:v>
                </c:pt>
                <c:pt idx="30">
                  <c:v>2.6826698036999996</c:v>
                </c:pt>
                <c:pt idx="31">
                  <c:v>2.6129889649999996</c:v>
                </c:pt>
                <c:pt idx="32">
                  <c:v>1.5977124482</c:v>
                </c:pt>
                <c:pt idx="33">
                  <c:v>1.8019998433999997</c:v>
                </c:pt>
                <c:pt idx="34">
                  <c:v>2.5361579225000002</c:v>
                </c:pt>
                <c:pt idx="35">
                  <c:v>2.1711812510999997</c:v>
                </c:pt>
                <c:pt idx="36">
                  <c:v>1.8718942608</c:v>
                </c:pt>
                <c:pt idx="37">
                  <c:v>3.7565199753999998</c:v>
                </c:pt>
                <c:pt idx="38">
                  <c:v>3.9841806883999999</c:v>
                </c:pt>
                <c:pt idx="39">
                  <c:v>3.0534540405000001</c:v>
                </c:pt>
                <c:pt idx="40">
                  <c:v>3.2540110795000006</c:v>
                </c:pt>
                <c:pt idx="41">
                  <c:v>3.4591360385000001</c:v>
                </c:pt>
                <c:pt idx="42">
                  <c:v>1.8917382444000002</c:v>
                </c:pt>
                <c:pt idx="43">
                  <c:v>1.4558413666999999</c:v>
                </c:pt>
                <c:pt idx="44">
                  <c:v>1.4347604696999998</c:v>
                </c:pt>
                <c:pt idx="45">
                  <c:v>0.88989783449999993</c:v>
                </c:pt>
              </c:numCache>
            </c:numRef>
          </c:val>
          <c:smooth val="0"/>
        </c:ser>
        <c:ser>
          <c:idx val="3"/>
          <c:order val="2"/>
          <c:tx>
            <c:strRef>
              <c:f>OUT_MovAvgInf_cpi!$N$30</c:f>
              <c:strCache>
                <c:ptCount val="1"/>
                <c:pt idx="0">
                  <c:v>Non-CFA ECOWAS</c:v>
                </c:pt>
              </c:strCache>
            </c:strRef>
          </c:tx>
          <c:spPr>
            <a:ln w="28575" cap="rnd">
              <a:solidFill>
                <a:schemeClr val="accent4"/>
              </a:solidFill>
              <a:round/>
            </a:ln>
            <a:effectLst/>
          </c:spPr>
          <c:marker>
            <c:symbol val="none"/>
          </c:marker>
          <c:cat>
            <c:strRef>
              <c:f>OUT_MovAvgInf_cpi!$K$31:$K$76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OUT_MovAvgInf_cpi!$N$31:$N$76</c:f>
              <c:numCache>
                <c:formatCode>General</c:formatCode>
                <c:ptCount val="46"/>
                <c:pt idx="0">
                  <c:v>3.7848575871000003</c:v>
                </c:pt>
                <c:pt idx="1">
                  <c:v>5.4367495752000004</c:v>
                </c:pt>
                <c:pt idx="2">
                  <c:v>6.1161181797999999</c:v>
                </c:pt>
                <c:pt idx="3">
                  <c:v>7.592151502600001</c:v>
                </c:pt>
                <c:pt idx="4">
                  <c:v>12.223744699100001</c:v>
                </c:pt>
                <c:pt idx="5">
                  <c:v>15.110666268400001</c:v>
                </c:pt>
                <c:pt idx="6">
                  <c:v>16.438442550399998</c:v>
                </c:pt>
                <c:pt idx="7">
                  <c:v>18.440601750999996</c:v>
                </c:pt>
                <c:pt idx="8">
                  <c:v>19.027630080000002</c:v>
                </c:pt>
                <c:pt idx="9">
                  <c:v>15.741061317999998</c:v>
                </c:pt>
                <c:pt idx="10">
                  <c:v>16.010831919999998</c:v>
                </c:pt>
                <c:pt idx="11">
                  <c:v>16.578216617999999</c:v>
                </c:pt>
                <c:pt idx="12">
                  <c:v>22.491487345000003</c:v>
                </c:pt>
                <c:pt idx="13">
                  <c:v>25.371891603000002</c:v>
                </c:pt>
                <c:pt idx="14">
                  <c:v>25.946036779000003</c:v>
                </c:pt>
                <c:pt idx="15">
                  <c:v>26.440922891999996</c:v>
                </c:pt>
                <c:pt idx="16">
                  <c:v>27.831615097000004</c:v>
                </c:pt>
                <c:pt idx="17">
                  <c:v>24.929680008000002</c:v>
                </c:pt>
                <c:pt idx="18">
                  <c:v>23.798041094000002</c:v>
                </c:pt>
                <c:pt idx="19">
                  <c:v>23.369065361999997</c:v>
                </c:pt>
                <c:pt idx="20">
                  <c:v>21.057376765999997</c:v>
                </c:pt>
                <c:pt idx="21">
                  <c:v>18.379906886000001</c:v>
                </c:pt>
                <c:pt idx="22">
                  <c:v>16.549938279999999</c:v>
                </c:pt>
                <c:pt idx="23">
                  <c:v>16.346030616</c:v>
                </c:pt>
                <c:pt idx="24">
                  <c:v>19.108622696000001</c:v>
                </c:pt>
                <c:pt idx="25">
                  <c:v>21.134632673999999</c:v>
                </c:pt>
                <c:pt idx="26">
                  <c:v>20.8122440048</c:v>
                </c:pt>
                <c:pt idx="27">
                  <c:v>18.3696347096</c:v>
                </c:pt>
                <c:pt idx="28">
                  <c:v>14.8524786466</c:v>
                </c:pt>
                <c:pt idx="29">
                  <c:v>10.3071432362</c:v>
                </c:pt>
                <c:pt idx="30">
                  <c:v>6.6227179076000002</c:v>
                </c:pt>
                <c:pt idx="31">
                  <c:v>7.0653134592000004</c:v>
                </c:pt>
                <c:pt idx="32">
                  <c:v>7.5022450074000009</c:v>
                </c:pt>
                <c:pt idx="33">
                  <c:v>8.8598686684000008</c:v>
                </c:pt>
                <c:pt idx="34">
                  <c:v>10.634184920799999</c:v>
                </c:pt>
                <c:pt idx="35">
                  <c:v>11.339110954800001</c:v>
                </c:pt>
                <c:pt idx="36">
                  <c:v>11.3370861744</c:v>
                </c:pt>
                <c:pt idx="37">
                  <c:v>11.216475705400001</c:v>
                </c:pt>
                <c:pt idx="38">
                  <c:v>10.0206885154</c:v>
                </c:pt>
                <c:pt idx="39">
                  <c:v>9.7370723954000002</c:v>
                </c:pt>
                <c:pt idx="40">
                  <c:v>9.7864871850000004</c:v>
                </c:pt>
                <c:pt idx="41">
                  <c:v>9.0068952152000001</c:v>
                </c:pt>
                <c:pt idx="42">
                  <c:v>8.206278082599999</c:v>
                </c:pt>
                <c:pt idx="43">
                  <c:v>8.3322434578000006</c:v>
                </c:pt>
                <c:pt idx="44">
                  <c:v>7.7472604180000006</c:v>
                </c:pt>
                <c:pt idx="45">
                  <c:v>7.8167337426000003</c:v>
                </c:pt>
              </c:numCache>
            </c:numRef>
          </c:val>
          <c:smooth val="0"/>
        </c:ser>
        <c:ser>
          <c:idx val="4"/>
          <c:order val="3"/>
          <c:tx>
            <c:strRef>
              <c:f>OUT_MovAvgInf_cpi!$O$30</c:f>
              <c:strCache>
                <c:ptCount val="1"/>
                <c:pt idx="0">
                  <c:v>Rest of Africa</c:v>
                </c:pt>
              </c:strCache>
            </c:strRef>
          </c:tx>
          <c:spPr>
            <a:ln w="28575" cap="rnd">
              <a:solidFill>
                <a:schemeClr val="accent5"/>
              </a:solidFill>
              <a:round/>
            </a:ln>
            <a:effectLst/>
          </c:spPr>
          <c:marker>
            <c:symbol val="none"/>
          </c:marker>
          <c:cat>
            <c:strRef>
              <c:f>OUT_MovAvgInf_cpi!$K$31:$K$76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OUT_MovAvgInf_cpi!$O$31:$O$76</c:f>
              <c:numCache>
                <c:formatCode>General</c:formatCode>
                <c:ptCount val="46"/>
                <c:pt idx="0">
                  <c:v>3.0489182384999998</c:v>
                </c:pt>
                <c:pt idx="1">
                  <c:v>3.8504384995000001</c:v>
                </c:pt>
                <c:pt idx="2">
                  <c:v>5.2950008449000006</c:v>
                </c:pt>
                <c:pt idx="3">
                  <c:v>8.5392411593000013</c:v>
                </c:pt>
                <c:pt idx="4">
                  <c:v>10.8497527926</c:v>
                </c:pt>
                <c:pt idx="5">
                  <c:v>12.283641876600001</c:v>
                </c:pt>
                <c:pt idx="6">
                  <c:v>14.056974759999999</c:v>
                </c:pt>
                <c:pt idx="7">
                  <c:v>14.472635488</c:v>
                </c:pt>
                <c:pt idx="8">
                  <c:v>13.477292628000001</c:v>
                </c:pt>
                <c:pt idx="9">
                  <c:v>13.281470637999998</c:v>
                </c:pt>
                <c:pt idx="10">
                  <c:v>13.764874250000002</c:v>
                </c:pt>
                <c:pt idx="11">
                  <c:v>13.295717841000002</c:v>
                </c:pt>
                <c:pt idx="12">
                  <c:v>13.190180510999999</c:v>
                </c:pt>
                <c:pt idx="13">
                  <c:v>12.546906469</c:v>
                </c:pt>
                <c:pt idx="14">
                  <c:v>11.906360597000001</c:v>
                </c:pt>
                <c:pt idx="15">
                  <c:v>11.997269682000001</c:v>
                </c:pt>
                <c:pt idx="16">
                  <c:v>12.015840550000002</c:v>
                </c:pt>
                <c:pt idx="17">
                  <c:v>12.133218989</c:v>
                </c:pt>
                <c:pt idx="18">
                  <c:v>12.394859403</c:v>
                </c:pt>
                <c:pt idx="19">
                  <c:v>12.775145407</c:v>
                </c:pt>
                <c:pt idx="20">
                  <c:v>13.532371130000001</c:v>
                </c:pt>
                <c:pt idx="21">
                  <c:v>14.276817318999999</c:v>
                </c:pt>
                <c:pt idx="22">
                  <c:v>14.243243494000001</c:v>
                </c:pt>
                <c:pt idx="23">
                  <c:v>16.098323520999998</c:v>
                </c:pt>
                <c:pt idx="24">
                  <c:v>15.886854459</c:v>
                </c:pt>
                <c:pt idx="25">
                  <c:v>14.217297324</c:v>
                </c:pt>
                <c:pt idx="26">
                  <c:v>12.7277610982</c:v>
                </c:pt>
                <c:pt idx="27">
                  <c:v>11.6190419938</c:v>
                </c:pt>
                <c:pt idx="28">
                  <c:v>8.6341508026000007</c:v>
                </c:pt>
                <c:pt idx="29">
                  <c:v>8.0174911279999996</c:v>
                </c:pt>
                <c:pt idx="30">
                  <c:v>7.2954780886999995</c:v>
                </c:pt>
                <c:pt idx="31">
                  <c:v>7.0008219751</c:v>
                </c:pt>
                <c:pt idx="32">
                  <c:v>7.1286033555000001</c:v>
                </c:pt>
                <c:pt idx="33">
                  <c:v>6.6939343935000011</c:v>
                </c:pt>
                <c:pt idx="34">
                  <c:v>6.7202256187000007</c:v>
                </c:pt>
                <c:pt idx="35">
                  <c:v>7.0383109681999994</c:v>
                </c:pt>
                <c:pt idx="36">
                  <c:v>7.1914681655999999</c:v>
                </c:pt>
                <c:pt idx="37">
                  <c:v>8.1116992476000007</c:v>
                </c:pt>
                <c:pt idx="38">
                  <c:v>8.8535769663000004</c:v>
                </c:pt>
                <c:pt idx="39">
                  <c:v>8.1022473610999999</c:v>
                </c:pt>
                <c:pt idx="40">
                  <c:v>8.2482109842</c:v>
                </c:pt>
                <c:pt idx="41">
                  <c:v>8.1107891179000013</c:v>
                </c:pt>
                <c:pt idx="42">
                  <c:v>6.8226704518999997</c:v>
                </c:pt>
                <c:pt idx="43">
                  <c:v>6.2017047808000001</c:v>
                </c:pt>
                <c:pt idx="44">
                  <c:v>6.2541766120000002</c:v>
                </c:pt>
                <c:pt idx="45">
                  <c:v>5.9084588918999996</c:v>
                </c:pt>
              </c:numCache>
            </c:numRef>
          </c:val>
          <c:smooth val="0"/>
        </c:ser>
        <c:dLbls>
          <c:showLegendKey val="0"/>
          <c:showVal val="0"/>
          <c:showCatName val="0"/>
          <c:showSerName val="0"/>
          <c:showPercent val="0"/>
          <c:showBubbleSize val="0"/>
        </c:dLbls>
        <c:marker val="1"/>
        <c:smooth val="0"/>
        <c:axId val="115428352"/>
        <c:axId val="115435776"/>
      </c:lineChart>
      <c:catAx>
        <c:axId val="11542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5435776"/>
        <c:crosses val="autoZero"/>
        <c:auto val="1"/>
        <c:lblAlgn val="ctr"/>
        <c:lblOffset val="100"/>
        <c:tickLblSkip val="1"/>
        <c:noMultiLvlLbl val="0"/>
      </c:catAx>
      <c:valAx>
        <c:axId val="11543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a:t>
                </a:r>
              </a:p>
            </c:rich>
          </c:tx>
          <c:layout>
            <c:manualLayout>
              <c:xMode val="edge"/>
              <c:yMode val="edge"/>
              <c:x val="4.6076250684127303E-2"/>
              <c:y val="4.344303698888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15428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en-US" sz="1800" b="1"/>
              <a:t>5-Year</a:t>
            </a:r>
            <a:r>
              <a:rPr lang="en-US" sz="1800" b="1" baseline="0"/>
              <a:t> Moving Average of GDP Growth </a:t>
            </a:r>
            <a:endParaRPr lang="en-US" sz="1800" b="1"/>
          </a:p>
        </c:rich>
      </c:tx>
      <c:layout/>
      <c:overlay val="0"/>
      <c:spPr>
        <a:noFill/>
        <a:ln>
          <a:noFill/>
        </a:ln>
        <a:effectLst/>
      </c:spPr>
    </c:title>
    <c:autoTitleDeleted val="0"/>
    <c:plotArea>
      <c:layout/>
      <c:lineChart>
        <c:grouping val="standard"/>
        <c:varyColors val="0"/>
        <c:ser>
          <c:idx val="1"/>
          <c:order val="0"/>
          <c:tx>
            <c:strRef>
              <c:f>OUT_MovAvgGDP!$H$30</c:f>
              <c:strCache>
                <c:ptCount val="1"/>
                <c:pt idx="0">
                  <c:v>CEMAC</c:v>
                </c:pt>
              </c:strCache>
            </c:strRef>
          </c:tx>
          <c:spPr>
            <a:ln w="28575" cap="rnd">
              <a:solidFill>
                <a:schemeClr val="accent2"/>
              </a:solidFill>
              <a:round/>
            </a:ln>
            <a:effectLst/>
          </c:spPr>
          <c:marker>
            <c:symbol val="none"/>
          </c:marker>
          <c:cat>
            <c:strRef>
              <c:f>OUT_MovAvgGDP!$G$31:$G$76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OUT_MovAvgGDP!$H$31:$H$76</c:f>
              <c:numCache>
                <c:formatCode>0.00</c:formatCode>
                <c:ptCount val="46"/>
                <c:pt idx="0">
                  <c:v>3.8424169963172083</c:v>
                </c:pt>
                <c:pt idx="1">
                  <c:v>4.4331566951667059</c:v>
                </c:pt>
                <c:pt idx="2">
                  <c:v>4.3941594386688241</c:v>
                </c:pt>
                <c:pt idx="3">
                  <c:v>6.3362846920715921</c:v>
                </c:pt>
                <c:pt idx="4">
                  <c:v>7.9998153890431949</c:v>
                </c:pt>
                <c:pt idx="5">
                  <c:v>11.150957142377894</c:v>
                </c:pt>
                <c:pt idx="6">
                  <c:v>8.5272390568225855</c:v>
                </c:pt>
                <c:pt idx="7">
                  <c:v>5.7032271794241653</c:v>
                </c:pt>
                <c:pt idx="8">
                  <c:v>1.7432249169539016</c:v>
                </c:pt>
                <c:pt idx="9">
                  <c:v>-0.13717024844625172</c:v>
                </c:pt>
                <c:pt idx="10">
                  <c:v>-2.6632227982732437</c:v>
                </c:pt>
                <c:pt idx="11">
                  <c:v>0.12844097705577759</c:v>
                </c:pt>
                <c:pt idx="12">
                  <c:v>3.6547345370832147</c:v>
                </c:pt>
                <c:pt idx="13">
                  <c:v>5.6502400813663201</c:v>
                </c:pt>
                <c:pt idx="14">
                  <c:v>5.3208804669041694</c:v>
                </c:pt>
                <c:pt idx="15">
                  <c:v>3.4953759985700885</c:v>
                </c:pt>
                <c:pt idx="16">
                  <c:v>0.53485608580997768</c:v>
                </c:pt>
                <c:pt idx="17">
                  <c:v>1.1057333467146777</c:v>
                </c:pt>
                <c:pt idx="18">
                  <c:v>0.81877458661379232</c:v>
                </c:pt>
                <c:pt idx="19">
                  <c:v>0.81389617719987284</c:v>
                </c:pt>
                <c:pt idx="20">
                  <c:v>2.2641827752318404</c:v>
                </c:pt>
                <c:pt idx="21">
                  <c:v>4.0211134687730041</c:v>
                </c:pt>
                <c:pt idx="22">
                  <c:v>2.2249676304273769</c:v>
                </c:pt>
                <c:pt idx="23">
                  <c:v>1.776493972385957</c:v>
                </c:pt>
                <c:pt idx="24">
                  <c:v>2.3684948080983412</c:v>
                </c:pt>
                <c:pt idx="25">
                  <c:v>2.1423728238265363</c:v>
                </c:pt>
                <c:pt idx="26">
                  <c:v>3.585174273046178</c:v>
                </c:pt>
                <c:pt idx="27">
                  <c:v>4.725778110733688</c:v>
                </c:pt>
                <c:pt idx="28">
                  <c:v>3.3924399676366432</c:v>
                </c:pt>
                <c:pt idx="29">
                  <c:v>2.7968316026368409</c:v>
                </c:pt>
                <c:pt idx="30">
                  <c:v>3.9601171153104948</c:v>
                </c:pt>
                <c:pt idx="31">
                  <c:v>3.4809842471916688</c:v>
                </c:pt>
                <c:pt idx="32">
                  <c:v>3.4495178994488276</c:v>
                </c:pt>
                <c:pt idx="33">
                  <c:v>6.7160585219462536</c:v>
                </c:pt>
                <c:pt idx="34">
                  <c:v>8.2431415010798119</c:v>
                </c:pt>
                <c:pt idx="35">
                  <c:v>6.893012399221834</c:v>
                </c:pt>
                <c:pt idx="36">
                  <c:v>7.1907474600082155</c:v>
                </c:pt>
                <c:pt idx="37">
                  <c:v>7.4344454634235664</c:v>
                </c:pt>
                <c:pt idx="38">
                  <c:v>5.4196346021301469</c:v>
                </c:pt>
                <c:pt idx="39">
                  <c:v>4.2637780885228782</c:v>
                </c:pt>
                <c:pt idx="40">
                  <c:v>4.6579685417983816</c:v>
                </c:pt>
                <c:pt idx="41">
                  <c:v>4.6908068501951536</c:v>
                </c:pt>
                <c:pt idx="42">
                  <c:v>3.601602564366547</c:v>
                </c:pt>
                <c:pt idx="43">
                  <c:v>3.8466327614156173</c:v>
                </c:pt>
                <c:pt idx="44">
                  <c:v>2.9927637090917223</c:v>
                </c:pt>
                <c:pt idx="45">
                  <c:v>1.3745024093422329</c:v>
                </c:pt>
              </c:numCache>
            </c:numRef>
          </c:val>
          <c:smooth val="0"/>
        </c:ser>
        <c:ser>
          <c:idx val="2"/>
          <c:order val="1"/>
          <c:tx>
            <c:strRef>
              <c:f>OUT_MovAvgGDP!$I$30</c:f>
              <c:strCache>
                <c:ptCount val="1"/>
                <c:pt idx="0">
                  <c:v>UEMOA</c:v>
                </c:pt>
              </c:strCache>
            </c:strRef>
          </c:tx>
          <c:spPr>
            <a:ln w="28575" cap="rnd">
              <a:solidFill>
                <a:schemeClr val="accent3"/>
              </a:solidFill>
              <a:round/>
            </a:ln>
            <a:effectLst/>
          </c:spPr>
          <c:marker>
            <c:symbol val="none"/>
          </c:marker>
          <c:cat>
            <c:strRef>
              <c:f>OUT_MovAvgGDP!$G$31:$G$76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OUT_MovAvgGDP!$I$31:$I$76</c:f>
              <c:numCache>
                <c:formatCode>0.00</c:formatCode>
                <c:ptCount val="46"/>
                <c:pt idx="0">
                  <c:v>4.0864422154176117</c:v>
                </c:pt>
                <c:pt idx="1">
                  <c:v>4.3402508263828237</c:v>
                </c:pt>
                <c:pt idx="2">
                  <c:v>2.8794878416544871</c:v>
                </c:pt>
                <c:pt idx="3">
                  <c:v>3.5319079259678885</c:v>
                </c:pt>
                <c:pt idx="4">
                  <c:v>3.296129199623286</c:v>
                </c:pt>
                <c:pt idx="5">
                  <c:v>4.2545963934699262</c:v>
                </c:pt>
                <c:pt idx="6">
                  <c:v>4.3876787939381154</c:v>
                </c:pt>
                <c:pt idx="7">
                  <c:v>5.9409321136028677</c:v>
                </c:pt>
                <c:pt idx="8">
                  <c:v>5.818674216978911</c:v>
                </c:pt>
                <c:pt idx="9">
                  <c:v>3.761138875952696</c:v>
                </c:pt>
                <c:pt idx="10">
                  <c:v>2.7117446735604092</c:v>
                </c:pt>
                <c:pt idx="11">
                  <c:v>2.2046222949287513</c:v>
                </c:pt>
                <c:pt idx="12">
                  <c:v>0.17186812883056923</c:v>
                </c:pt>
                <c:pt idx="13">
                  <c:v>-0.99151543997317515</c:v>
                </c:pt>
                <c:pt idx="14">
                  <c:v>1.3195635307355651</c:v>
                </c:pt>
                <c:pt idx="15">
                  <c:v>1.3716003752418571</c:v>
                </c:pt>
                <c:pt idx="16">
                  <c:v>1.1946671341949997</c:v>
                </c:pt>
                <c:pt idx="17">
                  <c:v>2.4389456877779772</c:v>
                </c:pt>
                <c:pt idx="18">
                  <c:v>3.3126820082321387</c:v>
                </c:pt>
                <c:pt idx="19">
                  <c:v>1.9439248328651721</c:v>
                </c:pt>
                <c:pt idx="20">
                  <c:v>1.8235595873828125</c:v>
                </c:pt>
                <c:pt idx="21">
                  <c:v>1.4977688334284927</c:v>
                </c:pt>
                <c:pt idx="22">
                  <c:v>1.0289719411134353</c:v>
                </c:pt>
                <c:pt idx="23">
                  <c:v>0.87650256108363034</c:v>
                </c:pt>
                <c:pt idx="24">
                  <c:v>2.0744793276174578</c:v>
                </c:pt>
                <c:pt idx="25">
                  <c:v>2.7331334759924353</c:v>
                </c:pt>
                <c:pt idx="26">
                  <c:v>3.7956291664227941</c:v>
                </c:pt>
                <c:pt idx="27">
                  <c:v>4.7479982318424305</c:v>
                </c:pt>
                <c:pt idx="28">
                  <c:v>5.0725907046460152</c:v>
                </c:pt>
                <c:pt idx="29">
                  <c:v>4.0096935549528103</c:v>
                </c:pt>
                <c:pt idx="30">
                  <c:v>3.5467118773538515</c:v>
                </c:pt>
                <c:pt idx="31">
                  <c:v>2.7880280356696781</c:v>
                </c:pt>
                <c:pt idx="32">
                  <c:v>2.4433788311539208</c:v>
                </c:pt>
                <c:pt idx="33">
                  <c:v>2.2710779910104373</c:v>
                </c:pt>
                <c:pt idx="34">
                  <c:v>3.0009844940214281</c:v>
                </c:pt>
                <c:pt idx="35">
                  <c:v>2.8390531023109662</c:v>
                </c:pt>
                <c:pt idx="36">
                  <c:v>3.3850863841168035</c:v>
                </c:pt>
                <c:pt idx="37">
                  <c:v>3.5676075448989346</c:v>
                </c:pt>
                <c:pt idx="38">
                  <c:v>3.6032111499741539</c:v>
                </c:pt>
                <c:pt idx="39">
                  <c:v>3.5888833116814647</c:v>
                </c:pt>
                <c:pt idx="40">
                  <c:v>3.1034486912181536</c:v>
                </c:pt>
                <c:pt idx="41">
                  <c:v>3.6560408115105552</c:v>
                </c:pt>
                <c:pt idx="42">
                  <c:v>3.9615193482087205</c:v>
                </c:pt>
                <c:pt idx="43">
                  <c:v>4.7179867229671988</c:v>
                </c:pt>
                <c:pt idx="44">
                  <c:v>5.1889820062645429</c:v>
                </c:pt>
                <c:pt idx="45">
                  <c:v>6.3401037148879338</c:v>
                </c:pt>
              </c:numCache>
            </c:numRef>
          </c:val>
          <c:smooth val="0"/>
        </c:ser>
        <c:ser>
          <c:idx val="3"/>
          <c:order val="2"/>
          <c:tx>
            <c:strRef>
              <c:f>OUT_MovAvgGDP!$J$30</c:f>
              <c:strCache>
                <c:ptCount val="1"/>
                <c:pt idx="0">
                  <c:v>Non-CFA ECOWAS</c:v>
                </c:pt>
              </c:strCache>
            </c:strRef>
          </c:tx>
          <c:spPr>
            <a:ln w="28575" cap="rnd">
              <a:solidFill>
                <a:schemeClr val="accent4"/>
              </a:solidFill>
              <a:round/>
            </a:ln>
            <a:effectLst/>
          </c:spPr>
          <c:marker>
            <c:symbol val="none"/>
          </c:marker>
          <c:cat>
            <c:strRef>
              <c:f>OUT_MovAvgGDP!$G$31:$G$76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OUT_MovAvgGDP!$J$31:$J$76</c:f>
              <c:numCache>
                <c:formatCode>0.00</c:formatCode>
                <c:ptCount val="46"/>
                <c:pt idx="0">
                  <c:v>8.1531421443788012</c:v>
                </c:pt>
                <c:pt idx="1">
                  <c:v>10.530098176125493</c:v>
                </c:pt>
                <c:pt idx="2">
                  <c:v>11.492986415519074</c:v>
                </c:pt>
                <c:pt idx="3">
                  <c:v>9.8889395760109178</c:v>
                </c:pt>
                <c:pt idx="4">
                  <c:v>4.7058561778610031</c:v>
                </c:pt>
                <c:pt idx="5">
                  <c:v>3.7864368861832722</c:v>
                </c:pt>
                <c:pt idx="6">
                  <c:v>4.469079934924503</c:v>
                </c:pt>
                <c:pt idx="7">
                  <c:v>2.6958263799085591</c:v>
                </c:pt>
                <c:pt idx="8">
                  <c:v>1.8075313273709448</c:v>
                </c:pt>
                <c:pt idx="9">
                  <c:v>3.7096057106491811</c:v>
                </c:pt>
                <c:pt idx="10">
                  <c:v>-0.21185798339802647</c:v>
                </c:pt>
                <c:pt idx="11">
                  <c:v>-1.5842555865805608</c:v>
                </c:pt>
                <c:pt idx="12">
                  <c:v>-1.6820665518038773</c:v>
                </c:pt>
                <c:pt idx="13">
                  <c:v>-3.0111959612876604</c:v>
                </c:pt>
                <c:pt idx="14">
                  <c:v>-2.3462002676279679</c:v>
                </c:pt>
                <c:pt idx="15">
                  <c:v>-1.2092249106006767</c:v>
                </c:pt>
                <c:pt idx="16">
                  <c:v>-2.1399212617867405</c:v>
                </c:pt>
                <c:pt idx="17">
                  <c:v>9.3164481678424921E-2</c:v>
                </c:pt>
                <c:pt idx="18">
                  <c:v>1.2332981296337446</c:v>
                </c:pt>
                <c:pt idx="19">
                  <c:v>1.5226035475342701</c:v>
                </c:pt>
                <c:pt idx="20">
                  <c:v>2.8582365346354566</c:v>
                </c:pt>
                <c:pt idx="21">
                  <c:v>4.1850452204830564</c:v>
                </c:pt>
                <c:pt idx="22">
                  <c:v>3.4369326418066124</c:v>
                </c:pt>
                <c:pt idx="23">
                  <c:v>2.7414574036076016</c:v>
                </c:pt>
                <c:pt idx="24">
                  <c:v>1.2785984915046644</c:v>
                </c:pt>
                <c:pt idx="25">
                  <c:v>2.1561212862418464</c:v>
                </c:pt>
                <c:pt idx="26">
                  <c:v>2.6684044891533132</c:v>
                </c:pt>
                <c:pt idx="27">
                  <c:v>2.7746395110569848</c:v>
                </c:pt>
                <c:pt idx="28">
                  <c:v>2.8639688814404072</c:v>
                </c:pt>
                <c:pt idx="29">
                  <c:v>3.5981565126497776</c:v>
                </c:pt>
                <c:pt idx="30">
                  <c:v>3.4665760663052145</c:v>
                </c:pt>
                <c:pt idx="31">
                  <c:v>3.6680730920128397</c:v>
                </c:pt>
                <c:pt idx="32">
                  <c:v>4.8451656948507047</c:v>
                </c:pt>
                <c:pt idx="33">
                  <c:v>10.186824911523306</c:v>
                </c:pt>
                <c:pt idx="34">
                  <c:v>9.9445921628133291</c:v>
                </c:pt>
                <c:pt idx="35">
                  <c:v>10.721426012003219</c:v>
                </c:pt>
                <c:pt idx="36">
                  <c:v>11.176783753617062</c:v>
                </c:pt>
                <c:pt idx="37">
                  <c:v>10.647281791968442</c:v>
                </c:pt>
                <c:pt idx="38">
                  <c:v>6.2033802861953227</c:v>
                </c:pt>
                <c:pt idx="39">
                  <c:v>6.9848390453498279</c:v>
                </c:pt>
                <c:pt idx="40">
                  <c:v>6.4940606951828554</c:v>
                </c:pt>
                <c:pt idx="41">
                  <c:v>6.164339182586291</c:v>
                </c:pt>
                <c:pt idx="42">
                  <c:v>6.0035826922387701</c:v>
                </c:pt>
                <c:pt idx="43">
                  <c:v>5.9487863003060699</c:v>
                </c:pt>
                <c:pt idx="44">
                  <c:v>4.929406943471248</c:v>
                </c:pt>
                <c:pt idx="45">
                  <c:v>3.6073391053786792</c:v>
                </c:pt>
              </c:numCache>
            </c:numRef>
          </c:val>
          <c:smooth val="0"/>
        </c:ser>
        <c:ser>
          <c:idx val="4"/>
          <c:order val="3"/>
          <c:tx>
            <c:strRef>
              <c:f>OUT_MovAvgGDP!$K$30</c:f>
              <c:strCache>
                <c:ptCount val="1"/>
                <c:pt idx="0">
                  <c:v>Rest of Africa</c:v>
                </c:pt>
              </c:strCache>
            </c:strRef>
          </c:tx>
          <c:spPr>
            <a:ln w="28575" cap="rnd">
              <a:solidFill>
                <a:schemeClr val="accent5"/>
              </a:solidFill>
              <a:round/>
            </a:ln>
            <a:effectLst/>
          </c:spPr>
          <c:marker>
            <c:symbol val="none"/>
          </c:marker>
          <c:cat>
            <c:strRef>
              <c:f>OUT_MovAvgGDP!$G$31:$G$76</c:f>
              <c:strCache>
                <c:ptCount val="46"/>
                <c:pt idx="0">
                  <c:v>1967-1972</c:v>
                </c:pt>
                <c:pt idx="1">
                  <c:v>1968-1973</c:v>
                </c:pt>
                <c:pt idx="2">
                  <c:v>1969-1974</c:v>
                </c:pt>
                <c:pt idx="3">
                  <c:v>1970-1975</c:v>
                </c:pt>
                <c:pt idx="4">
                  <c:v>1971-1976</c:v>
                </c:pt>
                <c:pt idx="5">
                  <c:v>1972-1977</c:v>
                </c:pt>
                <c:pt idx="6">
                  <c:v>1973-1978</c:v>
                </c:pt>
                <c:pt idx="7">
                  <c:v>1974-1979</c:v>
                </c:pt>
                <c:pt idx="8">
                  <c:v>1975-1980</c:v>
                </c:pt>
                <c:pt idx="9">
                  <c:v>1976-1981</c:v>
                </c:pt>
                <c:pt idx="10">
                  <c:v>1977-1982</c:v>
                </c:pt>
                <c:pt idx="11">
                  <c:v>1978-1983</c:v>
                </c:pt>
                <c:pt idx="12">
                  <c:v>1979-1984</c:v>
                </c:pt>
                <c:pt idx="13">
                  <c:v>1980-1985</c:v>
                </c:pt>
                <c:pt idx="14">
                  <c:v>1981-1986</c:v>
                </c:pt>
                <c:pt idx="15">
                  <c:v>1982-1987</c:v>
                </c:pt>
                <c:pt idx="16">
                  <c:v>1983-1988</c:v>
                </c:pt>
                <c:pt idx="17">
                  <c:v>1984-1989</c:v>
                </c:pt>
                <c:pt idx="18">
                  <c:v>1985-1990</c:v>
                </c:pt>
                <c:pt idx="19">
                  <c:v>1986-1991</c:v>
                </c:pt>
                <c:pt idx="20">
                  <c:v>1987-1992</c:v>
                </c:pt>
                <c:pt idx="21">
                  <c:v>1988-1993</c:v>
                </c:pt>
                <c:pt idx="22">
                  <c:v>1989-1994</c:v>
                </c:pt>
                <c:pt idx="23">
                  <c:v>1990-1995</c:v>
                </c:pt>
                <c:pt idx="24">
                  <c:v>1991-1996</c:v>
                </c:pt>
                <c:pt idx="25">
                  <c:v>1992-1997</c:v>
                </c:pt>
                <c:pt idx="26">
                  <c:v>1993-1998</c:v>
                </c:pt>
                <c:pt idx="27">
                  <c:v>1994-1999</c:v>
                </c:pt>
                <c:pt idx="28">
                  <c:v>1995-2000</c:v>
                </c:pt>
                <c:pt idx="29">
                  <c:v>1996-2001</c:v>
                </c:pt>
                <c:pt idx="30">
                  <c:v>1997-2002</c:v>
                </c:pt>
                <c:pt idx="31">
                  <c:v>1998-2003</c:v>
                </c:pt>
                <c:pt idx="32">
                  <c:v>1999-2004</c:v>
                </c:pt>
                <c:pt idx="33">
                  <c:v>2000-2005</c:v>
                </c:pt>
                <c:pt idx="34">
                  <c:v>2001-2006</c:v>
                </c:pt>
                <c:pt idx="35">
                  <c:v>2002-2007</c:v>
                </c:pt>
                <c:pt idx="36">
                  <c:v>2003-2008</c:v>
                </c:pt>
                <c:pt idx="37">
                  <c:v>2004-2009</c:v>
                </c:pt>
                <c:pt idx="38">
                  <c:v>2005-2010</c:v>
                </c:pt>
                <c:pt idx="39">
                  <c:v>2006-2011</c:v>
                </c:pt>
                <c:pt idx="40">
                  <c:v>2007-2012</c:v>
                </c:pt>
                <c:pt idx="41">
                  <c:v>2008-2013</c:v>
                </c:pt>
                <c:pt idx="42">
                  <c:v>2009-2014</c:v>
                </c:pt>
                <c:pt idx="43">
                  <c:v>2010-2015</c:v>
                </c:pt>
                <c:pt idx="44">
                  <c:v>2011-2016</c:v>
                </c:pt>
                <c:pt idx="45">
                  <c:v>2012-2017</c:v>
                </c:pt>
              </c:strCache>
            </c:strRef>
          </c:cat>
          <c:val>
            <c:numRef>
              <c:f>OUT_MovAvgGDP!$K$31:$K$76</c:f>
              <c:numCache>
                <c:formatCode>0.00</c:formatCode>
                <c:ptCount val="46"/>
                <c:pt idx="0">
                  <c:v>4.3344892993579487</c:v>
                </c:pt>
                <c:pt idx="1">
                  <c:v>3.8939400724579309</c:v>
                </c:pt>
                <c:pt idx="2">
                  <c:v>3.9725112487389267</c:v>
                </c:pt>
                <c:pt idx="3">
                  <c:v>4.1595122156444377</c:v>
                </c:pt>
                <c:pt idx="4">
                  <c:v>3.7720913547521362</c:v>
                </c:pt>
                <c:pt idx="5">
                  <c:v>3.2059614215546413</c:v>
                </c:pt>
                <c:pt idx="6">
                  <c:v>3.1981169457109924</c:v>
                </c:pt>
                <c:pt idx="7">
                  <c:v>2.6530448853613899</c:v>
                </c:pt>
                <c:pt idx="8">
                  <c:v>2.0708734245992066</c:v>
                </c:pt>
                <c:pt idx="9">
                  <c:v>2.5910809109338144</c:v>
                </c:pt>
                <c:pt idx="10">
                  <c:v>3.1817342962038131</c:v>
                </c:pt>
                <c:pt idx="11">
                  <c:v>2.8938535305880135</c:v>
                </c:pt>
                <c:pt idx="12">
                  <c:v>2.5477680487856746</c:v>
                </c:pt>
                <c:pt idx="13">
                  <c:v>2.6673681317631988</c:v>
                </c:pt>
                <c:pt idx="14">
                  <c:v>1.6295869605044779</c:v>
                </c:pt>
                <c:pt idx="15">
                  <c:v>1.1150396307176735</c:v>
                </c:pt>
                <c:pt idx="16">
                  <c:v>1.9631363368618504</c:v>
                </c:pt>
                <c:pt idx="17">
                  <c:v>2.6031654012986749</c:v>
                </c:pt>
                <c:pt idx="18">
                  <c:v>2.4515432481737398</c:v>
                </c:pt>
                <c:pt idx="19">
                  <c:v>2.5699200844610832</c:v>
                </c:pt>
                <c:pt idx="20">
                  <c:v>1.9504944982772163</c:v>
                </c:pt>
                <c:pt idx="21">
                  <c:v>0.58488351202692845</c:v>
                </c:pt>
                <c:pt idx="22">
                  <c:v>5.5214714329948844E-2</c:v>
                </c:pt>
                <c:pt idx="23">
                  <c:v>-8.218862572506809E-2</c:v>
                </c:pt>
                <c:pt idx="24">
                  <c:v>0.7332309720613378</c:v>
                </c:pt>
                <c:pt idx="25">
                  <c:v>1.8604379545278604</c:v>
                </c:pt>
                <c:pt idx="26">
                  <c:v>2.9672622040191916</c:v>
                </c:pt>
                <c:pt idx="27">
                  <c:v>3.216189863712168</c:v>
                </c:pt>
                <c:pt idx="28">
                  <c:v>3.4255795369583986</c:v>
                </c:pt>
                <c:pt idx="29">
                  <c:v>3.4116686168281318</c:v>
                </c:pt>
                <c:pt idx="30">
                  <c:v>3.0518297065739644</c:v>
                </c:pt>
                <c:pt idx="31">
                  <c:v>3.0298791497723685</c:v>
                </c:pt>
                <c:pt idx="32">
                  <c:v>3.4804807381471137</c:v>
                </c:pt>
                <c:pt idx="33">
                  <c:v>3.9953187200030262</c:v>
                </c:pt>
                <c:pt idx="34">
                  <c:v>4.4671748616797213</c:v>
                </c:pt>
                <c:pt idx="35">
                  <c:v>5.2501635045544814</c:v>
                </c:pt>
                <c:pt idx="36">
                  <c:v>6.1494339560629445</c:v>
                </c:pt>
                <c:pt idx="37">
                  <c:v>6.4187826936660599</c:v>
                </c:pt>
                <c:pt idx="38">
                  <c:v>5.5873370289095972</c:v>
                </c:pt>
                <c:pt idx="39">
                  <c:v>5.2796789657753909</c:v>
                </c:pt>
                <c:pt idx="40">
                  <c:v>4.6228699594429523</c:v>
                </c:pt>
                <c:pt idx="41">
                  <c:v>3.5655155141548307</c:v>
                </c:pt>
                <c:pt idx="42">
                  <c:v>3.4546444448183946</c:v>
                </c:pt>
                <c:pt idx="43">
                  <c:v>3.9717580062579523</c:v>
                </c:pt>
                <c:pt idx="44">
                  <c:v>3.753597988613806</c:v>
                </c:pt>
                <c:pt idx="45">
                  <c:v>3.4981363791996514</c:v>
                </c:pt>
              </c:numCache>
            </c:numRef>
          </c:val>
          <c:smooth val="0"/>
        </c:ser>
        <c:dLbls>
          <c:showLegendKey val="0"/>
          <c:showVal val="0"/>
          <c:showCatName val="0"/>
          <c:showSerName val="0"/>
          <c:showPercent val="0"/>
          <c:showBubbleSize val="0"/>
        </c:dLbls>
        <c:marker val="1"/>
        <c:smooth val="0"/>
        <c:axId val="130145664"/>
        <c:axId val="137417856"/>
      </c:lineChart>
      <c:catAx>
        <c:axId val="13014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7417856"/>
        <c:crosses val="autoZero"/>
        <c:auto val="1"/>
        <c:lblAlgn val="ctr"/>
        <c:lblOffset val="100"/>
        <c:tickLblSkip val="1"/>
        <c:noMultiLvlLbl val="0"/>
      </c:catAx>
      <c:valAx>
        <c:axId val="137417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a:t>
                </a:r>
              </a:p>
            </c:rich>
          </c:tx>
          <c:layout>
            <c:manualLayout>
              <c:xMode val="edge"/>
              <c:yMode val="edge"/>
              <c:x val="4.0968147653671946E-2"/>
              <c:y val="3.021118657830094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30145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8F39-53A5-4A88-8012-97B0617B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10880</Words>
  <Characters>62021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Dell</cp:lastModifiedBy>
  <cp:revision>2</cp:revision>
  <cp:lastPrinted>2018-06-21T22:16:00Z</cp:lastPrinted>
  <dcterms:created xsi:type="dcterms:W3CDTF">2018-06-23T16:11:00Z</dcterms:created>
  <dcterms:modified xsi:type="dcterms:W3CDTF">2018-06-23T16:11:00Z</dcterms:modified>
</cp:coreProperties>
</file>