
<file path=[Content_Types].xml><?xml version="1.0" encoding="utf-8"?>
<Types xmlns="http://schemas.openxmlformats.org/package/2006/content-types">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E64" w:rsidRDefault="00182D98" w:rsidP="008B367D">
      <w:pPr>
        <w:jc w:val="right"/>
        <w:rPr>
          <w:sz w:val="14"/>
          <w:szCs w:val="14"/>
        </w:rPr>
      </w:pPr>
      <w:r>
        <w:rPr>
          <w:sz w:val="14"/>
          <w:szCs w:val="14"/>
        </w:rPr>
        <w:t xml:space="preserve"> </w:t>
      </w:r>
    </w:p>
    <w:p w:rsidR="00EC0E64" w:rsidRDefault="00EC0E64" w:rsidP="008B367D">
      <w:pPr>
        <w:jc w:val="right"/>
        <w:rPr>
          <w:sz w:val="14"/>
          <w:szCs w:val="14"/>
        </w:rPr>
      </w:pPr>
    </w:p>
    <w:p w:rsidR="00A573CB" w:rsidRDefault="00374749" w:rsidP="008B367D">
      <w:pPr>
        <w:jc w:val="right"/>
        <w:rPr>
          <w:rFonts w:ascii="Tahoma" w:hAnsi="Tahoma" w:cs="Tahoma"/>
          <w:color w:val="000000"/>
          <w:sz w:val="20"/>
          <w:szCs w:val="20"/>
        </w:rPr>
      </w:pPr>
      <w:r>
        <w:rPr>
          <w:sz w:val="20"/>
          <w:szCs w:val="20"/>
        </w:rPr>
        <w:t>April 1</w:t>
      </w:r>
      <w:r w:rsidR="00B27A25">
        <w:rPr>
          <w:sz w:val="20"/>
          <w:szCs w:val="20"/>
        </w:rPr>
        <w:t>,</w:t>
      </w:r>
      <w:r w:rsidR="00182D98" w:rsidRPr="001610EC">
        <w:rPr>
          <w:sz w:val="20"/>
          <w:szCs w:val="20"/>
        </w:rPr>
        <w:t xml:space="preserve"> 2007</w:t>
      </w:r>
      <w:r w:rsidR="00EC0E64">
        <w:rPr>
          <w:sz w:val="20"/>
          <w:szCs w:val="20"/>
        </w:rPr>
        <w:t xml:space="preserve"> </w:t>
      </w:r>
      <w:r w:rsidR="005D551C">
        <w:rPr>
          <w:sz w:val="20"/>
          <w:szCs w:val="20"/>
        </w:rPr>
        <w:t>POST-PANEL</w:t>
      </w:r>
      <w:r>
        <w:rPr>
          <w:sz w:val="20"/>
          <w:szCs w:val="20"/>
        </w:rPr>
        <w:t xml:space="preserve"> draft</w:t>
      </w:r>
      <w:r w:rsidR="00EC0E64">
        <w:rPr>
          <w:i/>
          <w:sz w:val="20"/>
          <w:szCs w:val="20"/>
        </w:rPr>
        <w:br/>
      </w:r>
      <w:r w:rsidR="00EC0E64" w:rsidRPr="00EC0E64">
        <w:rPr>
          <w:sz w:val="20"/>
          <w:szCs w:val="20"/>
        </w:rPr>
        <w:t>Forthcoming</w:t>
      </w:r>
      <w:r w:rsidR="00EC0E64">
        <w:rPr>
          <w:i/>
          <w:sz w:val="20"/>
          <w:szCs w:val="20"/>
        </w:rPr>
        <w:t xml:space="preserve">, </w:t>
      </w:r>
      <w:r w:rsidR="00EC0E64" w:rsidRPr="00EC0E64">
        <w:rPr>
          <w:rFonts w:ascii="Tahoma" w:hAnsi="Tahoma" w:cs="Tahoma"/>
          <w:i/>
          <w:color w:val="000000"/>
          <w:sz w:val="20"/>
          <w:szCs w:val="20"/>
        </w:rPr>
        <w:t>Economic Policy</w:t>
      </w:r>
      <w:r w:rsidR="00EC0E64">
        <w:rPr>
          <w:rFonts w:ascii="Tahoma" w:hAnsi="Tahoma" w:cs="Tahoma"/>
          <w:color w:val="000000"/>
          <w:sz w:val="20"/>
          <w:szCs w:val="20"/>
        </w:rPr>
        <w:t xml:space="preserve"> (CEPR),</w:t>
      </w:r>
      <w:r w:rsidR="00EC0E64">
        <w:rPr>
          <w:rFonts w:ascii="Tahoma" w:hAnsi="Tahoma" w:cs="Tahoma"/>
          <w:color w:val="000000"/>
          <w:sz w:val="20"/>
          <w:szCs w:val="20"/>
        </w:rPr>
        <w:t xml:space="preserve"> vol. 22, pages 575-627, </w:t>
      </w:r>
      <w:r w:rsidR="00EC0E64">
        <w:rPr>
          <w:rFonts w:ascii="Tahoma" w:hAnsi="Tahoma" w:cs="Tahoma"/>
          <w:color w:val="000000"/>
          <w:sz w:val="20"/>
          <w:szCs w:val="20"/>
        </w:rPr>
        <w:t>20</w:t>
      </w:r>
      <w:r w:rsidR="00EC0E64">
        <w:rPr>
          <w:rFonts w:ascii="Tahoma" w:hAnsi="Tahoma" w:cs="Tahoma"/>
          <w:color w:val="000000"/>
          <w:sz w:val="20"/>
          <w:szCs w:val="20"/>
        </w:rPr>
        <w:t>07</w:t>
      </w:r>
    </w:p>
    <w:p w:rsidR="00EC0E64" w:rsidRDefault="00EC0E64" w:rsidP="008B367D">
      <w:pPr>
        <w:jc w:val="right"/>
        <w:rPr>
          <w:sz w:val="20"/>
          <w:szCs w:val="20"/>
        </w:rPr>
      </w:pPr>
    </w:p>
    <w:p w:rsidR="006679B2" w:rsidRPr="00652E41" w:rsidRDefault="00C64065" w:rsidP="008B367D">
      <w:pPr>
        <w:jc w:val="right"/>
        <w:rPr>
          <w:sz w:val="18"/>
          <w:szCs w:val="18"/>
          <w:vertAlign w:val="subscript"/>
        </w:rPr>
      </w:pPr>
      <w:r>
        <w:rPr>
          <w:sz w:val="18"/>
          <w:szCs w:val="18"/>
          <w:vertAlign w:val="subscript"/>
        </w:rPr>
        <w:t>.</w:t>
      </w:r>
    </w:p>
    <w:p w:rsidR="00404F4B" w:rsidRPr="008610DD" w:rsidRDefault="00640360" w:rsidP="00404F4B">
      <w:pPr>
        <w:autoSpaceDE w:val="0"/>
        <w:autoSpaceDN w:val="0"/>
        <w:adjustRightInd w:val="0"/>
        <w:spacing w:line="240" w:lineRule="atLeast"/>
        <w:jc w:val="center"/>
        <w:rPr>
          <w:b/>
          <w:color w:val="000000"/>
          <w:sz w:val="32"/>
          <w:szCs w:val="32"/>
        </w:rPr>
      </w:pPr>
      <w:r>
        <w:rPr>
          <w:b/>
          <w:i/>
          <w:color w:val="000000"/>
          <w:sz w:val="32"/>
          <w:szCs w:val="32"/>
        </w:rPr>
        <w:t>Assess</w:t>
      </w:r>
      <w:r w:rsidR="00404F4B" w:rsidRPr="008610DD">
        <w:rPr>
          <w:b/>
          <w:i/>
          <w:color w:val="000000"/>
          <w:sz w:val="32"/>
          <w:szCs w:val="32"/>
        </w:rPr>
        <w:t>ing China’s Exchange Rate Regime</w:t>
      </w:r>
    </w:p>
    <w:p w:rsidR="00404F4B" w:rsidRPr="00332F1A" w:rsidRDefault="00404F4B" w:rsidP="00404F4B">
      <w:pPr>
        <w:autoSpaceDE w:val="0"/>
        <w:autoSpaceDN w:val="0"/>
        <w:adjustRightInd w:val="0"/>
        <w:spacing w:line="240" w:lineRule="atLeast"/>
        <w:jc w:val="center"/>
        <w:rPr>
          <w:b/>
          <w:color w:val="000000"/>
          <w:sz w:val="16"/>
          <w:szCs w:val="16"/>
        </w:rPr>
      </w:pPr>
    </w:p>
    <w:p w:rsidR="00404F4B" w:rsidRPr="001610EC" w:rsidRDefault="00404F4B" w:rsidP="00404F4B">
      <w:pPr>
        <w:autoSpaceDE w:val="0"/>
        <w:autoSpaceDN w:val="0"/>
        <w:adjustRightInd w:val="0"/>
        <w:spacing w:line="240" w:lineRule="atLeast"/>
        <w:jc w:val="center"/>
        <w:rPr>
          <w:color w:val="000000"/>
        </w:rPr>
      </w:pPr>
      <w:r w:rsidRPr="001610EC">
        <w:rPr>
          <w:color w:val="000000"/>
        </w:rPr>
        <w:t>Jeffrey A. Frankel</w:t>
      </w:r>
      <w:r w:rsidR="00B27A25">
        <w:rPr>
          <w:color w:val="000000"/>
        </w:rPr>
        <w:t xml:space="preserve"> and Shang-Jin Wei</w:t>
      </w:r>
    </w:p>
    <w:p w:rsidR="00404F4B" w:rsidRPr="001610EC" w:rsidRDefault="00404F4B" w:rsidP="00404F4B">
      <w:pPr>
        <w:autoSpaceDE w:val="0"/>
        <w:autoSpaceDN w:val="0"/>
        <w:adjustRightInd w:val="0"/>
        <w:spacing w:line="240" w:lineRule="atLeast"/>
        <w:jc w:val="center"/>
      </w:pPr>
      <w:r w:rsidRPr="001610EC">
        <w:t xml:space="preserve">Harvard </w:t>
      </w:r>
      <w:smartTag w:uri="urn:schemas-microsoft-com:office:smarttags" w:element="PlaceType">
        <w:r w:rsidRPr="001610EC">
          <w:t>University</w:t>
        </w:r>
      </w:smartTag>
      <w:r w:rsidR="00396E2D" w:rsidRPr="001610EC">
        <w:t xml:space="preserve"> and</w:t>
      </w:r>
      <w:r w:rsidR="00B27A25">
        <w:t xml:space="preserve"> National Bureau of Economic Research</w:t>
      </w:r>
    </w:p>
    <w:p w:rsidR="003633B5" w:rsidRPr="00404F4B" w:rsidRDefault="003633B5" w:rsidP="00332F1A">
      <w:pPr>
        <w:autoSpaceDE w:val="0"/>
        <w:autoSpaceDN w:val="0"/>
        <w:adjustRightInd w:val="0"/>
        <w:spacing w:line="240" w:lineRule="atLeast"/>
        <w:rPr>
          <w:b/>
          <w:color w:val="000000"/>
          <w:sz w:val="26"/>
          <w:szCs w:val="26"/>
        </w:rPr>
      </w:pPr>
    </w:p>
    <w:p w:rsidR="00D86A33" w:rsidRPr="00C52981" w:rsidRDefault="003633B5" w:rsidP="00640360">
      <w:pPr>
        <w:ind w:firstLine="720"/>
        <w:rPr>
          <w:i/>
          <w:sz w:val="20"/>
          <w:szCs w:val="20"/>
        </w:rPr>
      </w:pPr>
      <w:r>
        <w:rPr>
          <w:i/>
          <w:sz w:val="20"/>
          <w:szCs w:val="20"/>
        </w:rPr>
        <w:t xml:space="preserve">This </w:t>
      </w:r>
      <w:r w:rsidR="002549D2" w:rsidRPr="00C52981">
        <w:rPr>
          <w:i/>
          <w:sz w:val="20"/>
          <w:szCs w:val="20"/>
        </w:rPr>
        <w:t xml:space="preserve">paper </w:t>
      </w:r>
      <w:r>
        <w:rPr>
          <w:i/>
          <w:sz w:val="20"/>
          <w:szCs w:val="20"/>
        </w:rPr>
        <w:t xml:space="preserve">was </w:t>
      </w:r>
      <w:r w:rsidR="002549D2" w:rsidRPr="00C52981">
        <w:rPr>
          <w:i/>
          <w:sz w:val="20"/>
          <w:szCs w:val="20"/>
        </w:rPr>
        <w:t xml:space="preserve">prepared for </w:t>
      </w:r>
      <w:r w:rsidR="007067D0">
        <w:rPr>
          <w:i/>
          <w:sz w:val="20"/>
          <w:szCs w:val="20"/>
        </w:rPr>
        <w:t>the 44th</w:t>
      </w:r>
      <w:r w:rsidR="004C5134">
        <w:rPr>
          <w:i/>
          <w:sz w:val="20"/>
          <w:szCs w:val="20"/>
        </w:rPr>
        <w:t xml:space="preserve"> </w:t>
      </w:r>
      <w:r w:rsidR="002549D2" w:rsidRPr="00C52981">
        <w:rPr>
          <w:i/>
          <w:sz w:val="20"/>
          <w:szCs w:val="20"/>
        </w:rPr>
        <w:t xml:space="preserve">Panel Meeting of </w:t>
      </w:r>
      <w:r w:rsidR="002549D2" w:rsidRPr="00C52981">
        <w:rPr>
          <w:sz w:val="20"/>
          <w:szCs w:val="20"/>
        </w:rPr>
        <w:t>Economic Policy</w:t>
      </w:r>
      <w:r w:rsidR="00777055">
        <w:rPr>
          <w:sz w:val="20"/>
          <w:szCs w:val="20"/>
        </w:rPr>
        <w:t xml:space="preserve">, </w:t>
      </w:r>
      <w:smartTag w:uri="urn:schemas-microsoft-com:office:smarttags" w:element="date">
        <w:smartTagPr>
          <w:attr w:name="Month" w:val="2"/>
          <w:attr w:name="Day" w:val="12"/>
          <w:attr w:name="Year" w:val="2007"/>
        </w:smartTagPr>
        <w:r w:rsidR="00777055" w:rsidRPr="00DF4C46">
          <w:rPr>
            <w:i/>
            <w:sz w:val="20"/>
            <w:szCs w:val="20"/>
          </w:rPr>
          <w:t>February 12, 2007</w:t>
        </w:r>
      </w:smartTag>
      <w:r w:rsidR="00DF4C46">
        <w:rPr>
          <w:sz w:val="20"/>
          <w:szCs w:val="20"/>
        </w:rPr>
        <w:t>.</w:t>
      </w:r>
      <w:r w:rsidR="002549D2" w:rsidRPr="00C52981">
        <w:rPr>
          <w:i/>
          <w:sz w:val="20"/>
          <w:szCs w:val="20"/>
        </w:rPr>
        <w:t xml:space="preserve">   </w:t>
      </w:r>
      <w:r w:rsidR="00D86A33" w:rsidRPr="00C52981">
        <w:rPr>
          <w:i/>
          <w:sz w:val="20"/>
          <w:szCs w:val="20"/>
        </w:rPr>
        <w:t>T</w:t>
      </w:r>
      <w:r w:rsidR="002B5799" w:rsidRPr="00C52981">
        <w:rPr>
          <w:i/>
          <w:sz w:val="20"/>
          <w:szCs w:val="20"/>
        </w:rPr>
        <w:t>he author</w:t>
      </w:r>
      <w:r w:rsidR="00396E2D">
        <w:rPr>
          <w:i/>
          <w:sz w:val="20"/>
          <w:szCs w:val="20"/>
        </w:rPr>
        <w:t>s</w:t>
      </w:r>
      <w:r w:rsidR="002B5799" w:rsidRPr="00C52981">
        <w:rPr>
          <w:i/>
          <w:sz w:val="20"/>
          <w:szCs w:val="20"/>
        </w:rPr>
        <w:t xml:space="preserve"> would like to thank </w:t>
      </w:r>
      <w:proofErr w:type="spellStart"/>
      <w:r w:rsidR="00B253EB" w:rsidRPr="00C52981">
        <w:rPr>
          <w:i/>
          <w:sz w:val="20"/>
          <w:szCs w:val="20"/>
        </w:rPr>
        <w:t>Yuanyuan</w:t>
      </w:r>
      <w:proofErr w:type="spellEnd"/>
      <w:r w:rsidR="00B253EB" w:rsidRPr="00C52981">
        <w:rPr>
          <w:i/>
          <w:sz w:val="20"/>
          <w:szCs w:val="20"/>
        </w:rPr>
        <w:t xml:space="preserve"> Chen, </w:t>
      </w:r>
      <w:r w:rsidR="002B5799" w:rsidRPr="00C52981">
        <w:rPr>
          <w:i/>
          <w:sz w:val="20"/>
          <w:szCs w:val="20"/>
        </w:rPr>
        <w:t>Ellis Connolly</w:t>
      </w:r>
      <w:r w:rsidR="004A24BE" w:rsidRPr="00C52981">
        <w:rPr>
          <w:i/>
          <w:sz w:val="20"/>
          <w:szCs w:val="20"/>
        </w:rPr>
        <w:t xml:space="preserve"> and Chang Hong</w:t>
      </w:r>
      <w:r w:rsidR="002B5799" w:rsidRPr="00C52981">
        <w:rPr>
          <w:i/>
          <w:sz w:val="20"/>
          <w:szCs w:val="20"/>
        </w:rPr>
        <w:t xml:space="preserve"> for outstanding research assistance</w:t>
      </w:r>
      <w:proofErr w:type="gramStart"/>
      <w:r w:rsidR="00182D98">
        <w:rPr>
          <w:i/>
          <w:sz w:val="20"/>
          <w:szCs w:val="20"/>
        </w:rPr>
        <w:t xml:space="preserve">; </w:t>
      </w:r>
      <w:r w:rsidR="002B5799" w:rsidRPr="00C52981">
        <w:rPr>
          <w:i/>
          <w:sz w:val="20"/>
          <w:szCs w:val="20"/>
        </w:rPr>
        <w:t xml:space="preserve"> and</w:t>
      </w:r>
      <w:proofErr w:type="gramEnd"/>
      <w:r w:rsidR="002B5799" w:rsidRPr="00C52981">
        <w:rPr>
          <w:i/>
          <w:sz w:val="20"/>
          <w:szCs w:val="20"/>
        </w:rPr>
        <w:t xml:space="preserve"> to thank also for comments</w:t>
      </w:r>
      <w:r w:rsidR="000F4E76" w:rsidRPr="000F4E76">
        <w:rPr>
          <w:rFonts w:eastAsia="Times New Roman"/>
          <w:i/>
          <w:color w:val="000000"/>
          <w:sz w:val="20"/>
          <w:szCs w:val="20"/>
        </w:rPr>
        <w:t xml:space="preserve"> Jahangir Aziz</w:t>
      </w:r>
      <w:r w:rsidR="000F4E76">
        <w:rPr>
          <w:rFonts w:eastAsia="Times New Roman"/>
          <w:i/>
          <w:color w:val="000000"/>
          <w:sz w:val="20"/>
          <w:szCs w:val="20"/>
        </w:rPr>
        <w:t>,</w:t>
      </w:r>
      <w:r w:rsidR="00B82DE9">
        <w:rPr>
          <w:rFonts w:eastAsia="Times New Roman"/>
          <w:i/>
          <w:color w:val="000000"/>
          <w:sz w:val="20"/>
          <w:szCs w:val="20"/>
        </w:rPr>
        <w:t xml:space="preserve"> Morris Goldstein, </w:t>
      </w:r>
      <w:proofErr w:type="spellStart"/>
      <w:r w:rsidR="00204A0F" w:rsidRPr="000F4E76">
        <w:rPr>
          <w:rFonts w:eastAsia="Times New Roman"/>
          <w:i/>
          <w:color w:val="000000"/>
          <w:sz w:val="20"/>
          <w:szCs w:val="20"/>
        </w:rPr>
        <w:t>Jianxiong</w:t>
      </w:r>
      <w:proofErr w:type="spellEnd"/>
      <w:r w:rsidR="00204A0F" w:rsidRPr="000F4E76">
        <w:rPr>
          <w:rFonts w:eastAsia="Times New Roman"/>
          <w:i/>
          <w:color w:val="000000"/>
          <w:sz w:val="20"/>
          <w:szCs w:val="20"/>
        </w:rPr>
        <w:t xml:space="preserve"> He</w:t>
      </w:r>
      <w:r w:rsidR="00204A0F">
        <w:rPr>
          <w:rFonts w:eastAsia="Times New Roman"/>
          <w:i/>
          <w:color w:val="000000"/>
          <w:sz w:val="20"/>
          <w:szCs w:val="20"/>
        </w:rPr>
        <w:t>,</w:t>
      </w:r>
      <w:r w:rsidR="002B5799" w:rsidRPr="00C52981">
        <w:rPr>
          <w:i/>
          <w:sz w:val="20"/>
          <w:szCs w:val="20"/>
        </w:rPr>
        <w:t xml:space="preserve"> Yun Jung Kim,</w:t>
      </w:r>
      <w:r w:rsidR="000F4E76">
        <w:rPr>
          <w:i/>
          <w:sz w:val="20"/>
          <w:szCs w:val="20"/>
        </w:rPr>
        <w:t xml:space="preserve"> ,</w:t>
      </w:r>
      <w:r w:rsidR="002B5799" w:rsidRPr="00C52981">
        <w:rPr>
          <w:i/>
          <w:sz w:val="20"/>
          <w:szCs w:val="20"/>
        </w:rPr>
        <w:t xml:space="preserve"> </w:t>
      </w:r>
      <w:proofErr w:type="spellStart"/>
      <w:r w:rsidR="002B5799" w:rsidRPr="00C52981">
        <w:rPr>
          <w:i/>
          <w:sz w:val="20"/>
          <w:szCs w:val="20"/>
        </w:rPr>
        <w:t>Sunyoung</w:t>
      </w:r>
      <w:proofErr w:type="spellEnd"/>
      <w:r w:rsidR="002B5799" w:rsidRPr="00C52981">
        <w:rPr>
          <w:i/>
          <w:sz w:val="20"/>
          <w:szCs w:val="20"/>
        </w:rPr>
        <w:t xml:space="preserve"> Lee</w:t>
      </w:r>
      <w:r w:rsidR="00182D98" w:rsidRPr="00C52981">
        <w:rPr>
          <w:i/>
          <w:sz w:val="20"/>
          <w:szCs w:val="20"/>
        </w:rPr>
        <w:t>,</w:t>
      </w:r>
      <w:r w:rsidR="00182D98">
        <w:rPr>
          <w:i/>
          <w:sz w:val="20"/>
          <w:szCs w:val="20"/>
        </w:rPr>
        <w:t xml:space="preserve"> Kath</w:t>
      </w:r>
      <w:r w:rsidR="00D83671">
        <w:rPr>
          <w:i/>
          <w:sz w:val="20"/>
          <w:szCs w:val="20"/>
        </w:rPr>
        <w:t>a</w:t>
      </w:r>
      <w:r w:rsidR="00182D98">
        <w:rPr>
          <w:i/>
          <w:sz w:val="20"/>
          <w:szCs w:val="20"/>
        </w:rPr>
        <w:t>rine Moon</w:t>
      </w:r>
      <w:r w:rsidR="000A607A">
        <w:rPr>
          <w:i/>
          <w:sz w:val="20"/>
          <w:szCs w:val="20"/>
        </w:rPr>
        <w:t xml:space="preserve">, </w:t>
      </w:r>
      <w:r w:rsidR="005D551C">
        <w:rPr>
          <w:i/>
          <w:sz w:val="20"/>
          <w:szCs w:val="20"/>
        </w:rPr>
        <w:t>Nouriel Roubini and John Williamson</w:t>
      </w:r>
      <w:r w:rsidR="00B41331">
        <w:rPr>
          <w:i/>
          <w:sz w:val="20"/>
          <w:szCs w:val="20"/>
        </w:rPr>
        <w:t>.</w:t>
      </w:r>
      <w:r w:rsidR="00113BF7">
        <w:rPr>
          <w:i/>
          <w:sz w:val="20"/>
          <w:szCs w:val="20"/>
        </w:rPr>
        <w:t xml:space="preserve">.  Frankel </w:t>
      </w:r>
      <w:proofErr w:type="gramStart"/>
      <w:r w:rsidR="00113BF7">
        <w:rPr>
          <w:i/>
          <w:sz w:val="20"/>
          <w:szCs w:val="20"/>
        </w:rPr>
        <w:t xml:space="preserve">would </w:t>
      </w:r>
      <w:r w:rsidR="00CE4CE2">
        <w:rPr>
          <w:i/>
          <w:sz w:val="20"/>
          <w:szCs w:val="20"/>
        </w:rPr>
        <w:t xml:space="preserve"> also</w:t>
      </w:r>
      <w:proofErr w:type="gramEnd"/>
      <w:r w:rsidR="00CE4CE2">
        <w:rPr>
          <w:i/>
          <w:sz w:val="20"/>
          <w:szCs w:val="20"/>
        </w:rPr>
        <w:t xml:space="preserve"> like to thank the </w:t>
      </w:r>
      <w:proofErr w:type="spellStart"/>
      <w:smartTag w:uri="urn:schemas-microsoft-com:office:smarttags" w:element="place">
        <w:smartTag w:uri="urn:schemas-microsoft-com:office:smarttags" w:element="PlaceName">
          <w:r w:rsidR="00CE4CE2">
            <w:rPr>
              <w:i/>
              <w:sz w:val="20"/>
              <w:szCs w:val="20"/>
            </w:rPr>
            <w:t>Mossavar-Rahmani</w:t>
          </w:r>
        </w:smartTag>
        <w:proofErr w:type="spellEnd"/>
        <w:r w:rsidR="00CE4CE2">
          <w:rPr>
            <w:i/>
            <w:sz w:val="20"/>
            <w:szCs w:val="20"/>
          </w:rPr>
          <w:t xml:space="preserve"> </w:t>
        </w:r>
        <w:smartTag w:uri="urn:schemas-microsoft-com:office:smarttags" w:element="PlaceType">
          <w:r w:rsidR="00CE4CE2">
            <w:rPr>
              <w:i/>
              <w:sz w:val="20"/>
              <w:szCs w:val="20"/>
            </w:rPr>
            <w:t>Center</w:t>
          </w:r>
        </w:smartTag>
      </w:smartTag>
      <w:r w:rsidR="00CE4CE2">
        <w:rPr>
          <w:i/>
          <w:sz w:val="20"/>
          <w:szCs w:val="20"/>
        </w:rPr>
        <w:t xml:space="preserve"> for Business and Government for support and to thank </w:t>
      </w:r>
      <w:r w:rsidR="00396E2D">
        <w:rPr>
          <w:i/>
          <w:sz w:val="20"/>
          <w:szCs w:val="20"/>
        </w:rPr>
        <w:t xml:space="preserve"> </w:t>
      </w:r>
      <w:r w:rsidR="002B5799" w:rsidRPr="00C52981">
        <w:rPr>
          <w:i/>
          <w:sz w:val="20"/>
          <w:szCs w:val="20"/>
        </w:rPr>
        <w:t xml:space="preserve">a number of officials in the </w:t>
      </w:r>
      <w:smartTag w:uri="urn:schemas-microsoft-com:office:smarttags" w:element="City">
        <w:smartTag w:uri="urn:schemas-microsoft-com:office:smarttags" w:element="place">
          <w:r w:rsidR="002B5799" w:rsidRPr="00C52981">
            <w:rPr>
              <w:i/>
              <w:sz w:val="20"/>
              <w:szCs w:val="20"/>
            </w:rPr>
            <w:t>Clinton</w:t>
          </w:r>
        </w:smartTag>
      </w:smartTag>
      <w:r w:rsidR="002B5799" w:rsidRPr="00C52981">
        <w:rPr>
          <w:i/>
          <w:sz w:val="20"/>
          <w:szCs w:val="20"/>
        </w:rPr>
        <w:t xml:space="preserve"> and (current) Bush Treasury </w:t>
      </w:r>
      <w:r w:rsidR="00B253EB" w:rsidRPr="00C52981">
        <w:rPr>
          <w:i/>
          <w:sz w:val="20"/>
          <w:szCs w:val="20"/>
        </w:rPr>
        <w:t>Departments</w:t>
      </w:r>
      <w:r w:rsidR="00113BF7">
        <w:rPr>
          <w:i/>
          <w:sz w:val="20"/>
          <w:szCs w:val="20"/>
        </w:rPr>
        <w:t>,</w:t>
      </w:r>
      <w:r w:rsidR="00B253EB" w:rsidRPr="00C52981">
        <w:rPr>
          <w:i/>
          <w:sz w:val="20"/>
          <w:szCs w:val="20"/>
        </w:rPr>
        <w:t xml:space="preserve"> at all levels</w:t>
      </w:r>
      <w:r w:rsidR="00113BF7">
        <w:rPr>
          <w:i/>
          <w:sz w:val="20"/>
          <w:szCs w:val="20"/>
        </w:rPr>
        <w:t>, for discussion regarding the biannual reports to Congress</w:t>
      </w:r>
      <w:r w:rsidR="00396E2D">
        <w:rPr>
          <w:i/>
          <w:sz w:val="20"/>
          <w:szCs w:val="20"/>
        </w:rPr>
        <w:t>.</w:t>
      </w:r>
      <w:r w:rsidR="00113BF7">
        <w:rPr>
          <w:i/>
          <w:sz w:val="20"/>
          <w:szCs w:val="20"/>
        </w:rPr>
        <w:t xml:space="preserve">   Neither they, nor any institutions with which the authors are associated, bear any responsibility for any views expressed in this paper, which are those of the authors alone.</w:t>
      </w:r>
    </w:p>
    <w:p w:rsidR="00EC0E64" w:rsidRDefault="00EC0E64" w:rsidP="00404F4B"/>
    <w:p w:rsidR="00C348DF" w:rsidRPr="00391731" w:rsidRDefault="00BC349E" w:rsidP="00C348DF">
      <w:pPr>
        <w:jc w:val="center"/>
        <w:rPr>
          <w:b/>
          <w:sz w:val="28"/>
          <w:szCs w:val="28"/>
          <w:u w:val="single"/>
        </w:rPr>
      </w:pPr>
      <w:r>
        <w:rPr>
          <w:b/>
          <w:sz w:val="28"/>
          <w:szCs w:val="28"/>
          <w:u w:val="single"/>
        </w:rPr>
        <w:t>Summary</w:t>
      </w:r>
      <w:bookmarkStart w:id="0" w:name="_GoBack"/>
      <w:bookmarkEnd w:id="0"/>
    </w:p>
    <w:p w:rsidR="00640360" w:rsidRPr="003633B5" w:rsidRDefault="00640360" w:rsidP="00640360"/>
    <w:p w:rsidR="00640360" w:rsidRPr="003633B5" w:rsidRDefault="00967EBC" w:rsidP="00640360">
      <w:pPr>
        <w:ind w:firstLine="720"/>
      </w:pPr>
      <w:r w:rsidRPr="003633B5">
        <w:t xml:space="preserve">The IMF Articles of Agreement forbid a country from manipulating </w:t>
      </w:r>
      <w:r w:rsidR="0037085E" w:rsidRPr="003633B5">
        <w:t>its</w:t>
      </w:r>
      <w:r w:rsidRPr="003633B5">
        <w:t xml:space="preserve"> currenc</w:t>
      </w:r>
      <w:r w:rsidR="0037085E" w:rsidRPr="003633B5">
        <w:t>y</w:t>
      </w:r>
      <w:r w:rsidRPr="003633B5">
        <w:t xml:space="preserve"> for unfair advantage.  </w:t>
      </w:r>
      <w:r w:rsidR="00640360" w:rsidRPr="003633B5">
        <w:t xml:space="preserve">The </w:t>
      </w:r>
      <w:r w:rsidR="00A85D9A">
        <w:t>US</w:t>
      </w:r>
      <w:r w:rsidR="00640360" w:rsidRPr="003633B5">
        <w:t xml:space="preserve"> Treasury has been </w:t>
      </w:r>
      <w:r w:rsidR="00595E20" w:rsidRPr="003633B5">
        <w:t xml:space="preserve">legally </w:t>
      </w:r>
      <w:r w:rsidR="00640360" w:rsidRPr="003633B5">
        <w:t>required since 1988 to report to Congress biannually regarding whether individual trading partners</w:t>
      </w:r>
      <w:r w:rsidRPr="003633B5">
        <w:t xml:space="preserve"> are guilty of manipulation</w:t>
      </w:r>
      <w:r w:rsidR="00595E20" w:rsidRPr="003633B5">
        <w:t xml:space="preserve">.   </w:t>
      </w:r>
      <w:r w:rsidR="00640360" w:rsidRPr="003633B5">
        <w:t>One p</w:t>
      </w:r>
      <w:r w:rsidR="00595E20" w:rsidRPr="003633B5">
        <w:t>art</w:t>
      </w:r>
      <w:r w:rsidR="00640360" w:rsidRPr="003633B5">
        <w:t xml:space="preserve"> of this p</w:t>
      </w:r>
      <w:r w:rsidR="00595E20" w:rsidRPr="003633B5">
        <w:t xml:space="preserve">aper </w:t>
      </w:r>
      <w:r w:rsidR="00640360" w:rsidRPr="003633B5">
        <w:t xml:space="preserve">tests econometrically two competing </w:t>
      </w:r>
      <w:r w:rsidR="00182D98">
        <w:t xml:space="preserve">sets of </w:t>
      </w:r>
      <w:r w:rsidR="00640360" w:rsidRPr="003633B5">
        <w:t>hypothes</w:t>
      </w:r>
      <w:r w:rsidR="00182D98">
        <w:t>ized</w:t>
      </w:r>
      <w:r w:rsidR="00640360" w:rsidRPr="003633B5">
        <w:t xml:space="preserve"> determinants of the Treasury decisions: (1) legitimate economic variables consistent with</w:t>
      </w:r>
      <w:r w:rsidR="00AE6D0E">
        <w:t xml:space="preserve"> the </w:t>
      </w:r>
      <w:r w:rsidR="00EB64B1">
        <w:t xml:space="preserve">IMF </w:t>
      </w:r>
      <w:r w:rsidR="00AE6D0E">
        <w:t xml:space="preserve">definition of manipulation </w:t>
      </w:r>
      <w:r w:rsidR="00640360" w:rsidRPr="003633B5">
        <w:t xml:space="preserve">– the partners’ overall current account/GDP, its reserve changes, and the real overvaluation of its currency, and (2) variables suggestive of domestic American political expediency -- the bilateral trade balance, US unemployment, and an election year dummy.   The econometric results suggest that the Treasury verdicts are driven heavily by the </w:t>
      </w:r>
      <w:smartTag w:uri="urn:schemas-microsoft-com:office:smarttags" w:element="country-region">
        <w:smartTag w:uri="urn:schemas-microsoft-com:office:smarttags" w:element="place">
          <w:r w:rsidR="00640360" w:rsidRPr="003633B5">
            <w:t>US</w:t>
          </w:r>
        </w:smartTag>
      </w:smartTag>
      <w:r w:rsidR="00640360" w:rsidRPr="003633B5">
        <w:t xml:space="preserve"> bilateral deficit, </w:t>
      </w:r>
      <w:r w:rsidR="00182D98" w:rsidRPr="003633B5">
        <w:t>though</w:t>
      </w:r>
      <w:r w:rsidR="00182D98">
        <w:t xml:space="preserve"> other</w:t>
      </w:r>
      <w:r w:rsidR="00640360" w:rsidRPr="003633B5">
        <w:t xml:space="preserve"> variable</w:t>
      </w:r>
      <w:r w:rsidR="00182D98">
        <w:t>s</w:t>
      </w:r>
      <w:r w:rsidR="00640360" w:rsidRPr="003633B5">
        <w:t xml:space="preserve"> also turn out to be </w:t>
      </w:r>
      <w:r w:rsidR="00595E20" w:rsidRPr="003633B5">
        <w:t xml:space="preserve">quite </w:t>
      </w:r>
      <w:r w:rsidR="00640360" w:rsidRPr="003633B5">
        <w:t xml:space="preserve">important.    </w:t>
      </w:r>
    </w:p>
    <w:p w:rsidR="003633B5" w:rsidRPr="007E47A2" w:rsidRDefault="00640360" w:rsidP="000741B2">
      <w:pPr>
        <w:autoSpaceDE w:val="0"/>
        <w:autoSpaceDN w:val="0"/>
        <w:adjustRightInd w:val="0"/>
        <w:ind w:firstLine="720"/>
        <w:rPr>
          <w:rFonts w:cs="Courier New"/>
          <w:lang w:eastAsia="zh-CN"/>
        </w:rPr>
      </w:pPr>
      <w:r w:rsidRPr="003633B5">
        <w:t xml:space="preserve">In 2005 China announced a switch to a new exchange rate regime.  </w:t>
      </w:r>
      <w:r w:rsidR="008B6CFA" w:rsidRPr="003633B5">
        <w:t>The exchange rate would be set with reference to a basket of other currencies</w:t>
      </w:r>
      <w:r w:rsidR="008B6CFA">
        <w:t xml:space="preserve">, </w:t>
      </w:r>
      <w:r w:rsidR="008B6CFA" w:rsidRPr="003633B5">
        <w:t xml:space="preserve">with numerical weights unannounced, allowing a movement of up to+/- .3% within any given day.  </w:t>
      </w:r>
      <w:r w:rsidRPr="003633B5">
        <w:t>Although this step was originally accepted at face value in public policy circles, skepticism is in order.  The second econometric p</w:t>
      </w:r>
      <w:r w:rsidR="00595E20" w:rsidRPr="003633B5">
        <w:t>art of the paper</w:t>
      </w:r>
      <w:r w:rsidRPr="003633B5">
        <w:t xml:space="preserve"> evaluates what exchange rate regime China has actually been following    </w:t>
      </w:r>
      <w:r w:rsidR="00350A94">
        <w:t>We use</w:t>
      </w:r>
      <w:r w:rsidRPr="003633B5">
        <w:t xml:space="preserve"> the technique introduced by Frankel and Wei (1994):   one regresses changes in the value of the local currency, in this case the RMB, against changes in the values of the dollar, euro, yen, and other currencies that may be in the basket.  We find that within 2005, the de facto regime remained a peg to a basket that put virtually all weight on the dollar.   </w:t>
      </w:r>
      <w:r w:rsidR="007E47A2" w:rsidRPr="00990EC5">
        <w:rPr>
          <w:rFonts w:cs="Courier New"/>
          <w:lang w:eastAsia="zh-CN"/>
        </w:rPr>
        <w:t xml:space="preserve">Subsequently there has been a modest </w:t>
      </w:r>
      <w:r w:rsidR="007E47A2" w:rsidRPr="00990EC5">
        <w:rPr>
          <w:rFonts w:cs="Courier New" w:hint="eastAsia"/>
          <w:lang w:eastAsia="zh-CN"/>
        </w:rPr>
        <w:t xml:space="preserve">but steady </w:t>
      </w:r>
      <w:r w:rsidR="007E47A2" w:rsidRPr="00990EC5">
        <w:rPr>
          <w:rFonts w:cs="Courier New"/>
          <w:lang w:eastAsia="zh-CN"/>
        </w:rPr>
        <w:t xml:space="preserve">increase in flexibility with some weight shifted to a few non-dollar currencies - but not those one might expect. In any case, the weight on the dollar </w:t>
      </w:r>
      <w:r w:rsidR="007E47A2">
        <w:rPr>
          <w:rFonts w:cs="Courier New"/>
          <w:lang w:eastAsia="zh-CN"/>
        </w:rPr>
        <w:t xml:space="preserve">was still fairly heavy in 2006.  </w:t>
      </w:r>
      <w:r w:rsidR="007D6779">
        <w:rPr>
          <w:rFonts w:hint="eastAsia"/>
          <w:lang w:eastAsia="zh-CN"/>
        </w:rPr>
        <w:t xml:space="preserve">The paper tests whether the decline in the implicit weight on the dollar is related to the pressure </w:t>
      </w:r>
      <w:proofErr w:type="gramStart"/>
      <w:r w:rsidR="007D6779">
        <w:rPr>
          <w:rFonts w:hint="eastAsia"/>
          <w:lang w:eastAsia="zh-CN"/>
        </w:rPr>
        <w:t>from  US</w:t>
      </w:r>
      <w:proofErr w:type="gramEnd"/>
      <w:r w:rsidR="007D6779">
        <w:rPr>
          <w:rFonts w:hint="eastAsia"/>
          <w:lang w:eastAsia="zh-CN"/>
        </w:rPr>
        <w:t xml:space="preserve"> </w:t>
      </w:r>
      <w:r w:rsidR="000A607A">
        <w:rPr>
          <w:lang w:eastAsia="zh-CN"/>
        </w:rPr>
        <w:t>officials</w:t>
      </w:r>
      <w:r w:rsidR="007D6779">
        <w:rPr>
          <w:rFonts w:hint="eastAsia"/>
          <w:lang w:eastAsia="zh-CN"/>
        </w:rPr>
        <w:t xml:space="preserve">. It </w:t>
      </w:r>
      <w:r w:rsidR="00C52981" w:rsidRPr="003633B5">
        <w:t xml:space="preserve">also considers whether </w:t>
      </w:r>
      <w:r w:rsidR="0037085E" w:rsidRPr="003633B5">
        <w:t xml:space="preserve">the </w:t>
      </w:r>
      <w:r w:rsidRPr="003633B5">
        <w:t>increase in flexibility that we have seen</w:t>
      </w:r>
      <w:r w:rsidR="0037085E" w:rsidRPr="003633B5">
        <w:t>, small though it is,</w:t>
      </w:r>
      <w:r w:rsidRPr="003633B5">
        <w:t xml:space="preserve"> </w:t>
      </w:r>
      <w:r w:rsidR="0037085E" w:rsidRPr="003633B5">
        <w:t xml:space="preserve">has been gradually accelerating, at a rate that </w:t>
      </w:r>
      <w:r w:rsidR="00C52981" w:rsidRPr="003633B5">
        <w:t>would suggest</w:t>
      </w:r>
      <w:r w:rsidR="0037085E" w:rsidRPr="003633B5">
        <w:t xml:space="preserve"> the likelihood of some genuine flexibility in the not-so-distant future</w:t>
      </w:r>
      <w:r w:rsidRPr="003633B5">
        <w:t>.</w:t>
      </w:r>
    </w:p>
    <w:p w:rsidR="00404F4B" w:rsidRPr="001610EC" w:rsidRDefault="003633B5" w:rsidP="001610EC">
      <w:pPr>
        <w:rPr>
          <w:b/>
        </w:rPr>
      </w:pPr>
      <w:r>
        <w:br w:type="page"/>
      </w:r>
      <w:r w:rsidR="00C173E9" w:rsidRPr="001610EC">
        <w:rPr>
          <w:b/>
        </w:rPr>
        <w:lastRenderedPageBreak/>
        <w:t>1</w:t>
      </w:r>
      <w:r w:rsidR="002B5799" w:rsidRPr="001610EC">
        <w:rPr>
          <w:b/>
        </w:rPr>
        <w:t>. I</w:t>
      </w:r>
      <w:r w:rsidR="006612D5" w:rsidRPr="001610EC">
        <w:rPr>
          <w:b/>
        </w:rPr>
        <w:t>NTRODUCTION</w:t>
      </w:r>
    </w:p>
    <w:p w:rsidR="002B5799" w:rsidRDefault="002B5799" w:rsidP="00404F4B"/>
    <w:p w:rsidR="006A6BF0" w:rsidRDefault="006A6BF0" w:rsidP="006A6BF0">
      <w:pPr>
        <w:ind w:firstLine="720"/>
      </w:pPr>
      <w:r>
        <w:t>The issue of the regime governing the Chinese exchange rate</w:t>
      </w:r>
      <w:r w:rsidR="003633B5">
        <w:t xml:space="preserve"> --</w:t>
      </w:r>
      <w:r>
        <w:t xml:space="preserve"> and </w:t>
      </w:r>
      <w:r w:rsidR="003633B5">
        <w:t xml:space="preserve">specifically </w:t>
      </w:r>
      <w:r>
        <w:t>whether the currency is moving away from the de facto peg that for ten years ha</w:t>
      </w:r>
      <w:r w:rsidR="000A607A">
        <w:t>d</w:t>
      </w:r>
      <w:r>
        <w:t xml:space="preserve"> ti</w:t>
      </w:r>
      <w:r w:rsidR="003633B5">
        <w:t xml:space="preserve">ed it </w:t>
      </w:r>
      <w:r w:rsidR="00B87D33">
        <w:t>t</w:t>
      </w:r>
      <w:r w:rsidR="003633B5">
        <w:t>o the US dollar --</w:t>
      </w:r>
      <w:r>
        <w:t xml:space="preserve"> is much more than just another application, to a particular country, of the long-time question of fixed versus floating exchange rates.    It is </w:t>
      </w:r>
      <w:r w:rsidR="007D6779">
        <w:rPr>
          <w:rFonts w:hint="eastAsia"/>
          <w:lang w:eastAsia="zh-CN"/>
        </w:rPr>
        <w:t xml:space="preserve">a </w:t>
      </w:r>
      <w:r>
        <w:t xml:space="preserve">key global monetary issue.  It bears directly on </w:t>
      </w:r>
      <w:smartTag w:uri="urn:schemas-microsoft-com:office:smarttags" w:element="country-region">
        <w:smartTag w:uri="urn:schemas-microsoft-com:office:smarttags" w:element="place">
          <w:r>
            <w:t>China</w:t>
          </w:r>
        </w:smartTag>
      </w:smartTag>
      <w:r>
        <w:t>’s surpluses in the current account and in the overall balance of payments, which are major counterp</w:t>
      </w:r>
      <w:r w:rsidR="003633B5">
        <w:t>arts to US deficits.   T</w:t>
      </w:r>
      <w:r>
        <w:t xml:space="preserve">he question </w:t>
      </w:r>
      <w:r w:rsidR="003633B5">
        <w:t xml:space="preserve">even </w:t>
      </w:r>
      <w:r>
        <w:t xml:space="preserve">bears </w:t>
      </w:r>
      <w:r w:rsidR="003633B5">
        <w:t xml:space="preserve">more broadly </w:t>
      </w:r>
      <w:r>
        <w:t xml:space="preserve">on what may well become one of the key issues of international political economy in the </w:t>
      </w:r>
      <w:r w:rsidR="007D6779">
        <w:rPr>
          <w:rFonts w:hint="eastAsia"/>
          <w:lang w:eastAsia="zh-CN"/>
        </w:rPr>
        <w:t>21st</w:t>
      </w:r>
      <w:r>
        <w:t xml:space="preserve"> century, perhaps the primary such issue:  the rise of China and its likely long-run challenge to the global hegemony of the United States.</w:t>
      </w:r>
    </w:p>
    <w:p w:rsidR="006A6BF0" w:rsidRDefault="006A6BF0" w:rsidP="006A6BF0"/>
    <w:p w:rsidR="006A6BF0" w:rsidRDefault="006A6BF0" w:rsidP="006A6BF0">
      <w:pPr>
        <w:ind w:firstLine="720"/>
      </w:pPr>
      <w:r>
        <w:t>Exchange rate regimes in emerging markets have been a primary concern of international economists and policy-makers since the 1990s cycle of record c</w:t>
      </w:r>
      <w:r w:rsidR="005F090A">
        <w:t>apital flows to these countries</w:t>
      </w:r>
      <w:r>
        <w:t xml:space="preserve"> followed by widespread crises.   Most emerging market countries switched to more flexible exchange rate regimes in that episode.  </w:t>
      </w:r>
      <w:smartTag w:uri="urn:schemas-microsoft-com:office:smarttags" w:element="country-region">
        <w:smartTag w:uri="urn:schemas-microsoft-com:office:smarttags" w:element="place">
          <w:r>
            <w:t>China</w:t>
          </w:r>
        </w:smartTag>
      </w:smartTag>
      <w:r>
        <w:t xml:space="preserve"> is by far the largest developing country to continue to cling to a currency peg</w:t>
      </w:r>
      <w:r w:rsidR="00352EA7">
        <w:rPr>
          <w:rFonts w:hint="eastAsia"/>
          <w:lang w:eastAsia="zh-CN"/>
        </w:rPr>
        <w:t xml:space="preserve"> </w:t>
      </w:r>
      <w:r>
        <w:t>even after the Argentine and Turkish crises of 2001</w:t>
      </w:r>
      <w:r w:rsidR="005F090A">
        <w:t>.  T</w:t>
      </w:r>
      <w:r>
        <w:t xml:space="preserve">hat may have something to do with </w:t>
      </w:r>
      <w:r w:rsidR="000A607A">
        <w:t xml:space="preserve">the fact that </w:t>
      </w:r>
      <w:r>
        <w:t xml:space="preserve">the peg appears to have served </w:t>
      </w:r>
      <w:smartTag w:uri="urn:schemas-microsoft-com:office:smarttags" w:element="country-region">
        <w:smartTag w:uri="urn:schemas-microsoft-com:office:smarttags" w:element="place">
          <w:r>
            <w:t>China</w:t>
          </w:r>
        </w:smartTag>
      </w:smartTag>
      <w:r>
        <w:t xml:space="preserve"> well</w:t>
      </w:r>
      <w:r w:rsidR="000A607A">
        <w:t>.  The</w:t>
      </w:r>
      <w:r>
        <w:t xml:space="preserve"> </w:t>
      </w:r>
      <w:r w:rsidR="005F090A">
        <w:t>country</w:t>
      </w:r>
      <w:r>
        <w:t xml:space="preserve"> was one of the few </w:t>
      </w:r>
      <w:r w:rsidR="005F090A">
        <w:t xml:space="preserve">in </w:t>
      </w:r>
      <w:smartTag w:uri="urn:schemas-microsoft-com:office:smarttags" w:element="place">
        <w:r w:rsidR="005F090A">
          <w:t>Asia</w:t>
        </w:r>
      </w:smartTag>
      <w:r w:rsidR="005F090A">
        <w:t xml:space="preserve"> </w:t>
      </w:r>
      <w:r>
        <w:t xml:space="preserve">not to succumb to the crises of 1997-98. </w:t>
      </w:r>
      <w:r w:rsidR="00182D98">
        <w:t xml:space="preserve"> Indeed, it was </w:t>
      </w:r>
      <w:r w:rsidR="00182D98">
        <w:rPr>
          <w:rFonts w:hint="eastAsia"/>
          <w:lang w:eastAsia="zh-CN"/>
        </w:rPr>
        <w:t xml:space="preserve">praised by </w:t>
      </w:r>
      <w:r w:rsidR="00182D98">
        <w:rPr>
          <w:lang w:eastAsia="zh-CN"/>
        </w:rPr>
        <w:t xml:space="preserve">the </w:t>
      </w:r>
      <w:smartTag w:uri="urn:schemas-microsoft-com:office:smarttags" w:element="country-region">
        <w:smartTag w:uri="urn:schemas-microsoft-com:office:smarttags" w:element="place">
          <w:r w:rsidR="00182D98">
            <w:rPr>
              <w:lang w:eastAsia="zh-CN"/>
            </w:rPr>
            <w:t>United States</w:t>
          </w:r>
        </w:smartTag>
      </w:smartTag>
      <w:r w:rsidR="00182D98">
        <w:rPr>
          <w:lang w:eastAsia="zh-CN"/>
        </w:rPr>
        <w:t xml:space="preserve"> and others at the </w:t>
      </w:r>
      <w:r w:rsidR="00182D98">
        <w:rPr>
          <w:rFonts w:hint="eastAsia"/>
          <w:lang w:eastAsia="zh-CN"/>
        </w:rPr>
        <w:t>time for n</w:t>
      </w:r>
      <w:r w:rsidR="00E91C32">
        <w:rPr>
          <w:rFonts w:hint="eastAsia"/>
          <w:lang w:eastAsia="zh-CN"/>
        </w:rPr>
        <w:t>ot letting its currency devalue</w:t>
      </w:r>
      <w:r w:rsidR="00E91C32">
        <w:rPr>
          <w:lang w:eastAsia="zh-CN"/>
        </w:rPr>
        <w:t>.</w:t>
      </w:r>
      <w:r w:rsidR="00182D98">
        <w:t xml:space="preserve"> </w:t>
      </w:r>
      <w:r>
        <w:t xml:space="preserve"> The Chinese currency, known both as the yuan and the Renminbi (“People’s currency”)</w:t>
      </w:r>
      <w:r w:rsidR="007D6779">
        <w:rPr>
          <w:rFonts w:hint="eastAsia"/>
          <w:lang w:eastAsia="zh-CN"/>
        </w:rPr>
        <w:t>,</w:t>
      </w:r>
      <w:r>
        <w:t xml:space="preserve"> stayed fixed against the dollar into the new phase of </w:t>
      </w:r>
      <w:r w:rsidR="000A607A">
        <w:t xml:space="preserve">global </w:t>
      </w:r>
      <w:r>
        <w:t>capital inflows to emerging markets that began around 2003.</w:t>
      </w:r>
      <w:r w:rsidR="00DC793E">
        <w:t xml:space="preserve">  </w:t>
      </w:r>
    </w:p>
    <w:p w:rsidR="006A6BF0" w:rsidRDefault="006A6BF0" w:rsidP="006A6BF0"/>
    <w:p w:rsidR="006A6BF0" w:rsidRDefault="006A6BF0" w:rsidP="006A6BF0">
      <w:pPr>
        <w:ind w:firstLine="720"/>
      </w:pPr>
      <w:r>
        <w:t xml:space="preserve">It is </w:t>
      </w:r>
      <w:r w:rsidR="005F090A">
        <w:t xml:space="preserve">another </w:t>
      </w:r>
      <w:proofErr w:type="gramStart"/>
      <w:r w:rsidR="005F090A">
        <w:t>angle</w:t>
      </w:r>
      <w:r w:rsidR="00E91C32">
        <w:t>,</w:t>
      </w:r>
      <w:proofErr w:type="gramEnd"/>
      <w:r>
        <w:t xml:space="preserve"> however, that gives global importance to the issue of the yuan-dollar exchange rate.   The attention of policy-makers and researchers in international economics in the current decade has switched to the large and rising deficits that the </w:t>
      </w:r>
      <w:smartTag w:uri="urn:schemas-microsoft-com:office:smarttags" w:element="country-region">
        <w:smartTag w:uri="urn:schemas-microsoft-com:office:smarttags" w:element="place">
          <w:r>
            <w:t>United States</w:t>
          </w:r>
        </w:smartTag>
      </w:smartTag>
      <w:r>
        <w:t xml:space="preserve"> is running in its current account and overall balance of payments.   The emerging markets have by now grown so large that they are major players in the world economy.  </w:t>
      </w:r>
      <w:r w:rsidR="00C2104A">
        <w:t xml:space="preserve">  This is particularly true of </w:t>
      </w:r>
      <w:smartTag w:uri="urn:schemas-microsoft-com:office:smarttags" w:element="country-region">
        <w:smartTag w:uri="urn:schemas-microsoft-com:office:smarttags" w:element="place">
          <w:r w:rsidR="00C2104A">
            <w:t>China</w:t>
          </w:r>
        </w:smartTag>
      </w:smartTag>
      <w:r w:rsidR="00C2104A">
        <w:t xml:space="preserve">, which is on track to surpass </w:t>
      </w:r>
      <w:smartTag w:uri="urn:schemas-microsoft-com:office:smarttags" w:element="country-region">
        <w:smartTag w:uri="urn:schemas-microsoft-com:office:smarttags" w:element="place">
          <w:r w:rsidR="00C2104A">
            <w:t>Germany</w:t>
          </w:r>
        </w:smartTag>
      </w:smartTag>
      <w:r w:rsidR="00C2104A">
        <w:t xml:space="preserve"> around 2008 as the world’s </w:t>
      </w:r>
      <w:r w:rsidR="00400990">
        <w:t>third</w:t>
      </w:r>
      <w:r w:rsidR="00C2104A">
        <w:t xml:space="preserve"> largest economy, even if GDP is evaluated at current exchange rates.    </w:t>
      </w:r>
      <w:smartTag w:uri="urn:schemas-microsoft-com:office:smarttags" w:element="country-region">
        <w:smartTag w:uri="urn:schemas-microsoft-com:office:smarttags" w:element="place">
          <w:r w:rsidR="00C2104A">
            <w:t>China</w:t>
          </w:r>
        </w:smartTag>
      </w:smartTag>
      <w:r w:rsidR="00C2104A">
        <w:t xml:space="preserve">’s importance in net international financial flows is even greater. </w:t>
      </w:r>
      <w:r>
        <w:t xml:space="preserve"> </w:t>
      </w:r>
      <w:r w:rsidR="008B6CFA">
        <w:t xml:space="preserve">The counterparts to those rising </w:t>
      </w:r>
      <w:smartTag w:uri="urn:schemas-microsoft-com:office:smarttags" w:element="country-region">
        <w:smartTag w:uri="urn:schemas-microsoft-com:office:smarttags" w:element="place">
          <w:r w:rsidR="008B6CFA">
            <w:t>US</w:t>
          </w:r>
        </w:smartTag>
      </w:smartTag>
      <w:r w:rsidR="008B6CFA">
        <w:t xml:space="preserve"> external deficits are surpluses among Asian countries</w:t>
      </w:r>
      <w:r w:rsidR="008B6CFA">
        <w:rPr>
          <w:rFonts w:hint="eastAsia"/>
          <w:lang w:eastAsia="zh-CN"/>
        </w:rPr>
        <w:t xml:space="preserve"> and major oil producers</w:t>
      </w:r>
      <w:r w:rsidR="008B6CFA">
        <w:t xml:space="preserve"> – rather than in </w:t>
      </w:r>
      <w:smartTag w:uri="urn:schemas-microsoft-com:office:smarttags" w:element="place">
        <w:r w:rsidR="008B6CFA">
          <w:t>Europe</w:t>
        </w:r>
      </w:smartTag>
      <w:r w:rsidR="008B6CFA">
        <w:t xml:space="preserve">, as in the 1960s.  Of these surplus countries, </w:t>
      </w:r>
      <w:smartTag w:uri="urn:schemas-microsoft-com:office:smarttags" w:element="country-region">
        <w:smartTag w:uri="urn:schemas-microsoft-com:office:smarttags" w:element="place">
          <w:r w:rsidR="008B6CFA">
            <w:t>China</w:t>
          </w:r>
        </w:smartTag>
      </w:smartTag>
      <w:r w:rsidR="00E91C32">
        <w:t xml:space="preserve"> has</w:t>
      </w:r>
      <w:r w:rsidR="008B6CFA">
        <w:t xml:space="preserve"> received by far the most attention.</w:t>
      </w:r>
    </w:p>
    <w:p w:rsidR="006A6BF0" w:rsidRDefault="006A6BF0" w:rsidP="006A6BF0"/>
    <w:p w:rsidR="006A6BF0" w:rsidRDefault="006A6BF0" w:rsidP="006A6BF0">
      <w:pPr>
        <w:ind w:firstLine="720"/>
      </w:pPr>
      <w:r>
        <w:t xml:space="preserve">There is a rapidly growing literature on the positive question of what are the causes of the Chinese surpluses and US deficits, as well as on the normative question of whether </w:t>
      </w:r>
      <w:smartTag w:uri="urn:schemas-microsoft-com:office:smarttags" w:element="country-region">
        <w:smartTag w:uri="urn:schemas-microsoft-com:office:smarttags" w:element="place">
          <w:r>
            <w:t>China</w:t>
          </w:r>
        </w:smartTag>
      </w:smartTag>
      <w:r>
        <w:t xml:space="preserve"> should move to a more flexible exchange rate, either in its own interest, or in the interest of others, or both.    The present paper does not deal with these issues.   For what it is worth, </w:t>
      </w:r>
      <w:r w:rsidR="00396E2D">
        <w:t>we</w:t>
      </w:r>
      <w:r w:rsidR="00EA1AFC">
        <w:t>, like many others,</w:t>
      </w:r>
      <w:r w:rsidR="000C0C89">
        <w:t xml:space="preserve"> come</w:t>
      </w:r>
      <w:r>
        <w:t xml:space="preserve"> down on the side that </w:t>
      </w:r>
      <w:smartTag w:uri="urn:schemas-microsoft-com:office:smarttags" w:element="country-region">
        <w:smartTag w:uri="urn:schemas-microsoft-com:office:smarttags" w:element="place">
          <w:r>
            <w:t>China</w:t>
          </w:r>
        </w:smartTag>
      </w:smartTag>
      <w:r>
        <w:t xml:space="preserve"> should </w:t>
      </w:r>
      <w:r w:rsidR="00E837B4">
        <w:rPr>
          <w:rFonts w:hint="eastAsia"/>
          <w:lang w:eastAsia="zh-CN"/>
        </w:rPr>
        <w:t>increase its exchange rate flexibility</w:t>
      </w:r>
      <w:r>
        <w:t xml:space="preserve"> in its own interest, but that the </w:t>
      </w:r>
      <w:smartTag w:uri="urn:schemas-microsoft-com:office:smarttags" w:element="country-region">
        <w:smartTag w:uri="urn:schemas-microsoft-com:office:smarttags" w:element="place">
          <w:r>
            <w:t>US</w:t>
          </w:r>
        </w:smartTag>
      </w:smartTag>
      <w:r>
        <w:t xml:space="preserve"> deficits </w:t>
      </w:r>
      <w:r w:rsidR="00D45C96">
        <w:t xml:space="preserve">should not be blamed on </w:t>
      </w:r>
      <w:smartTag w:uri="urn:schemas-microsoft-com:office:smarttags" w:element="country-region">
        <w:smartTag w:uri="urn:schemas-microsoft-com:office:smarttags" w:element="place">
          <w:r w:rsidR="00D45C96">
            <w:t>China</w:t>
          </w:r>
        </w:smartTag>
      </w:smartTag>
      <w:r>
        <w:t>.</w:t>
      </w:r>
    </w:p>
    <w:p w:rsidR="006A6BF0" w:rsidRDefault="006A6BF0" w:rsidP="006A6BF0"/>
    <w:p w:rsidR="005F090A" w:rsidRDefault="006A6BF0" w:rsidP="005F090A">
      <w:pPr>
        <w:ind w:firstLine="720"/>
        <w:rPr>
          <w:rFonts w:hint="eastAsia"/>
          <w:lang w:eastAsia="zh-CN"/>
        </w:rPr>
      </w:pPr>
      <w:r>
        <w:t>The present paper deals, instead, with two questions</w:t>
      </w:r>
      <w:r w:rsidR="005F090A">
        <w:t xml:space="preserve"> that</w:t>
      </w:r>
      <w:r>
        <w:t>, while perhaps appearing narrow and technical, lie at the hea</w:t>
      </w:r>
      <w:r w:rsidR="005F090A">
        <w:t>rt of the debate.    First, do</w:t>
      </w:r>
      <w:r>
        <w:t xml:space="preserve"> the bi-annual </w:t>
      </w:r>
      <w:r w:rsidR="00A85D9A">
        <w:t>US</w:t>
      </w:r>
      <w:r>
        <w:t xml:space="preserve"> Treasury report</w:t>
      </w:r>
      <w:r w:rsidR="005F090A">
        <w:t>s</w:t>
      </w:r>
      <w:r>
        <w:t xml:space="preserve"> to Congress base </w:t>
      </w:r>
      <w:r w:rsidR="005F090A">
        <w:t>their</w:t>
      </w:r>
      <w:r>
        <w:t xml:space="preserve"> finding</w:t>
      </w:r>
      <w:r w:rsidR="005F090A">
        <w:t>s</w:t>
      </w:r>
      <w:r>
        <w:t xml:space="preserve"> with regard to whether </w:t>
      </w:r>
      <w:smartTag w:uri="urn:schemas-microsoft-com:office:smarttags" w:element="country-region">
        <w:smartTag w:uri="urn:schemas-microsoft-com:office:smarttags" w:element="place">
          <w:r>
            <w:t>China</w:t>
          </w:r>
        </w:smartTag>
      </w:smartTag>
      <w:r>
        <w:t xml:space="preserve"> and other trading </w:t>
      </w:r>
      <w:r>
        <w:lastRenderedPageBreak/>
        <w:t xml:space="preserve">partners are </w:t>
      </w:r>
      <w:r w:rsidR="0085010B">
        <w:t>“</w:t>
      </w:r>
      <w:r>
        <w:t>manipulating</w:t>
      </w:r>
      <w:r w:rsidR="0085010B">
        <w:t>”</w:t>
      </w:r>
      <w:r>
        <w:t xml:space="preserve"> their currencies on “manipulation” in the sense o</w:t>
      </w:r>
      <w:r w:rsidR="0085010B">
        <w:t>f the IMF Articles of Agreement?   O</w:t>
      </w:r>
      <w:r>
        <w:t>r</w:t>
      </w:r>
      <w:r w:rsidR="005F090A">
        <w:t>, rather,</w:t>
      </w:r>
      <w:r>
        <w:t xml:space="preserve"> on criteria that come </w:t>
      </w:r>
      <w:r w:rsidR="0085010B">
        <w:t>from domestic American politics?</w:t>
      </w:r>
      <w:r>
        <w:t xml:space="preserve">    Second, is the precise exchange rate regime that </w:t>
      </w:r>
      <w:smartTag w:uri="urn:schemas-microsoft-com:office:smarttags" w:element="country-region">
        <w:smartTag w:uri="urn:schemas-microsoft-com:office:smarttags" w:element="place">
          <w:r>
            <w:t>China</w:t>
          </w:r>
        </w:smartTag>
      </w:smartTag>
      <w:r>
        <w:t xml:space="preserve"> </w:t>
      </w:r>
      <w:r w:rsidR="00B56998">
        <w:t xml:space="preserve">has </w:t>
      </w:r>
      <w:r>
        <w:t xml:space="preserve">put into place </w:t>
      </w:r>
      <w:r w:rsidR="00E837B4">
        <w:rPr>
          <w:rFonts w:hint="eastAsia"/>
          <w:lang w:eastAsia="zh-CN"/>
        </w:rPr>
        <w:t>since</w:t>
      </w:r>
      <w:r>
        <w:t xml:space="preserve"> 2005 a genuine departure from the earlier dollar peg</w:t>
      </w:r>
      <w:r w:rsidR="00DC793E">
        <w:t>,</w:t>
      </w:r>
      <w:r>
        <w:t xml:space="preserve"> </w:t>
      </w:r>
      <w:r w:rsidR="0085010B">
        <w:t>in the direction of flexibility?   I</w:t>
      </w:r>
      <w:r>
        <w:t xml:space="preserve">s it a basket peg with the </w:t>
      </w:r>
      <w:r w:rsidR="00CA01F5">
        <w:t xml:space="preserve">genuine </w:t>
      </w:r>
      <w:r>
        <w:t xml:space="preserve">possibility of </w:t>
      </w:r>
      <w:proofErr w:type="spellStart"/>
      <w:r>
        <w:t>cumulatable</w:t>
      </w:r>
      <w:proofErr w:type="spellEnd"/>
      <w:r>
        <w:t xml:space="preserve"> daily appreciations</w:t>
      </w:r>
      <w:r w:rsidR="005F090A">
        <w:t>,</w:t>
      </w:r>
      <w:r>
        <w:t xml:space="preserve"> as was announced</w:t>
      </w:r>
      <w:r w:rsidR="005F090A">
        <w:t xml:space="preserve"> at the time</w:t>
      </w:r>
      <w:r>
        <w:t>?</w:t>
      </w:r>
    </w:p>
    <w:p w:rsidR="006A6BF0" w:rsidRDefault="006A6BF0" w:rsidP="005F090A">
      <w:pPr>
        <w:ind w:firstLine="720"/>
      </w:pPr>
      <w:r>
        <w:t>The</w:t>
      </w:r>
      <w:r w:rsidR="0085010B">
        <w:t xml:space="preserve"> question of </w:t>
      </w:r>
      <w:smartTag w:uri="urn:schemas-microsoft-com:office:smarttags" w:element="country-region">
        <w:smartTag w:uri="urn:schemas-microsoft-com:office:smarttags" w:element="place">
          <w:r w:rsidR="0085010B">
            <w:t>US</w:t>
          </w:r>
        </w:smartTag>
      </w:smartTag>
      <w:r w:rsidR="0085010B">
        <w:t xml:space="preserve"> </w:t>
      </w:r>
      <w:r w:rsidR="005F090A">
        <w:t xml:space="preserve">findings regarding </w:t>
      </w:r>
      <w:r w:rsidR="0085010B">
        <w:t>manipulation and the question of the nature of the current Chinese regime</w:t>
      </w:r>
      <w:r>
        <w:t xml:space="preserve"> are </w:t>
      </w:r>
      <w:r w:rsidR="0085010B">
        <w:t xml:space="preserve">directly </w:t>
      </w:r>
      <w:r>
        <w:t>connected</w:t>
      </w:r>
      <w:r w:rsidR="002F41FF">
        <w:t>.  The connections run</w:t>
      </w:r>
      <w:r>
        <w:t xml:space="preserve"> in both directions.    Going from the first question to the second, the </w:t>
      </w:r>
      <w:smartTag w:uri="urn:schemas-microsoft-com:office:smarttags" w:element="country-region">
        <w:smartTag w:uri="urn:schemas-microsoft-com:office:smarttags" w:element="place">
          <w:r>
            <w:t>US</w:t>
          </w:r>
        </w:smartTag>
      </w:smartTag>
      <w:r>
        <w:t xml:space="preserve"> political pressure has been fairly intense, and </w:t>
      </w:r>
      <w:r w:rsidR="00D8208B">
        <w:t>may have bee</w:t>
      </w:r>
      <w:r>
        <w:t xml:space="preserve">n an important factor behind the 2005 announcement of a change in policy, notwithstanding attempts by </w:t>
      </w:r>
      <w:smartTag w:uri="urn:schemas-microsoft-com:office:smarttags" w:element="country-region">
        <w:smartTag w:uri="urn:schemas-microsoft-com:office:smarttags" w:element="place">
          <w:r>
            <w:t>China</w:t>
          </w:r>
        </w:smartTag>
      </w:smartTag>
      <w:r>
        <w:t xml:space="preserve">’s leaders to avoid the appearance of being swayed by the </w:t>
      </w:r>
      <w:smartTag w:uri="urn:schemas-microsoft-com:office:smarttags" w:element="country-region">
        <w:smartTag w:uri="urn:schemas-microsoft-com:office:smarttags" w:element="place">
          <w:r>
            <w:t>US</w:t>
          </w:r>
        </w:smartTag>
      </w:smartTag>
      <w:r w:rsidR="002F41FF">
        <w:t xml:space="preserve"> push.   </w:t>
      </w:r>
      <w:r>
        <w:t xml:space="preserve">In the paper, we </w:t>
      </w:r>
      <w:r w:rsidR="00465BB3">
        <w:t xml:space="preserve">test if there are </w:t>
      </w:r>
      <w:r>
        <w:t xml:space="preserve">timing connections between </w:t>
      </w:r>
      <w:smartTag w:uri="urn:schemas-microsoft-com:office:smarttags" w:element="country-region">
        <w:smartTag w:uri="urn:schemas-microsoft-com:office:smarttags" w:element="place">
          <w:r>
            <w:t>US</w:t>
          </w:r>
        </w:smartTag>
      </w:smartTag>
      <w:r>
        <w:t xml:space="preserve"> </w:t>
      </w:r>
      <w:r w:rsidR="002F41FF">
        <w:t>political</w:t>
      </w:r>
      <w:r>
        <w:t xml:space="preserve"> rhetoric and Chinese steps toward </w:t>
      </w:r>
      <w:r w:rsidR="002F41FF">
        <w:t>flexibility.</w:t>
      </w:r>
      <w:r>
        <w:t xml:space="preserve">      Going in the opposite direction, if </w:t>
      </w:r>
      <w:smartTag w:uri="urn:schemas-microsoft-com:office:smarttags" w:element="country-region">
        <w:smartTag w:uri="urn:schemas-microsoft-com:office:smarttags" w:element="place">
          <w:r>
            <w:t>China</w:t>
          </w:r>
        </w:smartTag>
      </w:smartTag>
      <w:r>
        <w:t xml:space="preserve"> has not in fact changed its de facto pegging policy</w:t>
      </w:r>
      <w:r w:rsidR="002F41FF">
        <w:t>,</w:t>
      </w:r>
      <w:r>
        <w:t xml:space="preserve"> as it has its official policy, such a finding </w:t>
      </w:r>
      <w:r w:rsidR="002F41FF">
        <w:t>might</w:t>
      </w:r>
      <w:r>
        <w:t xml:space="preserve"> provide ammunition for a renewed </w:t>
      </w:r>
      <w:smartTag w:uri="urn:schemas-microsoft-com:office:smarttags" w:element="country-region">
        <w:smartTag w:uri="urn:schemas-microsoft-com:office:smarttags" w:element="place">
          <w:r>
            <w:t>US</w:t>
          </w:r>
        </w:smartTag>
      </w:smartTag>
      <w:r>
        <w:t xml:space="preserve"> campaign, particularly in the form of threatened Congressional legislation.</w:t>
      </w:r>
      <w:r w:rsidR="00CA01F5">
        <w:t xml:space="preserve">  If, on the other hand, the change in regime was genuine, perhap</w:t>
      </w:r>
      <w:r w:rsidR="00B56998">
        <w:t>s the RMB/dollar problem is being</w:t>
      </w:r>
      <w:r w:rsidR="00CA01F5">
        <w:t xml:space="preserve"> solved, with no need for further outside intervention.</w:t>
      </w:r>
    </w:p>
    <w:p w:rsidR="00B51EA4" w:rsidRDefault="00B51EA4" w:rsidP="00B51EA4"/>
    <w:p w:rsidR="00B51EA4" w:rsidRDefault="00B51EA4" w:rsidP="00555ED4">
      <w:pPr>
        <w:ind w:firstLine="720"/>
      </w:pPr>
      <w:r>
        <w:t xml:space="preserve">The headline empirical findings for each of our two questions might not be surprising to </w:t>
      </w:r>
      <w:r w:rsidR="00555ED4">
        <w:t>some</w:t>
      </w:r>
      <w:r>
        <w:t xml:space="preserve"> knowledgeable experts and insiders.  But in both cases the findings are at odds with what routinely appears in the press, even the highest quality financial press, which often reports at face value both the </w:t>
      </w:r>
      <w:r w:rsidR="00A85D9A">
        <w:t>US</w:t>
      </w:r>
      <w:r>
        <w:t xml:space="preserve"> Treasury findings regarding manipulation and the Chinese government’s announcements regarding moves toward increased exchange rate flexibility.  And in the case of the estimated weights in the new currency basket, even most experts are unable to guess correctly the identities of the non-dollar currencies to which the Chinese authorities </w:t>
      </w:r>
      <w:r w:rsidR="00071BF1">
        <w:t>have begun to shift</w:t>
      </w:r>
      <w:r>
        <w:t>.</w:t>
      </w:r>
    </w:p>
    <w:p w:rsidR="006A6BF0" w:rsidRDefault="006A6BF0" w:rsidP="00404F4B"/>
    <w:p w:rsidR="005625FA" w:rsidRPr="008A1CC3" w:rsidRDefault="00C173E9" w:rsidP="00404F4B">
      <w:pPr>
        <w:rPr>
          <w:b/>
          <w:i/>
        </w:rPr>
      </w:pPr>
      <w:r>
        <w:rPr>
          <w:b/>
          <w:i/>
        </w:rPr>
        <w:t>1</w:t>
      </w:r>
      <w:r w:rsidR="008A1CC3" w:rsidRPr="008A1CC3">
        <w:rPr>
          <w:b/>
          <w:i/>
        </w:rPr>
        <w:t xml:space="preserve">.1 </w:t>
      </w:r>
      <w:r w:rsidR="005625FA" w:rsidRPr="008A1CC3">
        <w:rPr>
          <w:b/>
          <w:i/>
        </w:rPr>
        <w:t xml:space="preserve">The </w:t>
      </w:r>
      <w:smartTag w:uri="urn:schemas-microsoft-com:office:smarttags" w:element="country-region">
        <w:smartTag w:uri="urn:schemas-microsoft-com:office:smarttags" w:element="place">
          <w:r w:rsidR="005625FA" w:rsidRPr="008A1CC3">
            <w:rPr>
              <w:b/>
              <w:i/>
            </w:rPr>
            <w:t>US</w:t>
          </w:r>
        </w:smartTag>
      </w:smartTag>
      <w:r w:rsidR="005625FA" w:rsidRPr="008A1CC3">
        <w:rPr>
          <w:b/>
          <w:i/>
        </w:rPr>
        <w:t xml:space="preserve"> Treasury as a catalyst for RMB speculation</w:t>
      </w:r>
    </w:p>
    <w:p w:rsidR="005625FA" w:rsidRDefault="005625FA" w:rsidP="00404F4B"/>
    <w:p w:rsidR="00C553CB" w:rsidRDefault="00732579" w:rsidP="00404F4B">
      <w:r>
        <w:tab/>
      </w:r>
      <w:r w:rsidR="002553BE">
        <w:rPr>
          <w:rFonts w:hint="eastAsia"/>
          <w:lang w:eastAsia="zh-CN"/>
        </w:rPr>
        <w:t>P</w:t>
      </w:r>
      <w:r w:rsidR="00C2104A">
        <w:t xml:space="preserve">olitical pressure from the US Treasury may have played a role in the origin of </w:t>
      </w:r>
      <w:r>
        <w:t xml:space="preserve">the entire </w:t>
      </w:r>
      <w:r w:rsidR="00C2104A">
        <w:t>economic question</w:t>
      </w:r>
      <w:r>
        <w:t xml:space="preserve"> </w:t>
      </w:r>
      <w:r w:rsidR="00C2104A">
        <w:t>of yuan appreciation</w:t>
      </w:r>
      <w:r>
        <w:t xml:space="preserve">.   Although </w:t>
      </w:r>
      <w:smartTag w:uri="urn:schemas-microsoft-com:office:smarttags" w:element="country-region">
        <w:smartTag w:uri="urn:schemas-microsoft-com:office:smarttags" w:element="place">
          <w:r>
            <w:t>China</w:t>
          </w:r>
        </w:smartTag>
      </w:smartTag>
      <w:r>
        <w:t xml:space="preserve"> had </w:t>
      </w:r>
      <w:r w:rsidR="0070173C">
        <w:t xml:space="preserve">already </w:t>
      </w:r>
      <w:r>
        <w:t xml:space="preserve">been running </w:t>
      </w:r>
      <w:r w:rsidR="002553BE">
        <w:rPr>
          <w:rFonts w:hint="eastAsia"/>
          <w:lang w:eastAsia="zh-CN"/>
        </w:rPr>
        <w:t xml:space="preserve">(small) </w:t>
      </w:r>
      <w:r>
        <w:t>balance of payments surplus</w:t>
      </w:r>
      <w:r w:rsidR="00A120F7">
        <w:t>es</w:t>
      </w:r>
      <w:r>
        <w:t xml:space="preserve"> </w:t>
      </w:r>
      <w:r w:rsidR="0070173C">
        <w:t xml:space="preserve">for several years </w:t>
      </w:r>
      <w:r>
        <w:t xml:space="preserve">before </w:t>
      </w:r>
      <w:r w:rsidR="00A120F7">
        <w:t>September</w:t>
      </w:r>
      <w:r>
        <w:t xml:space="preserve"> 2003</w:t>
      </w:r>
      <w:r w:rsidR="001C2CF1">
        <w:t xml:space="preserve">, there had not been a </w:t>
      </w:r>
      <w:r w:rsidR="00E51369">
        <w:t>tremendous amount</w:t>
      </w:r>
      <w:r w:rsidR="001C2CF1">
        <w:t xml:space="preserve"> of speculation, either in the press or in the markets, regarding the possibility of yuan appreciation.     Figure 1 shows the forward exchange rates </w:t>
      </w:r>
      <w:r w:rsidR="00F251F6">
        <w:t>from the NDF (Non-Deliverable Forwards)</w:t>
      </w:r>
      <w:r w:rsidR="002553BE" w:rsidRPr="002553BE">
        <w:t xml:space="preserve"> </w:t>
      </w:r>
      <w:r w:rsidR="002553BE">
        <w:t>market</w:t>
      </w:r>
      <w:r w:rsidR="00984BAF">
        <w:t>.   The yuan had actually been selling at a s</w:t>
      </w:r>
      <w:r w:rsidR="00E51369">
        <w:t>mall forward discount against the dollar.  Then,</w:t>
      </w:r>
      <w:r w:rsidR="00984BAF">
        <w:t xml:space="preserve"> </w:t>
      </w:r>
      <w:r w:rsidR="00071BF1">
        <w:t xml:space="preserve">in </w:t>
      </w:r>
      <w:r w:rsidR="00984BAF">
        <w:t>October, 2003, it flipped to a forward</w:t>
      </w:r>
      <w:r w:rsidR="001C2CF1">
        <w:t xml:space="preserve"> </w:t>
      </w:r>
      <w:r w:rsidR="00984BAF">
        <w:t>premium.  If we can use words that anthropomorphize th</w:t>
      </w:r>
      <w:r w:rsidR="0046376E">
        <w:t>e market, before October 2003 the NDF market</w:t>
      </w:r>
      <w:r w:rsidR="00984BAF">
        <w:t xml:space="preserve"> expected future depreciation, but after that date it came to expect future </w:t>
      </w:r>
      <w:r w:rsidR="0046376E">
        <w:t>ap</w:t>
      </w:r>
      <w:r w:rsidR="00984BAF">
        <w:t xml:space="preserve">preciation.   </w:t>
      </w:r>
      <w:r w:rsidR="00FB3337">
        <w:t xml:space="preserve">What happened </w:t>
      </w:r>
      <w:r w:rsidR="002553BE">
        <w:rPr>
          <w:rFonts w:hint="eastAsia"/>
          <w:lang w:eastAsia="zh-CN"/>
        </w:rPr>
        <w:t>around that time</w:t>
      </w:r>
      <w:r w:rsidR="0046376E">
        <w:t>?</w:t>
      </w:r>
      <w:r w:rsidR="00FB3337">
        <w:t xml:space="preserve">   In September</w:t>
      </w:r>
      <w:r w:rsidR="002553BE">
        <w:rPr>
          <w:rFonts w:hint="eastAsia"/>
          <w:lang w:eastAsia="zh-CN"/>
        </w:rPr>
        <w:t xml:space="preserve"> 2003</w:t>
      </w:r>
      <w:r w:rsidR="00FB3337">
        <w:t xml:space="preserve">, Treasury Secretary John Snow traveled to </w:t>
      </w:r>
      <w:smartTag w:uri="urn:schemas-microsoft-com:office:smarttags" w:element="country-region">
        <w:smartTag w:uri="urn:schemas-microsoft-com:office:smarttags" w:element="place">
          <w:r w:rsidR="00FB3337">
            <w:t>China</w:t>
          </w:r>
        </w:smartTag>
      </w:smartTag>
      <w:r w:rsidR="00741041">
        <w:t xml:space="preserve"> to mee</w:t>
      </w:r>
      <w:r w:rsidR="0046376E">
        <w:t>t with it</w:t>
      </w:r>
      <w:r w:rsidR="00741041">
        <w:t xml:space="preserve">s leaders.  He was reported to </w:t>
      </w:r>
      <w:r w:rsidR="0046376E">
        <w:t xml:space="preserve">have </w:t>
      </w:r>
      <w:r w:rsidR="008B6CFA">
        <w:t>browbeaten</w:t>
      </w:r>
      <w:r w:rsidR="00741041">
        <w:t xml:space="preserve"> them over the currency issue and to </w:t>
      </w:r>
      <w:r w:rsidR="00714FDB">
        <w:t xml:space="preserve">have </w:t>
      </w:r>
      <w:r w:rsidR="00741041">
        <w:t>extract</w:t>
      </w:r>
      <w:r w:rsidR="00714FDB">
        <w:t>ed</w:t>
      </w:r>
      <w:r w:rsidR="00741041">
        <w:t xml:space="preserve"> a promise eventually </w:t>
      </w:r>
      <w:r w:rsidR="00741041" w:rsidRPr="00741041">
        <w:t>to allow the RMB to trade freely on international markets.</w:t>
      </w:r>
      <w:r w:rsidR="0070173C">
        <w:t xml:space="preserve">   On September 24, he successfully enlisted the support of the G-7 at a meeting in </w:t>
      </w:r>
      <w:smartTag w:uri="urn:schemas-microsoft-com:office:smarttags" w:element="City">
        <w:smartTag w:uri="urn:schemas-microsoft-com:office:smarttags" w:element="place">
          <w:r w:rsidR="0070173C">
            <w:t>Dubai</w:t>
          </w:r>
        </w:smartTag>
      </w:smartTag>
      <w:r w:rsidR="0070173C">
        <w:t xml:space="preserve"> behind a new position for increased exchange rate flexibility, aimed at </w:t>
      </w:r>
      <w:smartTag w:uri="urn:schemas-microsoft-com:office:smarttags" w:element="country-region">
        <w:smartTag w:uri="urn:schemas-microsoft-com:office:smarttags" w:element="place">
          <w:r w:rsidR="0070173C">
            <w:t>China</w:t>
          </w:r>
        </w:smartTag>
      </w:smartTag>
      <w:r w:rsidR="0070173C">
        <w:t>.    On October 1, Undersecretary John Taylor testified before Congress in favor of a more flexible RMB.   On October 30, when the semi-annual</w:t>
      </w:r>
      <w:r w:rsidR="00714FDB">
        <w:t xml:space="preserve"> Treasury</w:t>
      </w:r>
      <w:r w:rsidR="0070173C">
        <w:t xml:space="preserve"> report</w:t>
      </w:r>
      <w:r w:rsidR="00E728D3">
        <w:t xml:space="preserve"> was released to C</w:t>
      </w:r>
      <w:r w:rsidR="0070173C">
        <w:t xml:space="preserve">ongress, </w:t>
      </w:r>
      <w:r w:rsidR="00F143EE">
        <w:t xml:space="preserve">with the finding for the first time in nine years that </w:t>
      </w:r>
      <w:r w:rsidR="0046376E">
        <w:t xml:space="preserve">concerns regarding </w:t>
      </w:r>
      <w:r w:rsidR="00F143EE">
        <w:t>China</w:t>
      </w:r>
      <w:r w:rsidR="0046376E">
        <w:t xml:space="preserve">’s </w:t>
      </w:r>
      <w:r w:rsidR="0046376E">
        <w:lastRenderedPageBreak/>
        <w:t>currency merited bilateral negotiations</w:t>
      </w:r>
      <w:r w:rsidR="00F143EE">
        <w:t xml:space="preserve">, </w:t>
      </w:r>
      <w:r w:rsidR="005625FA">
        <w:t xml:space="preserve">Secretary John Snow’s </w:t>
      </w:r>
      <w:r w:rsidR="0070173C">
        <w:t>accompanying testimony</w:t>
      </w:r>
      <w:r w:rsidR="00E728D3">
        <w:t xml:space="preserve"> repeated “China now has an opportunity to show leadership on the important global issue of exchange rate flexibility."  In short, the timing is right to implicate the US Treasury in the flipped sign </w:t>
      </w:r>
      <w:r w:rsidR="0046376E">
        <w:t>that appears</w:t>
      </w:r>
      <w:r w:rsidR="00E728D3">
        <w:t xml:space="preserve"> in Figure 1.</w:t>
      </w:r>
    </w:p>
    <w:p w:rsidR="00C553CB" w:rsidRDefault="00C553CB" w:rsidP="00404F4B"/>
    <w:p w:rsidR="00C553CB" w:rsidRPr="001610EC" w:rsidRDefault="006039E5" w:rsidP="00404F4B">
      <w:pPr>
        <w:rPr>
          <w:b/>
        </w:rPr>
      </w:pPr>
      <w:r>
        <w:rPr>
          <w:b/>
        </w:rPr>
        <w:t>Figure 1:    Prices of Non Deliverable Forwards (NDFs)</w:t>
      </w:r>
    </w:p>
    <w:p w:rsidR="00C553CB" w:rsidRDefault="00C553CB" w:rsidP="00404F4B"/>
    <w:p w:rsidR="00EE0C1D" w:rsidRDefault="007E34B7" w:rsidP="00404F4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265pt">
            <v:imagedata r:id="rId7" o:title="cdf_sf"/>
          </v:shape>
        </w:pict>
      </w:r>
    </w:p>
    <w:p w:rsidR="00EE0C1D" w:rsidRDefault="00EE0C1D" w:rsidP="00404F4B"/>
    <w:p w:rsidR="00EE0C1D" w:rsidRDefault="00EE0C1D" w:rsidP="00404F4B"/>
    <w:p w:rsidR="00732579" w:rsidRDefault="00984BAF" w:rsidP="00FB3337">
      <w:pPr>
        <w:ind w:firstLine="720"/>
      </w:pPr>
      <w:r>
        <w:t>The forward premium started out small, but widened substantially in 2004.</w:t>
      </w:r>
      <w:r w:rsidR="009C159B">
        <w:t xml:space="preserve">  By July 2005, the one-year forward rate had moved to 8 yuan per dollar </w:t>
      </w:r>
      <w:r w:rsidR="00D617FF">
        <w:t xml:space="preserve">– representing </w:t>
      </w:r>
      <w:r w:rsidR="009C159B">
        <w:t xml:space="preserve">a 3 per cent forecasted revaluation that was </w:t>
      </w:r>
      <w:r w:rsidR="00D617FF">
        <w:t xml:space="preserve">in fact </w:t>
      </w:r>
      <w:r w:rsidR="009C159B">
        <w:t>soon realized.</w:t>
      </w:r>
      <w:r>
        <w:t xml:space="preserve">   The rate of accumulation of reserves by the People’s Bank of China, i.e., the balance of payments surplus</w:t>
      </w:r>
      <w:r w:rsidR="00D617FF">
        <w:t>,</w:t>
      </w:r>
      <w:r>
        <w:t xml:space="preserve"> accelerated thereafter, without a concomitant rise in the trade balance or in foreign direct investment.  </w:t>
      </w:r>
      <w:r w:rsidR="002553BE">
        <w:rPr>
          <w:rFonts w:hint="eastAsia"/>
          <w:lang w:eastAsia="zh-CN"/>
        </w:rPr>
        <w:t>In other words, much of the increase in the B</w:t>
      </w:r>
      <w:r w:rsidR="002553BE">
        <w:rPr>
          <w:lang w:eastAsia="zh-CN"/>
        </w:rPr>
        <w:t xml:space="preserve">OP surpluses is explained by inflows of </w:t>
      </w:r>
      <w:r w:rsidR="002553BE">
        <w:rPr>
          <w:rFonts w:hint="eastAsia"/>
          <w:lang w:eastAsia="zh-CN"/>
        </w:rPr>
        <w:t xml:space="preserve">(unmeasured) </w:t>
      </w:r>
      <w:r w:rsidR="002553BE">
        <w:rPr>
          <w:lang w:eastAsia="zh-CN"/>
        </w:rPr>
        <w:t>portfolio capital</w:t>
      </w:r>
      <w:r w:rsidR="002553BE">
        <w:rPr>
          <w:rFonts w:hint="eastAsia"/>
          <w:lang w:eastAsia="zh-CN"/>
        </w:rPr>
        <w:t xml:space="preserve"> including a dramatic reversal of Chinese capital flight (Prasad and Wei, 2005)</w:t>
      </w:r>
      <w:r w:rsidR="009C159B">
        <w:t>.   The implication of the timing in Figure 1 was that the Treasury campaign may</w:t>
      </w:r>
      <w:r w:rsidR="00E728D3">
        <w:t xml:space="preserve"> have been the catalyst for </w:t>
      </w:r>
      <w:r w:rsidR="009C159B">
        <w:t>speculation</w:t>
      </w:r>
      <w:r w:rsidR="00E728D3">
        <w:t xml:space="preserve"> that underlay these portfolio inflows</w:t>
      </w:r>
      <w:r w:rsidR="00714FDB">
        <w:t xml:space="preserve"> – speculation regarding future appreciation</w:t>
      </w:r>
      <w:r w:rsidR="009C159B">
        <w:t>.</w:t>
      </w:r>
    </w:p>
    <w:p w:rsidR="00B04F0A" w:rsidRDefault="00B04F0A" w:rsidP="00FB3337">
      <w:pPr>
        <w:ind w:firstLine="720"/>
      </w:pPr>
      <w:r>
        <w:t>This is not to say that the Treasury campaign was necessarily the fundamental underlying cause of the speculative capital inflows.   In the first place</w:t>
      </w:r>
      <w:r w:rsidR="00D617FF">
        <w:t xml:space="preserve">, </w:t>
      </w:r>
      <w:r>
        <w:t xml:space="preserve">the opposition </w:t>
      </w:r>
      <w:r w:rsidR="00B56998">
        <w:t xml:space="preserve">political </w:t>
      </w:r>
      <w:r>
        <w:t xml:space="preserve">party, particularly candidates in the </w:t>
      </w:r>
      <w:smartTag w:uri="urn:schemas-microsoft-com:office:smarttags" w:element="country-region">
        <w:smartTag w:uri="urn:schemas-microsoft-com:office:smarttags" w:element="place">
          <w:r w:rsidR="00B56998">
            <w:t>US</w:t>
          </w:r>
        </w:smartTag>
      </w:smartTag>
      <w:r w:rsidR="00B56998">
        <w:t xml:space="preserve"> </w:t>
      </w:r>
      <w:r>
        <w:t>pre</w:t>
      </w:r>
      <w:r w:rsidR="00D617FF">
        <w:t xml:space="preserve">sidential campaign, </w:t>
      </w:r>
      <w:r>
        <w:t>picked up the theme</w:t>
      </w:r>
      <w:r w:rsidR="00D617FF">
        <w:t xml:space="preserve"> of an undervalued yuan in 2004.  It is reasonable to assume</w:t>
      </w:r>
      <w:r>
        <w:t xml:space="preserve"> </w:t>
      </w:r>
      <w:r w:rsidR="00D617FF">
        <w:t xml:space="preserve">they </w:t>
      </w:r>
      <w:r>
        <w:t xml:space="preserve">would have done so even in the absence of Administration initiatives, and that the latter were indeed an attempt to preempt the former.   In the second place, the economic fundamentals, particularly current account surpluses in </w:t>
      </w:r>
      <w:smartTag w:uri="urn:schemas-microsoft-com:office:smarttags" w:element="country-region">
        <w:smartTag w:uri="urn:schemas-microsoft-com:office:smarttags" w:element="place">
          <w:r>
            <w:t>China</w:t>
          </w:r>
        </w:smartTag>
      </w:smartTag>
      <w:r>
        <w:t xml:space="preserve"> and deficits in the </w:t>
      </w:r>
      <w:smartTag w:uri="urn:schemas-microsoft-com:office:smarttags" w:element="country-region">
        <w:smartTag w:uri="urn:schemas-microsoft-com:office:smarttags" w:element="place">
          <w:r>
            <w:t>United States</w:t>
          </w:r>
        </w:smartTag>
      </w:smartTag>
      <w:r>
        <w:t xml:space="preserve">, pointed in the direction of an eventual decline in the yuan/dollar rate and speculators would sooner or later have noticed this.  </w:t>
      </w:r>
      <w:r w:rsidR="00D617FF">
        <w:t xml:space="preserve">Nevertheless </w:t>
      </w:r>
      <w:r>
        <w:t xml:space="preserve">it is interesting to “speculate” that </w:t>
      </w:r>
      <w:r w:rsidR="00B56998">
        <w:t>China’s</w:t>
      </w:r>
      <w:r>
        <w:t xml:space="preserve"> speculative inflows and soaring reserve levels, which became the world’s highest in 2006, might have been substantially more moderate were it not for the US public pressure.</w:t>
      </w:r>
    </w:p>
    <w:p w:rsidR="00C0353C" w:rsidRDefault="00C0353C" w:rsidP="00404F4B"/>
    <w:p w:rsidR="006A6BF0" w:rsidRPr="008A1CC3" w:rsidRDefault="00C173E9" w:rsidP="00404F4B">
      <w:pPr>
        <w:rPr>
          <w:b/>
          <w:i/>
        </w:rPr>
      </w:pPr>
      <w:r>
        <w:rPr>
          <w:b/>
          <w:i/>
        </w:rPr>
        <w:t>1</w:t>
      </w:r>
      <w:r w:rsidR="008A1CC3" w:rsidRPr="008A1CC3">
        <w:rPr>
          <w:b/>
          <w:i/>
        </w:rPr>
        <w:t xml:space="preserve">.2 </w:t>
      </w:r>
      <w:r w:rsidR="006A6BF0" w:rsidRPr="008A1CC3">
        <w:rPr>
          <w:b/>
          <w:i/>
        </w:rPr>
        <w:t>Origins of the language of manipulation</w:t>
      </w:r>
    </w:p>
    <w:p w:rsidR="00BC5E09" w:rsidRPr="004C6D9E" w:rsidRDefault="00BC5E09" w:rsidP="00404F4B">
      <w:r>
        <w:tab/>
      </w:r>
    </w:p>
    <w:p w:rsidR="00D617FF" w:rsidRDefault="00BC5E09" w:rsidP="002B569F">
      <w:pPr>
        <w:tabs>
          <w:tab w:val="left" w:pos="7560"/>
        </w:tabs>
      </w:pPr>
      <w:r>
        <w:t xml:space="preserve">               </w:t>
      </w:r>
      <w:proofErr w:type="gramStart"/>
      <w:r w:rsidR="00EA02F3">
        <w:t>Article IV of the IMF Articles of Agreement deals with Obligations Concerning Exchange Arrangements</w:t>
      </w:r>
      <w:r w:rsidR="00E91C32">
        <w:t>.</w:t>
      </w:r>
      <w:proofErr w:type="gramEnd"/>
      <w:r w:rsidR="00E91C32">
        <w:t xml:space="preserve">     </w:t>
      </w:r>
      <w:r w:rsidR="0053377A">
        <w:t>After</w:t>
      </w:r>
      <w:r w:rsidR="00E91C32">
        <w:t xml:space="preserve"> the Members of the Fund ratified the move to floating exchange rates</w:t>
      </w:r>
      <w:r>
        <w:t xml:space="preserve"> in the Jamaica Communique</w:t>
      </w:r>
      <w:r w:rsidR="0053377A">
        <w:t xml:space="preserve"> of January 1976, </w:t>
      </w:r>
      <w:r w:rsidR="00E91C32">
        <w:t>they agreed a framework for mutual surveillance under what is called the “1977 Decision</w:t>
      </w:r>
      <w:r w:rsidR="00A113CE">
        <w:t xml:space="preserve"> on Surveillance over Exchange Rate Policies</w:t>
      </w:r>
      <w:r w:rsidR="00E91C32">
        <w:t xml:space="preserve">,” and they </w:t>
      </w:r>
      <w:r w:rsidR="00CC1A8C">
        <w:t xml:space="preserve">amended </w:t>
      </w:r>
      <w:r w:rsidR="00E91C32">
        <w:t xml:space="preserve">Article IV </w:t>
      </w:r>
      <w:r w:rsidR="00CC1A8C">
        <w:t>in 1978</w:t>
      </w:r>
      <w:r w:rsidR="00E91C32">
        <w:t xml:space="preserve">.    </w:t>
      </w:r>
      <w:r w:rsidR="00A113CE">
        <w:t xml:space="preserve">Principle </w:t>
      </w:r>
      <w:r w:rsidR="0053377A">
        <w:t>(</w:t>
      </w:r>
      <w:r w:rsidR="00A113CE">
        <w:t>A</w:t>
      </w:r>
      <w:r w:rsidR="0053377A">
        <w:t>)</w:t>
      </w:r>
      <w:r w:rsidR="00A113CE">
        <w:t xml:space="preserve"> of the 1977 Decision and </w:t>
      </w:r>
      <w:r w:rsidR="00E91C32">
        <w:t>Clause 3 of Section 1</w:t>
      </w:r>
      <w:r w:rsidR="00CC1A8C">
        <w:t xml:space="preserve"> </w:t>
      </w:r>
      <w:r w:rsidR="00E91C32">
        <w:t xml:space="preserve">of Article IV </w:t>
      </w:r>
      <w:r w:rsidR="00A113CE">
        <w:t xml:space="preserve">both </w:t>
      </w:r>
      <w:r w:rsidR="00EA02F3">
        <w:t xml:space="preserve">require that each member shall </w:t>
      </w:r>
      <w:r w:rsidR="00EA02F3" w:rsidRPr="00EA02F3">
        <w:t>“avoid manipulating exchange rates or the international monetary system in order to prevent effective balance of payments adjustment or to gain an unfair competiti</w:t>
      </w:r>
      <w:r w:rsidR="00EA02F3">
        <w:t>ve advantage over other members</w:t>
      </w:r>
      <w:r w:rsidR="002B569F">
        <w:t>.</w:t>
      </w:r>
      <w:r w:rsidR="002B569F" w:rsidRPr="00EA02F3">
        <w:t>”</w:t>
      </w:r>
      <w:r w:rsidR="002B569F">
        <w:t xml:space="preserve"> </w:t>
      </w:r>
      <w:r w:rsidR="00D617FF">
        <w:t xml:space="preserve">   We should realize that these were themselves politically-negotiated documents.</w:t>
      </w:r>
      <w:r w:rsidR="00D617FF">
        <w:rPr>
          <w:rStyle w:val="FootnoteReference"/>
        </w:rPr>
        <w:footnoteReference w:id="1"/>
      </w:r>
    </w:p>
    <w:p w:rsidR="00640360" w:rsidRDefault="00D617FF" w:rsidP="002B569F">
      <w:pPr>
        <w:tabs>
          <w:tab w:val="left" w:pos="7560"/>
        </w:tabs>
      </w:pPr>
      <w:r>
        <w:t xml:space="preserve">               </w:t>
      </w:r>
      <w:r w:rsidR="00E54CFA">
        <w:t>In theory, the obligation is meant to fall on countries seeking to keep the values of their currencies down so as to preserve a balance of payments surplus</w:t>
      </w:r>
      <w:r w:rsidR="00714FDB">
        <w:t>,</w:t>
      </w:r>
      <w:r w:rsidR="00E54CFA">
        <w:t xml:space="preserve"> as much as to those seeking to keep the values of their currencies up thereby preserving a balance of payments deficit.</w:t>
      </w:r>
      <w:r w:rsidR="00E54CFA">
        <w:rPr>
          <w:rStyle w:val="FootnoteReference"/>
        </w:rPr>
        <w:footnoteReference w:id="2"/>
      </w:r>
      <w:r w:rsidR="00E54CFA">
        <w:t xml:space="preserve">   </w:t>
      </w:r>
      <w:r w:rsidR="00EA02F3">
        <w:t>In practice, however, the economic and political pressure on a surplus country to allow the value of its currency to adjust upward has always been far less than the pressure on a deficit country to allow the value of its currency to adjust downward.</w:t>
      </w:r>
      <w:r w:rsidR="00967EBC">
        <w:t xml:space="preserve">  Many countries have been pushed into devaluing or floating downward.    </w:t>
      </w:r>
      <w:r w:rsidR="00B33196">
        <w:t>But since the end of the Bretton Woods system there have been</w:t>
      </w:r>
      <w:r w:rsidR="00967EBC">
        <w:t xml:space="preserve"> few cases – and no important ones – of countries hav</w:t>
      </w:r>
      <w:r w:rsidR="0033201D">
        <w:t>ing</w:t>
      </w:r>
      <w:r w:rsidR="00967EBC">
        <w:t xml:space="preserve"> been </w:t>
      </w:r>
      <w:r w:rsidR="0033201D">
        <w:t xml:space="preserve">successfully </w:t>
      </w:r>
      <w:r w:rsidR="00967EBC">
        <w:t>pushed into revaluing or floating upward.</w:t>
      </w:r>
      <w:r w:rsidR="0033201D">
        <w:t xml:space="preserve">    </w:t>
      </w:r>
    </w:p>
    <w:p w:rsidR="00B66122" w:rsidRPr="00EA02F3" w:rsidRDefault="00B66122" w:rsidP="002B569F">
      <w:pPr>
        <w:tabs>
          <w:tab w:val="left" w:pos="7560"/>
        </w:tabs>
      </w:pPr>
    </w:p>
    <w:p w:rsidR="00404F4B" w:rsidRDefault="00404F4B" w:rsidP="00640360">
      <w:pPr>
        <w:ind w:firstLine="720"/>
      </w:pPr>
      <w:r w:rsidRPr="004C6D9E">
        <w:t xml:space="preserve">The once-obscure question of Chinese exchange rate policy is today one of the hottest topics in the world of international monetary policy issues.   The United States has </w:t>
      </w:r>
      <w:r w:rsidR="00640360">
        <w:t>since 2003</w:t>
      </w:r>
      <w:r w:rsidRPr="004C6D9E">
        <w:t xml:space="preserve"> been pressuring China to abandon its peg to the dollar and allow the renminbi (RMB) to appreciate, and </w:t>
      </w:r>
      <w:r w:rsidR="0002573A">
        <w:rPr>
          <w:rFonts w:hint="eastAsia"/>
          <w:lang w:eastAsia="zh-CN"/>
        </w:rPr>
        <w:t xml:space="preserve">some </w:t>
      </w:r>
      <w:r w:rsidRPr="004C6D9E">
        <w:t>ha</w:t>
      </w:r>
      <w:r w:rsidR="0002573A">
        <w:rPr>
          <w:rFonts w:hint="eastAsia"/>
          <w:lang w:eastAsia="zh-CN"/>
        </w:rPr>
        <w:t>ve</w:t>
      </w:r>
      <w:r w:rsidRPr="004C6D9E">
        <w:t xml:space="preserve"> claimed that China’s refusal to do so c</w:t>
      </w:r>
      <w:r w:rsidR="00313B42">
        <w:t>onstitutes unfair manipulation</w:t>
      </w:r>
      <w:r w:rsidRPr="004C6D9E">
        <w:t xml:space="preserve"> of the currency for competitive advantage.   The motivation evidently stems from concerns over the </w:t>
      </w:r>
      <w:smartTag w:uri="urn:schemas-microsoft-com:office:smarttags" w:element="country-region">
        <w:smartTag w:uri="urn:schemas-microsoft-com:office:smarttags" w:element="place">
          <w:r w:rsidRPr="004C6D9E">
            <w:t>US</w:t>
          </w:r>
        </w:smartTag>
      </w:smartTag>
      <w:r w:rsidRPr="004C6D9E">
        <w:t xml:space="preserve"> trade deficit, where </w:t>
      </w:r>
      <w:smartTag w:uri="urn:schemas-microsoft-com:office:smarttags" w:element="country-region">
        <w:smartTag w:uri="urn:schemas-microsoft-com:office:smarttags" w:element="place">
          <w:r w:rsidRPr="004C6D9E">
            <w:t>China</w:t>
          </w:r>
        </w:smartTag>
      </w:smartTag>
      <w:r w:rsidRPr="004C6D9E">
        <w:t xml:space="preserve"> is following closely in the path of scapegoat that was earlier tread by </w:t>
      </w:r>
      <w:smartTag w:uri="urn:schemas-microsoft-com:office:smarttags" w:element="country-region">
        <w:smartTag w:uri="urn:schemas-microsoft-com:office:smarttags" w:element="place">
          <w:r w:rsidRPr="004C6D9E">
            <w:t>Japan</w:t>
          </w:r>
        </w:smartTag>
      </w:smartTag>
      <w:r w:rsidRPr="004C6D9E">
        <w:t xml:space="preserve"> and </w:t>
      </w:r>
      <w:smartTag w:uri="urn:schemas-microsoft-com:office:smarttags" w:element="country-region">
        <w:smartTag w:uri="urn:schemas-microsoft-com:office:smarttags" w:element="place">
          <w:r w:rsidRPr="004C6D9E">
            <w:t>Korea</w:t>
          </w:r>
        </w:smartTag>
      </w:smartTag>
      <w:r w:rsidRPr="004C6D9E">
        <w:t xml:space="preserve">.    American firms that have trouble competing against </w:t>
      </w:r>
      <w:smartTag w:uri="urn:schemas-microsoft-com:office:smarttags" w:element="country-region">
        <w:smartTag w:uri="urn:schemas-microsoft-com:office:smarttags" w:element="place">
          <w:r w:rsidRPr="004C6D9E">
            <w:t>China</w:t>
          </w:r>
        </w:smartTag>
      </w:smartTag>
      <w:r w:rsidRPr="004C6D9E">
        <w:t xml:space="preserve"> are of course a source of political pressure.  The Chinese have </w:t>
      </w:r>
      <w:r w:rsidR="00640360">
        <w:t>largely</w:t>
      </w:r>
      <w:r w:rsidR="008B367D">
        <w:t xml:space="preserve"> </w:t>
      </w:r>
      <w:r w:rsidRPr="004C6D9E">
        <w:t xml:space="preserve">resisted the pressure to appreciate, even though many economists think </w:t>
      </w:r>
      <w:r w:rsidR="00B71CAF">
        <w:t>an abandonment of the peg</w:t>
      </w:r>
      <w:r w:rsidRPr="004C6D9E">
        <w:t xml:space="preserve"> may be in their own interest.</w:t>
      </w:r>
      <w:r w:rsidRPr="004C6D9E">
        <w:rPr>
          <w:rStyle w:val="FootnoteReference"/>
        </w:rPr>
        <w:footnoteReference w:id="3"/>
      </w:r>
      <w:r w:rsidR="003B5636">
        <w:t xml:space="preserve">  </w:t>
      </w:r>
    </w:p>
    <w:p w:rsidR="002B569F" w:rsidRDefault="00DD3C48" w:rsidP="00841E42">
      <w:pPr>
        <w:ind w:firstLine="720"/>
      </w:pPr>
      <w:r>
        <w:t xml:space="preserve">The meaning of the word “manipulation” is open to dispute, since it plays no role in economic theory.  </w:t>
      </w:r>
      <w:r w:rsidR="00841E42">
        <w:t xml:space="preserve">  The 1977 Decision refers to the intent behind the actions of the authorities.  Some claim that a country that has in the past made the decision to fix its exchange rate cannot now be accused of manipulation.   No deliberate action has been taken.  Etymologically, the root of the word is the Latin for “hand,” which suggests active steps rather than a passive acceptance of developments.    In this view, if a country opts to peg, it cannot be accused of manipulation.  This is so even when future developments leave the currency “undervalued,”  w</w:t>
      </w:r>
      <w:r w:rsidR="00B71CAF">
        <w:t xml:space="preserve">hether </w:t>
      </w:r>
      <w:r>
        <w:t>because</w:t>
      </w:r>
      <w:r w:rsidR="00841E42">
        <w:t xml:space="preserve"> such</w:t>
      </w:r>
      <w:r w:rsidR="00B71CAF">
        <w:t xml:space="preserve"> </w:t>
      </w:r>
      <w:r>
        <w:t xml:space="preserve">factors as the Balassa-Samuelson effect or low inflation have rendered a once-appropriate exchange rate level no longer appropriate, or because the anchor currency, in this case the dollar, has in the meantime depreciated against other relevant currencies.  </w:t>
      </w:r>
      <w:r w:rsidR="00714FDB">
        <w:t>A fixed exchange rate is a legitimate choice for any country</w:t>
      </w:r>
      <w:r w:rsidR="002B569F">
        <w:t xml:space="preserve"> under Article IV.</w:t>
      </w:r>
      <w:r>
        <w:t xml:space="preserve"> It is pointed out that small</w:t>
      </w:r>
      <w:r w:rsidR="00DC5197">
        <w:t>er</w:t>
      </w:r>
      <w:r>
        <w:t xml:space="preserve"> countries with long-time </w:t>
      </w:r>
      <w:r w:rsidR="00DC5197">
        <w:t xml:space="preserve">fixed exchange </w:t>
      </w:r>
      <w:proofErr w:type="gramStart"/>
      <w:r w:rsidR="00DC5197">
        <w:t>rates,</w:t>
      </w:r>
      <w:proofErr w:type="gramEnd"/>
      <w:r w:rsidR="00DC5197">
        <w:t xml:space="preserve"> say </w:t>
      </w:r>
      <w:r w:rsidR="009D3871">
        <w:t xml:space="preserve">the </w:t>
      </w:r>
      <w:smartTag w:uri="urn:schemas-microsoft-com:office:smarttags" w:element="country-region">
        <w:smartTag w:uri="urn:schemas-microsoft-com:office:smarttags" w:element="place">
          <w:r w:rsidR="00D059DA">
            <w:t>Cote d’Ivoire</w:t>
          </w:r>
        </w:smartTag>
      </w:smartTag>
      <w:r w:rsidR="00DC5197">
        <w:t xml:space="preserve">, would never be accused of manipulation. </w:t>
      </w:r>
    </w:p>
    <w:p w:rsidR="00DD3C48" w:rsidRPr="004C6D9E" w:rsidRDefault="00DC5197" w:rsidP="00640360">
      <w:pPr>
        <w:ind w:firstLine="720"/>
      </w:pPr>
      <w:r>
        <w:t xml:space="preserve">Some, on the other side, claim that </w:t>
      </w:r>
      <w:r w:rsidR="009D3871">
        <w:t>China’s</w:t>
      </w:r>
      <w:r>
        <w:t xml:space="preserve"> decision to cling to a peg when the currency could as easily be allowed to appreciate is a deliberate choice with the intent to gain competitive advantage on world markets</w:t>
      </w:r>
      <w:r w:rsidR="00714FDB">
        <w:t>, and that it frustrat</w:t>
      </w:r>
      <w:r w:rsidR="009D3871">
        <w:t>es</w:t>
      </w:r>
      <w:r w:rsidR="00714FDB">
        <w:t xml:space="preserve"> balance of payments adjustment, with adverse effects on the rest of the world</w:t>
      </w:r>
      <w:r w:rsidR="00B04F0A">
        <w:t xml:space="preserve"> (e.g., Goldstein, 2003, 2004</w:t>
      </w:r>
      <w:r w:rsidR="00AE6A80">
        <w:t>, 2007</w:t>
      </w:r>
      <w:r w:rsidR="00B04F0A">
        <w:t xml:space="preserve">; and Goldstein and Lardy, 2003, 2005).     </w:t>
      </w:r>
      <w:r w:rsidR="00A113CE">
        <w:t xml:space="preserve">They point out that </w:t>
      </w:r>
      <w:r w:rsidR="00EE0C1D">
        <w:t xml:space="preserve">“protracted large-scale intervention in one direction in the exchange market” is one of the criteria the 1977 Decision specifies </w:t>
      </w:r>
      <w:r w:rsidR="00A113CE">
        <w:t>the Fund shall consider “as among those which might indicate the need for discussion</w:t>
      </w:r>
      <w:r w:rsidR="002B569F">
        <w:t>”</w:t>
      </w:r>
      <w:r w:rsidR="00A113CE">
        <w:t xml:space="preserve"> with a member </w:t>
      </w:r>
      <w:r w:rsidR="002B569F">
        <w:t>over its exchange rate policy</w:t>
      </w:r>
      <w:r w:rsidR="00A113CE">
        <w:t xml:space="preserve">.   </w:t>
      </w:r>
    </w:p>
    <w:p w:rsidR="00857C42" w:rsidRDefault="006F017C" w:rsidP="001610EC">
      <w:pPr>
        <w:ind w:firstLine="720"/>
      </w:pPr>
      <w:r>
        <w:t>Although t</w:t>
      </w:r>
      <w:r w:rsidR="00404F4B" w:rsidRPr="004C6D9E">
        <w:t xml:space="preserve">he </w:t>
      </w:r>
      <w:r w:rsidR="00A85D9A">
        <w:t>US</w:t>
      </w:r>
      <w:r w:rsidR="00404F4B" w:rsidRPr="004C6D9E">
        <w:t xml:space="preserve"> Treasury </w:t>
      </w:r>
      <w:r w:rsidR="008B367D">
        <w:t xml:space="preserve">must report to Congress biannually </w:t>
      </w:r>
      <w:r w:rsidR="00404F4B" w:rsidRPr="004C6D9E">
        <w:t xml:space="preserve">regarding whether individual trading partners </w:t>
      </w:r>
      <w:r w:rsidR="008B367D">
        <w:t>a</w:t>
      </w:r>
      <w:r w:rsidR="00404F4B" w:rsidRPr="004C6D9E">
        <w:t>re manipulating curre</w:t>
      </w:r>
      <w:r w:rsidR="008B367D">
        <w:t>ncies for unfair advantage</w:t>
      </w:r>
      <w:r>
        <w:t>, it</w:t>
      </w:r>
      <w:r w:rsidR="00B66122">
        <w:t xml:space="preserve"> has resisted Congressional pressure </w:t>
      </w:r>
      <w:r w:rsidR="00857C42" w:rsidRPr="004C6D9E">
        <w:t xml:space="preserve">to name </w:t>
      </w:r>
      <w:smartTag w:uri="urn:schemas-microsoft-com:office:smarttags" w:element="country-region">
        <w:smartTag w:uri="urn:schemas-microsoft-com:office:smarttags" w:element="place">
          <w:r w:rsidR="00857C42" w:rsidRPr="004C6D9E">
            <w:t>China</w:t>
          </w:r>
        </w:smartTag>
      </w:smartTag>
      <w:r w:rsidR="00857C42" w:rsidRPr="004C6D9E">
        <w:t xml:space="preserve"> as an outr</w:t>
      </w:r>
      <w:r w:rsidR="00857C42">
        <w:t>ight currency manipulator</w:t>
      </w:r>
      <w:r w:rsidR="00857C42" w:rsidRPr="004C6D9E">
        <w:t xml:space="preserve">.       </w:t>
      </w:r>
      <w:r w:rsidR="00857C42">
        <w:t xml:space="preserve">Part 2 of this paper </w:t>
      </w:r>
      <w:r w:rsidR="00857C42" w:rsidRPr="004C6D9E">
        <w:t>test</w:t>
      </w:r>
      <w:r w:rsidR="00857C42">
        <w:t>s</w:t>
      </w:r>
      <w:r w:rsidR="00857C42" w:rsidRPr="004C6D9E">
        <w:t xml:space="preserve"> econometrically two competing hypotheses</w:t>
      </w:r>
      <w:r w:rsidR="00857C42">
        <w:t xml:space="preserve"> regarding the determinants of the Treasury decisions.   The first hypothesis is that the determinants are</w:t>
      </w:r>
      <w:r w:rsidR="00857C42" w:rsidRPr="004C6D9E">
        <w:t xml:space="preserve"> legitimate economic variables</w:t>
      </w:r>
      <w:r w:rsidR="00857C42">
        <w:t xml:space="preserve">.   The second hypothesis is that the determinants are </w:t>
      </w:r>
      <w:r w:rsidR="00857C42" w:rsidRPr="004C6D9E">
        <w:t xml:space="preserve">variables suggestive of domestic American political expediency.  </w:t>
      </w:r>
      <w:r w:rsidR="00857C42">
        <w:t xml:space="preserve"> The econometric results suggest th</w:t>
      </w:r>
      <w:r w:rsidR="00857C42" w:rsidRPr="004C6D9E">
        <w:t xml:space="preserve">at the Treasury verdicts are driven </w:t>
      </w:r>
      <w:r w:rsidR="00857C42">
        <w:t>heavi</w:t>
      </w:r>
      <w:r w:rsidR="00857C42" w:rsidRPr="004C6D9E">
        <w:t xml:space="preserve">ly by the </w:t>
      </w:r>
      <w:smartTag w:uri="urn:schemas-microsoft-com:office:smarttags" w:element="country-region">
        <w:smartTag w:uri="urn:schemas-microsoft-com:office:smarttags" w:element="place">
          <w:r w:rsidR="00857C42" w:rsidRPr="004C6D9E">
            <w:t>US</w:t>
          </w:r>
        </w:smartTag>
      </w:smartTag>
      <w:r w:rsidR="00857C42" w:rsidRPr="004C6D9E">
        <w:t xml:space="preserve"> bilateral deficit with the country in question</w:t>
      </w:r>
      <w:r w:rsidR="00857C42">
        <w:t xml:space="preserve">, though some of the other legitimate variables also turn out to be quite important.   Partly as a result, </w:t>
      </w:r>
      <w:smartTag w:uri="urn:schemas-microsoft-com:office:smarttags" w:element="country-region">
        <w:smartTag w:uri="urn:schemas-microsoft-com:office:smarttags" w:element="place">
          <w:r w:rsidR="00857C42">
            <w:t>China</w:t>
          </w:r>
        </w:smartTag>
      </w:smartTag>
      <w:r w:rsidR="00857C42">
        <w:t xml:space="preserve"> runs a relatively high danger of being named a manipulator.   </w:t>
      </w:r>
    </w:p>
    <w:p w:rsidR="00857C42" w:rsidRDefault="00857C42" w:rsidP="00857C42">
      <w:pPr>
        <w:ind w:firstLine="720"/>
      </w:pPr>
      <w:r>
        <w:t>An interesting question</w:t>
      </w:r>
      <w:r w:rsidRPr="004C6D9E">
        <w:t xml:space="preserve"> in international law arise</w:t>
      </w:r>
      <w:r>
        <w:t xml:space="preserve">s.   </w:t>
      </w:r>
      <w:r w:rsidRPr="004C6D9E">
        <w:t>O</w:t>
      </w:r>
      <w:r>
        <w:t xml:space="preserve">n the one hand, </w:t>
      </w:r>
      <w:r w:rsidRPr="004C6D9E">
        <w:t xml:space="preserve">the US Congress did </w:t>
      </w:r>
      <w:r>
        <w:t xml:space="preserve">legally </w:t>
      </w:r>
      <w:r w:rsidRPr="004C6D9E">
        <w:t xml:space="preserve">mandate that the bilateral balance should be an important consideration.    On the other hand, </w:t>
      </w:r>
      <w:r>
        <w:t>the bilateral balance does not appear as a criterion in</w:t>
      </w:r>
      <w:r w:rsidR="00BD7CDB">
        <w:t xml:space="preserve"> the 1977 Decision or</w:t>
      </w:r>
      <w:r w:rsidRPr="004C6D9E">
        <w:t xml:space="preserve"> Article</w:t>
      </w:r>
      <w:r>
        <w:t xml:space="preserve"> IV</w:t>
      </w:r>
      <w:r w:rsidRPr="004C6D9E">
        <w:t xml:space="preserve"> of the International Monetary Fund, the original source of the “manipulation” language</w:t>
      </w:r>
      <w:r>
        <w:t>.</w:t>
      </w:r>
      <w:r w:rsidRPr="004C6D9E">
        <w:t xml:space="preserve"> </w:t>
      </w:r>
      <w:r>
        <w:t xml:space="preserve">The Fund, rather, </w:t>
      </w:r>
      <w:r w:rsidRPr="004C6D9E">
        <w:t xml:space="preserve">emphasizes </w:t>
      </w:r>
      <w:r>
        <w:t xml:space="preserve">instead </w:t>
      </w:r>
      <w:r w:rsidRPr="004C6D9E">
        <w:t xml:space="preserve">the </w:t>
      </w:r>
      <w:r>
        <w:t>factors</w:t>
      </w:r>
      <w:r w:rsidRPr="004C6D9E">
        <w:t xml:space="preserve"> described as “legitimate economic</w:t>
      </w:r>
      <w:r>
        <w:t xml:space="preserve"> variables</w:t>
      </w:r>
      <w:r w:rsidRPr="004C6D9E">
        <w:t>” unde</w:t>
      </w:r>
      <w:r>
        <w:t xml:space="preserve">r (1) above.   We shall return at the end to the potential importance of manipulation definitions that diverge between the </w:t>
      </w:r>
      <w:smartTag w:uri="urn:schemas-microsoft-com:office:smarttags" w:element="country-region">
        <w:smartTag w:uri="urn:schemas-microsoft-com:office:smarttags" w:element="place">
          <w:r>
            <w:t>United States</w:t>
          </w:r>
        </w:smartTag>
      </w:smartTag>
      <w:r>
        <w:t xml:space="preserve"> and the Fund.</w:t>
      </w:r>
    </w:p>
    <w:p w:rsidR="00857C42" w:rsidRDefault="00857C42" w:rsidP="00857C42"/>
    <w:p w:rsidR="00857C42" w:rsidRPr="008A1CC3" w:rsidRDefault="00857C42" w:rsidP="00857C42">
      <w:pPr>
        <w:rPr>
          <w:b/>
          <w:i/>
        </w:rPr>
      </w:pPr>
      <w:r>
        <w:rPr>
          <w:b/>
          <w:i/>
        </w:rPr>
        <w:t>1</w:t>
      </w:r>
      <w:r w:rsidRPr="008A1CC3">
        <w:rPr>
          <w:b/>
          <w:i/>
        </w:rPr>
        <w:t>.</w:t>
      </w:r>
      <w:r>
        <w:rPr>
          <w:b/>
          <w:i/>
        </w:rPr>
        <w:t>2</w:t>
      </w:r>
      <w:r w:rsidRPr="008A1CC3">
        <w:rPr>
          <w:b/>
          <w:i/>
        </w:rPr>
        <w:t xml:space="preserve"> The new regime</w:t>
      </w:r>
    </w:p>
    <w:p w:rsidR="00857C42" w:rsidRPr="004C6D9E" w:rsidRDefault="00857C42" w:rsidP="00857C42"/>
    <w:p w:rsidR="00B66122" w:rsidRDefault="00857C42" w:rsidP="001610EC">
      <w:pPr>
        <w:ind w:firstLine="720"/>
      </w:pPr>
      <w:smartTag w:uri="urn:schemas-microsoft-com:office:smarttags" w:element="country-region">
        <w:smartTag w:uri="urn:schemas-microsoft-com:office:smarttags" w:element="place">
          <w:r w:rsidRPr="004C6D9E">
            <w:t>China</w:t>
          </w:r>
        </w:smartTag>
      </w:smartTag>
      <w:r w:rsidRPr="004C6D9E">
        <w:t xml:space="preserve"> announced </w:t>
      </w:r>
      <w:r>
        <w:t>the</w:t>
      </w:r>
      <w:r w:rsidRPr="004C6D9E">
        <w:t xml:space="preserve"> switch to a new exchange rate regime</w:t>
      </w:r>
      <w:r>
        <w:t xml:space="preserve"> in July 2005</w:t>
      </w:r>
      <w:r w:rsidRPr="004C6D9E">
        <w:t xml:space="preserve">.  The exchange rate – after a minor initial </w:t>
      </w:r>
      <w:r w:rsidR="00AB0144">
        <w:t>revalu</w:t>
      </w:r>
      <w:r w:rsidRPr="004C6D9E">
        <w:t>ation of 2</w:t>
      </w:r>
      <w:r>
        <w:t>.1</w:t>
      </w:r>
      <w:r w:rsidRPr="004C6D9E">
        <w:t>%  -- would be set with re</w:t>
      </w:r>
      <w:r>
        <w:t>ference</w:t>
      </w:r>
      <w:r w:rsidRPr="004C6D9E">
        <w:t xml:space="preserve"> to </w:t>
      </w:r>
      <w:r>
        <w:t xml:space="preserve">a </w:t>
      </w:r>
      <w:r w:rsidRPr="004C6D9E">
        <w:t>basket of other currencies (with numerical weights unannounced), allowing a movem</w:t>
      </w:r>
      <w:r>
        <w:t>ent of up to  +/- .3% in bilateral exchange rates</w:t>
      </w:r>
      <w:r w:rsidRPr="004C6D9E">
        <w:t xml:space="preserve"> within any given day.</w:t>
      </w:r>
      <w:r>
        <w:t xml:space="preserve">  In theory this daily band could cumulate at the maximum to a strong trend of 6.4% per month, which would require both that movement among the major currencies is low and that the Chinese authorities make maximum use of the 0.3% band.  In practice, the cumulative trend has been only a small fraction of this</w:t>
      </w:r>
      <w:r w:rsidR="00CD3EAB">
        <w:t>.</w:t>
      </w:r>
      <w:r w:rsidR="00223D15">
        <w:rPr>
          <w:rStyle w:val="FootnoteReference"/>
        </w:rPr>
        <w:footnoteReference w:id="4"/>
      </w:r>
      <w:r w:rsidR="00CD3EAB">
        <w:t xml:space="preserve">   The trend has been dwarfed by movements in the dollar against the euro, yen, and other currencies, as Figure 2 shows.</w:t>
      </w:r>
    </w:p>
    <w:p w:rsidR="00C64065" w:rsidRDefault="00C64065" w:rsidP="00C64065"/>
    <w:p w:rsidR="00C64065" w:rsidRDefault="00C64065" w:rsidP="00C64065">
      <w:pPr>
        <w:rPr>
          <w:b/>
        </w:rPr>
      </w:pPr>
      <w:r>
        <w:rPr>
          <w:b/>
        </w:rPr>
        <w:t>Figure 2: Value of the Yuan in terms of other major currencies: Whole Sample</w:t>
      </w:r>
    </w:p>
    <w:p w:rsidR="00C64065" w:rsidRDefault="00C64065" w:rsidP="00C64065">
      <w:pPr>
        <w:rPr>
          <w:b/>
        </w:rPr>
      </w:pPr>
      <w:r>
        <w:pict>
          <v:shape id="_x0000_i1026" type="#_x0000_t75" style="width:450pt;height:180pt">
            <v:imagedata r:id="rId8" o:title="cdf_rescale"/>
          </v:shape>
        </w:pict>
      </w:r>
    </w:p>
    <w:p w:rsidR="00C64065" w:rsidRPr="009D4859" w:rsidRDefault="00C64065" w:rsidP="00C64065">
      <w:pPr>
        <w:rPr>
          <w:b/>
          <w:sz w:val="16"/>
          <w:szCs w:val="16"/>
        </w:rPr>
      </w:pPr>
    </w:p>
    <w:p w:rsidR="00CD3EAB" w:rsidRDefault="00CD3EAB" w:rsidP="00FF75C4"/>
    <w:p w:rsidR="00EE0C1D" w:rsidRDefault="00EE0C1D" w:rsidP="00FF75C4"/>
    <w:p w:rsidR="00404F4B" w:rsidRPr="004C6D9E" w:rsidRDefault="00404F4B" w:rsidP="00CD3EAB">
      <w:pPr>
        <w:ind w:firstLine="720"/>
      </w:pPr>
      <w:r w:rsidRPr="004C6D9E">
        <w:t>Although th</w:t>
      </w:r>
      <w:r w:rsidR="00CD3EAB">
        <w:t>e announced change in official policy</w:t>
      </w:r>
      <w:r w:rsidRPr="004C6D9E">
        <w:t xml:space="preserve"> was originally </w:t>
      </w:r>
      <w:r w:rsidR="000C7BDD">
        <w:t>taken</w:t>
      </w:r>
      <w:r w:rsidRPr="004C6D9E">
        <w:t xml:space="preserve"> at face value in public policy circles, it </w:t>
      </w:r>
      <w:r w:rsidR="00343D59">
        <w:t>is</w:t>
      </w:r>
      <w:r w:rsidRPr="004C6D9E">
        <w:t xml:space="preserve"> clear that, at least for the remainder of 20</w:t>
      </w:r>
      <w:r w:rsidR="00343D59">
        <w:t>05, the currency remained closely linked to the dollar</w:t>
      </w:r>
      <w:r w:rsidRPr="004C6D9E">
        <w:t xml:space="preserve">.   More recently, the RMB </w:t>
      </w:r>
      <w:r w:rsidR="000C7BDD">
        <w:t xml:space="preserve">has indeed started </w:t>
      </w:r>
      <w:r w:rsidRPr="004C6D9E">
        <w:t xml:space="preserve">to give some weight to some other currencies </w:t>
      </w:r>
      <w:r w:rsidR="00343D59">
        <w:t xml:space="preserve">with the result that </w:t>
      </w:r>
      <w:r w:rsidR="000C7BDD">
        <w:t>the cumulating trend</w:t>
      </w:r>
      <w:r w:rsidR="00343D59">
        <w:t xml:space="preserve"> against the dollar has gradually accelerated</w:t>
      </w:r>
      <w:r w:rsidR="000C7BDD">
        <w:t>,</w:t>
      </w:r>
      <w:r w:rsidRPr="004C6D9E">
        <w:t xml:space="preserve"> but the process is very slow.   </w:t>
      </w:r>
      <w:r w:rsidRPr="004C6D9E">
        <w:tab/>
      </w:r>
    </w:p>
    <w:p w:rsidR="00404F4B" w:rsidRPr="004C6D9E" w:rsidRDefault="00404F4B" w:rsidP="00404F4B">
      <w:pPr>
        <w:ind w:firstLine="720"/>
      </w:pPr>
    </w:p>
    <w:p w:rsidR="00767F64" w:rsidRDefault="00404F4B" w:rsidP="00767F64">
      <w:pPr>
        <w:ind w:firstLine="720"/>
      </w:pPr>
      <w:r w:rsidRPr="004C6D9E">
        <w:t>The second econ</w:t>
      </w:r>
      <w:r w:rsidR="00343D59">
        <w:t>ometric task</w:t>
      </w:r>
      <w:r w:rsidRPr="004C6D9E">
        <w:t xml:space="preserve"> of th</w:t>
      </w:r>
      <w:r w:rsidR="00C553FC">
        <w:t>is</w:t>
      </w:r>
      <w:r w:rsidRPr="004C6D9E">
        <w:t xml:space="preserve"> p</w:t>
      </w:r>
      <w:r w:rsidR="00343D59">
        <w:t>aper</w:t>
      </w:r>
      <w:r w:rsidRPr="004C6D9E">
        <w:t xml:space="preserve"> </w:t>
      </w:r>
      <w:r w:rsidR="00343D59">
        <w:t>is to analyze</w:t>
      </w:r>
      <w:r w:rsidRPr="004C6D9E">
        <w:t xml:space="preserve"> </w:t>
      </w:r>
      <w:r w:rsidR="00343D59">
        <w:t xml:space="preserve">precisely </w:t>
      </w:r>
      <w:r w:rsidRPr="004C6D9E">
        <w:t xml:space="preserve">what exchange rate regime </w:t>
      </w:r>
      <w:smartTag w:uri="urn:schemas-microsoft-com:office:smarttags" w:element="country-region">
        <w:smartTag w:uri="urn:schemas-microsoft-com:office:smarttags" w:element="place">
          <w:r w:rsidRPr="004C6D9E">
            <w:t>China</w:t>
          </w:r>
        </w:smartTag>
      </w:smartTag>
      <w:r w:rsidRPr="004C6D9E">
        <w:t xml:space="preserve"> </w:t>
      </w:r>
      <w:r w:rsidR="00D06BEF">
        <w:t xml:space="preserve">put in place after </w:t>
      </w:r>
      <w:r w:rsidR="003B5636">
        <w:t xml:space="preserve">July 2005.   </w:t>
      </w:r>
      <w:r w:rsidR="008B367D">
        <w:t xml:space="preserve">We take account of the likelihood that </w:t>
      </w:r>
      <w:r w:rsidRPr="004C6D9E">
        <w:t xml:space="preserve">the regime </w:t>
      </w:r>
      <w:r w:rsidR="008B367D">
        <w:t>has</w:t>
      </w:r>
      <w:r w:rsidR="00784EE0">
        <w:t xml:space="preserve"> evolved even over the</w:t>
      </w:r>
      <w:r w:rsidRPr="004C6D9E">
        <w:t xml:space="preserve"> short span of time</w:t>
      </w:r>
      <w:r w:rsidR="00784EE0">
        <w:t xml:space="preserve"> since then</w:t>
      </w:r>
      <w:r w:rsidRPr="004C6D9E">
        <w:t xml:space="preserve">.  Fortunately, abundant exchange rate data are available daily, or even intra-daily, </w:t>
      </w:r>
      <w:r w:rsidR="00343D59">
        <w:t>which</w:t>
      </w:r>
      <w:r w:rsidRPr="004C6D9E">
        <w:t xml:space="preserve"> make</w:t>
      </w:r>
      <w:r w:rsidR="00343D59">
        <w:t>s</w:t>
      </w:r>
      <w:r w:rsidRPr="004C6D9E">
        <w:t xml:space="preserve"> it possible to answer the question.  The basic </w:t>
      </w:r>
      <w:r w:rsidR="00BF5F90">
        <w:t xml:space="preserve">approach uses the </w:t>
      </w:r>
      <w:r w:rsidRPr="004C6D9E">
        <w:t xml:space="preserve">technique </w:t>
      </w:r>
      <w:r w:rsidR="00BF5F90">
        <w:t>introduced</w:t>
      </w:r>
      <w:r w:rsidRPr="004C6D9E">
        <w:t xml:space="preserve"> by Frankel and Wei (1994):   one regresses changes in the value of the local currency, in this case the RMB, against changes in the values of the dollar, euro, yen, and other currencies that </w:t>
      </w:r>
      <w:r w:rsidR="000C7BDD">
        <w:t>are candidate constituents of</w:t>
      </w:r>
      <w:r w:rsidRPr="004C6D9E">
        <w:t xml:space="preserve"> the basket.   If </w:t>
      </w:r>
      <w:smartTag w:uri="urn:schemas-microsoft-com:office:smarttags" w:element="country-region">
        <w:smartTag w:uri="urn:schemas-microsoft-com:office:smarttags" w:element="place">
          <w:r w:rsidRPr="004C6D9E">
            <w:t>China</w:t>
          </w:r>
        </w:smartTag>
      </w:smartTag>
      <w:r w:rsidRPr="004C6D9E">
        <w:t xml:space="preserve"> is following a perfect basket peg, it should be easy to recover prec</w:t>
      </w:r>
      <w:r w:rsidR="00784EE0">
        <w:t>ise estimates of the weights</w:t>
      </w:r>
      <w:r w:rsidR="007F597E">
        <w:t>.  Th</w:t>
      </w:r>
      <w:r w:rsidRPr="004C6D9E">
        <w:t xml:space="preserve">e fit </w:t>
      </w:r>
      <w:r w:rsidR="00784EE0">
        <w:t>should be perfect</w:t>
      </w:r>
      <w:r w:rsidR="003711E2">
        <w:t>, an extreme rarity in econometrics</w:t>
      </w:r>
      <w:r w:rsidR="00714195">
        <w:t xml:space="preserve">:  </w:t>
      </w:r>
      <w:r w:rsidR="00784EE0">
        <w:t xml:space="preserve">the standard error of the regression should be zero, and </w:t>
      </w:r>
      <w:r w:rsidRPr="004C6D9E">
        <w:t>R</w:t>
      </w:r>
      <w:r w:rsidRPr="004C6D9E">
        <w:rPr>
          <w:vertAlign w:val="superscript"/>
        </w:rPr>
        <w:t>2</w:t>
      </w:r>
      <w:r w:rsidR="00784EE0">
        <w:rPr>
          <w:vertAlign w:val="superscript"/>
        </w:rPr>
        <w:t xml:space="preserve"> </w:t>
      </w:r>
      <w:r w:rsidR="00784EE0">
        <w:t>=</w:t>
      </w:r>
      <w:r w:rsidRPr="004C6D9E">
        <w:t xml:space="preserve"> 100%.   Far more likely, the basket peg is not perfect, but one can still expect to estimate the weights with fairly tight standard errors.   The real question</w:t>
      </w:r>
      <w:r w:rsidR="0002573A">
        <w:rPr>
          <w:rFonts w:hint="eastAsia"/>
          <w:lang w:eastAsia="zh-CN"/>
        </w:rPr>
        <w:t>s</w:t>
      </w:r>
      <w:r w:rsidRPr="004C6D9E">
        <w:t xml:space="preserve"> </w:t>
      </w:r>
      <w:r w:rsidR="0002573A">
        <w:rPr>
          <w:rFonts w:hint="eastAsia"/>
          <w:lang w:eastAsia="zh-CN"/>
        </w:rPr>
        <w:t xml:space="preserve">are </w:t>
      </w:r>
      <w:r w:rsidRPr="004C6D9E">
        <w:t xml:space="preserve">how wide </w:t>
      </w:r>
      <w:r w:rsidR="008B6CFA" w:rsidRPr="004C6D9E">
        <w:t>the band is</w:t>
      </w:r>
      <w:r w:rsidRPr="004C6D9E">
        <w:t xml:space="preserve">, how great is the estimated weight on non-dollar currencies, and how strong is the trend term.    </w:t>
      </w:r>
    </w:p>
    <w:p w:rsidR="00317756" w:rsidRDefault="00317756" w:rsidP="001610EC">
      <w:pPr>
        <w:rPr>
          <w:rFonts w:hint="eastAsia"/>
          <w:lang w:eastAsia="zh-CN"/>
        </w:rPr>
      </w:pPr>
    </w:p>
    <w:p w:rsidR="008B367D" w:rsidRPr="002B5799" w:rsidRDefault="008B367D" w:rsidP="00F96ACF">
      <w:pPr>
        <w:ind w:firstLine="720"/>
        <w:jc w:val="right"/>
        <w:rPr>
          <w:sz w:val="14"/>
          <w:szCs w:val="14"/>
        </w:rPr>
      </w:pPr>
    </w:p>
    <w:p w:rsidR="008B367D" w:rsidRPr="001610EC" w:rsidRDefault="00C173E9" w:rsidP="001610EC">
      <w:pPr>
        <w:rPr>
          <w:b/>
        </w:rPr>
      </w:pPr>
      <w:r w:rsidRPr="001610EC">
        <w:rPr>
          <w:b/>
        </w:rPr>
        <w:t>2</w:t>
      </w:r>
      <w:r w:rsidR="002B5799" w:rsidRPr="001610EC">
        <w:rPr>
          <w:b/>
        </w:rPr>
        <w:t>.</w:t>
      </w:r>
      <w:r w:rsidR="00404F4B" w:rsidRPr="001610EC">
        <w:rPr>
          <w:b/>
        </w:rPr>
        <w:t xml:space="preserve"> </w:t>
      </w:r>
      <w:r w:rsidR="006612D5" w:rsidRPr="001610EC">
        <w:rPr>
          <w:b/>
          <w:lang w:eastAsia="zh-CN"/>
        </w:rPr>
        <w:t xml:space="preserve">DOES THE </w:t>
      </w:r>
      <w:smartTag w:uri="urn:schemas-microsoft-com:office:smarttags" w:element="country-region">
        <w:smartTag w:uri="urn:schemas-microsoft-com:office:smarttags" w:element="place">
          <w:r w:rsidR="006612D5" w:rsidRPr="001610EC">
            <w:rPr>
              <w:b/>
              <w:lang w:eastAsia="zh-CN"/>
            </w:rPr>
            <w:t>US</w:t>
          </w:r>
        </w:smartTag>
      </w:smartTag>
      <w:r w:rsidR="006612D5" w:rsidRPr="001610EC">
        <w:rPr>
          <w:b/>
          <w:lang w:eastAsia="zh-CN"/>
        </w:rPr>
        <w:t xml:space="preserve"> TREASURY BASE DETERMINATION OF MANIPULATION ON VALID ECONOMICS OR POLITICAL EXPEDIENCY</w:t>
      </w:r>
      <w:r w:rsidR="00CD22AF" w:rsidRPr="001610EC">
        <w:rPr>
          <w:b/>
        </w:rPr>
        <w:t>?</w:t>
      </w:r>
    </w:p>
    <w:p w:rsidR="005C77DA" w:rsidRPr="007D1964" w:rsidRDefault="005C77DA" w:rsidP="0086647D">
      <w:pPr>
        <w:ind w:firstLine="720"/>
        <w:jc w:val="center"/>
        <w:rPr>
          <w:sz w:val="26"/>
          <w:szCs w:val="26"/>
        </w:rPr>
      </w:pPr>
    </w:p>
    <w:p w:rsidR="002174BB" w:rsidRPr="002B5799" w:rsidRDefault="00B07C68" w:rsidP="00404F4B">
      <w:pPr>
        <w:ind w:firstLine="720"/>
      </w:pPr>
      <w:r w:rsidRPr="002B5799">
        <w:t>Since they were fi</w:t>
      </w:r>
      <w:r w:rsidR="009D7EB9">
        <w:t xml:space="preserve">rst mandated </w:t>
      </w:r>
      <w:r w:rsidRPr="002B5799">
        <w:t>in 1988, t</w:t>
      </w:r>
      <w:r w:rsidR="003B628A" w:rsidRPr="002B5799">
        <w:t>here have been 3</w:t>
      </w:r>
      <w:r w:rsidR="00714195">
        <w:t>3</w:t>
      </w:r>
      <w:r w:rsidR="002174BB" w:rsidRPr="002B5799">
        <w:t xml:space="preserve"> biannual reports from the </w:t>
      </w:r>
      <w:r w:rsidR="00A85D9A">
        <w:t>US</w:t>
      </w:r>
      <w:r w:rsidR="002174BB" w:rsidRPr="002B5799">
        <w:t xml:space="preserve"> Treasury regarding whether </w:t>
      </w:r>
      <w:r w:rsidR="005C77DA" w:rsidRPr="002B5799">
        <w:t xml:space="preserve">individual </w:t>
      </w:r>
      <w:r w:rsidR="002174BB" w:rsidRPr="002B5799">
        <w:t xml:space="preserve">trading partners </w:t>
      </w:r>
      <w:r w:rsidR="005C77DA" w:rsidRPr="002B5799">
        <w:t xml:space="preserve">– particularly those in Asia -- </w:t>
      </w:r>
      <w:r w:rsidR="002174BB" w:rsidRPr="002B5799">
        <w:t xml:space="preserve">were manipulating </w:t>
      </w:r>
      <w:r w:rsidR="00784EE0">
        <w:t>currencies for unfair advantage</w:t>
      </w:r>
      <w:r w:rsidR="002174BB" w:rsidRPr="002B5799">
        <w:t>.</w:t>
      </w:r>
      <w:r w:rsidR="005C77DA" w:rsidRPr="002B5799">
        <w:t xml:space="preserve">   In recent y</w:t>
      </w:r>
      <w:r w:rsidR="001C55EC">
        <w:t xml:space="preserve">ears, parallel to calls </w:t>
      </w:r>
      <w:r w:rsidR="005C77DA" w:rsidRPr="002B5799">
        <w:t xml:space="preserve">from American politicians to allow </w:t>
      </w:r>
      <w:r w:rsidR="001C55EC">
        <w:t xml:space="preserve">the RMB </w:t>
      </w:r>
      <w:r w:rsidR="005C77DA" w:rsidRPr="002B5799">
        <w:t>to appreciat</w:t>
      </w:r>
      <w:r w:rsidR="003B628A" w:rsidRPr="002B5799">
        <w:t>e</w:t>
      </w:r>
      <w:r w:rsidR="001C55EC">
        <w:t xml:space="preserve"> against the dollar</w:t>
      </w:r>
      <w:r w:rsidR="003B628A" w:rsidRPr="002B5799">
        <w:t xml:space="preserve">, the Treasury has </w:t>
      </w:r>
      <w:r w:rsidR="003B628A" w:rsidRPr="002B5799">
        <w:t xml:space="preserve">recommended policy changes and indicated that it </w:t>
      </w:r>
      <w:r w:rsidR="005C77DA" w:rsidRPr="002B5799">
        <w:t xml:space="preserve">has commenced discussions with </w:t>
      </w:r>
      <w:r w:rsidR="001C55EC">
        <w:t>the Chinese</w:t>
      </w:r>
      <w:r w:rsidR="00BF5F90">
        <w:t xml:space="preserve"> government.   There </w:t>
      </w:r>
      <w:r w:rsidR="009D7EB9">
        <w:t>has been</w:t>
      </w:r>
      <w:r w:rsidR="00BF5F90">
        <w:t xml:space="preserve"> </w:t>
      </w:r>
      <w:r w:rsidR="005C77DA" w:rsidRPr="002B5799">
        <w:t xml:space="preserve">speculation that the Treasury </w:t>
      </w:r>
      <w:r w:rsidR="009D7EB9">
        <w:t xml:space="preserve">could </w:t>
      </w:r>
      <w:r w:rsidR="005C77DA" w:rsidRPr="002B5799">
        <w:t xml:space="preserve">go </w:t>
      </w:r>
      <w:r w:rsidR="009D7EB9">
        <w:t xml:space="preserve">to </w:t>
      </w:r>
      <w:r w:rsidR="005C77DA" w:rsidRPr="002B5799">
        <w:t>the next step, and name China as a</w:t>
      </w:r>
      <w:r w:rsidR="00BD5D4E" w:rsidRPr="002B5799">
        <w:t>n outright</w:t>
      </w:r>
      <w:r w:rsidR="005C77DA" w:rsidRPr="002B5799">
        <w:t xml:space="preserve"> currency manipulator, as it did in the early 1990s</w:t>
      </w:r>
      <w:r w:rsidR="00065CC8">
        <w:t>,</w:t>
      </w:r>
      <w:r w:rsidR="005C77DA" w:rsidRPr="002B5799">
        <w:t xml:space="preserve"> and as it did to Korea and </w:t>
      </w:r>
      <w:r w:rsidR="007E34B7">
        <w:t>Taiwan, Province of China</w:t>
      </w:r>
      <w:r w:rsidR="005C77DA" w:rsidRPr="002B5799">
        <w:t xml:space="preserve"> in the late 1980s.  This </w:t>
      </w:r>
      <w:r w:rsidR="00BF5F90">
        <w:t xml:space="preserve">part of the </w:t>
      </w:r>
      <w:r w:rsidR="005C77DA" w:rsidRPr="002B5799">
        <w:t xml:space="preserve">paper seeks to test two </w:t>
      </w:r>
      <w:r w:rsidR="00CE2378" w:rsidRPr="002B5799">
        <w:t xml:space="preserve">competing </w:t>
      </w:r>
      <w:r w:rsidR="005C77DA" w:rsidRPr="002B5799">
        <w:t xml:space="preserve">hypotheses: (1) that the Treasury decisions are determined by legitimate economic variables – the partners’ overall current account/GDP, its reserve changes, and the real </w:t>
      </w:r>
      <w:r w:rsidR="00C056D4" w:rsidRPr="002B5799">
        <w:t>overvaluation</w:t>
      </w:r>
      <w:r w:rsidR="005C77DA" w:rsidRPr="002B5799">
        <w:t xml:space="preserve"> of its currency, and (2) </w:t>
      </w:r>
      <w:r w:rsidR="00BD5D4E" w:rsidRPr="002B5799">
        <w:t xml:space="preserve">that the Treasury decisions are determined by </w:t>
      </w:r>
      <w:r w:rsidR="005C77DA" w:rsidRPr="002B5799">
        <w:t>variables suggestive of domestic American political expediency -- the bilateral trade balance,</w:t>
      </w:r>
      <w:r w:rsidR="00B94EC9">
        <w:rPr>
          <w:rStyle w:val="FootnoteReference"/>
        </w:rPr>
        <w:footnoteReference w:id="5"/>
      </w:r>
      <w:r w:rsidR="00B94EC9">
        <w:t xml:space="preserve"> </w:t>
      </w:r>
      <w:r w:rsidR="005C77DA" w:rsidRPr="002B5799">
        <w:t xml:space="preserve"> US unemployment, and an election year dummy.  </w:t>
      </w:r>
    </w:p>
    <w:p w:rsidR="00317756" w:rsidRDefault="00317756" w:rsidP="008322FD">
      <w:pPr>
        <w:rPr>
          <w:rFonts w:hint="eastAsia"/>
          <w:b/>
          <w:sz w:val="28"/>
          <w:szCs w:val="28"/>
          <w:lang w:eastAsia="zh-CN"/>
        </w:rPr>
      </w:pPr>
    </w:p>
    <w:p w:rsidR="008322FD" w:rsidRPr="008A1CC3" w:rsidRDefault="00C173E9" w:rsidP="008322FD">
      <w:pPr>
        <w:rPr>
          <w:b/>
          <w:i/>
        </w:rPr>
      </w:pPr>
      <w:r>
        <w:rPr>
          <w:b/>
          <w:i/>
        </w:rPr>
        <w:t>2</w:t>
      </w:r>
      <w:r w:rsidR="002B5799" w:rsidRPr="008A1CC3">
        <w:rPr>
          <w:b/>
          <w:i/>
        </w:rPr>
        <w:t xml:space="preserve">.1 </w:t>
      </w:r>
      <w:r w:rsidR="008322FD" w:rsidRPr="008A1CC3">
        <w:rPr>
          <w:b/>
          <w:i/>
        </w:rPr>
        <w:t>Brief History of the Semi-Annual Treasury Reports</w:t>
      </w:r>
    </w:p>
    <w:p w:rsidR="008322FD" w:rsidRDefault="008322FD" w:rsidP="00E466A1">
      <w:pPr>
        <w:ind w:firstLine="720"/>
      </w:pPr>
    </w:p>
    <w:p w:rsidR="00601C83" w:rsidRDefault="00AF199F" w:rsidP="00E466A1">
      <w:pPr>
        <w:ind w:firstLine="720"/>
        <w:rPr>
          <w:rFonts w:ascii="Verdana" w:hAnsi="Verdana" w:cs="Verdana"/>
          <w:color w:val="000000"/>
          <w:sz w:val="16"/>
          <w:szCs w:val="16"/>
        </w:rPr>
      </w:pPr>
      <w:r>
        <w:t>T</w:t>
      </w:r>
      <w:r w:rsidR="00A26329">
        <w:t>he US Congress m</w:t>
      </w:r>
      <w:r w:rsidR="00E466A1" w:rsidRPr="002E291B">
        <w:t>andated in its Omnibus Trade and</w:t>
      </w:r>
      <w:r w:rsidR="00E466A1">
        <w:rPr>
          <w:rFonts w:ascii="Verdana" w:hAnsi="Verdana" w:cs="Arial"/>
          <w:b/>
          <w:sz w:val="20"/>
          <w:szCs w:val="20"/>
        </w:rPr>
        <w:t xml:space="preserve"> </w:t>
      </w:r>
      <w:r w:rsidR="00E466A1" w:rsidRPr="00E466A1">
        <w:t>Competitiveness Act</w:t>
      </w:r>
      <w:r>
        <w:t xml:space="preserve"> of 1988</w:t>
      </w:r>
      <w:r w:rsidR="00E466A1" w:rsidRPr="00E466A1">
        <w:t xml:space="preserve"> biannual reports from the </w:t>
      </w:r>
      <w:r w:rsidR="00A85D9A">
        <w:t>US</w:t>
      </w:r>
      <w:r w:rsidR="00E466A1" w:rsidRPr="00E466A1">
        <w:t xml:space="preserve"> Treasury regarding whether trading partners were manipulating currencies.  </w:t>
      </w:r>
      <w:r w:rsidR="005641A5">
        <w:t>More specifically,</w:t>
      </w:r>
      <w:r>
        <w:t xml:space="preserve"> in Section 3004,</w:t>
      </w:r>
      <w:r w:rsidR="005641A5">
        <w:t xml:space="preserve"> </w:t>
      </w:r>
      <w:r w:rsidR="005641A5" w:rsidRPr="005641A5">
        <w:rPr>
          <w:color w:val="000000"/>
        </w:rPr>
        <w:t>the Treasury is r</w:t>
      </w:r>
      <w:r w:rsidR="005641A5">
        <w:rPr>
          <w:color w:val="000000"/>
        </w:rPr>
        <w:t xml:space="preserve">equired to </w:t>
      </w:r>
      <w:r w:rsidR="003B5A23">
        <w:rPr>
          <w:color w:val="000000"/>
        </w:rPr>
        <w:t>“</w:t>
      </w:r>
      <w:r w:rsidR="005641A5">
        <w:rPr>
          <w:color w:val="000000"/>
        </w:rPr>
        <w:t>consider</w:t>
      </w:r>
      <w:r w:rsidR="005641A5" w:rsidRPr="005641A5">
        <w:rPr>
          <w:color w:val="000000"/>
        </w:rPr>
        <w:t xml:space="preserve"> whether </w:t>
      </w:r>
      <w:r>
        <w:rPr>
          <w:color w:val="000000"/>
        </w:rPr>
        <w:t xml:space="preserve">countries </w:t>
      </w:r>
      <w:r w:rsidR="003B5A23">
        <w:rPr>
          <w:color w:val="000000"/>
        </w:rPr>
        <w:t xml:space="preserve">manipulate the rate of </w:t>
      </w:r>
      <w:r w:rsidR="005641A5">
        <w:rPr>
          <w:color w:val="000000"/>
        </w:rPr>
        <w:t>exchange</w:t>
      </w:r>
      <w:r w:rsidR="003B5A23">
        <w:rPr>
          <w:color w:val="000000"/>
        </w:rPr>
        <w:t xml:space="preserve"> between their currency and the United States dollar for pu</w:t>
      </w:r>
      <w:r w:rsidR="005641A5" w:rsidRPr="005641A5">
        <w:rPr>
          <w:color w:val="000000"/>
        </w:rPr>
        <w:t xml:space="preserve">rposes of preventing effective balance of payments adjustments or gaining unfair competitive advantage in international trade.'' The law says the </w:t>
      </w:r>
      <w:smartTag w:uri="urn:schemas-microsoft-com:office:smarttags" w:element="country-region">
        <w:smartTag w:uri="urn:schemas-microsoft-com:office:smarttags" w:element="place">
          <w:r w:rsidR="00A85D9A">
            <w:rPr>
              <w:color w:val="000000"/>
            </w:rPr>
            <w:t>US</w:t>
          </w:r>
        </w:smartTag>
      </w:smartTag>
      <w:r w:rsidR="005641A5" w:rsidRPr="005641A5">
        <w:rPr>
          <w:color w:val="000000"/>
        </w:rPr>
        <w:t xml:space="preserve"> must hold talks with governments deemed to be breaking the rules.</w:t>
      </w:r>
      <w:r w:rsidR="009B71FA" w:rsidRPr="009B71FA">
        <w:rPr>
          <w:rStyle w:val="FootnoteReference"/>
        </w:rPr>
        <w:t xml:space="preserve"> </w:t>
      </w:r>
      <w:r w:rsidR="006E59E0">
        <w:t xml:space="preserve">  Fred Bergsten had originally instigated in 1986 the idea of pushing the newly industrialized economies of </w:t>
      </w:r>
      <w:smartTag w:uri="urn:schemas-microsoft-com:office:smarttags" w:element="place">
        <w:r w:rsidR="006E59E0">
          <w:t>Asia</w:t>
        </w:r>
      </w:smartTag>
      <w:r w:rsidR="006E59E0">
        <w:t xml:space="preserve"> to revalue, at a time when a large depreciation of the dollar against the yen and other traditional major currencies had not yet produced the promised improvement in the </w:t>
      </w:r>
      <w:smartTag w:uri="urn:schemas-microsoft-com:office:smarttags" w:element="country-region">
        <w:smartTag w:uri="urn:schemas-microsoft-com:office:smarttags" w:element="place">
          <w:r w:rsidR="006E59E0">
            <w:t>US</w:t>
          </w:r>
        </w:smartTag>
      </w:smartTag>
      <w:r w:rsidR="006E59E0">
        <w:t xml:space="preserve"> trade balance.  The </w:t>
      </w:r>
      <w:smartTag w:uri="urn:schemas-microsoft-com:office:smarttags" w:element="country-region">
        <w:smartTag w:uri="urn:schemas-microsoft-com:office:smarttags" w:element="place">
          <w:r w:rsidR="006E59E0">
            <w:t>US</w:t>
          </w:r>
        </w:smartTag>
      </w:smartTag>
      <w:r w:rsidR="006E59E0">
        <w:t xml:space="preserve"> campaign was successful in persuading </w:t>
      </w:r>
      <w:smartTag w:uri="urn:schemas-microsoft-com:office:smarttags" w:element="country-region">
        <w:smartTag w:uri="urn:schemas-microsoft-com:office:smarttags" w:element="place">
          <w:r w:rsidR="006E59E0">
            <w:t>Korea</w:t>
          </w:r>
        </w:smartTag>
      </w:smartTag>
      <w:r w:rsidR="006E59E0">
        <w:t xml:space="preserve"> and </w:t>
      </w:r>
      <w:smartTag w:uri="urn:schemas-microsoft-com:office:smarttags" w:element="country-region">
        <w:smartTag w:uri="urn:schemas-microsoft-com:office:smarttags" w:element="place">
          <w:r w:rsidR="006E59E0">
            <w:t>Taiwan</w:t>
          </w:r>
        </w:smartTag>
      </w:smartTag>
      <w:r w:rsidR="006E59E0">
        <w:t xml:space="preserve"> to let their currencies appreciate in the late 1980s.</w:t>
      </w:r>
      <w:r w:rsidR="009B71FA">
        <w:rPr>
          <w:rStyle w:val="FootnoteReference"/>
        </w:rPr>
        <w:footnoteReference w:id="6"/>
      </w:r>
      <w:r w:rsidR="009B71FA">
        <w:t xml:space="preserve"> </w:t>
      </w:r>
      <w:r w:rsidR="005641A5">
        <w:rPr>
          <w:rFonts w:ascii="Verdana" w:hAnsi="Verdana" w:cs="Verdana"/>
          <w:color w:val="000000"/>
          <w:sz w:val="16"/>
          <w:szCs w:val="16"/>
        </w:rPr>
        <w:t xml:space="preserve">   </w:t>
      </w:r>
    </w:p>
    <w:p w:rsidR="00E466A1" w:rsidRDefault="005641A5" w:rsidP="00E466A1">
      <w:pPr>
        <w:ind w:firstLine="720"/>
        <w:rPr>
          <w:rFonts w:hint="eastAsia"/>
          <w:lang w:eastAsia="zh-CN"/>
        </w:rPr>
      </w:pPr>
      <w:r w:rsidRPr="005641A5">
        <w:rPr>
          <w:color w:val="000000"/>
        </w:rPr>
        <w:t>In t</w:t>
      </w:r>
      <w:r w:rsidR="007D1964" w:rsidRPr="005641A5">
        <w:t>he</w:t>
      </w:r>
      <w:r>
        <w:t xml:space="preserve"> first of the </w:t>
      </w:r>
      <w:r>
        <w:rPr>
          <w:bCs/>
          <w:i/>
        </w:rPr>
        <w:t>Reports</w:t>
      </w:r>
      <w:r w:rsidR="007D1964" w:rsidRPr="007D1964">
        <w:rPr>
          <w:bCs/>
          <w:i/>
        </w:rPr>
        <w:t xml:space="preserve"> to Congress on International Economics and Exchange Rate Policy</w:t>
      </w:r>
      <w:r>
        <w:t>, filed in</w:t>
      </w:r>
      <w:r w:rsidR="00E466A1" w:rsidRPr="00E466A1">
        <w:t xml:space="preserve"> October 1988, </w:t>
      </w:r>
      <w:smartTag w:uri="urn:schemas-microsoft-com:office:smarttags" w:element="country-region">
        <w:smartTag w:uri="urn:schemas-microsoft-com:office:smarttags" w:element="place">
          <w:r w:rsidR="00E466A1" w:rsidRPr="00E466A1">
            <w:t>Korea</w:t>
          </w:r>
        </w:smartTag>
      </w:smartTag>
      <w:r w:rsidR="00E466A1" w:rsidRPr="00E466A1">
        <w:t xml:space="preserve"> and </w:t>
      </w:r>
      <w:r w:rsidR="007E34B7">
        <w:t xml:space="preserve">Taiwan, </w:t>
      </w:r>
      <w:smartTag w:uri="urn:schemas-microsoft-com:office:smarttags" w:element="place">
        <w:smartTag w:uri="urn:schemas-microsoft-com:office:smarttags" w:element="PlaceType">
          <w:r w:rsidR="007E34B7">
            <w:t>Province</w:t>
          </w:r>
        </w:smartTag>
        <w:r w:rsidR="007E34B7">
          <w:t xml:space="preserve"> of </w:t>
        </w:r>
        <w:smartTag w:uri="urn:schemas-microsoft-com:office:smarttags" w:element="PlaceName">
          <w:r w:rsidR="007E34B7">
            <w:t>China</w:t>
          </w:r>
        </w:smartTag>
      </w:smartTag>
      <w:r w:rsidR="00851440">
        <w:t>,</w:t>
      </w:r>
      <w:r w:rsidR="00E466A1" w:rsidRPr="00E466A1">
        <w:t xml:space="preserve"> were found to be guilty of manipulation, while </w:t>
      </w:r>
      <w:smartTag w:uri="urn:schemas-microsoft-com:office:smarttags" w:element="country-region">
        <w:smartTag w:uri="urn:schemas-microsoft-com:office:smarttags" w:element="place">
          <w:r w:rsidR="00E466A1" w:rsidRPr="00E466A1">
            <w:t>Singapore</w:t>
          </w:r>
        </w:smartTag>
      </w:smartTag>
      <w:r w:rsidR="00E466A1" w:rsidRPr="00E466A1">
        <w:t xml:space="preserve"> and </w:t>
      </w:r>
      <w:r w:rsidR="007E34B7">
        <w:t>Hong Kong SAR</w:t>
      </w:r>
      <w:r w:rsidR="00E466A1" w:rsidRPr="00E466A1">
        <w:t xml:space="preserve"> “got off with a warning” in that policy changes were recommended.</w:t>
      </w:r>
      <w:r w:rsidR="00E466A1">
        <w:t xml:space="preserve"> In subsequent years, those </w:t>
      </w:r>
      <w:r w:rsidR="001E4351">
        <w:t xml:space="preserve">countries </w:t>
      </w:r>
      <w:r w:rsidR="00E466A1">
        <w:t xml:space="preserve">pronounced manipulators, or </w:t>
      </w:r>
      <w:r>
        <w:t xml:space="preserve">given </w:t>
      </w:r>
      <w:r w:rsidR="00E466A1">
        <w:t>warn</w:t>
      </w:r>
      <w:r w:rsidR="001E4351">
        <w:t>ings, have al</w:t>
      </w:r>
      <w:r w:rsidR="00E466A1">
        <w:t xml:space="preserve">ways </w:t>
      </w:r>
      <w:r w:rsidR="001E4351">
        <w:t xml:space="preserve">been </w:t>
      </w:r>
      <w:r w:rsidR="00E466A1">
        <w:t xml:space="preserve">Asian. </w:t>
      </w:r>
      <w:r w:rsidR="00FF17AC">
        <w:t xml:space="preserve">  From May 1992 to July 1994 China was the primary target</w:t>
      </w:r>
      <w:proofErr w:type="gramStart"/>
      <w:r w:rsidR="00FF17AC">
        <w:t>.</w:t>
      </w:r>
      <w:r w:rsidR="003D2BFB">
        <w:rPr>
          <w:rFonts w:hint="eastAsia"/>
          <w:lang w:eastAsia="zh-CN"/>
        </w:rPr>
        <w:t>.</w:t>
      </w:r>
      <w:proofErr w:type="gramEnd"/>
      <w:r w:rsidR="00E466A1">
        <w:t xml:space="preserve"> In the late 1990s, the mechanism fell somewhat into disuse</w:t>
      </w:r>
      <w:r w:rsidR="001E4351">
        <w:t xml:space="preserve">: </w:t>
      </w:r>
      <w:r w:rsidR="002E291B">
        <w:t>none of the countries investigated in 1996 was found to be a problem</w:t>
      </w:r>
      <w:r w:rsidR="009B2A43">
        <w:t>,</w:t>
      </w:r>
      <w:r w:rsidR="002E291B">
        <w:t xml:space="preserve"> and the reports were not filed at all after January 1997</w:t>
      </w:r>
      <w:r w:rsidR="001E4351">
        <w:t>,</w:t>
      </w:r>
      <w:r w:rsidR="002E291B">
        <w:t xml:space="preserve"> until January 1999</w:t>
      </w:r>
      <w:r w:rsidR="009B2A43">
        <w:t xml:space="preserve">.   These were the years of </w:t>
      </w:r>
      <w:r w:rsidR="00E466A1">
        <w:t xml:space="preserve">the </w:t>
      </w:r>
      <w:smartTag w:uri="urn:schemas-microsoft-com:office:smarttags" w:element="place">
        <w:r w:rsidR="00E466A1">
          <w:t>East Asia</w:t>
        </w:r>
      </w:smartTag>
      <w:r w:rsidR="00E466A1">
        <w:t xml:space="preserve"> crises</w:t>
      </w:r>
      <w:r w:rsidR="009B2A43">
        <w:t>, in which</w:t>
      </w:r>
      <w:r w:rsidR="00E466A1">
        <w:t xml:space="preserve"> the concern </w:t>
      </w:r>
      <w:r w:rsidR="009D7EB9">
        <w:t>had abruptly shifted to w</w:t>
      </w:r>
      <w:r w:rsidR="00E466A1">
        <w:t xml:space="preserve">hether countries had been artificially keeping the value of their currencies too </w:t>
      </w:r>
      <w:r w:rsidR="00E466A1" w:rsidRPr="009D7EB9">
        <w:rPr>
          <w:i/>
        </w:rPr>
        <w:t>high</w:t>
      </w:r>
      <w:r w:rsidR="00E466A1">
        <w:t xml:space="preserve"> rather than too low.</w:t>
      </w:r>
      <w:r w:rsidR="001E4351">
        <w:t xml:space="preserve">  </w:t>
      </w:r>
      <w:r w:rsidR="001F737E">
        <w:t xml:space="preserve"> From May 2002 to May 2003, </w:t>
      </w:r>
      <w:r w:rsidR="001F737E" w:rsidRPr="001F737E">
        <w:t xml:space="preserve">Treasury did not even </w:t>
      </w:r>
      <w:r w:rsidR="001F737E">
        <w:t>identify a</w:t>
      </w:r>
      <w:r w:rsidR="001F737E" w:rsidRPr="001F737E">
        <w:t xml:space="preserve">ny countries </w:t>
      </w:r>
      <w:r w:rsidR="001F737E">
        <w:t>as having been</w:t>
      </w:r>
      <w:r w:rsidR="001F737E" w:rsidRPr="001F737E">
        <w:t xml:space="preserve"> investigated.</w:t>
      </w:r>
      <w:r w:rsidR="009032D8">
        <w:t xml:space="preserve">  (A table in the appendix</w:t>
      </w:r>
      <w:r w:rsidR="00564F7D">
        <w:t xml:space="preserve"> to the working</w:t>
      </w:r>
      <w:r w:rsidR="00D83671">
        <w:t xml:space="preserve"> paper</w:t>
      </w:r>
      <w:r w:rsidR="009032D8">
        <w:t xml:space="preserve"> lists the findings of all the Treasury reports</w:t>
      </w:r>
      <w:r>
        <w:t>, according to our classification scheme</w:t>
      </w:r>
      <w:r w:rsidR="009032D8">
        <w:t>.)</w:t>
      </w:r>
      <w:r w:rsidR="00A51E2D">
        <w:rPr>
          <w:rFonts w:hint="eastAsia"/>
          <w:lang w:eastAsia="zh-CN"/>
        </w:rPr>
        <w:t xml:space="preserve"> During this period, judged from the black market exchange rates on </w:t>
      </w:r>
      <w:smartTag w:uri="urn:schemas-microsoft-com:office:smarttags" w:element="country-region">
        <w:smartTag w:uri="urn:schemas-microsoft-com:office:smarttags" w:element="place">
          <w:r w:rsidR="00A51E2D">
            <w:rPr>
              <w:rFonts w:hint="eastAsia"/>
              <w:lang w:eastAsia="zh-CN"/>
            </w:rPr>
            <w:t>China</w:t>
          </w:r>
        </w:smartTag>
      </w:smartTag>
      <w:r w:rsidR="00A51E2D">
        <w:rPr>
          <w:lang w:eastAsia="zh-CN"/>
        </w:rPr>
        <w:t>’</w:t>
      </w:r>
      <w:r w:rsidR="00A51E2D">
        <w:rPr>
          <w:rFonts w:hint="eastAsia"/>
          <w:lang w:eastAsia="zh-CN"/>
        </w:rPr>
        <w:t>s streets, the RMB was deemed overvalued.</w:t>
      </w:r>
    </w:p>
    <w:p w:rsidR="00A95859" w:rsidRDefault="008B6068" w:rsidP="00E466A1">
      <w:pPr>
        <w:ind w:firstLine="720"/>
      </w:pPr>
      <w:r>
        <w:t>The</w:t>
      </w:r>
      <w:r w:rsidR="001E4351">
        <w:t xml:space="preserve"> intense pressure </w:t>
      </w:r>
      <w:r>
        <w:t xml:space="preserve">on </w:t>
      </w:r>
      <w:smartTag w:uri="urn:schemas-microsoft-com:office:smarttags" w:element="country-region">
        <w:smartTag w:uri="urn:schemas-microsoft-com:office:smarttags" w:element="place">
          <w:r>
            <w:t>China</w:t>
          </w:r>
        </w:smartTag>
      </w:smartTag>
      <w:r>
        <w:t xml:space="preserve"> </w:t>
      </w:r>
      <w:r w:rsidR="001E4351">
        <w:t>from American politicians of both parties to revalue its currency upward</w:t>
      </w:r>
      <w:r>
        <w:t xml:space="preserve"> began in 2003</w:t>
      </w:r>
      <w:r w:rsidR="001E4351">
        <w:t xml:space="preserve">.  </w:t>
      </w:r>
      <w:r w:rsidR="00A95859">
        <w:t xml:space="preserve"> There are plenty of good arguments pro and con, whether </w:t>
      </w:r>
      <w:smartTag w:uri="urn:schemas-microsoft-com:office:smarttags" w:element="country-region">
        <w:smartTag w:uri="urn:schemas-microsoft-com:office:smarttags" w:element="place">
          <w:r w:rsidR="00A95859">
            <w:t>China</w:t>
          </w:r>
        </w:smartTag>
      </w:smartTag>
      <w:r w:rsidR="00A95859">
        <w:t xml:space="preserve"> should move in the direction of increasing exchange rate flexibility and/or allowing its currency to appreciate.    This is true whether the criterion is </w:t>
      </w:r>
      <w:smartTag w:uri="urn:schemas-microsoft-com:office:smarttags" w:element="country-region">
        <w:smartTag w:uri="urn:schemas-microsoft-com:office:smarttags" w:element="place">
          <w:r w:rsidR="00A95859">
            <w:t>China</w:t>
          </w:r>
        </w:smartTag>
      </w:smartTag>
      <w:r w:rsidR="00A95859">
        <w:t>’s own economic interest, or facilitating an orderly unwinding of record global current account imbalances.</w:t>
      </w:r>
      <w:r w:rsidR="00C54208" w:rsidRPr="00C54208">
        <w:rPr>
          <w:rStyle w:val="FootnoteReference"/>
        </w:rPr>
        <w:t xml:space="preserve"> </w:t>
      </w:r>
      <w:r w:rsidR="00C54208">
        <w:rPr>
          <w:rStyle w:val="FootnoteReference"/>
        </w:rPr>
        <w:footnoteReference w:id="7"/>
      </w:r>
      <w:r w:rsidR="00A95859">
        <w:t xml:space="preserve">  </w:t>
      </w:r>
      <w:r w:rsidR="001E4351">
        <w:t xml:space="preserve"> </w:t>
      </w:r>
      <w:r w:rsidR="00A95859">
        <w:t>But it is clear that much of the pressure is political, tied to the record US trade deficits and loss of jobs in manufacturing.</w:t>
      </w:r>
    </w:p>
    <w:p w:rsidR="00C54208" w:rsidRDefault="00C54208" w:rsidP="00E466A1">
      <w:pPr>
        <w:ind w:firstLine="720"/>
      </w:pPr>
      <w:r>
        <w:t xml:space="preserve">Much of the pressure on the Treasury to name </w:t>
      </w:r>
      <w:smartTag w:uri="urn:schemas-microsoft-com:office:smarttags" w:element="country-region">
        <w:smartTag w:uri="urn:schemas-microsoft-com:office:smarttags" w:element="place">
          <w:r>
            <w:t>China</w:t>
          </w:r>
        </w:smartTag>
      </w:smartTag>
      <w:r>
        <w:t xml:space="preserve"> a manipulator comes from Capitol Hill.   Congressmen had entered the subject -- usually considered arcane -- of a trading partner’s exchange rate regime.  The Schumer-Graham bill, originally proposed in February 2005, has received the most attention.  It would impose WTO-illegal tariffs of 27.5 percent against all Chinese goods if </w:t>
      </w:r>
      <w:smartTag w:uri="urn:schemas-microsoft-com:office:smarttags" w:element="country-region">
        <w:smartTag w:uri="urn:schemas-microsoft-com:office:smarttags" w:element="place">
          <w:r>
            <w:t>China</w:t>
          </w:r>
        </w:smartTag>
      </w:smartTag>
      <w:r>
        <w:t xml:space="preserve"> does not substantially revalue its currency.  On </w:t>
      </w:r>
      <w:smartTag w:uri="urn:schemas-microsoft-com:office:smarttags" w:element="date">
        <w:smartTagPr>
          <w:attr w:name="Year" w:val="2006"/>
          <w:attr w:name="Day" w:val="28"/>
          <w:attr w:name="Month" w:val="3"/>
        </w:smartTagPr>
        <w:r>
          <w:t>March 28, 2006</w:t>
        </w:r>
      </w:smartTag>
      <w:proofErr w:type="gramStart"/>
      <w:r>
        <w:t>,  Senators</w:t>
      </w:r>
      <w:proofErr w:type="gramEnd"/>
      <w:r>
        <w:t xml:space="preserve"> Baucus and Grassley proposed another bill substituting the phrase “currency misalignment” in place of “unfair manipulation.”  Schumer and Graham subsequently withdrew their bill and suggested that they might return with a WTO-legal version.</w:t>
      </w:r>
      <w:r>
        <w:rPr>
          <w:rStyle w:val="FootnoteReference"/>
        </w:rPr>
        <w:footnoteReference w:id="8"/>
      </w:r>
      <w:r>
        <w:t xml:space="preserve">   </w:t>
      </w:r>
    </w:p>
    <w:p w:rsidR="00A30B74" w:rsidRDefault="001E4351" w:rsidP="00E466A1">
      <w:pPr>
        <w:ind w:firstLine="720"/>
      </w:pPr>
      <w:r>
        <w:t xml:space="preserve">The response of the </w:t>
      </w:r>
      <w:r w:rsidR="00A85D9A">
        <w:t>US</w:t>
      </w:r>
      <w:r>
        <w:t xml:space="preserve"> Treasury has been measured.  </w:t>
      </w:r>
      <w:r w:rsidR="0000049C">
        <w:t>But e</w:t>
      </w:r>
      <w:r>
        <w:t xml:space="preserve">ver since October </w:t>
      </w:r>
      <w:proofErr w:type="gramStart"/>
      <w:r>
        <w:t>2003</w:t>
      </w:r>
      <w:r w:rsidR="005641A5">
        <w:t xml:space="preserve"> </w:t>
      </w:r>
      <w:r w:rsidR="001E66D5">
        <w:t xml:space="preserve"> </w:t>
      </w:r>
      <w:r w:rsidR="005641A5">
        <w:t>--</w:t>
      </w:r>
      <w:proofErr w:type="gramEnd"/>
      <w:r w:rsidR="005641A5">
        <w:t xml:space="preserve"> </w:t>
      </w:r>
      <w:r w:rsidR="00671499">
        <w:t xml:space="preserve">as the </w:t>
      </w:r>
      <w:smartTag w:uri="urn:schemas-microsoft-com:office:smarttags" w:element="country-region">
        <w:smartTag w:uri="urn:schemas-microsoft-com:office:smarttags" w:element="place">
          <w:r w:rsidR="00A85D9A">
            <w:t>US</w:t>
          </w:r>
        </w:smartTag>
      </w:smartTag>
      <w:r w:rsidR="00671499">
        <w:t xml:space="preserve"> entered a presidential election year</w:t>
      </w:r>
      <w:r w:rsidR="005641A5">
        <w:t xml:space="preserve"> --</w:t>
      </w:r>
      <w:r w:rsidR="00867327" w:rsidRPr="00867327">
        <w:t xml:space="preserve"> </w:t>
      </w:r>
      <w:r w:rsidR="00867327">
        <w:t>the semi-annual reports</w:t>
      </w:r>
      <w:r>
        <w:t xml:space="preserve"> have </w:t>
      </w:r>
      <w:r w:rsidR="00BD5D4E">
        <w:t>again</w:t>
      </w:r>
      <w:r w:rsidR="00867327">
        <w:t xml:space="preserve"> </w:t>
      </w:r>
      <w:r>
        <w:t>designated</w:t>
      </w:r>
      <w:r w:rsidR="00867327">
        <w:t xml:space="preserve"> two countries</w:t>
      </w:r>
      <w:r>
        <w:t xml:space="preserve"> as meriting recommendations or discussion: </w:t>
      </w:r>
      <w:smartTag w:uri="urn:schemas-microsoft-com:office:smarttags" w:element="country-region">
        <w:smartTag w:uri="urn:schemas-microsoft-com:office:smarttags" w:element="place">
          <w:r>
            <w:t>China</w:t>
          </w:r>
        </w:smartTag>
      </w:smartTag>
      <w:r>
        <w:t xml:space="preserve"> plus one other (either </w:t>
      </w:r>
      <w:smartTag w:uri="urn:schemas-microsoft-com:office:smarttags" w:element="country-region">
        <w:smartTag w:uri="urn:schemas-microsoft-com:office:smarttags" w:element="place">
          <w:r>
            <w:t>Japan</w:t>
          </w:r>
        </w:smartTag>
      </w:smartTag>
      <w:r>
        <w:t xml:space="preserve"> or </w:t>
      </w:r>
      <w:smartTag w:uri="urn:schemas-microsoft-com:office:smarttags" w:element="country-region">
        <w:smartTag w:uri="urn:schemas-microsoft-com:office:smarttags" w:element="place">
          <w:r>
            <w:t>Malaysia</w:t>
          </w:r>
        </w:smartTag>
      </w:smartTag>
      <w:r>
        <w:t xml:space="preserve">).  </w:t>
      </w:r>
      <w:r w:rsidR="00C553FC">
        <w:t xml:space="preserve">As already noted, </w:t>
      </w:r>
      <w:smartTag w:uri="urn:schemas-microsoft-com:office:smarttags" w:element="country-region">
        <w:smartTag w:uri="urn:schemas-microsoft-com:office:smarttags" w:element="place">
          <w:r w:rsidR="0000049C">
            <w:t>China</w:t>
          </w:r>
        </w:smartTag>
      </w:smartTag>
      <w:r w:rsidR="0000049C">
        <w:t xml:space="preserve"> announced a change in exchange rate regime</w:t>
      </w:r>
      <w:r w:rsidR="00C553FC">
        <w:t xml:space="preserve"> in July 2005</w:t>
      </w:r>
      <w:r w:rsidR="0000049C">
        <w:t>, an abandonment of its de</w:t>
      </w:r>
      <w:r w:rsidR="002174BB">
        <w:t xml:space="preserve"> </w:t>
      </w:r>
      <w:r w:rsidR="0000049C">
        <w:t xml:space="preserve">facto peg against the dollar.   But perhaps in recognition that not that much had yet changed in reality, the Treasury gave </w:t>
      </w:r>
      <w:smartTag w:uri="urn:schemas-microsoft-com:office:smarttags" w:element="country-region">
        <w:smartTag w:uri="urn:schemas-microsoft-com:office:smarttags" w:element="place">
          <w:r w:rsidR="0000049C">
            <w:t>China</w:t>
          </w:r>
        </w:smartTag>
      </w:smartTag>
      <w:r w:rsidR="0000049C">
        <w:t xml:space="preserve"> the same designation in its report</w:t>
      </w:r>
      <w:r w:rsidR="000C0BB8">
        <w:t>s</w:t>
      </w:r>
      <w:r w:rsidR="0000049C">
        <w:t xml:space="preserve"> of November 2005</w:t>
      </w:r>
      <w:r w:rsidR="00012140">
        <w:t>, April 2006 and December 2006</w:t>
      </w:r>
      <w:r w:rsidR="0000049C">
        <w:t>.</w:t>
      </w:r>
      <w:r w:rsidR="00012140">
        <w:rPr>
          <w:rStyle w:val="FootnoteReference"/>
        </w:rPr>
        <w:footnoteReference w:id="9"/>
      </w:r>
      <w:r w:rsidR="00012140">
        <w:t xml:space="preserve"> </w:t>
      </w:r>
      <w:r w:rsidR="00A30B74">
        <w:t xml:space="preserve">   Speculation mounted that the Treasury </w:t>
      </w:r>
      <w:r w:rsidR="00BF5F90">
        <w:t>wa</w:t>
      </w:r>
      <w:r w:rsidR="00BA32EA">
        <w:t>s likely</w:t>
      </w:r>
      <w:r w:rsidR="00A30B74">
        <w:t xml:space="preserve"> </w:t>
      </w:r>
      <w:r w:rsidR="00BA32EA">
        <w:t xml:space="preserve">to </w:t>
      </w:r>
      <w:r w:rsidR="00A30B74">
        <w:t xml:space="preserve">name </w:t>
      </w:r>
      <w:smartTag w:uri="urn:schemas-microsoft-com:office:smarttags" w:element="country-region">
        <w:smartTag w:uri="urn:schemas-microsoft-com:office:smarttags" w:element="place">
          <w:r w:rsidR="00A30B74">
            <w:t>China</w:t>
          </w:r>
        </w:smartTag>
      </w:smartTag>
      <w:r w:rsidR="00A30B74">
        <w:t xml:space="preserve"> a manipulator outright.   </w:t>
      </w:r>
    </w:p>
    <w:p w:rsidR="009B56AB" w:rsidRDefault="00BF5F90" w:rsidP="00994F21">
      <w:pPr>
        <w:ind w:firstLine="720"/>
        <w:rPr>
          <w:rFonts w:hint="eastAsia"/>
          <w:lang w:eastAsia="zh-CN"/>
        </w:rPr>
      </w:pPr>
      <w:r>
        <w:t xml:space="preserve">We now examine the </w:t>
      </w:r>
      <w:r w:rsidR="00627A3C">
        <w:t xml:space="preserve">statistical </w:t>
      </w:r>
      <w:r w:rsidR="00A30B74">
        <w:t>pattern of designation</w:t>
      </w:r>
      <w:r w:rsidR="00627A3C">
        <w:t>s in the historical record sinc</w:t>
      </w:r>
      <w:r w:rsidR="00A30B74">
        <w:t>e</w:t>
      </w:r>
      <w:r w:rsidR="00627A3C">
        <w:t xml:space="preserve"> 1988.  </w:t>
      </w:r>
      <w:r w:rsidR="004C0499">
        <w:t>T</w:t>
      </w:r>
      <w:r w:rsidR="00BD524F">
        <w:rPr>
          <w:rFonts w:hint="eastAsia"/>
          <w:lang w:eastAsia="zh-CN"/>
        </w:rPr>
        <w:t>he primary</w:t>
      </w:r>
      <w:r w:rsidR="00627A3C">
        <w:t xml:space="preserve"> goal is to assess two different interpretations of the driving force behind the Treasury reports.   First, one could take the 1988 legislation and the subsequent reports at face value</w:t>
      </w:r>
      <w:r w:rsidR="009032D8">
        <w:t>, as an attempt to evaluate the economics of currency undervaluation</w:t>
      </w:r>
      <w:r w:rsidR="00627A3C">
        <w:t xml:space="preserve">.  The IMF Articles of Agreement prohibit member countries from manipulating their currencies for their own competitive advantage. </w:t>
      </w:r>
      <w:r w:rsidR="004C0499">
        <w:t xml:space="preserve">  </w:t>
      </w:r>
      <w:r w:rsidR="00627A3C">
        <w:t xml:space="preserve">The IMF has seldom </w:t>
      </w:r>
      <w:r w:rsidR="004C0499">
        <w:t xml:space="preserve">in practice </w:t>
      </w:r>
      <w:r w:rsidR="00627A3C">
        <w:t xml:space="preserve">exercised this sort of surveillance.  Only twice has the IMF </w:t>
      </w:r>
      <w:r w:rsidR="009032D8">
        <w:t xml:space="preserve">found that </w:t>
      </w:r>
      <w:r w:rsidR="00627A3C">
        <w:t xml:space="preserve">a country </w:t>
      </w:r>
      <w:r w:rsidR="009032D8">
        <w:t xml:space="preserve">has deliberately </w:t>
      </w:r>
      <w:r w:rsidR="00627A3C">
        <w:t>undervalu</w:t>
      </w:r>
      <w:r w:rsidR="009032D8">
        <w:t>ed</w:t>
      </w:r>
      <w:r w:rsidR="00627A3C">
        <w:t xml:space="preserve"> its currency, while it has found hundreds of cases of countries overvaluing their currencies.</w:t>
      </w:r>
      <w:r w:rsidR="007D1964">
        <w:rPr>
          <w:rStyle w:val="FootnoteReference"/>
        </w:rPr>
        <w:footnoteReference w:id="10"/>
      </w:r>
      <w:r w:rsidR="005C77DA">
        <w:t xml:space="preserve">   Thus</w:t>
      </w:r>
      <w:r w:rsidR="009032D8">
        <w:t xml:space="preserve"> one could interpret the US Congress and Treasury as stepping in to enforce thi</w:t>
      </w:r>
      <w:r w:rsidR="005C77DA">
        <w:t>s principle on their</w:t>
      </w:r>
      <w:r w:rsidR="009032D8">
        <w:t xml:space="preserve"> own</w:t>
      </w:r>
      <w:r w:rsidR="004C0499">
        <w:t xml:space="preserve">.    The biannual Treasury reports submitted during the period when John Snow was secretary have included Appendices that are thoughtfully written to explain the economics of exchange rates and trade balances, and the way the Department makes its </w:t>
      </w:r>
      <w:r w:rsidR="00121751">
        <w:t xml:space="preserve">decisions.    </w:t>
      </w:r>
      <w:r w:rsidR="00A85D9A">
        <w:t>US</w:t>
      </w:r>
      <w:r w:rsidR="00121751">
        <w:t xml:space="preserve"> Treasury (2005, Appendix) lists six important indicators that factor into its decision.    They include trade and current account balances, rapid foreign exchange reserve accumulation, and measures of undervaluation and real effective exchange rate movements.      The list explicitly </w:t>
      </w:r>
      <w:r w:rsidR="00121751" w:rsidRPr="004C0499">
        <w:rPr>
          <w:i/>
        </w:rPr>
        <w:t>do</w:t>
      </w:r>
      <w:r w:rsidR="00121751">
        <w:rPr>
          <w:i/>
        </w:rPr>
        <w:t>es</w:t>
      </w:r>
      <w:r w:rsidR="00121751" w:rsidRPr="004C0499">
        <w:rPr>
          <w:i/>
        </w:rPr>
        <w:t xml:space="preserve"> not</w:t>
      </w:r>
      <w:r w:rsidR="00121751">
        <w:t xml:space="preserve"> include bilateral trade balances among the cr</w:t>
      </w:r>
      <w:r w:rsidR="00965379">
        <w:t>iteria, and the document e</w:t>
      </w:r>
      <w:r w:rsidR="00121751">
        <w:t>xplain</w:t>
      </w:r>
      <w:r w:rsidR="00965379">
        <w:t>s</w:t>
      </w:r>
      <w:r w:rsidR="00121751">
        <w:t xml:space="preserve"> why they are not economically relevant.</w:t>
      </w:r>
    </w:p>
    <w:p w:rsidR="00550A8E" w:rsidRDefault="009032D8" w:rsidP="00B66122">
      <w:pPr>
        <w:ind w:firstLine="720"/>
      </w:pPr>
      <w:r>
        <w:t xml:space="preserve">Second, one could interpret </w:t>
      </w:r>
      <w:r w:rsidR="00B66122">
        <w:t>the biannual reports</w:t>
      </w:r>
      <w:r>
        <w:t xml:space="preserve"> as a </w:t>
      </w:r>
      <w:r w:rsidR="005C77DA">
        <w:t>manifestation of</w:t>
      </w:r>
      <w:r>
        <w:t xml:space="preserve"> political pressures within the </w:t>
      </w:r>
      <w:smartTag w:uri="urn:schemas-microsoft-com:office:smarttags" w:element="country-region">
        <w:smartTag w:uri="urn:schemas-microsoft-com:office:smarttags" w:element="place">
          <w:r>
            <w:t>United States</w:t>
          </w:r>
        </w:smartTag>
      </w:smartTag>
      <w:r>
        <w:t>.  While economists do not believe that bilateral trade deficits are of much economic significance, they clearly do matter politically.    Bilateral deficits are blamed for loss of US jobs, especially in manufacturing, and politicians compete to see who can use the tougher rhetoric</w:t>
      </w:r>
      <w:r w:rsidR="008B6068">
        <w:t>.</w:t>
      </w:r>
      <w:r w:rsidR="00B94EC9">
        <w:t xml:space="preserve"> </w:t>
      </w:r>
      <w:r w:rsidR="008B6068">
        <w:t xml:space="preserve"> (Fortunately</w:t>
      </w:r>
      <w:r>
        <w:t xml:space="preserve"> the actual policy actions of whoever holds the White House </w:t>
      </w:r>
      <w:r w:rsidR="00EB4409">
        <w:t xml:space="preserve">tend </w:t>
      </w:r>
      <w:r>
        <w:t xml:space="preserve">to some extent </w:t>
      </w:r>
      <w:r w:rsidR="00EB4409">
        <w:t xml:space="preserve">to be </w:t>
      </w:r>
      <w:r>
        <w:t xml:space="preserve">tempered </w:t>
      </w:r>
      <w:r w:rsidR="009B56AB">
        <w:t xml:space="preserve">by </w:t>
      </w:r>
      <w:r w:rsidR="00C93C7A">
        <w:rPr>
          <w:lang w:eastAsia="zh-CN"/>
        </w:rPr>
        <w:t>offsetting</w:t>
      </w:r>
      <w:r w:rsidR="00C93C7A">
        <w:rPr>
          <w:rFonts w:hint="eastAsia"/>
          <w:lang w:eastAsia="zh-CN"/>
        </w:rPr>
        <w:t xml:space="preserve"> lobb</w:t>
      </w:r>
      <w:r w:rsidR="008B6068">
        <w:rPr>
          <w:lang w:eastAsia="zh-CN"/>
        </w:rPr>
        <w:t>ying from</w:t>
      </w:r>
      <w:r w:rsidR="00C93C7A">
        <w:rPr>
          <w:rFonts w:hint="eastAsia"/>
          <w:lang w:eastAsia="zh-CN"/>
        </w:rPr>
        <w:t xml:space="preserve"> US firms that benefit from cheap imports and </w:t>
      </w:r>
      <w:r w:rsidR="008B6068">
        <w:rPr>
          <w:lang w:eastAsia="zh-CN"/>
        </w:rPr>
        <w:t xml:space="preserve">by </w:t>
      </w:r>
      <w:r w:rsidR="00EB4409">
        <w:t>realities of international economics and politics</w:t>
      </w:r>
      <w:r w:rsidR="008B6068">
        <w:t>.)</w:t>
      </w:r>
      <w:r>
        <w:t xml:space="preserve">   The focus was on </w:t>
      </w:r>
      <w:smartTag w:uri="urn:schemas-microsoft-com:office:smarttags" w:element="country-region">
        <w:smartTag w:uri="urn:schemas-microsoft-com:office:smarttags" w:element="place">
          <w:r>
            <w:t>Japan</w:t>
          </w:r>
        </w:smartTag>
      </w:smartTag>
      <w:r>
        <w:t xml:space="preserve"> 20 years ago and </w:t>
      </w:r>
      <w:smartTag w:uri="urn:schemas-microsoft-com:office:smarttags" w:element="country-region">
        <w:smartTag w:uri="urn:schemas-microsoft-com:office:smarttags" w:element="place">
          <w:r>
            <w:t>Korea</w:t>
          </w:r>
        </w:smartTag>
      </w:smartTag>
      <w:r>
        <w:t xml:space="preserve"> 15 years ago.  The spotlight is now on </w:t>
      </w:r>
      <w:smartTag w:uri="urn:schemas-microsoft-com:office:smarttags" w:element="country-region">
        <w:smartTag w:uri="urn:schemas-microsoft-com:office:smarttags" w:element="place">
          <w:r>
            <w:t>China</w:t>
          </w:r>
        </w:smartTag>
      </w:smartTag>
      <w:r>
        <w:t xml:space="preserve">, with </w:t>
      </w:r>
      <w:smartTag w:uri="urn:schemas-microsoft-com:office:smarttags" w:element="country-region">
        <w:smartTag w:uri="urn:schemas-microsoft-com:office:smarttags" w:element="place">
          <w:r>
            <w:t>India</w:t>
          </w:r>
        </w:smartTag>
      </w:smartTag>
      <w:r>
        <w:t xml:space="preserve"> perhaps waiting in the wings</w:t>
      </w:r>
      <w:r w:rsidR="009B56AB">
        <w:t>, auditioning for the scapegoat role</w:t>
      </w:r>
      <w:r>
        <w:t>.</w:t>
      </w:r>
    </w:p>
    <w:p w:rsidR="00317756" w:rsidRDefault="00317756" w:rsidP="008322FD"/>
    <w:p w:rsidR="008322FD" w:rsidRDefault="00C173E9" w:rsidP="008322FD">
      <w:r>
        <w:rPr>
          <w:b/>
          <w:i/>
        </w:rPr>
        <w:t>2</w:t>
      </w:r>
      <w:r w:rsidR="002B5799" w:rsidRPr="008A1CC3">
        <w:rPr>
          <w:b/>
          <w:i/>
        </w:rPr>
        <w:t xml:space="preserve">.2 </w:t>
      </w:r>
      <w:r w:rsidR="008322FD" w:rsidRPr="008A1CC3">
        <w:rPr>
          <w:b/>
          <w:i/>
        </w:rPr>
        <w:t>Econometric Investigation of Determinants of Treasury Findings</w:t>
      </w:r>
    </w:p>
    <w:p w:rsidR="00570047" w:rsidRDefault="00570047" w:rsidP="008322FD"/>
    <w:p w:rsidR="00B04F0A" w:rsidRDefault="00550A8E" w:rsidP="009E2F46">
      <w:pPr>
        <w:ind w:firstLine="720"/>
      </w:pPr>
      <w:r>
        <w:t>As already noted, w</w:t>
      </w:r>
      <w:r w:rsidR="00994F21">
        <w:t>e use three variable</w:t>
      </w:r>
      <w:r w:rsidR="00101F0F">
        <w:t>s</w:t>
      </w:r>
      <w:r w:rsidR="00994F21">
        <w:t xml:space="preserve"> to capture the first hypothesis, that the Treasury findings are motivated by genuine international economics:  the overall current account surplus of the trading partner (as a percent of its GDP), the change </w:t>
      </w:r>
      <w:r w:rsidR="00101F0F">
        <w:t xml:space="preserve">in </w:t>
      </w:r>
      <w:r w:rsidR="00994F21">
        <w:t xml:space="preserve">the </w:t>
      </w:r>
      <w:r w:rsidR="005C77DA">
        <w:t>partner’s</w:t>
      </w:r>
      <w:r w:rsidR="00994F21">
        <w:t xml:space="preserve"> reserve holdings (using its GDP as the scale variable, along with a few alternative denominators), an</w:t>
      </w:r>
      <w:r w:rsidR="00C056D4">
        <w:t>d the value</w:t>
      </w:r>
      <w:r w:rsidR="00994F21">
        <w:t xml:space="preserve"> of the partner currency (relative to </w:t>
      </w:r>
      <w:r w:rsidR="00C056D4">
        <w:t xml:space="preserve">the IMF’s concept of the </w:t>
      </w:r>
      <w:r w:rsidR="00994F21">
        <w:t>PPP</w:t>
      </w:r>
      <w:r w:rsidR="00C056D4">
        <w:t xml:space="preserve"> exchange rate</w:t>
      </w:r>
      <w:r w:rsidR="00994F21">
        <w:t xml:space="preserve">).     We also use three variables to capture the second hypothesis, that the reports are motivated by American politics: the bilateral balance of the </w:t>
      </w:r>
      <w:smartTag w:uri="urn:schemas-microsoft-com:office:smarttags" w:element="country-region">
        <w:smartTag w:uri="urn:schemas-microsoft-com:office:smarttags" w:element="place">
          <w:r w:rsidR="00994F21">
            <w:t>United States</w:t>
          </w:r>
        </w:smartTag>
      </w:smartTag>
      <w:r w:rsidR="00994F21">
        <w:t xml:space="preserve"> with the partner in question, the </w:t>
      </w:r>
      <w:smartTag w:uri="urn:schemas-microsoft-com:office:smarttags" w:element="country-region">
        <w:smartTag w:uri="urn:schemas-microsoft-com:office:smarttags" w:element="place">
          <w:r w:rsidR="00994F21">
            <w:t>US</w:t>
          </w:r>
        </w:smartTag>
      </w:smartTag>
      <w:r w:rsidR="00994F21">
        <w:t xml:space="preserve"> unemployment rate, and a dummy variable for a presidential election year.    </w:t>
      </w:r>
    </w:p>
    <w:p w:rsidR="00A4050E" w:rsidRDefault="00A4050E" w:rsidP="009E2F46">
      <w:pPr>
        <w:ind w:firstLine="720"/>
      </w:pPr>
    </w:p>
    <w:p w:rsidR="00994F21" w:rsidRDefault="005114F7" w:rsidP="001610EC">
      <w:pPr>
        <w:ind w:firstLine="720"/>
        <w:rPr>
          <w:rFonts w:hint="eastAsia"/>
        </w:rPr>
      </w:pPr>
      <w:r>
        <w:t xml:space="preserve">The sample consists of </w:t>
      </w:r>
      <w:r w:rsidRPr="005114F7">
        <w:t xml:space="preserve">63 </w:t>
      </w:r>
      <w:r>
        <w:t xml:space="preserve">US trading partner countries, observed in each of the </w:t>
      </w:r>
      <w:r w:rsidRPr="005114F7">
        <w:t>3</w:t>
      </w:r>
      <w:r w:rsidR="00364E68">
        <w:t>4</w:t>
      </w:r>
      <w:r>
        <w:t xml:space="preserve"> reports through November 200</w:t>
      </w:r>
      <w:r w:rsidR="00123BA3">
        <w:t>6</w:t>
      </w:r>
      <w:r>
        <w:t>.</w:t>
      </w:r>
      <w:r w:rsidR="00123BA3">
        <w:t xml:space="preserve">  </w:t>
      </w:r>
      <w:r w:rsidR="00994F21">
        <w:t xml:space="preserve">The variable to be explained is </w:t>
      </w:r>
      <w:r w:rsidR="00A26329">
        <w:t>ordinal</w:t>
      </w:r>
      <w:r w:rsidR="00965379">
        <w:t>.   Let Y denote the Treasury’s decision, which can take one of the four values</w:t>
      </w:r>
      <w:r w:rsidR="00994F21">
        <w:t>:</w:t>
      </w:r>
    </w:p>
    <w:p w:rsidR="00DB4610" w:rsidRDefault="00DB4610" w:rsidP="00994F21">
      <w:pPr>
        <w:rPr>
          <w:rFonts w:hint="eastAsia"/>
          <w:lang w:eastAsia="zh-CN"/>
        </w:rPr>
      </w:pPr>
    </w:p>
    <w:p w:rsidR="00994F21" w:rsidRDefault="00994F21" w:rsidP="00994F21">
      <w:r>
        <w:t xml:space="preserve">0 = </w:t>
      </w:r>
      <w:r w:rsidR="009E2F46">
        <w:t xml:space="preserve">country </w:t>
      </w:r>
      <w:r>
        <w:t>not investigated</w:t>
      </w:r>
    </w:p>
    <w:p w:rsidR="00994F21" w:rsidRDefault="00994F21" w:rsidP="00994F21">
      <w:r>
        <w:t>1 = examined as a potential manipulator</w:t>
      </w:r>
    </w:p>
    <w:p w:rsidR="00994F21" w:rsidRDefault="00994F21" w:rsidP="00994F21">
      <w:r>
        <w:t>2 = policy changes recommended / conducting discussions</w:t>
      </w:r>
    </w:p>
    <w:p w:rsidR="00994F21" w:rsidRDefault="00994F21" w:rsidP="00994F21">
      <w:r>
        <w:t>3 = found to be manipulating its exchange rate.</w:t>
      </w:r>
    </w:p>
    <w:p w:rsidR="00965379" w:rsidRDefault="00965379" w:rsidP="00965379">
      <w:pPr>
        <w:autoSpaceDE w:val="0"/>
        <w:autoSpaceDN w:val="0"/>
        <w:adjustRightInd w:val="0"/>
        <w:spacing w:line="240" w:lineRule="atLeast"/>
      </w:pPr>
    </w:p>
    <w:p w:rsidR="00965379" w:rsidRPr="001610EC" w:rsidRDefault="00965379" w:rsidP="001610EC">
      <w:pPr>
        <w:autoSpaceDE w:val="0"/>
        <w:autoSpaceDN w:val="0"/>
        <w:adjustRightInd w:val="0"/>
        <w:spacing w:line="240" w:lineRule="atLeast"/>
        <w:ind w:firstLine="720"/>
      </w:pPr>
      <w:r>
        <w:t xml:space="preserve">Here we apply to the problem the technique of ordered </w:t>
      </w:r>
      <w:proofErr w:type="spellStart"/>
      <w:r>
        <w:t>probit</w:t>
      </w:r>
      <w:proofErr w:type="spellEnd"/>
      <w:r>
        <w:t>.</w:t>
      </w:r>
      <w:r>
        <w:rPr>
          <w:rFonts w:eastAsia="MS Mincho"/>
          <w:color w:val="000000"/>
          <w:lang w:eastAsia="ja-JP"/>
        </w:rPr>
        <w:t xml:space="preserve"> </w:t>
      </w:r>
      <w:r>
        <w:rPr>
          <w:rStyle w:val="FootnoteReference"/>
        </w:rPr>
        <w:footnoteReference w:id="11"/>
      </w:r>
      <w:r>
        <w:rPr>
          <w:rFonts w:eastAsia="MS Mincho"/>
          <w:color w:val="000000"/>
          <w:lang w:eastAsia="ja-JP"/>
        </w:rPr>
        <w:t xml:space="preserve">    </w:t>
      </w:r>
      <w:r w:rsidRPr="009E3BDE">
        <w:rPr>
          <w:lang w:val="en"/>
        </w:rPr>
        <w:t xml:space="preserve">Let us assume that Y depends on the value of a latent variable Y*, which in turns depends on a set of observables: </w:t>
      </w:r>
    </w:p>
    <w:p w:rsidR="00965379" w:rsidRPr="009E3BDE" w:rsidRDefault="00965379" w:rsidP="00965379">
      <w:pPr>
        <w:ind w:firstLine="720"/>
      </w:pPr>
    </w:p>
    <w:p w:rsidR="00965379" w:rsidRPr="00382742" w:rsidRDefault="00965379" w:rsidP="00965379">
      <w:pPr>
        <w:pStyle w:val="HTMLPreformatted"/>
        <w:rPr>
          <w:rFonts w:ascii="Times New Roman" w:hAnsi="Times New Roman" w:cs="Times New Roman"/>
          <w:lang w:val="es-ES"/>
        </w:rPr>
      </w:pPr>
      <w:r w:rsidRPr="009E3BDE">
        <w:rPr>
          <w:lang w:val="en"/>
        </w:rPr>
        <w:tab/>
      </w:r>
      <w:r w:rsidRPr="00382742">
        <w:rPr>
          <w:rFonts w:ascii="Times New Roman" w:hAnsi="Times New Roman" w:cs="Times New Roman"/>
          <w:lang w:val="es-ES"/>
        </w:rPr>
        <w:t xml:space="preserve">Y* = X </w:t>
      </w:r>
      <w:r w:rsidRPr="009E3BDE">
        <w:rPr>
          <w:rFonts w:ascii="Times New Roman" w:hAnsi="Times New Roman" w:cs="Times New Roman"/>
          <w:lang w:val="en"/>
        </w:rPr>
        <w:t>β</w:t>
      </w:r>
      <w:r w:rsidRPr="00382742">
        <w:rPr>
          <w:rFonts w:ascii="Times New Roman" w:hAnsi="Times New Roman" w:cs="Times New Roman"/>
          <w:lang w:val="es-ES"/>
        </w:rPr>
        <w:t xml:space="preserve"> + </w:t>
      </w:r>
      <w:r w:rsidRPr="009E3BDE">
        <w:rPr>
          <w:rFonts w:ascii="Times New Roman" w:hAnsi="Times New Roman" w:cs="Times New Roman"/>
          <w:lang w:val="en"/>
        </w:rPr>
        <w:t>ε</w:t>
      </w:r>
    </w:p>
    <w:p w:rsidR="00965379" w:rsidRPr="00382742" w:rsidRDefault="00965379" w:rsidP="00965379">
      <w:pPr>
        <w:pStyle w:val="HTMLPreformatted"/>
        <w:rPr>
          <w:rFonts w:ascii="Times New Roman" w:hAnsi="Times New Roman" w:cs="Times New Roman"/>
          <w:color w:val="000000"/>
          <w:lang w:val="es-ES"/>
        </w:rPr>
      </w:pPr>
      <w:proofErr w:type="gramStart"/>
      <w:r w:rsidRPr="00382742">
        <w:rPr>
          <w:rFonts w:ascii="Times New Roman" w:hAnsi="Times New Roman" w:cs="Times New Roman"/>
          <w:lang w:val="es-ES"/>
        </w:rPr>
        <w:t>and</w:t>
      </w:r>
      <w:proofErr w:type="gramEnd"/>
    </w:p>
    <w:p w:rsidR="00965379" w:rsidRPr="00382742" w:rsidRDefault="00965379" w:rsidP="00965379">
      <w:pPr>
        <w:pStyle w:val="HTMLPreformatted"/>
        <w:rPr>
          <w:rFonts w:ascii="Times New Roman" w:hAnsi="Times New Roman" w:cs="Times New Roman"/>
          <w:color w:val="000000"/>
          <w:lang w:val="es-ES"/>
        </w:rPr>
      </w:pPr>
      <w:r w:rsidRPr="00382742">
        <w:rPr>
          <w:rFonts w:ascii="Times New Roman" w:hAnsi="Times New Roman" w:cs="Times New Roman"/>
          <w:color w:val="000000"/>
          <w:lang w:val="es-ES"/>
        </w:rPr>
        <w:tab/>
        <w:t xml:space="preserve">Y = 0 </w:t>
      </w:r>
      <w:proofErr w:type="spellStart"/>
      <w:r w:rsidRPr="00382742">
        <w:rPr>
          <w:rFonts w:ascii="Times New Roman" w:hAnsi="Times New Roman" w:cs="Times New Roman"/>
          <w:color w:val="000000"/>
          <w:lang w:val="es-ES"/>
        </w:rPr>
        <w:t>if</w:t>
      </w:r>
      <w:proofErr w:type="spellEnd"/>
      <w:r w:rsidRPr="00382742">
        <w:rPr>
          <w:rFonts w:ascii="Times New Roman" w:hAnsi="Times New Roman" w:cs="Times New Roman"/>
          <w:color w:val="000000"/>
          <w:lang w:val="es-ES"/>
        </w:rPr>
        <w:t xml:space="preserve">  Y* &lt; k1,</w:t>
      </w:r>
    </w:p>
    <w:p w:rsidR="00965379" w:rsidRPr="009E3BDE" w:rsidRDefault="00965379" w:rsidP="00965379">
      <w:pPr>
        <w:pStyle w:val="HTMLPreformatted"/>
        <w:rPr>
          <w:rFonts w:ascii="Times New Roman" w:hAnsi="Times New Roman" w:cs="Times New Roman"/>
          <w:color w:val="000000"/>
          <w:lang w:val="es-ES"/>
        </w:rPr>
      </w:pPr>
      <w:r w:rsidRPr="00382742">
        <w:rPr>
          <w:rFonts w:ascii="Times New Roman" w:hAnsi="Times New Roman" w:cs="Times New Roman"/>
          <w:color w:val="000000"/>
          <w:lang w:val="es-ES"/>
        </w:rPr>
        <w:tab/>
      </w:r>
      <w:r w:rsidRPr="009E3BDE">
        <w:rPr>
          <w:rFonts w:ascii="Times New Roman" w:hAnsi="Times New Roman" w:cs="Times New Roman"/>
          <w:color w:val="000000"/>
          <w:lang w:val="es-ES"/>
        </w:rPr>
        <w:t xml:space="preserve">Y = 1 </w:t>
      </w:r>
      <w:proofErr w:type="spellStart"/>
      <w:r w:rsidRPr="009E3BDE">
        <w:rPr>
          <w:rFonts w:ascii="Times New Roman" w:hAnsi="Times New Roman" w:cs="Times New Roman"/>
          <w:color w:val="000000"/>
          <w:lang w:val="es-ES"/>
        </w:rPr>
        <w:t>if</w:t>
      </w:r>
      <w:proofErr w:type="spellEnd"/>
      <w:r w:rsidRPr="009E3BDE">
        <w:rPr>
          <w:rFonts w:ascii="Times New Roman" w:hAnsi="Times New Roman" w:cs="Times New Roman"/>
          <w:color w:val="000000"/>
          <w:lang w:val="es-ES"/>
        </w:rPr>
        <w:t xml:space="preserve"> k1 ≤ Y* &lt; k2,</w:t>
      </w:r>
    </w:p>
    <w:p w:rsidR="00965379" w:rsidRPr="009E3BDE" w:rsidRDefault="00965379" w:rsidP="00965379">
      <w:pPr>
        <w:pStyle w:val="HTMLPreformatted"/>
        <w:rPr>
          <w:rFonts w:ascii="Times New Roman" w:hAnsi="Times New Roman" w:cs="Times New Roman"/>
          <w:color w:val="000000"/>
          <w:lang w:val="es-ES"/>
        </w:rPr>
      </w:pPr>
      <w:r w:rsidRPr="009E3BDE">
        <w:rPr>
          <w:rFonts w:ascii="Times New Roman" w:hAnsi="Times New Roman" w:cs="Times New Roman"/>
          <w:color w:val="000000"/>
          <w:lang w:val="es-ES"/>
        </w:rPr>
        <w:tab/>
        <w:t xml:space="preserve">Y = 2 </w:t>
      </w:r>
      <w:proofErr w:type="spellStart"/>
      <w:r w:rsidRPr="009E3BDE">
        <w:rPr>
          <w:rFonts w:ascii="Times New Roman" w:hAnsi="Times New Roman" w:cs="Times New Roman"/>
          <w:color w:val="000000"/>
          <w:lang w:val="es-ES"/>
        </w:rPr>
        <w:t>if</w:t>
      </w:r>
      <w:proofErr w:type="spellEnd"/>
      <w:r w:rsidRPr="009E3BDE">
        <w:rPr>
          <w:rFonts w:ascii="Times New Roman" w:hAnsi="Times New Roman" w:cs="Times New Roman"/>
          <w:color w:val="000000"/>
          <w:lang w:val="es-ES"/>
        </w:rPr>
        <w:t xml:space="preserve"> k2 ≤ Y* &lt; k3</w:t>
      </w:r>
    </w:p>
    <w:p w:rsidR="00965379" w:rsidRPr="00382742" w:rsidRDefault="00965379" w:rsidP="00965379">
      <w:pPr>
        <w:pStyle w:val="HTMLPreformatted"/>
        <w:rPr>
          <w:rFonts w:ascii="Times New Roman" w:hAnsi="Times New Roman" w:cs="Times New Roman"/>
          <w:lang w:val="es-ES"/>
        </w:rPr>
      </w:pPr>
      <w:r w:rsidRPr="009E3BDE">
        <w:rPr>
          <w:rFonts w:ascii="Times New Roman" w:hAnsi="Times New Roman" w:cs="Times New Roman"/>
          <w:lang w:val="es-ES"/>
        </w:rPr>
        <w:tab/>
      </w:r>
      <w:r w:rsidRPr="00382742">
        <w:rPr>
          <w:rFonts w:ascii="Times New Roman" w:hAnsi="Times New Roman" w:cs="Times New Roman"/>
          <w:lang w:val="es-ES"/>
        </w:rPr>
        <w:t xml:space="preserve">Y = 3 </w:t>
      </w:r>
      <w:proofErr w:type="spellStart"/>
      <w:r w:rsidRPr="00382742">
        <w:rPr>
          <w:rFonts w:ascii="Times New Roman" w:hAnsi="Times New Roman" w:cs="Times New Roman"/>
          <w:lang w:val="es-ES"/>
        </w:rPr>
        <w:t>if</w:t>
      </w:r>
      <w:proofErr w:type="spellEnd"/>
      <w:r w:rsidRPr="00382742">
        <w:rPr>
          <w:rFonts w:ascii="Times New Roman" w:hAnsi="Times New Roman" w:cs="Times New Roman"/>
          <w:lang w:val="es-ES"/>
        </w:rPr>
        <w:t xml:space="preserve"> k3 ≤ Y*</w:t>
      </w:r>
    </w:p>
    <w:p w:rsidR="00965379" w:rsidRPr="00382742" w:rsidRDefault="00965379" w:rsidP="00965379">
      <w:pPr>
        <w:pStyle w:val="HTMLPreformatted"/>
        <w:rPr>
          <w:rFonts w:ascii="Times New Roman" w:hAnsi="Times New Roman" w:cs="Times New Roman"/>
          <w:lang w:val="es-ES"/>
        </w:rPr>
      </w:pPr>
    </w:p>
    <w:p w:rsidR="009422F2" w:rsidRDefault="00965379" w:rsidP="009422F2">
      <w:proofErr w:type="gramStart"/>
      <w:r w:rsidRPr="009E3BDE">
        <w:rPr>
          <w:lang w:val="en"/>
        </w:rPr>
        <w:t>where</w:t>
      </w:r>
      <w:proofErr w:type="gramEnd"/>
      <w:r w:rsidRPr="009E3BDE">
        <w:rPr>
          <w:lang w:val="en"/>
        </w:rPr>
        <w:t xml:space="preserve"> k1, k2, and k3 are "cutoff points" and k1 &lt; k2&lt;k3 and residual ε is assumed to follow a standard normal distribution. </w:t>
      </w:r>
      <w:r w:rsidR="009422F2">
        <w:rPr>
          <w:lang w:val="en"/>
        </w:rPr>
        <w:t xml:space="preserve">   </w:t>
      </w:r>
      <w:r w:rsidR="009422F2" w:rsidRPr="001610EC">
        <w:rPr>
          <w:rFonts w:eastAsia="Times New Roman"/>
          <w:color w:val="000000"/>
        </w:rPr>
        <w:t xml:space="preserve">Vector X </w:t>
      </w:r>
      <w:r w:rsidR="009422F2">
        <w:rPr>
          <w:rFonts w:eastAsia="Times New Roman"/>
          <w:color w:val="000000"/>
        </w:rPr>
        <w:t xml:space="preserve">includes </w:t>
      </w:r>
      <w:r w:rsidR="009422F2" w:rsidRPr="001610EC">
        <w:rPr>
          <w:rFonts w:eastAsia="Times New Roman"/>
          <w:color w:val="000000"/>
        </w:rPr>
        <w:t>US bilateral trade balance with the country in question, the partner country’s overall current account balance (as a share of GDP), the extent of the partner’s currency overvaluation, the scaled change in the partner’s reserve position</w:t>
      </w:r>
      <w:r w:rsidR="009422F2">
        <w:rPr>
          <w:rFonts w:eastAsia="Times New Roman"/>
          <w:color w:val="000000"/>
        </w:rPr>
        <w:t>,</w:t>
      </w:r>
      <w:r w:rsidR="009422F2" w:rsidRPr="009422F2">
        <w:rPr>
          <w:rFonts w:eastAsia="Times New Roman"/>
          <w:color w:val="000000"/>
        </w:rPr>
        <w:t xml:space="preserve"> US unemployment, </w:t>
      </w:r>
      <w:r w:rsidR="009422F2">
        <w:rPr>
          <w:rFonts w:eastAsia="Times New Roman"/>
          <w:color w:val="000000"/>
        </w:rPr>
        <w:t>and a dummy for US election year</w:t>
      </w:r>
      <w:r w:rsidR="009422F2" w:rsidRPr="001610EC">
        <w:rPr>
          <w:rFonts w:eastAsia="Times New Roman"/>
          <w:color w:val="000000"/>
        </w:rPr>
        <w:t>. In some regressions we also include period dummies</w:t>
      </w:r>
      <w:r w:rsidR="009422F2">
        <w:rPr>
          <w:rFonts w:eastAsia="Times New Roman"/>
          <w:color w:val="000000"/>
        </w:rPr>
        <w:t>,</w:t>
      </w:r>
      <w:r w:rsidR="009422F2" w:rsidRPr="001610EC">
        <w:rPr>
          <w:rFonts w:eastAsia="Times New Roman"/>
          <w:color w:val="000000"/>
        </w:rPr>
        <w:t xml:space="preserve"> to capture</w:t>
      </w:r>
      <w:r w:rsidR="009422F2">
        <w:rPr>
          <w:rFonts w:eastAsia="Times New Roman"/>
          <w:color w:val="000000"/>
        </w:rPr>
        <w:t xml:space="preserve"> a</w:t>
      </w:r>
      <w:r w:rsidR="009422F2" w:rsidRPr="001610EC">
        <w:rPr>
          <w:rFonts w:eastAsia="Times New Roman"/>
          <w:color w:val="000000"/>
        </w:rPr>
        <w:t xml:space="preserve"> changing economic </w:t>
      </w:r>
      <w:r w:rsidR="009422F2">
        <w:rPr>
          <w:rFonts w:eastAsia="Times New Roman"/>
          <w:color w:val="000000"/>
        </w:rPr>
        <w:t xml:space="preserve">or political </w:t>
      </w:r>
      <w:r w:rsidR="009422F2" w:rsidRPr="001610EC">
        <w:rPr>
          <w:rFonts w:eastAsia="Times New Roman"/>
          <w:color w:val="000000"/>
        </w:rPr>
        <w:t xml:space="preserve">environment generally. </w:t>
      </w:r>
      <w:r w:rsidR="00EE286E">
        <w:rPr>
          <w:rFonts w:eastAsia="Times New Roman"/>
          <w:color w:val="000000"/>
        </w:rPr>
        <w:t xml:space="preserve"> </w:t>
      </w:r>
      <w:r w:rsidR="009422F2" w:rsidRPr="001610EC">
        <w:rPr>
          <w:rFonts w:eastAsia="Times New Roman"/>
          <w:color w:val="000000"/>
        </w:rPr>
        <w:t xml:space="preserve">In this case, </w:t>
      </w:r>
      <w:smartTag w:uri="urn:schemas-microsoft-com:office:smarttags" w:element="country-region">
        <w:smartTag w:uri="urn:schemas-microsoft-com:office:smarttags" w:element="place">
          <w:r w:rsidR="009422F2" w:rsidRPr="001610EC">
            <w:rPr>
              <w:rFonts w:eastAsia="Times New Roman"/>
              <w:color w:val="000000"/>
            </w:rPr>
            <w:t>US</w:t>
          </w:r>
        </w:smartTag>
      </w:smartTag>
      <w:r w:rsidR="009422F2" w:rsidRPr="001610EC">
        <w:rPr>
          <w:rFonts w:eastAsia="Times New Roman"/>
          <w:color w:val="000000"/>
        </w:rPr>
        <w:t xml:space="preserve"> unemployment and election year dummy are dropped out as they are linear combinations of the period dummies.</w:t>
      </w:r>
      <w:r w:rsidR="009422F2">
        <w:rPr>
          <w:rFonts w:ascii="Courier" w:eastAsia="Times New Roman" w:hAnsi="Courier" w:cs="Courier"/>
          <w:color w:val="000000"/>
          <w:sz w:val="20"/>
          <w:szCs w:val="20"/>
        </w:rPr>
        <w:t xml:space="preserve"> </w:t>
      </w:r>
      <w:r w:rsidR="009422F2" w:rsidRPr="009E3BDE">
        <w:rPr>
          <w:lang w:val="en"/>
        </w:rPr>
        <w:t>The cutoff points and β ca</w:t>
      </w:r>
      <w:r w:rsidR="009422F2">
        <w:rPr>
          <w:lang w:val="en"/>
        </w:rPr>
        <w:t>n</w:t>
      </w:r>
      <w:r w:rsidR="009422F2" w:rsidRPr="009E3BDE">
        <w:rPr>
          <w:lang w:val="en"/>
        </w:rPr>
        <w:t xml:space="preserve"> be estimated by maximum likelihood.</w:t>
      </w:r>
    </w:p>
    <w:p w:rsidR="009422F2" w:rsidRDefault="009422F2" w:rsidP="00994F21"/>
    <w:p w:rsidR="009422F2" w:rsidRDefault="009422F2" w:rsidP="00994F21"/>
    <w:p w:rsidR="00570047" w:rsidRPr="008A1CC3" w:rsidRDefault="00570047" w:rsidP="00570047">
      <w:pPr>
        <w:rPr>
          <w:b/>
          <w:i/>
        </w:rPr>
      </w:pPr>
      <w:proofErr w:type="gramStart"/>
      <w:r>
        <w:rPr>
          <w:b/>
          <w:i/>
        </w:rPr>
        <w:t xml:space="preserve">2.2.1  </w:t>
      </w:r>
      <w:r w:rsidR="00D4678E">
        <w:rPr>
          <w:b/>
          <w:i/>
        </w:rPr>
        <w:t>Estimates</w:t>
      </w:r>
      <w:proofErr w:type="gramEnd"/>
      <w:r w:rsidR="00D4678E">
        <w:rPr>
          <w:b/>
          <w:i/>
        </w:rPr>
        <w:t xml:space="preserve"> from </w:t>
      </w:r>
      <w:r>
        <w:rPr>
          <w:b/>
          <w:i/>
        </w:rPr>
        <w:t xml:space="preserve">Ordered </w:t>
      </w:r>
      <w:proofErr w:type="spellStart"/>
      <w:r>
        <w:rPr>
          <w:b/>
          <w:i/>
        </w:rPr>
        <w:t>Probit</w:t>
      </w:r>
      <w:proofErr w:type="spellEnd"/>
      <w:r>
        <w:rPr>
          <w:b/>
          <w:i/>
        </w:rPr>
        <w:t xml:space="preserve"> Analysis</w:t>
      </w:r>
    </w:p>
    <w:p w:rsidR="00570047" w:rsidRDefault="00570047" w:rsidP="00994F21"/>
    <w:p w:rsidR="004E5F60" w:rsidRDefault="003A234C" w:rsidP="001610EC">
      <w:pPr>
        <w:autoSpaceDE w:val="0"/>
        <w:autoSpaceDN w:val="0"/>
        <w:adjustRightInd w:val="0"/>
        <w:spacing w:line="240" w:lineRule="atLeast"/>
        <w:ind w:firstLine="720"/>
      </w:pPr>
      <w:r>
        <w:t>The</w:t>
      </w:r>
      <w:r w:rsidR="00E121E3">
        <w:t xml:space="preserve"> results are </w:t>
      </w:r>
      <w:r w:rsidR="004E5F60">
        <w:t>presented</w:t>
      </w:r>
      <w:r w:rsidR="00E121E3">
        <w:t xml:space="preserve"> in </w:t>
      </w:r>
      <w:r w:rsidR="00965379">
        <w:t>T</w:t>
      </w:r>
      <w:r w:rsidR="00E121E3">
        <w:t>ables</w:t>
      </w:r>
      <w:r w:rsidR="00965379">
        <w:t xml:space="preserve"> 1-3</w:t>
      </w:r>
      <w:r w:rsidR="00E121E3">
        <w:t xml:space="preserve">.  </w:t>
      </w:r>
      <w:r w:rsidR="00965379">
        <w:t xml:space="preserve"> </w:t>
      </w:r>
      <w:r w:rsidR="004E5F60">
        <w:t xml:space="preserve">We </w:t>
      </w:r>
      <w:r w:rsidR="004E5F60" w:rsidRPr="002E0678">
        <w:rPr>
          <w:rFonts w:eastAsia="MS Mincho"/>
          <w:color w:val="000000"/>
          <w:lang w:eastAsia="ja-JP"/>
        </w:rPr>
        <w:t>report standard errors that are clustered by country.</w:t>
      </w:r>
    </w:p>
    <w:p w:rsidR="0009772B" w:rsidRDefault="00965379" w:rsidP="001610EC">
      <w:pPr>
        <w:ind w:firstLine="720"/>
      </w:pPr>
      <w:r>
        <w:t xml:space="preserve">The first column shows estimation on the complete sample of 63 trading partners.    </w:t>
      </w:r>
      <w:r w:rsidR="0009772B">
        <w:t xml:space="preserve"> Two variables stand out as consistently stronger than any others:  the </w:t>
      </w:r>
      <w:smartTag w:uri="urn:schemas-microsoft-com:office:smarttags" w:element="country-region">
        <w:smartTag w:uri="urn:schemas-microsoft-com:office:smarttags" w:element="place">
          <w:r w:rsidR="0009772B">
            <w:t>US</w:t>
          </w:r>
        </w:smartTag>
      </w:smartTag>
      <w:r w:rsidR="0009772B">
        <w:t xml:space="preserve"> bilateral trade balance with the country in question, and the partner’s overall current account as a share of GDP.    Both show coefficients that are of the hypothesized sign and highly significant.   The only other variable that is significant, even at the 10% level is the </w:t>
      </w:r>
      <w:smartTag w:uri="urn:schemas-microsoft-com:office:smarttags" w:element="country-region">
        <w:smartTag w:uri="urn:schemas-microsoft-com:office:smarttags" w:element="place">
          <w:r w:rsidR="0009772B">
            <w:t>US</w:t>
          </w:r>
        </w:smartTag>
      </w:smartTag>
      <w:r w:rsidR="0009772B">
        <w:t xml:space="preserve"> election year dummy.</w:t>
      </w:r>
      <w:r w:rsidR="009A4A3C">
        <w:t xml:space="preserve">    The partner reserves variable</w:t>
      </w:r>
      <w:r w:rsidR="009A4A3C">
        <w:rPr>
          <w:rStyle w:val="FootnoteReference"/>
        </w:rPr>
        <w:footnoteReference w:id="12"/>
      </w:r>
      <w:r w:rsidR="009A4A3C">
        <w:t xml:space="preserve"> -- essentially its balance of payments surplus – generally appears statistically insignificant.</w:t>
      </w:r>
    </w:p>
    <w:p w:rsidR="0009772B" w:rsidRDefault="0009772B" w:rsidP="00994F21"/>
    <w:p w:rsidR="00965379" w:rsidRDefault="0009772B" w:rsidP="001610EC">
      <w:pPr>
        <w:ind w:firstLine="720"/>
      </w:pPr>
      <w:r>
        <w:t>The second column reports o</w:t>
      </w:r>
      <w:r w:rsidR="00965379">
        <w:t>ur preferred estimation</w:t>
      </w:r>
      <w:r w:rsidR="00550639">
        <w:t>.  I</w:t>
      </w:r>
      <w:r>
        <w:t xml:space="preserve">t </w:t>
      </w:r>
      <w:r w:rsidR="00965379">
        <w:t>omits from the sample</w:t>
      </w:r>
      <w:r>
        <w:t xml:space="preserve"> nine oil-exporting countries, because this is what the Treasury says it does.</w:t>
      </w:r>
      <w:r w:rsidR="00550639" w:rsidRPr="00550639">
        <w:rPr>
          <w:rStyle w:val="FootnoteReference"/>
        </w:rPr>
        <w:t xml:space="preserve"> </w:t>
      </w:r>
      <w:r w:rsidR="00550639">
        <w:rPr>
          <w:rStyle w:val="FootnoteReference"/>
        </w:rPr>
        <w:footnoteReference w:id="13"/>
      </w:r>
      <w:r w:rsidR="00550639">
        <w:t xml:space="preserve"> </w:t>
      </w:r>
      <w:r>
        <w:t xml:space="preserve">   Now the effect of the partner’s real exchange rate rises above the 10% significance level, as does the </w:t>
      </w:r>
      <w:smartTag w:uri="urn:schemas-microsoft-com:office:smarttags" w:element="country-region">
        <w:smartTag w:uri="urn:schemas-microsoft-com:office:smarttags" w:element="place">
          <w:r>
            <w:t>US</w:t>
          </w:r>
        </w:smartTag>
      </w:smartTag>
      <w:r>
        <w:t xml:space="preserve"> unemployment rate.   The election year dummy loses its significance.</w:t>
      </w:r>
      <w:r w:rsidR="00550639">
        <w:t xml:space="preserve">  There were only five presidential elections during this period, so lack of observations may explain the lack of statistical significance of this variable.</w:t>
      </w:r>
    </w:p>
    <w:p w:rsidR="0009772B" w:rsidRDefault="0009772B" w:rsidP="001610EC">
      <w:pPr>
        <w:ind w:firstLine="720"/>
      </w:pPr>
    </w:p>
    <w:p w:rsidR="00965379" w:rsidRDefault="0009772B" w:rsidP="00994F21">
      <w:r>
        <w:tab/>
        <w:t xml:space="preserve">Columns (3) and (4) use the </w:t>
      </w:r>
      <w:smartTag w:uri="urn:schemas-microsoft-com:office:smarttags" w:element="country-region">
        <w:smartTag w:uri="urn:schemas-microsoft-com:office:smarttags" w:element="place">
          <w:r>
            <w:t>US</w:t>
          </w:r>
        </w:smartTag>
      </w:smartTag>
      <w:r>
        <w:t xml:space="preserve"> unemployment rate </w:t>
      </w:r>
      <w:r w:rsidRPr="001610EC">
        <w:rPr>
          <w:i/>
        </w:rPr>
        <w:t>interacted with</w:t>
      </w:r>
      <w:r>
        <w:t xml:space="preserve"> the election year dummy, instead of entering them separately.   The interactive variable is significant at the 5% level, with </w:t>
      </w:r>
      <w:r w:rsidR="00364E68">
        <w:t xml:space="preserve">either </w:t>
      </w:r>
      <w:r>
        <w:t xml:space="preserve">the full sample </w:t>
      </w:r>
      <w:r w:rsidR="008713A5">
        <w:t>or</w:t>
      </w:r>
      <w:r>
        <w:t xml:space="preserve"> the non-oil countries sample.</w:t>
      </w:r>
      <w:r w:rsidR="008713A5">
        <w:t xml:space="preserve">    Evidently the domestic politics become more important, not in all election years, but in those election years when the electorate is worried about job loss.</w:t>
      </w:r>
      <w:r w:rsidR="008713A5">
        <w:rPr>
          <w:rStyle w:val="FootnoteReference"/>
        </w:rPr>
        <w:footnoteReference w:id="14"/>
      </w:r>
    </w:p>
    <w:p w:rsidR="00364E68" w:rsidRPr="009E3BDE" w:rsidRDefault="00364E68" w:rsidP="00364E68">
      <w:pPr>
        <w:pStyle w:val="HTMLPreformatted"/>
        <w:spacing w:line="240" w:lineRule="auto"/>
        <w:rPr>
          <w:rFonts w:ascii="Times New Roman" w:hAnsi="Times New Roman" w:cs="Times New Roman"/>
          <w:color w:val="000000"/>
        </w:rPr>
      </w:pPr>
    </w:p>
    <w:p w:rsidR="00364E68" w:rsidRDefault="00364E68" w:rsidP="00364E68">
      <w:pPr>
        <w:rPr>
          <w:i/>
          <w:color w:val="000000"/>
        </w:rPr>
      </w:pPr>
      <w:r w:rsidRPr="006B049A">
        <w:rPr>
          <w:i/>
          <w:color w:val="000000"/>
        </w:rPr>
        <w:t>2.2.2 Assessing the relative importance of different factors</w:t>
      </w:r>
    </w:p>
    <w:p w:rsidR="004E5F60" w:rsidRDefault="004E5F60" w:rsidP="004E5F60">
      <w:pPr>
        <w:autoSpaceDE w:val="0"/>
        <w:autoSpaceDN w:val="0"/>
        <w:adjustRightInd w:val="0"/>
        <w:spacing w:line="240" w:lineRule="atLeast"/>
        <w:rPr>
          <w:rFonts w:ascii="Courier" w:eastAsia="Times New Roman" w:hAnsi="Courier" w:cs="Courier"/>
          <w:color w:val="000000"/>
          <w:sz w:val="20"/>
          <w:szCs w:val="20"/>
        </w:rPr>
      </w:pPr>
    </w:p>
    <w:p w:rsidR="004E5F60" w:rsidRPr="001610EC" w:rsidRDefault="004E5F60" w:rsidP="001610EC">
      <w:pPr>
        <w:autoSpaceDE w:val="0"/>
        <w:autoSpaceDN w:val="0"/>
        <w:adjustRightInd w:val="0"/>
        <w:spacing w:line="240" w:lineRule="atLeast"/>
        <w:rPr>
          <w:color w:val="000000"/>
        </w:rPr>
      </w:pPr>
      <w:r w:rsidRPr="001610EC">
        <w:rPr>
          <w:rFonts w:eastAsia="Times New Roman"/>
          <w:color w:val="000000"/>
        </w:rPr>
        <w:t xml:space="preserve">      How can one assess the relative quantitative importance of the different factors in </w:t>
      </w:r>
      <w:proofErr w:type="gramStart"/>
      <w:r w:rsidRPr="001610EC">
        <w:rPr>
          <w:rFonts w:eastAsia="Times New Roman"/>
          <w:color w:val="000000"/>
        </w:rPr>
        <w:t>the  Treasury</w:t>
      </w:r>
      <w:proofErr w:type="gramEnd"/>
      <w:r w:rsidRPr="001610EC">
        <w:rPr>
          <w:rFonts w:eastAsia="Times New Roman"/>
          <w:color w:val="000000"/>
        </w:rPr>
        <w:t xml:space="preserve"> decisions?   One way is according to level of statistical significance.   Here the bilateral trade balance is the clear leader.  But another way to approach the problem – at least for variables that pass the threshold of statistical significance – is to look at the estimated size of the effect of a </w:t>
      </w:r>
      <w:proofErr w:type="spellStart"/>
      <w:r w:rsidRPr="001610EC">
        <w:rPr>
          <w:rFonts w:eastAsia="Times New Roman"/>
          <w:color w:val="000000"/>
        </w:rPr>
        <w:t>regressor</w:t>
      </w:r>
      <w:proofErr w:type="spellEnd"/>
      <w:r w:rsidRPr="001610EC">
        <w:rPr>
          <w:rFonts w:eastAsia="Times New Roman"/>
          <w:color w:val="000000"/>
        </w:rPr>
        <w:t xml:space="preserve"> on the latent variable y*.  One does not want to compare the point estimates of the coefficients directly, because their scales are arbitrary. Instead, we re-scale a given point estimate by the relevant </w:t>
      </w:r>
      <w:proofErr w:type="spellStart"/>
      <w:r w:rsidRPr="001610EC">
        <w:rPr>
          <w:rFonts w:eastAsia="Times New Roman"/>
          <w:color w:val="000000"/>
        </w:rPr>
        <w:t>regressor's</w:t>
      </w:r>
      <w:proofErr w:type="spellEnd"/>
      <w:r w:rsidRPr="001610EC">
        <w:rPr>
          <w:rFonts w:eastAsia="Times New Roman"/>
          <w:color w:val="000000"/>
        </w:rPr>
        <w:t xml:space="preserve"> standard deviation in the sample. The last column in each table reports the predicted change in the latent variable in response to a one-standard deviation increase in a </w:t>
      </w:r>
      <w:proofErr w:type="spellStart"/>
      <w:r w:rsidRPr="001610EC">
        <w:rPr>
          <w:rFonts w:eastAsia="Times New Roman"/>
          <w:color w:val="000000"/>
        </w:rPr>
        <w:t>regressor</w:t>
      </w:r>
      <w:proofErr w:type="spellEnd"/>
      <w:r w:rsidRPr="001610EC">
        <w:rPr>
          <w:rFonts w:eastAsia="Times New Roman"/>
          <w:color w:val="000000"/>
        </w:rPr>
        <w:t>.   We only report</w:t>
      </w:r>
      <w:r>
        <w:rPr>
          <w:rFonts w:eastAsia="Times New Roman"/>
          <w:color w:val="000000"/>
        </w:rPr>
        <w:t xml:space="preserve"> </w:t>
      </w:r>
      <w:r w:rsidRPr="001610EC">
        <w:rPr>
          <w:rFonts w:eastAsia="Times New Roman"/>
          <w:color w:val="000000"/>
        </w:rPr>
        <w:t xml:space="preserve">such coefficients corresponding to the regression in Column 4 (to avoid overcrowding in the tables).   One may read the absolute size of this coefficient as a way to assess the relative importance of various </w:t>
      </w:r>
      <w:proofErr w:type="spellStart"/>
      <w:r w:rsidRPr="001610EC">
        <w:rPr>
          <w:rFonts w:eastAsia="Times New Roman"/>
          <w:color w:val="000000"/>
        </w:rPr>
        <w:t>regressors</w:t>
      </w:r>
      <w:proofErr w:type="spellEnd"/>
      <w:r w:rsidRPr="001610EC">
        <w:rPr>
          <w:rFonts w:eastAsia="Times New Roman"/>
          <w:color w:val="000000"/>
        </w:rPr>
        <w:t xml:space="preserve"> that cause the Treasury to move a country up the ladder in the findings.  By this criterion, in Table 1 the partner’s current account beats out the bilateral balance by a fairly small margin: a one-standard</w:t>
      </w:r>
      <w:r w:rsidR="00C41AE4">
        <w:rPr>
          <w:rFonts w:eastAsia="Times New Roman"/>
          <w:color w:val="000000"/>
        </w:rPr>
        <w:t>-</w:t>
      </w:r>
      <w:r w:rsidRPr="001610EC">
        <w:rPr>
          <w:rFonts w:eastAsia="Times New Roman"/>
          <w:color w:val="000000"/>
        </w:rPr>
        <w:t>deviation increase in the partner’s current account has a larger effect than a one-standard</w:t>
      </w:r>
      <w:r w:rsidR="00C41AE4">
        <w:rPr>
          <w:rFonts w:eastAsia="Times New Roman"/>
          <w:color w:val="000000"/>
        </w:rPr>
        <w:t>-</w:t>
      </w:r>
      <w:r w:rsidRPr="001610EC">
        <w:rPr>
          <w:rFonts w:eastAsia="Times New Roman"/>
          <w:color w:val="000000"/>
        </w:rPr>
        <w:t xml:space="preserve">deviation increase of the </w:t>
      </w:r>
      <w:smartTag w:uri="urn:schemas-microsoft-com:office:smarttags" w:element="country-region">
        <w:smartTag w:uri="urn:schemas-microsoft-com:office:smarttags" w:element="place">
          <w:r w:rsidRPr="001610EC">
            <w:rPr>
              <w:rFonts w:eastAsia="Times New Roman"/>
              <w:color w:val="000000"/>
            </w:rPr>
            <w:t>US</w:t>
          </w:r>
        </w:smartTag>
      </w:smartTag>
      <w:r w:rsidRPr="001610EC">
        <w:rPr>
          <w:rFonts w:eastAsia="Times New Roman"/>
          <w:color w:val="000000"/>
        </w:rPr>
        <w:t xml:space="preserve"> bilateral deficit.   The</w:t>
      </w:r>
      <w:r>
        <w:rPr>
          <w:rFonts w:eastAsia="Times New Roman"/>
          <w:color w:val="000000"/>
        </w:rPr>
        <w:t xml:space="preserve"> </w:t>
      </w:r>
      <w:smartTag w:uri="urn:schemas-microsoft-com:office:smarttags" w:element="country-region">
        <w:smartTag w:uri="urn:schemas-microsoft-com:office:smarttags" w:element="place">
          <w:r w:rsidRPr="001610EC">
            <w:rPr>
              <w:rFonts w:eastAsia="Times New Roman"/>
              <w:color w:val="000000"/>
            </w:rPr>
            <w:t>US</w:t>
          </w:r>
        </w:smartTag>
      </w:smartTag>
      <w:r w:rsidRPr="001610EC">
        <w:rPr>
          <w:rFonts w:eastAsia="Times New Roman"/>
          <w:color w:val="000000"/>
        </w:rPr>
        <w:t xml:space="preserve"> unemployment-election variable comes third in importance, whether judged by statistical significance or standardized response (among the variables that are significant).</w:t>
      </w:r>
    </w:p>
    <w:p w:rsidR="00364E68" w:rsidRDefault="00364E68" w:rsidP="00364E68">
      <w:pPr>
        <w:rPr>
          <w:i/>
          <w:color w:val="000000"/>
        </w:rPr>
      </w:pPr>
    </w:p>
    <w:p w:rsidR="002F5C3F" w:rsidRDefault="00364E68" w:rsidP="00364E68">
      <w:pPr>
        <w:rPr>
          <w:color w:val="000000"/>
        </w:rPr>
      </w:pPr>
      <w:r>
        <w:rPr>
          <w:i/>
          <w:color w:val="000000"/>
        </w:rPr>
        <w:t xml:space="preserve">2.2.3 </w:t>
      </w:r>
      <w:r w:rsidR="00203923">
        <w:rPr>
          <w:i/>
          <w:color w:val="000000"/>
        </w:rPr>
        <w:t>Controlling for findings of preceding Treasury reports</w:t>
      </w:r>
    </w:p>
    <w:p w:rsidR="00203923" w:rsidRDefault="00203923" w:rsidP="00364E68">
      <w:pPr>
        <w:rPr>
          <w:color w:val="000000"/>
        </w:rPr>
      </w:pPr>
    </w:p>
    <w:p w:rsidR="00203923" w:rsidRDefault="00203923" w:rsidP="00364E68">
      <w:pPr>
        <w:rPr>
          <w:color w:val="000000"/>
        </w:rPr>
      </w:pPr>
      <w:r>
        <w:rPr>
          <w:color w:val="000000"/>
        </w:rPr>
        <w:tab/>
        <w:t xml:space="preserve">It would not be surprising to find some persistence over time in the </w:t>
      </w:r>
      <w:r w:rsidR="00753E85">
        <w:rPr>
          <w:color w:val="000000"/>
        </w:rPr>
        <w:t>Treasury findings</w:t>
      </w:r>
      <w:r>
        <w:rPr>
          <w:color w:val="000000"/>
        </w:rPr>
        <w:t xml:space="preserve">.  </w:t>
      </w:r>
      <w:r w:rsidR="00753E85">
        <w:rPr>
          <w:color w:val="000000"/>
        </w:rPr>
        <w:t>That is, if it chooses to investigate a country for possible manipulation in one period, it is likely to do so again in the next period (possibly due to omitted variables).</w:t>
      </w:r>
      <w:r>
        <w:rPr>
          <w:color w:val="000000"/>
        </w:rPr>
        <w:t xml:space="preserve"> </w:t>
      </w:r>
      <w:r w:rsidR="00753E85">
        <w:rPr>
          <w:color w:val="000000"/>
        </w:rPr>
        <w:t xml:space="preserve"> To check this, we augmented the basic model by including in the X-vector a new dummy that indicates that Y &gt; 0 in the previous report.  This conjecture is confirmed in </w:t>
      </w:r>
      <w:r w:rsidR="00797F5E">
        <w:rPr>
          <w:color w:val="000000"/>
        </w:rPr>
        <w:t>Table 2</w:t>
      </w:r>
      <w:r w:rsidR="00753E85">
        <w:rPr>
          <w:color w:val="000000"/>
        </w:rPr>
        <w:t>:  the goodness of fit (pseudo R</w:t>
      </w:r>
      <w:r w:rsidR="00753E85" w:rsidRPr="001610EC">
        <w:rPr>
          <w:color w:val="000000"/>
          <w:vertAlign w:val="superscript"/>
        </w:rPr>
        <w:t>2</w:t>
      </w:r>
      <w:r w:rsidR="00753E85">
        <w:rPr>
          <w:color w:val="000000"/>
        </w:rPr>
        <w:t xml:space="preserve">) increases sharply and the variable </w:t>
      </w:r>
      <w:r>
        <w:rPr>
          <w:color w:val="000000"/>
        </w:rPr>
        <w:t>is highly significant in all cases.  Its presence also boosts the strength of some of the oth</w:t>
      </w:r>
      <w:r w:rsidR="00753E85">
        <w:rPr>
          <w:color w:val="000000"/>
        </w:rPr>
        <w:t xml:space="preserve">er estimated coefficients, </w:t>
      </w:r>
      <w:r>
        <w:rPr>
          <w:color w:val="000000"/>
        </w:rPr>
        <w:t>notably the change in partner reserves.</w:t>
      </w:r>
      <w:r w:rsidR="00753E85">
        <w:rPr>
          <w:color w:val="000000"/>
        </w:rPr>
        <w:t xml:space="preserve">    Also the </w:t>
      </w:r>
      <w:smartTag w:uri="urn:schemas-microsoft-com:office:smarttags" w:element="country-region">
        <w:smartTag w:uri="urn:schemas-microsoft-com:office:smarttags" w:element="place">
          <w:r w:rsidR="00753E85">
            <w:rPr>
              <w:color w:val="000000"/>
            </w:rPr>
            <w:t>US</w:t>
          </w:r>
        </w:smartTag>
      </w:smartTag>
      <w:r w:rsidR="00753E85">
        <w:rPr>
          <w:color w:val="000000"/>
        </w:rPr>
        <w:t xml:space="preserve"> unemployment rate is now highly statistically significant on its own.</w:t>
      </w:r>
    </w:p>
    <w:p w:rsidR="00B10A5D" w:rsidRPr="001610EC" w:rsidRDefault="00B10A5D" w:rsidP="00364E68">
      <w:pPr>
        <w:rPr>
          <w:color w:val="000000"/>
        </w:rPr>
      </w:pPr>
      <w:r>
        <w:rPr>
          <w:color w:val="000000"/>
        </w:rPr>
        <w:tab/>
        <w:t xml:space="preserve">We also tried </w:t>
      </w:r>
      <w:proofErr w:type="gramStart"/>
      <w:r>
        <w:rPr>
          <w:color w:val="000000"/>
        </w:rPr>
        <w:t>interacting</w:t>
      </w:r>
      <w:proofErr w:type="gramEnd"/>
      <w:r>
        <w:rPr>
          <w:color w:val="000000"/>
        </w:rPr>
        <w:t xml:space="preserve"> the previous report variable with the other determinants.   Our findings (not reported here) </w:t>
      </w:r>
      <w:r w:rsidR="00797F5E">
        <w:rPr>
          <w:color w:val="000000"/>
        </w:rPr>
        <w:t>are</w:t>
      </w:r>
      <w:r>
        <w:rPr>
          <w:color w:val="000000"/>
        </w:rPr>
        <w:t xml:space="preserve"> that </w:t>
      </w:r>
      <w:r w:rsidR="00797F5E">
        <w:rPr>
          <w:color w:val="000000"/>
        </w:rPr>
        <w:t xml:space="preserve">a high </w:t>
      </w:r>
      <w:smartTag w:uri="urn:schemas-microsoft-com:office:smarttags" w:element="country-region">
        <w:smartTag w:uri="urn:schemas-microsoft-com:office:smarttags" w:element="place">
          <w:r w:rsidR="00797F5E">
            <w:rPr>
              <w:color w:val="000000"/>
            </w:rPr>
            <w:t>US</w:t>
          </w:r>
        </w:smartTag>
      </w:smartTag>
      <w:r w:rsidR="00797F5E">
        <w:rPr>
          <w:color w:val="000000"/>
        </w:rPr>
        <w:t xml:space="preserve"> bilateral deficit this period, or high partner surplus on the current account or overall balance of payments, counts significantly less if the partner was already investigated last period.</w:t>
      </w:r>
    </w:p>
    <w:p w:rsidR="002F5C3F" w:rsidRDefault="002F5C3F" w:rsidP="00364E68">
      <w:pPr>
        <w:rPr>
          <w:i/>
          <w:color w:val="000000"/>
        </w:rPr>
      </w:pPr>
    </w:p>
    <w:p w:rsidR="00364E68" w:rsidRDefault="002F5C3F" w:rsidP="00364E68">
      <w:pPr>
        <w:rPr>
          <w:color w:val="000000"/>
        </w:rPr>
      </w:pPr>
      <w:r>
        <w:rPr>
          <w:i/>
          <w:color w:val="000000"/>
        </w:rPr>
        <w:t xml:space="preserve">2.2.4 </w:t>
      </w:r>
      <w:r w:rsidR="00364E68">
        <w:rPr>
          <w:i/>
          <w:color w:val="000000"/>
        </w:rPr>
        <w:t>Other</w:t>
      </w:r>
      <w:r w:rsidR="00797F5E">
        <w:rPr>
          <w:i/>
          <w:color w:val="000000"/>
        </w:rPr>
        <w:t xml:space="preserve"> e</w:t>
      </w:r>
      <w:r w:rsidR="00364E68">
        <w:rPr>
          <w:i/>
          <w:color w:val="000000"/>
        </w:rPr>
        <w:t>xtensions of results</w:t>
      </w:r>
    </w:p>
    <w:p w:rsidR="00364E68" w:rsidRDefault="00364E68" w:rsidP="00364E68">
      <w:pPr>
        <w:rPr>
          <w:rFonts w:eastAsia="MS Mincho"/>
          <w:color w:val="000000"/>
          <w:lang w:eastAsia="ja-JP"/>
        </w:rPr>
      </w:pPr>
    </w:p>
    <w:p w:rsidR="00364E68" w:rsidRDefault="00797F5E" w:rsidP="001610EC">
      <w:pPr>
        <w:ind w:firstLine="720"/>
      </w:pPr>
      <w:r>
        <w:t xml:space="preserve">It appears that the Treasury is eager not to single out one country for unique opprobrium.  There has never been a case where a single country is left completely exposed on its own.   Other things equal, the country with the top ranking in terms of the combination of economic and political </w:t>
      </w:r>
      <w:r>
        <w:rPr>
          <w:rFonts w:hint="eastAsia"/>
          <w:lang w:eastAsia="zh-CN"/>
        </w:rPr>
        <w:t xml:space="preserve">variables </w:t>
      </w:r>
      <w:r>
        <w:t>is less likely to be named than if it had some other country to hide behind, while the second-ranked and third-ranked countries are more likely to be moved up, to give the leader company.   These results are highly significant statistically.</w:t>
      </w:r>
      <w:r>
        <w:rPr>
          <w:rStyle w:val="FootnoteReference"/>
        </w:rPr>
        <w:footnoteReference w:id="15"/>
      </w:r>
    </w:p>
    <w:p w:rsidR="00797F5E" w:rsidRDefault="00797F5E" w:rsidP="001610EC">
      <w:pPr>
        <w:ind w:firstLine="720"/>
        <w:rPr>
          <w:color w:val="000000"/>
        </w:rPr>
      </w:pPr>
    </w:p>
    <w:p w:rsidR="00364E68" w:rsidRDefault="00797F5E" w:rsidP="00994F21">
      <w:r>
        <w:tab/>
        <w:t xml:space="preserve">As a final robustness check, in Table 3 we added time period dummies.  </w:t>
      </w:r>
      <w:r w:rsidR="0008059C">
        <w:t xml:space="preserve">This would allow, for example, for different approaches under different presidents or Treasury secretaries.  </w:t>
      </w:r>
      <w:r>
        <w:t xml:space="preserve">The disadvantage is that we lose the </w:t>
      </w:r>
      <w:smartTag w:uri="urn:schemas-microsoft-com:office:smarttags" w:element="country-region">
        <w:smartTag w:uri="urn:schemas-microsoft-com:office:smarttags" w:element="place">
          <w:r>
            <w:t>US</w:t>
          </w:r>
        </w:smartTag>
      </w:smartTag>
      <w:r>
        <w:t xml:space="preserve"> political variables, unemployment and the election dummy, since these vary only over time and not by trading partner.</w:t>
      </w:r>
    </w:p>
    <w:p w:rsidR="0008059C" w:rsidRDefault="0008059C" w:rsidP="00994F21">
      <w:r>
        <w:tab/>
        <w:t>The result is that all variables are highly significant statistically:  the bilateral balance, the partner’s current account, the real exchange rate, and the partner’s change in reserves.   Their significance survives the narrowing of the sample better than it did when there were no time dummies:  only the reserves variable becomes insignificant on the Asia-only samples.</w:t>
      </w:r>
    </w:p>
    <w:p w:rsidR="00797F5E" w:rsidRDefault="00797F5E" w:rsidP="00994F21"/>
    <w:p w:rsidR="00364E68" w:rsidRDefault="009A4A3C" w:rsidP="001610EC">
      <w:pPr>
        <w:rPr>
          <w:i/>
        </w:rPr>
      </w:pPr>
      <w:r>
        <w:rPr>
          <w:i/>
        </w:rPr>
        <w:t>2.2.</w:t>
      </w:r>
      <w:r w:rsidR="001C7456">
        <w:rPr>
          <w:i/>
        </w:rPr>
        <w:t>5</w:t>
      </w:r>
      <w:r>
        <w:rPr>
          <w:i/>
        </w:rPr>
        <w:t xml:space="preserve"> </w:t>
      </w:r>
      <w:r w:rsidR="00364E68" w:rsidRPr="001610EC">
        <w:rPr>
          <w:i/>
        </w:rPr>
        <w:t xml:space="preserve">Conclusions from the </w:t>
      </w:r>
      <w:r w:rsidR="00373901">
        <w:rPr>
          <w:i/>
        </w:rPr>
        <w:t xml:space="preserve">analysis </w:t>
      </w:r>
      <w:r w:rsidR="001C7456">
        <w:rPr>
          <w:i/>
        </w:rPr>
        <w:t xml:space="preserve">of the </w:t>
      </w:r>
      <w:r w:rsidR="00364E68" w:rsidRPr="001610EC">
        <w:rPr>
          <w:i/>
        </w:rPr>
        <w:t>Treasury reports</w:t>
      </w:r>
    </w:p>
    <w:p w:rsidR="008713A5" w:rsidRPr="001610EC" w:rsidRDefault="008713A5" w:rsidP="001610EC">
      <w:pPr>
        <w:rPr>
          <w:i/>
        </w:rPr>
      </w:pPr>
    </w:p>
    <w:p w:rsidR="003A234C" w:rsidRDefault="00E121E3" w:rsidP="00B70D29">
      <w:pPr>
        <w:ind w:firstLine="720"/>
      </w:pPr>
      <w:r>
        <w:t>The</w:t>
      </w:r>
      <w:r w:rsidR="003A234C">
        <w:t xml:space="preserve">re is evidence for both hypotheses.    The variables that an economist would recognize as legitimate have a statistically significant effect on the decisions in the Treasury reports – </w:t>
      </w:r>
      <w:r w:rsidR="00373901">
        <w:t xml:space="preserve">particularly </w:t>
      </w:r>
      <w:r w:rsidR="003A234C">
        <w:t>the partners’ overall current acco</w:t>
      </w:r>
      <w:r w:rsidR="00303B5C">
        <w:t xml:space="preserve">unt/GDP, </w:t>
      </w:r>
      <w:r w:rsidR="00373901">
        <w:t xml:space="preserve">and sometimes also </w:t>
      </w:r>
      <w:r w:rsidR="00C056D4">
        <w:t>the overvaluation o</w:t>
      </w:r>
      <w:r w:rsidR="003A234C">
        <w:t>f its currency</w:t>
      </w:r>
      <w:r w:rsidR="00C056D4">
        <w:t xml:space="preserve"> relative to </w:t>
      </w:r>
      <w:r w:rsidR="00DE7DA8">
        <w:t>P</w:t>
      </w:r>
      <w:r w:rsidR="00C553CB">
        <w:t>P</w:t>
      </w:r>
      <w:r w:rsidR="00DE7DA8">
        <w:t>P, and its reserve changes</w:t>
      </w:r>
      <w:r w:rsidR="003A234C">
        <w:t>.    But variables that an economist would not recognize as legitimate a</w:t>
      </w:r>
      <w:r w:rsidR="00387B62">
        <w:t>lso</w:t>
      </w:r>
      <w:r w:rsidR="003A234C">
        <w:t xml:space="preserve"> matter.  In particular the bilateral trade balance is the most consistently and strongly significant.  </w:t>
      </w:r>
      <w:r w:rsidR="00EB4409">
        <w:t xml:space="preserve"> It is generally significant at the </w:t>
      </w:r>
      <w:r w:rsidR="004511B4">
        <w:t>1</w:t>
      </w:r>
      <w:r w:rsidR="00AB5199">
        <w:t>%</w:t>
      </w:r>
      <w:r w:rsidR="00DB4610">
        <w:rPr>
          <w:rFonts w:hint="eastAsia"/>
          <w:lang w:eastAsia="zh-CN"/>
        </w:rPr>
        <w:t xml:space="preserve"> </w:t>
      </w:r>
      <w:r w:rsidR="00AB5199">
        <w:rPr>
          <w:lang w:eastAsia="zh-CN"/>
        </w:rPr>
        <w:t>level of significance</w:t>
      </w:r>
      <w:r w:rsidR="00AB5199">
        <w:t xml:space="preserve">.  </w:t>
      </w:r>
      <w:r w:rsidR="00B70D29">
        <w:t xml:space="preserve">The </w:t>
      </w:r>
      <w:smartTag w:uri="urn:schemas-microsoft-com:office:smarttags" w:element="country-region">
        <w:smartTag w:uri="urn:schemas-microsoft-com:office:smarttags" w:element="place">
          <w:r w:rsidR="00B70D29">
            <w:t>US</w:t>
          </w:r>
        </w:smartTag>
      </w:smartTag>
      <w:r w:rsidR="00B70D29">
        <w:t xml:space="preserve"> unemployment rate is often significant, </w:t>
      </w:r>
      <w:r w:rsidR="00373901">
        <w:t xml:space="preserve">though </w:t>
      </w:r>
      <w:r w:rsidR="00B70D29">
        <w:t xml:space="preserve">not always.  </w:t>
      </w:r>
      <w:r w:rsidR="000C7BDD">
        <w:t xml:space="preserve">When the presidential election dummy is interacted with </w:t>
      </w:r>
      <w:smartTag w:uri="urn:schemas-microsoft-com:office:smarttags" w:element="country-region">
        <w:smartTag w:uri="urn:schemas-microsoft-com:office:smarttags" w:element="place">
          <w:r w:rsidR="000C7BDD">
            <w:t>US</w:t>
          </w:r>
        </w:smartTag>
      </w:smartTag>
      <w:r w:rsidR="000C7BDD">
        <w:t xml:space="preserve"> unemployment, it </w:t>
      </w:r>
      <w:r w:rsidR="009A4A3C">
        <w:t>is more highly significant</w:t>
      </w:r>
      <w:r w:rsidR="000C7BDD">
        <w:t xml:space="preserve">.  </w:t>
      </w:r>
    </w:p>
    <w:p w:rsidR="000C7BDD" w:rsidRDefault="000C7BDD" w:rsidP="00B70D29">
      <w:pPr>
        <w:ind w:firstLine="720"/>
      </w:pPr>
      <w:r>
        <w:t>Overall, three aspects of the regression results suggest that th</w:t>
      </w:r>
      <w:r w:rsidR="009D1F23">
        <w:t>e domestic political variables</w:t>
      </w:r>
      <w:r>
        <w:t xml:space="preserve"> are </w:t>
      </w:r>
      <w:r w:rsidR="00F938C4">
        <w:t>as</w:t>
      </w:r>
      <w:r>
        <w:t xml:space="preserve"> important determinants of </w:t>
      </w:r>
      <w:r w:rsidR="009D1F23">
        <w:t xml:space="preserve">the Treasury decision </w:t>
      </w:r>
      <w:r w:rsidR="00F938C4">
        <w:t>as</w:t>
      </w:r>
      <w:r w:rsidR="009D1F23">
        <w:t xml:space="preserve"> the </w:t>
      </w:r>
      <w:r>
        <w:t xml:space="preserve">legitimate global </w:t>
      </w:r>
      <w:r w:rsidR="009D1F23">
        <w:t>manipulation criteria</w:t>
      </w:r>
      <w:r>
        <w:t xml:space="preserve">:  the absence of a </w:t>
      </w:r>
      <w:r w:rsidR="00876C4F">
        <w:t xml:space="preserve">clear </w:t>
      </w:r>
      <w:r>
        <w:t>role for reserve accumulation by the partner country</w:t>
      </w:r>
      <w:r w:rsidR="00490C0A">
        <w:t xml:space="preserve"> as mandated by the IMF criteria</w:t>
      </w:r>
      <w:r>
        <w:t xml:space="preserve">, </w:t>
      </w:r>
      <w:r w:rsidR="00490C0A">
        <w:t>the significance of US unemployment</w:t>
      </w:r>
      <w:r w:rsidR="00373901">
        <w:t xml:space="preserve"> (especially in election years)</w:t>
      </w:r>
      <w:r w:rsidR="00490C0A">
        <w:t xml:space="preserve">, and </w:t>
      </w:r>
      <w:r>
        <w:t>the very high significance of the bilateral balance</w:t>
      </w:r>
      <w:r w:rsidR="00490C0A">
        <w:t xml:space="preserve"> notwithstanding that Treasury (2005) deliberately excludes this indicator from its list of criteria.</w:t>
      </w:r>
      <w:r w:rsidR="0034218F">
        <w:t xml:space="preserve">   If </w:t>
      </w:r>
      <w:r w:rsidR="00876C4F">
        <w:t xml:space="preserve">it was </w:t>
      </w:r>
      <w:r w:rsidR="0034218F">
        <w:t xml:space="preserve">the IMF interpreting the criteria in the Articles of Agreement, rather than the Treasury interpreting the criteria in the 1988 </w:t>
      </w:r>
      <w:smartTag w:uri="urn:schemas-microsoft-com:office:smarttags" w:element="country-region">
        <w:smartTag w:uri="urn:schemas-microsoft-com:office:smarttags" w:element="place">
          <w:r w:rsidR="0034218F">
            <w:t>US</w:t>
          </w:r>
        </w:smartTag>
      </w:smartTag>
      <w:r w:rsidR="0034218F">
        <w:t xml:space="preserve"> law, then consistent </w:t>
      </w:r>
      <w:proofErr w:type="spellStart"/>
      <w:r w:rsidR="0034218F">
        <w:t>uni</w:t>
      </w:r>
      <w:proofErr w:type="spellEnd"/>
      <w:r w:rsidR="0034218F">
        <w:t xml:space="preserve">-directional intervention in the foreign exchange market would receive a lot more emphasis, and the US-specific variables such as the bilateral trade balance </w:t>
      </w:r>
      <w:r w:rsidR="00490C0A">
        <w:t xml:space="preserve">and </w:t>
      </w:r>
      <w:smartTag w:uri="urn:schemas-microsoft-com:office:smarttags" w:element="country-region">
        <w:smartTag w:uri="urn:schemas-microsoft-com:office:smarttags" w:element="place">
          <w:r w:rsidR="00490C0A">
            <w:t>US</w:t>
          </w:r>
        </w:smartTag>
      </w:smartTag>
      <w:r w:rsidR="00490C0A">
        <w:t xml:space="preserve"> unemployment </w:t>
      </w:r>
      <w:r w:rsidR="0034218F">
        <w:t>would not appear at all.</w:t>
      </w:r>
    </w:p>
    <w:p w:rsidR="00490C0A" w:rsidRDefault="00490C0A" w:rsidP="001610EC"/>
    <w:p w:rsidR="00490C0A" w:rsidRDefault="00490C0A" w:rsidP="00490C0A">
      <w:pPr>
        <w:ind w:firstLine="720"/>
        <w:rPr>
          <w:lang w:eastAsia="zh-CN"/>
        </w:rPr>
      </w:pPr>
      <w:r>
        <w:t xml:space="preserve">It should be noted that the law governing the Treasury reports mandates both sorts of tests:   “If the Secretary considers that such manipulation is occurring with respect to countries that (1) have material global current account surpluses; and (2) have significant bilateral trade surpluses with the United Sates, the Secretary of the Treasury shall take action to initiate negotiations…”   In that sense, to interpret evidence (that the bilateral balance numbers drive the Treasury decision to accuse a country of manipulation) as political, requires assigning the political motivation to the Congress, which passed the law, rather than to the Treasury that merely has to follow it.  Alternatively, one could argue that the legally operative criterion lies in the interpretation of the ambiguous word “manipulation,” that </w:t>
      </w:r>
      <w:r>
        <w:rPr>
          <w:rFonts w:hint="eastAsia"/>
          <w:lang w:eastAsia="zh-CN"/>
        </w:rPr>
        <w:t>many</w:t>
      </w:r>
      <w:r>
        <w:t xml:space="preserve"> of the 185 members of the IMF currently satisfy conditions (1) and (2) above – most of whom are never mentioned in the Treasury reports -- and that therefore Treasury does genuinely have the latitude necessary to exercise its judgment.   Others, however, would argue that t</w:t>
      </w:r>
      <w:r>
        <w:rPr>
          <w:rFonts w:hint="eastAsia"/>
          <w:lang w:eastAsia="zh-CN"/>
        </w:rPr>
        <w:t xml:space="preserve">he phrase </w:t>
      </w:r>
      <w:r>
        <w:rPr>
          <w:lang w:eastAsia="zh-CN"/>
        </w:rPr>
        <w:t>“</w:t>
      </w:r>
      <w:r>
        <w:rPr>
          <w:rFonts w:hint="eastAsia"/>
          <w:lang w:eastAsia="zh-CN"/>
        </w:rPr>
        <w:t>material global current account surpluses</w:t>
      </w:r>
      <w:r>
        <w:rPr>
          <w:lang w:eastAsia="zh-CN"/>
        </w:rPr>
        <w:t>”</w:t>
      </w:r>
      <w:r>
        <w:rPr>
          <w:rFonts w:hint="eastAsia"/>
          <w:lang w:eastAsia="zh-CN"/>
        </w:rPr>
        <w:t xml:space="preserve"> mean</w:t>
      </w:r>
      <w:r>
        <w:rPr>
          <w:lang w:eastAsia="zh-CN"/>
        </w:rPr>
        <w:t>s</w:t>
      </w:r>
      <w:r>
        <w:rPr>
          <w:rFonts w:hint="eastAsia"/>
          <w:lang w:eastAsia="zh-CN"/>
        </w:rPr>
        <w:t xml:space="preserve"> that the country in question </w:t>
      </w:r>
      <w:r>
        <w:rPr>
          <w:lang w:eastAsia="zh-CN"/>
        </w:rPr>
        <w:t xml:space="preserve">must have </w:t>
      </w:r>
      <w:r>
        <w:rPr>
          <w:rFonts w:hint="eastAsia"/>
          <w:lang w:eastAsia="zh-CN"/>
        </w:rPr>
        <w:t>a big share of the global surplus</w:t>
      </w:r>
      <w:r>
        <w:rPr>
          <w:lang w:eastAsia="zh-CN"/>
        </w:rPr>
        <w:t>, as China does but Cote d’Ivoire does not, to qualify as a manipulator.</w:t>
      </w:r>
      <w:r>
        <w:rPr>
          <w:rFonts w:hint="eastAsia"/>
          <w:lang w:eastAsia="zh-CN"/>
        </w:rPr>
        <w:t xml:space="preserve"> </w:t>
      </w:r>
      <w:r>
        <w:rPr>
          <w:lang w:eastAsia="zh-CN"/>
        </w:rPr>
        <w:t xml:space="preserve">  </w:t>
      </w:r>
    </w:p>
    <w:p w:rsidR="00490C0A" w:rsidRDefault="00490C0A" w:rsidP="00490C0A">
      <w:pPr>
        <w:ind w:firstLine="720"/>
      </w:pPr>
    </w:p>
    <w:p w:rsidR="00490C0A" w:rsidRDefault="00490C0A" w:rsidP="00490C0A">
      <w:pPr>
        <w:ind w:firstLine="720"/>
      </w:pPr>
      <w:r>
        <w:t xml:space="preserve">American politicians could come to regret it, if </w:t>
      </w:r>
      <w:smartTag w:uri="urn:schemas-microsoft-com:office:smarttags" w:element="country-region">
        <w:smartTag w:uri="urn:schemas-microsoft-com:office:smarttags" w:element="place">
          <w:r>
            <w:t>China</w:t>
          </w:r>
        </w:smartTag>
      </w:smartTag>
      <w:r>
        <w:t xml:space="preserve"> finally followed their advice, because the result could well be an abrupt upward movement in US interest rates when the Chinese authorities stopped intervening in the market by buying dollar securities.   The same could be the result if the Chinese authorities were to switch the </w:t>
      </w:r>
      <w:r w:rsidRPr="0069721A">
        <w:rPr>
          <w:i/>
        </w:rPr>
        <w:t>composition</w:t>
      </w:r>
      <w:r>
        <w:t xml:space="preserve"> of their reserves away from the dollar, perhaps in line with the ongoing shift in the currency composition of their reference basket away from the dollar.  Our recommendation to the Treasury, if it finds it impossible to resist the political pressure from the Congress to name China a manipulator, is to invoke the provision in the last sentence of Section 3004:  “The Secretary shall not be required to initiate negotiations in cases where such negotiations would have a serious detrimental impact on vital national economic and security interests…”    The Secretary would then explain to Congress that the detrimental economic impact would fall on his ability to sell Treasury securities (and the detrimental security impact would fall on the US Government’s ability to enlist China’s help on higher priority goals such as defusing the North Korean nuclear threat).</w:t>
      </w:r>
    </w:p>
    <w:p w:rsidR="00490C0A" w:rsidRDefault="00490C0A" w:rsidP="00994F21"/>
    <w:p w:rsidR="00E121E3" w:rsidRDefault="00CD22AF" w:rsidP="00994F21">
      <w:r>
        <w:tab/>
        <w:t>A third hypothesis should also be noted: that the US Treasury (in any administration) walks a fine line</w:t>
      </w:r>
      <w:r w:rsidR="00B43AAD">
        <w:t>.  O</w:t>
      </w:r>
      <w:r>
        <w:t xml:space="preserve">n the one hand, </w:t>
      </w:r>
      <w:r w:rsidR="00B43AAD">
        <w:t>it</w:t>
      </w:r>
      <w:r>
        <w:t xml:space="preserve"> need</w:t>
      </w:r>
      <w:r w:rsidR="00B43AAD">
        <w:t>s</w:t>
      </w:r>
      <w:r>
        <w:t xml:space="preserve"> to placate vote-conscious Congressmen who are in danger of passing protectionist legislation more damaging than anything likely to come</w:t>
      </w:r>
      <w:r w:rsidR="00B43AAD">
        <w:t xml:space="preserve"> out of a Treasury report.  O</w:t>
      </w:r>
      <w:r>
        <w:t>n the other hand</w:t>
      </w:r>
      <w:r w:rsidR="00B43AAD">
        <w:t>,</w:t>
      </w:r>
      <w:r>
        <w:t xml:space="preserve"> </w:t>
      </w:r>
      <w:r w:rsidR="00B43AAD">
        <w:t xml:space="preserve">it needs to take into account </w:t>
      </w:r>
      <w:r>
        <w:t xml:space="preserve">the constraints of international diplomacy (too much pressure on </w:t>
      </w:r>
      <w:smartTag w:uri="urn:schemas-microsoft-com:office:smarttags" w:element="country-region">
        <w:smartTag w:uri="urn:schemas-microsoft-com:office:smarttags" w:element="place">
          <w:r>
            <w:t>China</w:t>
          </w:r>
        </w:smartTag>
      </w:smartTag>
      <w:r>
        <w:t xml:space="preserve"> would backfire politically) and of international markets (the danger of sparking a hard landing for the dollar, in which the dollar falls abruptly, interest rates rise, and securities prices fall).</w:t>
      </w:r>
    </w:p>
    <w:p w:rsidR="00373901" w:rsidRDefault="00373901" w:rsidP="00792496">
      <w:pPr>
        <w:autoSpaceDE w:val="0"/>
        <w:autoSpaceDN w:val="0"/>
        <w:adjustRightInd w:val="0"/>
        <w:spacing w:line="240" w:lineRule="atLeast"/>
      </w:pPr>
    </w:p>
    <w:p w:rsidR="00AA3FA3" w:rsidRDefault="00AA3FA3" w:rsidP="00555ED4">
      <w:pPr>
        <w:rPr>
          <w:color w:val="000000"/>
        </w:rPr>
      </w:pPr>
    </w:p>
    <w:p w:rsidR="002B5799" w:rsidRPr="001610EC" w:rsidRDefault="006612D5" w:rsidP="001610EC">
      <w:pPr>
        <w:rPr>
          <w:b/>
          <w:color w:val="000000"/>
        </w:rPr>
      </w:pPr>
      <w:r>
        <w:rPr>
          <w:b/>
          <w:color w:val="000000"/>
        </w:rPr>
        <w:t>3</w:t>
      </w:r>
      <w:r w:rsidR="00756BA7" w:rsidRPr="001610EC">
        <w:rPr>
          <w:rFonts w:hint="eastAsia"/>
          <w:b/>
          <w:color w:val="000000"/>
          <w:lang w:eastAsia="zh-CN"/>
        </w:rPr>
        <w:t>.</w:t>
      </w:r>
      <w:r w:rsidR="002B5799" w:rsidRPr="001610EC">
        <w:rPr>
          <w:b/>
          <w:color w:val="000000"/>
        </w:rPr>
        <w:t xml:space="preserve">    W</w:t>
      </w:r>
      <w:r w:rsidRPr="001610EC">
        <w:rPr>
          <w:b/>
          <w:color w:val="000000"/>
        </w:rPr>
        <w:t>HAT IS THE CURRENT EXCHANGE RATE REGIME IN CHINA?</w:t>
      </w:r>
    </w:p>
    <w:p w:rsidR="00801375" w:rsidRDefault="00801375" w:rsidP="00994F21">
      <w:pPr>
        <w:rPr>
          <w:color w:val="000000"/>
        </w:rPr>
      </w:pPr>
    </w:p>
    <w:p w:rsidR="00801375" w:rsidRDefault="00801375" w:rsidP="00801375">
      <w:pPr>
        <w:ind w:firstLine="720"/>
      </w:pPr>
      <w:r>
        <w:t>If a country announces th</w:t>
      </w:r>
      <w:r w:rsidR="00AE6C27">
        <w:t>e adoption of</w:t>
      </w:r>
      <w:r>
        <w:t xml:space="preserve"> a basket peg but does not reveal the exact weighting of the component currencies, how would one verify if the </w:t>
      </w:r>
      <w:r w:rsidR="00AE6C27">
        <w:t xml:space="preserve">authorities’ actions </w:t>
      </w:r>
      <w:proofErr w:type="gramStart"/>
      <w:r w:rsidR="00AE6C27">
        <w:t xml:space="preserve">are </w:t>
      </w:r>
      <w:r>
        <w:t xml:space="preserve"> consistent</w:t>
      </w:r>
      <w:proofErr w:type="gramEnd"/>
      <w:r>
        <w:t xml:space="preserve"> with </w:t>
      </w:r>
      <w:r w:rsidR="00AE6C27">
        <w:t>their</w:t>
      </w:r>
      <w:r>
        <w:t xml:space="preserve"> words? </w:t>
      </w:r>
      <w:r w:rsidR="00661FAA">
        <w:t xml:space="preserve"> </w:t>
      </w:r>
      <w:r>
        <w:t>We apply a simple methodology first de</w:t>
      </w:r>
      <w:r w:rsidR="00661FAA">
        <w:t>veloped more than a decade ago</w:t>
      </w:r>
      <w:r>
        <w:rPr>
          <w:rStyle w:val="FootnoteReference"/>
        </w:rPr>
        <w:footnoteReference w:id="16"/>
      </w:r>
      <w:r>
        <w:t xml:space="preserve"> to the case of </w:t>
      </w:r>
      <w:r w:rsidR="00AE6C27">
        <w:t>the</w:t>
      </w:r>
      <w:r w:rsidR="009E2F46">
        <w:t xml:space="preserve"> </w:t>
      </w:r>
      <w:r>
        <w:t xml:space="preserve">RMB currency basket to study its evolution since </w:t>
      </w:r>
      <w:smartTag w:uri="urn:schemas-microsoft-com:office:smarttags" w:element="date">
        <w:smartTagPr>
          <w:attr w:name="Year" w:val="2005"/>
          <w:attr w:name="Day" w:val="21"/>
          <w:attr w:name="Month" w:val="7"/>
        </w:smartTagPr>
        <w:r>
          <w:t>July 21, 2005</w:t>
        </w:r>
      </w:smartTag>
      <w:r>
        <w:t xml:space="preserve">. </w:t>
      </w:r>
    </w:p>
    <w:p w:rsidR="00801375" w:rsidRDefault="00801375" w:rsidP="00801375"/>
    <w:p w:rsidR="00801375" w:rsidRDefault="00801375" w:rsidP="00801375">
      <w:r>
        <w:tab/>
      </w:r>
      <w:r w:rsidR="00F943D3">
        <w:t>To summarize our findings from the outset, w</w:t>
      </w:r>
      <w:r>
        <w:t xml:space="preserve">e find that the Chinese currency continues to assign heavy weight to the </w:t>
      </w:r>
      <w:r w:rsidR="00A85D9A">
        <w:t>US</w:t>
      </w:r>
      <w:r w:rsidR="00C51C2B">
        <w:t xml:space="preserve"> dollar, </w:t>
      </w:r>
      <w:r w:rsidR="00F943D3">
        <w:t>but that</w:t>
      </w:r>
      <w:r w:rsidR="00C51C2B">
        <w:t xml:space="preserve"> there are</w:t>
      </w:r>
      <w:r>
        <w:t xml:space="preserve"> signs of some </w:t>
      </w:r>
      <w:r w:rsidR="00C51C2B">
        <w:t xml:space="preserve">modest but steady </w:t>
      </w:r>
      <w:r>
        <w:t>increa</w:t>
      </w:r>
      <w:r w:rsidR="009E2F46">
        <w:t xml:space="preserve">se in flexibility </w:t>
      </w:r>
      <w:r w:rsidR="00C51C2B">
        <w:t>since the spring of</w:t>
      </w:r>
      <w:r w:rsidR="00CD3244">
        <w:t xml:space="preserve"> 2006</w:t>
      </w:r>
      <w:r w:rsidR="009E2F46">
        <w:t>.</w:t>
      </w:r>
      <w:r w:rsidR="00F943D3">
        <w:t xml:space="preserve"> </w:t>
      </w:r>
      <w:r w:rsidR="009C05BB">
        <w:t xml:space="preserve"> </w:t>
      </w:r>
      <w:r w:rsidR="00F943D3">
        <w:t xml:space="preserve"> We also look at the possibility of </w:t>
      </w:r>
      <w:smartTag w:uri="urn:schemas-microsoft-com:office:smarttags" w:element="country-region">
        <w:smartTag w:uri="urn:schemas-microsoft-com:office:smarttags" w:element="place">
          <w:r w:rsidR="00F943D3">
            <w:t>US</w:t>
          </w:r>
        </w:smartTag>
      </w:smartTag>
      <w:r w:rsidR="00F943D3">
        <w:t xml:space="preserve"> pressure being a cause of steps toward increased flexibility</w:t>
      </w:r>
      <w:r w:rsidR="00C105B8">
        <w:t>, by counting c</w:t>
      </w:r>
      <w:r w:rsidR="00C51C2B">
        <w:t>omplaint</w:t>
      </w:r>
      <w:r w:rsidR="00F943D3">
        <w:t xml:space="preserve">s from </w:t>
      </w:r>
      <w:r w:rsidR="00A85D9A">
        <w:t>US</w:t>
      </w:r>
      <w:r w:rsidR="00C51C2B">
        <w:t xml:space="preserve"> officials about the RMB</w:t>
      </w:r>
      <w:r w:rsidR="00C105B8">
        <w:t xml:space="preserve"> as reported in the press.</w:t>
      </w:r>
      <w:r w:rsidR="00C51C2B">
        <w:t xml:space="preserve"> </w:t>
      </w:r>
      <w:r w:rsidR="00C105B8">
        <w:t xml:space="preserve"> T</w:t>
      </w:r>
      <w:r w:rsidR="00C51C2B">
        <w:t>here is some evidence</w:t>
      </w:r>
      <w:r w:rsidR="00AE6C27">
        <w:t xml:space="preserve"> </w:t>
      </w:r>
      <w:r w:rsidR="00C51C2B">
        <w:t>that US officials</w:t>
      </w:r>
      <w:r w:rsidR="00C105B8">
        <w:t>’ complaints tend</w:t>
      </w:r>
      <w:r w:rsidR="00C51C2B">
        <w:t xml:space="preserve"> to be associat</w:t>
      </w:r>
      <w:r w:rsidR="00AE6C27">
        <w:t xml:space="preserve">ed with gradual </w:t>
      </w:r>
      <w:r w:rsidR="00C51C2B">
        <w:t>reduction</w:t>
      </w:r>
      <w:r w:rsidR="00C105B8">
        <w:t>s</w:t>
      </w:r>
      <w:r w:rsidR="00C51C2B">
        <w:t xml:space="preserve"> in the weight o</w:t>
      </w:r>
      <w:r w:rsidR="00C105B8">
        <w:t>f</w:t>
      </w:r>
      <w:r w:rsidR="00C51C2B">
        <w:t xml:space="preserve"> the dollar in the RMB currency basket</w:t>
      </w:r>
      <w:r w:rsidR="00AE6C27">
        <w:t xml:space="preserve">.  This trend is modest, however, and there is no evidence that such complaints have led the Chinese to revalue the RMB </w:t>
      </w:r>
      <w:r w:rsidR="00AE6C27" w:rsidRPr="00AE6C27">
        <w:rPr>
          <w:i/>
        </w:rPr>
        <w:t>relative to the currency basket</w:t>
      </w:r>
      <w:r w:rsidR="00AE6C27">
        <w:t>.</w:t>
      </w:r>
    </w:p>
    <w:p w:rsidR="00C51C2B" w:rsidRDefault="00C51C2B" w:rsidP="00801375"/>
    <w:p w:rsidR="00801375" w:rsidRPr="008A1CC3" w:rsidRDefault="006612D5" w:rsidP="00801375">
      <w:pPr>
        <w:rPr>
          <w:b/>
          <w:i/>
        </w:rPr>
      </w:pPr>
      <w:r>
        <w:rPr>
          <w:b/>
          <w:i/>
        </w:rPr>
        <w:t>3</w:t>
      </w:r>
      <w:r w:rsidR="008A1CC3" w:rsidRPr="008A1CC3">
        <w:rPr>
          <w:b/>
          <w:i/>
        </w:rPr>
        <w:t xml:space="preserve">.1 </w:t>
      </w:r>
      <w:r w:rsidR="00801375" w:rsidRPr="008A1CC3">
        <w:rPr>
          <w:b/>
          <w:i/>
        </w:rPr>
        <w:t>Uncovering the Secrets in an Opaque Currency Basket</w:t>
      </w:r>
    </w:p>
    <w:p w:rsidR="00801375" w:rsidRDefault="00801375" w:rsidP="00801375"/>
    <w:p w:rsidR="008A1CC3" w:rsidRDefault="00801375" w:rsidP="00801375">
      <w:r>
        <w:t xml:space="preserve"> </w:t>
      </w:r>
      <w:r>
        <w:tab/>
      </w:r>
      <w:r w:rsidR="0039235A">
        <w:t xml:space="preserve">The </w:t>
      </w:r>
      <w:r>
        <w:t xml:space="preserve">Chinese currency had been effectively pegged to the US dollar at the rate of 8.28 RMB/dollar since 1997 until </w:t>
      </w:r>
      <w:smartTag w:uri="urn:schemas-microsoft-com:office:smarttags" w:element="date">
        <w:smartTagPr>
          <w:attr w:name="Year" w:val="2005"/>
          <w:attr w:name="Day" w:val="21"/>
          <w:attr w:name="Month" w:val="7"/>
        </w:smartTagPr>
        <w:r>
          <w:t>July 21, 2005</w:t>
        </w:r>
      </w:smartTag>
      <w:r w:rsidR="002404DB">
        <w:t>,</w:t>
      </w:r>
      <w:r>
        <w:t xml:space="preserve"> when the Chinese c</w:t>
      </w:r>
      <w:r w:rsidR="008A1CC3">
        <w:t>entral bank announced the</w:t>
      </w:r>
      <w:r>
        <w:t xml:space="preserve"> switch to a managing float regime “with reference to a basket of currencies.” </w:t>
      </w:r>
      <w:r w:rsidR="000A607A">
        <w:t xml:space="preserve">  The announcement was billed as a major regime change.    (Incidentally, however, </w:t>
      </w:r>
      <w:smartTag w:uri="urn:schemas-microsoft-com:office:smarttags" w:element="country-region">
        <w:smartTag w:uri="urn:schemas-microsoft-com:office:smarttags" w:element="place">
          <w:r w:rsidR="000A607A">
            <w:t>China</w:t>
          </w:r>
        </w:smartTag>
      </w:smartTag>
      <w:r w:rsidR="000A607A">
        <w:t xml:space="preserve">’s official policy has never been a pegged exchange rate.   This just goes to show the common divergence between de jure and de facto exchange rate regimes and the importance of inferring the true regime from observed data, a point that is by now well understood.)  </w:t>
      </w:r>
    </w:p>
    <w:p w:rsidR="008A1CC3" w:rsidRDefault="008A1CC3" w:rsidP="00801375"/>
    <w:p w:rsidR="008A1CC3" w:rsidRDefault="006612D5" w:rsidP="008A1CC3">
      <w:r>
        <w:rPr>
          <w:i/>
        </w:rPr>
        <w:t xml:space="preserve">3.1.1 </w:t>
      </w:r>
      <w:r w:rsidR="008A1CC3">
        <w:rPr>
          <w:i/>
        </w:rPr>
        <w:t>What is publicly announced and what is not</w:t>
      </w:r>
    </w:p>
    <w:p w:rsidR="008A1CC3" w:rsidRDefault="008A1CC3" w:rsidP="00801375"/>
    <w:p w:rsidR="00801375" w:rsidRDefault="008A1CC3" w:rsidP="008A1CC3">
      <w:pPr>
        <w:ind w:firstLine="720"/>
      </w:pPr>
      <w:r>
        <w:t>As is</w:t>
      </w:r>
      <w:r w:rsidR="0039235A">
        <w:t xml:space="preserve"> often the case with </w:t>
      </w:r>
      <w:r>
        <w:t>currency baskets, the weights were not made public. S</w:t>
      </w:r>
      <w:r w:rsidR="009E2F46">
        <w:t>peculation ensu</w:t>
      </w:r>
      <w:r w:rsidR="00801375">
        <w:t>ed after the annou</w:t>
      </w:r>
      <w:r w:rsidR="009E2F46">
        <w:t>ncement about which currencies we</w:t>
      </w:r>
      <w:r w:rsidR="00801375">
        <w:t>re in the new reference</w:t>
      </w:r>
      <w:r w:rsidR="009E2F46">
        <w:t xml:space="preserve"> basket and what their weights we</w:t>
      </w:r>
      <w:r w:rsidR="00801375">
        <w:t xml:space="preserve">re. </w:t>
      </w:r>
      <w:r w:rsidR="00C54376">
        <w:t xml:space="preserve"> Jen (2005), for example, guesse</w:t>
      </w:r>
      <w:r w:rsidR="00E20012">
        <w:t>d</w:t>
      </w:r>
      <w:r w:rsidR="00C54376">
        <w:t xml:space="preserve"> that the weight on the dollar was 85%.   </w:t>
      </w:r>
    </w:p>
    <w:p w:rsidR="00801375" w:rsidRDefault="00801375" w:rsidP="00801375"/>
    <w:p w:rsidR="00801375" w:rsidRPr="00861CA2" w:rsidRDefault="00801375" w:rsidP="00801375">
      <w:r>
        <w:tab/>
        <w:t xml:space="preserve">On </w:t>
      </w:r>
      <w:smartTag w:uri="urn:schemas-microsoft-com:office:smarttags" w:element="date">
        <w:smartTagPr>
          <w:attr w:name="Year" w:val="2005"/>
          <w:attr w:name="Day" w:val="9"/>
          <w:attr w:name="Month" w:val="8"/>
        </w:smartTagPr>
        <w:r>
          <w:t>August 9, 2005</w:t>
        </w:r>
      </w:smartTag>
      <w:r>
        <w:t xml:space="preserve">, </w:t>
      </w:r>
      <w:r w:rsidR="002C2CE5">
        <w:rPr>
          <w:rFonts w:hint="eastAsia"/>
          <w:lang w:eastAsia="zh-CN"/>
        </w:rPr>
        <w:t>C</w:t>
      </w:r>
      <w:r w:rsidR="0039235A">
        <w:t xml:space="preserve">entral </w:t>
      </w:r>
      <w:r w:rsidR="002C2CE5">
        <w:rPr>
          <w:rFonts w:hint="eastAsia"/>
          <w:lang w:eastAsia="zh-CN"/>
        </w:rPr>
        <w:t>B</w:t>
      </w:r>
      <w:r w:rsidR="0039235A">
        <w:t xml:space="preserve">ank </w:t>
      </w:r>
      <w:r w:rsidR="002C2CE5">
        <w:rPr>
          <w:rFonts w:hint="eastAsia"/>
          <w:lang w:eastAsia="zh-CN"/>
        </w:rPr>
        <w:t>G</w:t>
      </w:r>
      <w:r w:rsidR="0039235A">
        <w:t>overnor</w:t>
      </w:r>
      <w:r>
        <w:t xml:space="preserve"> Zhou</w:t>
      </w:r>
      <w:r w:rsidR="002C2CE5">
        <w:rPr>
          <w:rFonts w:hint="eastAsia"/>
          <w:lang w:eastAsia="zh-CN"/>
        </w:rPr>
        <w:t xml:space="preserve"> </w:t>
      </w:r>
      <w:proofErr w:type="spellStart"/>
      <w:r w:rsidR="002C2CE5">
        <w:rPr>
          <w:rFonts w:hint="eastAsia"/>
          <w:lang w:eastAsia="zh-CN"/>
        </w:rPr>
        <w:t>Xiaochuan</w:t>
      </w:r>
      <w:proofErr w:type="spellEnd"/>
      <w:r>
        <w:t xml:space="preserve"> </w:t>
      </w:r>
      <w:r w:rsidR="002C2CE5">
        <w:rPr>
          <w:rFonts w:hint="eastAsia"/>
          <w:lang w:eastAsia="zh-CN"/>
        </w:rPr>
        <w:t>(</w:t>
      </w:r>
      <w:r w:rsidR="0039235A">
        <w:t>2005)</w:t>
      </w:r>
      <w:r w:rsidR="0039235A" w:rsidRPr="0039235A">
        <w:t xml:space="preserve"> </w:t>
      </w:r>
      <w:r>
        <w:t xml:space="preserve">disclosed a list of 11 </w:t>
      </w:r>
      <w:r w:rsidR="001F5331">
        <w:t>currencies as constitu</w:t>
      </w:r>
      <w:r>
        <w:t>e</w:t>
      </w:r>
      <w:r w:rsidR="001F5331">
        <w:t>nt</w:t>
      </w:r>
      <w:r>
        <w:t xml:space="preserve">s of the reference basket, in a speech in </w:t>
      </w:r>
      <w:smartTag w:uri="urn:schemas-microsoft-com:office:smarttags" w:element="City">
        <w:smartTag w:uri="urn:schemas-microsoft-com:office:smarttags" w:element="place">
          <w:r>
            <w:t>Shanghai</w:t>
          </w:r>
        </w:smartTag>
      </w:smartTag>
      <w:r>
        <w:t xml:space="preserve"> marking the opening of the central bank’s second headquarters</w:t>
      </w:r>
      <w:r w:rsidR="001F5331">
        <w:t>.</w:t>
      </w:r>
      <w:r>
        <w:t xml:space="preserve"> In particular, he stated that the major currencies in the basket are the US dollar, the euro, the yen, and the Korean won. </w:t>
      </w:r>
      <w:r w:rsidR="00B17C54">
        <w:t xml:space="preserve"> We will label these four</w:t>
      </w:r>
      <w:r>
        <w:t xml:space="preserve"> </w:t>
      </w:r>
      <w:r w:rsidR="00B17C54">
        <w:t>as t</w:t>
      </w:r>
      <w:r>
        <w:t>he firs</w:t>
      </w:r>
      <w:r w:rsidR="00B17C54">
        <w:t>t-tier currencies in the basket</w:t>
      </w:r>
      <w:r>
        <w:t>.</w:t>
      </w:r>
      <w:r w:rsidR="00B17C54">
        <w:t xml:space="preserve"> </w:t>
      </w:r>
      <w:r>
        <w:t xml:space="preserve"> In addition, Governor Zhou stated that the rest of the currencies in the basket are the </w:t>
      </w:r>
      <w:smartTag w:uri="urn:schemas-microsoft-com:office:smarttags" w:element="country-region">
        <w:smartTag w:uri="urn:schemas-microsoft-com:office:smarttags" w:element="place">
          <w:r>
            <w:t>Singapore</w:t>
          </w:r>
        </w:smartTag>
      </w:smartTag>
      <w:r>
        <w:t xml:space="preserve"> dollar, the British pound, the Malaysian ringgit, the Russian ruble, the Australian dollar, the Thai </w:t>
      </w:r>
      <w:r w:rsidR="00F22C31">
        <w:t>baht</w:t>
      </w:r>
      <w:r>
        <w:t>, and the Canadian dollar. The last seven will be labeled as the second-tier curren</w:t>
      </w:r>
      <w:r w:rsidR="001F5331">
        <w:t>cies</w:t>
      </w:r>
      <w:r>
        <w:t xml:space="preserve">. The governor said that these currencies were chosen because </w:t>
      </w:r>
      <w:r w:rsidR="00E510D8">
        <w:t xml:space="preserve">of </w:t>
      </w:r>
      <w:r>
        <w:t xml:space="preserve">their economies’ importance for </w:t>
      </w:r>
      <w:smartTag w:uri="urn:schemas-microsoft-com:office:smarttags" w:element="country-region">
        <w:smartTag w:uri="urn:schemas-microsoft-com:office:smarttags" w:element="place">
          <w:r>
            <w:t>China</w:t>
          </w:r>
        </w:smartTag>
      </w:smartTag>
      <w:r>
        <w:t xml:space="preserve">’s current account. </w:t>
      </w:r>
    </w:p>
    <w:p w:rsidR="00801375" w:rsidRDefault="00801375" w:rsidP="00801375"/>
    <w:p w:rsidR="00801375" w:rsidRDefault="00801375" w:rsidP="00801375">
      <w:r>
        <w:tab/>
      </w:r>
      <w:r w:rsidR="00E3058A">
        <w:t>S</w:t>
      </w:r>
      <w:r w:rsidR="007B1A94">
        <w:t xml:space="preserve">till </w:t>
      </w:r>
      <w:r>
        <w:t xml:space="preserve">not </w:t>
      </w:r>
      <w:r w:rsidR="00B17C54">
        <w:t xml:space="preserve">announced </w:t>
      </w:r>
      <w:r w:rsidR="00F22C31">
        <w:t>were</w:t>
      </w:r>
      <w:r>
        <w:t xml:space="preserve"> the weights on these currencies</w:t>
      </w:r>
      <w:r w:rsidR="00B17C54">
        <w:t>, o</w:t>
      </w:r>
      <w:r w:rsidR="00C54376">
        <w:t>r</w:t>
      </w:r>
      <w:r>
        <w:t xml:space="preserve"> the frequency and the crite</w:t>
      </w:r>
      <w:r w:rsidR="00E510D8">
        <w:t>ria with which these weights might</w:t>
      </w:r>
      <w:r>
        <w:t xml:space="preserve"> be altered.</w:t>
      </w:r>
      <w:r w:rsidR="00C54376">
        <w:rPr>
          <w:rStyle w:val="FootnoteReference"/>
        </w:rPr>
        <w:footnoteReference w:id="17"/>
      </w:r>
    </w:p>
    <w:p w:rsidR="00801375" w:rsidRDefault="00801375" w:rsidP="00801375"/>
    <w:p w:rsidR="00801375" w:rsidRDefault="006612D5" w:rsidP="00801375">
      <w:proofErr w:type="gramStart"/>
      <w:r>
        <w:rPr>
          <w:i/>
        </w:rPr>
        <w:t xml:space="preserve">3.1.2  </w:t>
      </w:r>
      <w:r w:rsidR="00F43335">
        <w:rPr>
          <w:i/>
        </w:rPr>
        <w:t>A</w:t>
      </w:r>
      <w:proofErr w:type="gramEnd"/>
      <w:r w:rsidR="00F43335">
        <w:rPr>
          <w:i/>
        </w:rPr>
        <w:t xml:space="preserve"> p</w:t>
      </w:r>
      <w:r w:rsidR="00801375">
        <w:rPr>
          <w:i/>
        </w:rPr>
        <w:t>icture is worth a thousand words</w:t>
      </w:r>
    </w:p>
    <w:p w:rsidR="00801375" w:rsidRPr="00DB7CB9" w:rsidRDefault="00801375" w:rsidP="00801375"/>
    <w:p w:rsidR="00C51C2B" w:rsidRDefault="00801375" w:rsidP="00801375">
      <w:pPr>
        <w:ind w:firstLine="720"/>
      </w:pPr>
      <w:r>
        <w:t xml:space="preserve">Before we turn to regression-based estimation, it may be useful to inspect some simple time series plots. </w:t>
      </w:r>
      <w:r w:rsidR="00B17C54">
        <w:t xml:space="preserve">  S</w:t>
      </w:r>
      <w:r w:rsidR="00C51C2B">
        <w:t>ome perspective</w:t>
      </w:r>
      <w:r w:rsidR="00B17C54">
        <w:t xml:space="preserve"> can be gleaned from</w:t>
      </w:r>
      <w:r w:rsidR="00C51C2B">
        <w:t xml:space="preserve"> Figure 1</w:t>
      </w:r>
      <w:r w:rsidR="00B17C54">
        <w:t>, the graph that</w:t>
      </w:r>
      <w:r w:rsidR="00C51C2B">
        <w:t xml:space="preserve"> traces out the spot and three forward rates (</w:t>
      </w:r>
      <w:r w:rsidR="00F73291">
        <w:t xml:space="preserve">from </w:t>
      </w:r>
      <w:r w:rsidR="00C51C2B">
        <w:t>1, 3 and 12 months</w:t>
      </w:r>
      <w:r w:rsidR="00F73291">
        <w:t xml:space="preserve"> non-deliverable forward contracts</w:t>
      </w:r>
      <w:r w:rsidR="00C51C2B">
        <w:t>, respectively) of the USD/RMB exchange rate from April</w:t>
      </w:r>
      <w:r w:rsidR="00B17C54">
        <w:t xml:space="preserve"> 2003 to January</w:t>
      </w:r>
      <w:r w:rsidR="00C51C2B">
        <w:t xml:space="preserve"> 2007. Interestingly, even though the ac</w:t>
      </w:r>
      <w:r w:rsidR="00B17C54">
        <w:t>tual regime change came in July</w:t>
      </w:r>
      <w:r w:rsidR="00C51C2B">
        <w:t xml:space="preserve"> 2005, the market had been expecting an RMB revaluation </w:t>
      </w:r>
      <w:r w:rsidR="00F73291">
        <w:t xml:space="preserve">as reflected in the forward rate </w:t>
      </w:r>
      <w:r w:rsidR="00C51C2B">
        <w:t>ever since October 2003.</w:t>
      </w:r>
      <w:r w:rsidR="00F73291">
        <w:t xml:space="preserve"> In fact, on July 20, 2005, the day before the actual regime change, the 12-</w:t>
      </w:r>
      <w:r w:rsidR="00FB0687">
        <w:t xml:space="preserve">month </w:t>
      </w:r>
      <w:r w:rsidR="00F73291">
        <w:t>forward contract was forecasting an exchange rate of 8 RMB/US doll</w:t>
      </w:r>
      <w:r w:rsidR="00B17C54">
        <w:t xml:space="preserve">ar, which implied a higher </w:t>
      </w:r>
      <w:r w:rsidR="002C2CE5">
        <w:rPr>
          <w:rFonts w:hint="eastAsia"/>
          <w:lang w:eastAsia="zh-CN"/>
        </w:rPr>
        <w:t xml:space="preserve">magnitude of </w:t>
      </w:r>
      <w:r w:rsidR="00B17C54">
        <w:t>appreciation than what actually happened the day</w:t>
      </w:r>
      <w:r w:rsidR="00F73291">
        <w:t xml:space="preserve"> after, but </w:t>
      </w:r>
      <w:r w:rsidR="00B17C54">
        <w:t xml:space="preserve">which </w:t>
      </w:r>
      <w:r w:rsidR="00F73291">
        <w:t xml:space="preserve">turned out to be </w:t>
      </w:r>
      <w:r w:rsidR="00B17C54">
        <w:t>relatively close to t</w:t>
      </w:r>
      <w:r w:rsidR="00F73291">
        <w:t>he actual spot rate a year later (July 20, 2006).</w:t>
      </w:r>
    </w:p>
    <w:p w:rsidR="00C51C2B" w:rsidRDefault="00C51C2B" w:rsidP="00801375">
      <w:pPr>
        <w:ind w:firstLine="720"/>
      </w:pPr>
    </w:p>
    <w:p w:rsidR="00801375" w:rsidRDefault="00F73291" w:rsidP="001610EC">
      <w:pPr>
        <w:ind w:firstLine="720"/>
      </w:pPr>
      <w:r>
        <w:t xml:space="preserve">To see how the RMB’s value has evolved relative to major currencies, </w:t>
      </w:r>
      <w:r w:rsidR="00FB0687">
        <w:t xml:space="preserve">we </w:t>
      </w:r>
      <w:r w:rsidR="00B17C54">
        <w:t xml:space="preserve">turn to </w:t>
      </w:r>
      <w:r w:rsidR="00C51C2B">
        <w:t>Figure 2</w:t>
      </w:r>
      <w:r w:rsidR="00B17C54">
        <w:t>, the one that</w:t>
      </w:r>
      <w:r>
        <w:t xml:space="preserve"> plots the value of the yuan</w:t>
      </w:r>
      <w:r w:rsidR="00801375">
        <w:t xml:space="preserve"> in units of US dollars, euros and yen</w:t>
      </w:r>
      <w:r>
        <w:t>, respectively,</w:t>
      </w:r>
      <w:r w:rsidR="00801375">
        <w:t xml:space="preserve"> </w:t>
      </w:r>
      <w:r w:rsidR="002C2CE5">
        <w:rPr>
          <w:rFonts w:hint="eastAsia"/>
          <w:lang w:eastAsia="zh-CN"/>
        </w:rPr>
        <w:t>since</w:t>
      </w:r>
      <w:r w:rsidR="00801375">
        <w:t xml:space="preserve"> July 1, 1995. The three exchange rate series are rescaled to be equal to one on the first day (</w:t>
      </w:r>
      <w:smartTag w:uri="urn:schemas-microsoft-com:office:smarttags" w:element="date">
        <w:smartTagPr>
          <w:attr w:name="Year" w:val="2005"/>
          <w:attr w:name="Day" w:val="21"/>
          <w:attr w:name="Month" w:val="7"/>
        </w:smartTagPr>
        <w:r w:rsidR="00801375">
          <w:t>July 21, 200</w:t>
        </w:r>
        <w:r w:rsidR="002F6FC3">
          <w:t>5</w:t>
        </w:r>
      </w:smartTag>
      <w:r w:rsidR="00801375">
        <w:t>) after the exchange rate reg</w:t>
      </w:r>
      <w:r w:rsidR="006C1A6F">
        <w:t xml:space="preserve">ime reform, so that one can </w:t>
      </w:r>
      <w:r w:rsidR="00801375">
        <w:t xml:space="preserve">easily </w:t>
      </w:r>
      <w:r w:rsidR="006C1A6F">
        <w:t xml:space="preserve">see subsequent </w:t>
      </w:r>
      <w:r w:rsidR="00801375">
        <w:t>percentage change</w:t>
      </w:r>
      <w:r w:rsidR="006C1A6F">
        <w:t>s</w:t>
      </w:r>
      <w:r w:rsidR="002F6FC3">
        <w:t xml:space="preserve">. A number of features stand </w:t>
      </w:r>
      <w:r w:rsidR="00801375">
        <w:t>out. First, i</w:t>
      </w:r>
      <w:r w:rsidR="002F6FC3">
        <w:t>n spite of the announced abandonment of the dollar peg, t</w:t>
      </w:r>
      <w:r w:rsidR="00801375">
        <w:t xml:space="preserve">he link to the </w:t>
      </w:r>
      <w:r w:rsidR="00A85D9A">
        <w:t>US</w:t>
      </w:r>
      <w:r w:rsidR="00801375">
        <w:t xml:space="preserve"> dollar even after July 21, 2005, is clearly much stronger than to either the euro or the yen. Second, </w:t>
      </w:r>
      <w:r w:rsidR="006C1A6F">
        <w:t>o</w:t>
      </w:r>
      <w:r w:rsidR="00801375">
        <w:t xml:space="preserve">ne </w:t>
      </w:r>
      <w:r w:rsidR="006C1A6F">
        <w:t>can discern</w:t>
      </w:r>
      <w:r w:rsidR="00801375">
        <w:t xml:space="preserve"> a gradual (and very slow) streng</w:t>
      </w:r>
      <w:r w:rsidR="002F6FC3">
        <w:t>t</w:t>
      </w:r>
      <w:r w:rsidR="00801375">
        <w:t>hening of the RMB against the dollar</w:t>
      </w:r>
      <w:r w:rsidR="0021634A">
        <w:t xml:space="preserve">, accumulating a total of another 4% of appreciation from </w:t>
      </w:r>
      <w:smartTag w:uri="urn:schemas-microsoft-com:office:smarttags" w:element="date">
        <w:smartTagPr>
          <w:attr w:name="Year" w:val="2005"/>
          <w:attr w:name="Day" w:val="21"/>
          <w:attr w:name="Month" w:val="7"/>
        </w:smartTagPr>
        <w:r w:rsidR="0021634A">
          <w:t>July 21, 2005</w:t>
        </w:r>
      </w:smartTag>
      <w:r w:rsidR="0021634A">
        <w:t xml:space="preserve"> to the end of 2006</w:t>
      </w:r>
      <w:r w:rsidR="00801375">
        <w:t xml:space="preserve">. Third, the value of the RMB against the euro and the yen </w:t>
      </w:r>
      <w:r w:rsidR="0043139F">
        <w:t>fluctuates a lot</w:t>
      </w:r>
      <w:r w:rsidR="00801375">
        <w:t xml:space="preserve">, mostly a reflection of the fluctuation in the value of the US dollar against these other two currencies. </w:t>
      </w:r>
      <w:r w:rsidR="0043139F">
        <w:t xml:space="preserve"> </w:t>
      </w:r>
      <w:r w:rsidR="00801375">
        <w:t xml:space="preserve">Relative to </w:t>
      </w:r>
      <w:smartTag w:uri="urn:schemas-microsoft-com:office:smarttags" w:element="date">
        <w:smartTagPr>
          <w:attr w:name="Month" w:val="7"/>
          <w:attr w:name="Day" w:val="20"/>
          <w:attr w:name="Year" w:val="2005"/>
        </w:smartTagPr>
        <w:r w:rsidR="00801375">
          <w:t>July 20, 2005</w:t>
        </w:r>
      </w:smartTag>
      <w:r w:rsidR="00801375">
        <w:t>, the day before the exchange rate reform, the RMB ha</w:t>
      </w:r>
      <w:r w:rsidR="002F6FC3">
        <w:t>d</w:t>
      </w:r>
      <w:r w:rsidR="00801375">
        <w:t xml:space="preserve"> </w:t>
      </w:r>
      <w:r w:rsidR="002F6FC3">
        <w:t xml:space="preserve">by April 2006 </w:t>
      </w:r>
      <w:r w:rsidR="0021634A">
        <w:t>appreciated by about 12</w:t>
      </w:r>
      <w:r w:rsidR="00801375">
        <w:t>%</w:t>
      </w:r>
      <w:r w:rsidR="005E04D2">
        <w:t xml:space="preserve"> against the yen, but was at about the same level </w:t>
      </w:r>
      <w:r w:rsidR="00801375">
        <w:t>against the euro</w:t>
      </w:r>
      <w:r w:rsidR="002F6FC3">
        <w:t xml:space="preserve">. </w:t>
      </w:r>
      <w:r w:rsidR="005E04D2">
        <w:t xml:space="preserve">  Then by the end of 2006, the yuan was </w:t>
      </w:r>
      <w:r w:rsidR="005E04D2" w:rsidRPr="00EE286E">
        <w:rPr>
          <w:i/>
        </w:rPr>
        <w:t>down</w:t>
      </w:r>
      <w:r w:rsidR="005E04D2">
        <w:t xml:space="preserve"> against the yen as much as it was up against the euro.  I</w:t>
      </w:r>
      <w:r w:rsidR="0043139F">
        <w:t>n</w:t>
      </w:r>
      <w:r w:rsidR="005E04D2">
        <w:t xml:space="preserve"> other words, the action </w:t>
      </w:r>
      <w:r w:rsidR="0043139F">
        <w:t>has been in</w:t>
      </w:r>
      <w:r w:rsidR="005E04D2">
        <w:t xml:space="preserve"> the euro and yen.</w:t>
      </w:r>
    </w:p>
    <w:p w:rsidR="0021634A" w:rsidRDefault="00801375" w:rsidP="00801375">
      <w:pPr>
        <w:ind w:firstLine="720"/>
      </w:pPr>
      <w:r>
        <w:t>To get a sense of the evolving range of the</w:t>
      </w:r>
      <w:r w:rsidR="00531A22">
        <w:t xml:space="preserve"> dollar/RMB movement, Figure 3</w:t>
      </w:r>
      <w:r w:rsidR="0021634A">
        <w:t xml:space="preserve"> </w:t>
      </w:r>
      <w:r>
        <w:t xml:space="preserve">plots </w:t>
      </w:r>
      <w:r w:rsidR="00531A22">
        <w:t>the percentage change</w:t>
      </w:r>
      <w:r w:rsidR="00810191">
        <w:t>s</w:t>
      </w:r>
      <w:r w:rsidR="00531A22">
        <w:t xml:space="preserve"> (</w:t>
      </w:r>
      <w:r>
        <w:t>the first difference</w:t>
      </w:r>
      <w:r w:rsidR="00810191">
        <w:t>s</w:t>
      </w:r>
      <w:r>
        <w:t xml:space="preserve"> in the log</w:t>
      </w:r>
      <w:r w:rsidR="00531A22">
        <w:t>)</w:t>
      </w:r>
      <w:r>
        <w:t xml:space="preserve"> of the exchange rate since </w:t>
      </w:r>
      <w:smartTag w:uri="urn:schemas-microsoft-com:office:smarttags" w:element="date">
        <w:smartTagPr>
          <w:attr w:name="Year" w:val="2005"/>
          <w:attr w:name="Day" w:val="22"/>
          <w:attr w:name="Month" w:val="7"/>
        </w:smartTagPr>
        <w:r>
          <w:t>July 22, 2005</w:t>
        </w:r>
      </w:smartTag>
      <w:r>
        <w:t xml:space="preserve">. </w:t>
      </w:r>
      <w:r w:rsidR="0021634A">
        <w:t>Up to the spring of 2006, most of the daily movement was</w:t>
      </w:r>
      <w:r>
        <w:t xml:space="preserve"> within 0.05%, with occasional movement</w:t>
      </w:r>
      <w:r w:rsidR="002F6FC3">
        <w:t>s</w:t>
      </w:r>
      <w:r>
        <w:t xml:space="preserve"> approaching or exceeding 0.1% especially in the mo</w:t>
      </w:r>
      <w:r w:rsidR="002F6FC3">
        <w:t>re</w:t>
      </w:r>
      <w:r>
        <w:t xml:space="preserve"> recent period. In other words, the daily movement of the doll</w:t>
      </w:r>
      <w:r w:rsidR="0021634A">
        <w:t>ar/RMB had</w:t>
      </w:r>
      <w:r w:rsidR="002F6FC3">
        <w:t xml:space="preserve"> been tiny, despite</w:t>
      </w:r>
      <w:r>
        <w:t xml:space="preserve"> the announced switch to a managed floating ex</w:t>
      </w:r>
      <w:r w:rsidR="0021634A">
        <w:t>change rate. Since the spring of 2006, however, there has been a visible increase in the daily movement, with daily changes exceedingly 0.1% frequently.</w:t>
      </w:r>
    </w:p>
    <w:p w:rsidR="0021634A" w:rsidRDefault="00801375" w:rsidP="00801375">
      <w:pPr>
        <w:ind w:firstLine="720"/>
      </w:pPr>
      <w:r>
        <w:t xml:space="preserve"> </w:t>
      </w:r>
    </w:p>
    <w:p w:rsidR="00801375" w:rsidRDefault="0021634A" w:rsidP="00801375">
      <w:pPr>
        <w:ind w:firstLine="720"/>
      </w:pPr>
      <w:r>
        <w:t xml:space="preserve">As another way to see the </w:t>
      </w:r>
      <w:r w:rsidR="00531A22">
        <w:t>evolving flexibility, Figure 4</w:t>
      </w:r>
      <w:r w:rsidR="00801375">
        <w:t xml:space="preserve"> plots the standard deviation of the daily exchange rate movement over </w:t>
      </w:r>
      <w:r w:rsidR="00531A22">
        <w:t xml:space="preserve">a sequence of </w:t>
      </w:r>
      <w:r w:rsidR="00195386">
        <w:t xml:space="preserve">rolling </w:t>
      </w:r>
      <w:r w:rsidR="00531A22">
        <w:t>20-day</w:t>
      </w:r>
      <w:r w:rsidR="00801375">
        <w:t xml:space="preserve"> sample since</w:t>
      </w:r>
      <w:r w:rsidR="00531A22">
        <w:t xml:space="preserve"> </w:t>
      </w:r>
      <w:smartTag w:uri="urn:schemas-microsoft-com:office:smarttags" w:element="date">
        <w:smartTagPr>
          <w:attr w:name="Year" w:val="2005"/>
          <w:attr w:name="Day" w:val="22"/>
          <w:attr w:name="Month" w:val="7"/>
        </w:smartTagPr>
        <w:r w:rsidR="00531A22">
          <w:t>July 22, 2005</w:t>
        </w:r>
      </w:smartTag>
      <w:r w:rsidR="00531A22">
        <w:t xml:space="preserve">. </w:t>
      </w:r>
      <w:r w:rsidR="00801375">
        <w:t xml:space="preserve"> After some initial moderate gyration in the rate following the announced regime </w:t>
      </w:r>
      <w:r w:rsidR="00F43335">
        <w:t>change, the fluctuations die</w:t>
      </w:r>
      <w:r w:rsidR="00801375">
        <w:t xml:space="preserve"> down in the last few months of 2005 and the beginning of 2006. The standard deviation then trends upward </w:t>
      </w:r>
      <w:r w:rsidR="006C1A6F">
        <w:t>after</w:t>
      </w:r>
      <w:r w:rsidR="00801375">
        <w:t xml:space="preserve"> the beginning of 2006, </w:t>
      </w:r>
      <w:r w:rsidR="00531A22">
        <w:t xml:space="preserve">reaching </w:t>
      </w:r>
      <w:r w:rsidR="00C14480">
        <w:t>around 0.08</w:t>
      </w:r>
      <w:r w:rsidR="00801375">
        <w:t xml:space="preserve">% </w:t>
      </w:r>
      <w:r w:rsidR="00C14480">
        <w:t>by</w:t>
      </w:r>
      <w:r w:rsidR="00801375">
        <w:t xml:space="preserve"> the end of </w:t>
      </w:r>
      <w:r w:rsidR="00C14480">
        <w:t>2006</w:t>
      </w:r>
      <w:r w:rsidR="006C1A6F">
        <w:t>, a tripling relative to</w:t>
      </w:r>
      <w:r w:rsidR="00801375">
        <w:t xml:space="preserve"> the magnitude in the immediate aftermath of the regime change announcement. In order not to lose sight of the big picture, we note again that, in spi</w:t>
      </w:r>
      <w:r w:rsidR="00531A22">
        <w:t>t</w:t>
      </w:r>
      <w:r w:rsidR="006C1A6F">
        <w:t xml:space="preserve">e of the visible increase in </w:t>
      </w:r>
      <w:r w:rsidR="00801375">
        <w:t>exchange rate flexibility, the absolute mag</w:t>
      </w:r>
      <w:r w:rsidR="002F6FC3">
        <w:t xml:space="preserve">nitude of the movement </w:t>
      </w:r>
      <w:r w:rsidR="00195386">
        <w:rPr>
          <w:rFonts w:hint="eastAsia"/>
          <w:lang w:eastAsia="zh-CN"/>
        </w:rPr>
        <w:t>has been</w:t>
      </w:r>
      <w:r w:rsidR="002F6FC3">
        <w:t xml:space="preserve"> small</w:t>
      </w:r>
      <w:r w:rsidR="00195386">
        <w:rPr>
          <w:rFonts w:hint="eastAsia"/>
          <w:lang w:eastAsia="zh-CN"/>
        </w:rPr>
        <w:t xml:space="preserve"> so far</w:t>
      </w:r>
      <w:r w:rsidR="00801375">
        <w:t>.</w:t>
      </w:r>
    </w:p>
    <w:p w:rsidR="00BF2138" w:rsidRDefault="00BF2138" w:rsidP="00801375"/>
    <w:p w:rsidR="00801375" w:rsidRDefault="006612D5" w:rsidP="00801375">
      <w:pPr>
        <w:rPr>
          <w:i/>
        </w:rPr>
      </w:pPr>
      <w:r>
        <w:rPr>
          <w:i/>
        </w:rPr>
        <w:t xml:space="preserve">3.1.3   </w:t>
      </w:r>
      <w:r w:rsidR="00801375">
        <w:rPr>
          <w:i/>
        </w:rPr>
        <w:t>Implicit weights in the currency basket</w:t>
      </w:r>
    </w:p>
    <w:p w:rsidR="00801375" w:rsidRDefault="00801375" w:rsidP="00801375"/>
    <w:p w:rsidR="007E7806" w:rsidRDefault="00F43335" w:rsidP="00801375">
      <w:pPr>
        <w:ind w:firstLine="720"/>
      </w:pPr>
      <w:r>
        <w:t>Assum</w:t>
      </w:r>
      <w:r w:rsidR="00DA3739">
        <w:t>ing</w:t>
      </w:r>
      <w:r>
        <w:t xml:space="preserve"> that </w:t>
      </w:r>
      <w:r w:rsidR="00801375">
        <w:t xml:space="preserve">the </w:t>
      </w:r>
      <w:r>
        <w:t xml:space="preserve">value of the </w:t>
      </w:r>
      <w:r w:rsidR="00801375">
        <w:t xml:space="preserve">RMB is </w:t>
      </w:r>
      <w:r>
        <w:t xml:space="preserve">indeed determined by a currency basket, </w:t>
      </w:r>
      <w:r w:rsidR="00195386">
        <w:rPr>
          <w:rFonts w:hint="eastAsia"/>
          <w:lang w:eastAsia="zh-CN"/>
        </w:rPr>
        <w:t>how does one</w:t>
      </w:r>
      <w:r w:rsidR="00801375">
        <w:t xml:space="preserve"> uncover the </w:t>
      </w:r>
      <w:r>
        <w:t xml:space="preserve">currency </w:t>
      </w:r>
      <w:r w:rsidR="00801375">
        <w:t xml:space="preserve">composition and weights in the </w:t>
      </w:r>
      <w:r>
        <w:t>basket</w:t>
      </w:r>
      <w:r w:rsidR="00195386">
        <w:rPr>
          <w:rFonts w:hint="eastAsia"/>
          <w:lang w:eastAsia="zh-CN"/>
        </w:rPr>
        <w:t>?</w:t>
      </w:r>
      <w:r>
        <w:t xml:space="preserve"> This </w:t>
      </w:r>
      <w:r w:rsidR="00494734">
        <w:t xml:space="preserve">is a problem to which Ordinary </w:t>
      </w:r>
      <w:r>
        <w:t xml:space="preserve">Least Squares regression is unusually well suited.    If we know the list </w:t>
      </w:r>
      <w:r w:rsidR="002F6FC3">
        <w:t xml:space="preserve">of currencies, </w:t>
      </w:r>
      <w:r>
        <w:t xml:space="preserve">of which the ones used in the basket can be a subset, </w:t>
      </w:r>
      <w:r w:rsidR="002F6FC3">
        <w:t>the</w:t>
      </w:r>
      <w:r w:rsidR="00801375">
        <w:t xml:space="preserve">n </w:t>
      </w:r>
      <w:r>
        <w:t xml:space="preserve">we regress changes in the </w:t>
      </w:r>
      <w:r w:rsidR="00E20012">
        <w:t xml:space="preserve">log </w:t>
      </w:r>
      <w:r>
        <w:t xml:space="preserve">value of the RMB against changes in the </w:t>
      </w:r>
      <w:r w:rsidR="00E20012">
        <w:t xml:space="preserve">log </w:t>
      </w:r>
      <w:r>
        <w:t xml:space="preserve">values of the candidate currencies.  </w:t>
      </w:r>
      <w:r w:rsidR="00EF1805">
        <w:t xml:space="preserve"> </w:t>
      </w:r>
    </w:p>
    <w:p w:rsidR="00801375" w:rsidRDefault="00EF1805" w:rsidP="00C17D25">
      <w:pPr>
        <w:ind w:firstLine="720"/>
      </w:pPr>
      <w:r>
        <w:t>The reason to work in terms of changes rather than levels is the likelihood of non-station</w:t>
      </w:r>
      <w:r w:rsidR="00B04F0A">
        <w:t>a</w:t>
      </w:r>
      <w:r>
        <w:t>rity.</w:t>
      </w:r>
      <w:r w:rsidR="00B04F0A">
        <w:t xml:space="preserve">   </w:t>
      </w:r>
      <w:r w:rsidR="00B04F0A" w:rsidRPr="001610EC">
        <w:t>C</w:t>
      </w:r>
      <w:r w:rsidR="00B04F0A" w:rsidRPr="001610EC">
        <w:rPr>
          <w:rFonts w:eastAsia="MS Mincho"/>
          <w:lang w:eastAsia="ja-JP"/>
        </w:rPr>
        <w:t xml:space="preserve">oncern for </w:t>
      </w:r>
      <w:proofErr w:type="spellStart"/>
      <w:r w:rsidR="00B04F0A" w:rsidRPr="001610EC">
        <w:rPr>
          <w:rFonts w:eastAsia="MS Mincho"/>
          <w:lang w:eastAsia="ja-JP"/>
        </w:rPr>
        <w:t>nonstation</w:t>
      </w:r>
      <w:r w:rsidR="00B04F0A">
        <w:rPr>
          <w:rFonts w:eastAsia="MS Mincho"/>
          <w:lang w:eastAsia="ja-JP"/>
        </w:rPr>
        <w:t>a</w:t>
      </w:r>
      <w:r w:rsidR="00B04F0A" w:rsidRPr="001610EC">
        <w:rPr>
          <w:rFonts w:eastAsia="MS Mincho"/>
          <w:lang w:eastAsia="ja-JP"/>
        </w:rPr>
        <w:t>rity</w:t>
      </w:r>
      <w:proofErr w:type="spellEnd"/>
      <w:r w:rsidR="00B04F0A" w:rsidRPr="001610EC">
        <w:rPr>
          <w:rFonts w:eastAsia="MS Mincho"/>
          <w:lang w:eastAsia="ja-JP"/>
        </w:rPr>
        <w:t xml:space="preserve"> goes beyond the common refrain of modern time series econometrics, the inability to reject statistically a unit root, which in many cases can be attributed to insufficient power.    One of the most important hypotheses we are testing is that the authorities have allowed the yuan to drift away from a basket, perhaps via an upward trend.  Thus it is important to allow for </w:t>
      </w:r>
      <w:proofErr w:type="spellStart"/>
      <w:r w:rsidR="00B04F0A" w:rsidRPr="001610EC">
        <w:rPr>
          <w:rFonts w:eastAsia="MS Mincho"/>
          <w:lang w:eastAsia="ja-JP"/>
        </w:rPr>
        <w:t>nonstation</w:t>
      </w:r>
      <w:r w:rsidR="00B04F0A">
        <w:rPr>
          <w:rFonts w:eastAsia="MS Mincho"/>
          <w:lang w:eastAsia="ja-JP"/>
        </w:rPr>
        <w:t>a</w:t>
      </w:r>
      <w:r w:rsidR="00B04F0A" w:rsidRPr="001610EC">
        <w:rPr>
          <w:rFonts w:eastAsia="MS Mincho"/>
          <w:lang w:eastAsia="ja-JP"/>
        </w:rPr>
        <w:t>rity</w:t>
      </w:r>
      <w:proofErr w:type="spellEnd"/>
      <w:r w:rsidR="00595B67">
        <w:rPr>
          <w:rFonts w:eastAsia="MS Mincho"/>
          <w:lang w:eastAsia="ja-JP"/>
        </w:rPr>
        <w:t>.</w:t>
      </w:r>
      <w:r w:rsidR="00B04F0A" w:rsidRPr="001610EC">
        <w:rPr>
          <w:rFonts w:eastAsia="MS Mincho"/>
          <w:lang w:eastAsia="ja-JP"/>
        </w:rPr>
        <w:t xml:space="preserve"> Working in terms of first differences is the cleanest way to do so.</w:t>
      </w:r>
      <w:r w:rsidR="00C17D25">
        <w:rPr>
          <w:rFonts w:eastAsia="MS Mincho"/>
          <w:lang w:eastAsia="ja-JP"/>
        </w:rPr>
        <w:t xml:space="preserve">   </w:t>
      </w:r>
      <w:r w:rsidR="00E34914">
        <w:t>We should include a constant term to allow for the likelihood of a trend appreciation in the RMB, whether against the dollar alone or a broader basket.</w:t>
      </w:r>
      <w:r w:rsidR="00F43335">
        <w:t xml:space="preserve">  </w:t>
      </w:r>
      <w:r w:rsidR="00E20012">
        <w:t>Algebraically</w:t>
      </w:r>
      <w:r w:rsidR="00801375">
        <w:t xml:space="preserve">, if </w:t>
      </w:r>
      <w:r w:rsidR="00EE49D3">
        <w:t xml:space="preserve">the </w:t>
      </w:r>
      <w:r w:rsidR="00801375">
        <w:t xml:space="preserve">RMB is pegged </w:t>
      </w:r>
      <w:r w:rsidR="00EE49D3">
        <w:t>to currencies</w:t>
      </w:r>
      <w:r w:rsidR="00801375">
        <w:t xml:space="preserve"> </w:t>
      </w:r>
      <w:r w:rsidR="00801375" w:rsidRPr="00EE49D3">
        <w:rPr>
          <w:i/>
        </w:rPr>
        <w:t>X1</w:t>
      </w:r>
      <w:r w:rsidR="00801375">
        <w:t xml:space="preserve">, </w:t>
      </w:r>
      <w:proofErr w:type="gramStart"/>
      <w:r w:rsidR="00801375" w:rsidRPr="00EE49D3">
        <w:rPr>
          <w:i/>
        </w:rPr>
        <w:t>X2</w:t>
      </w:r>
      <w:r w:rsidR="00801375">
        <w:t>, …</w:t>
      </w:r>
      <w:proofErr w:type="gramEnd"/>
      <w:r w:rsidR="00801375">
        <w:t xml:space="preserve"> </w:t>
      </w:r>
      <w:r w:rsidR="00EE49D3">
        <w:t xml:space="preserve">and </w:t>
      </w:r>
      <w:proofErr w:type="spellStart"/>
      <w:r w:rsidR="00801375" w:rsidRPr="00EE49D3">
        <w:rPr>
          <w:i/>
        </w:rPr>
        <w:t>Xn</w:t>
      </w:r>
      <w:proofErr w:type="spellEnd"/>
      <w:r w:rsidR="00801375">
        <w:t xml:space="preserve">, with weights equal to </w:t>
      </w:r>
      <w:r w:rsidR="00801375" w:rsidRPr="00EE49D3">
        <w:rPr>
          <w:i/>
        </w:rPr>
        <w:t>w1</w:t>
      </w:r>
      <w:r w:rsidR="00801375">
        <w:t xml:space="preserve">, </w:t>
      </w:r>
      <w:r w:rsidR="00801375" w:rsidRPr="00EE49D3">
        <w:rPr>
          <w:i/>
        </w:rPr>
        <w:t>w2</w:t>
      </w:r>
      <w:r w:rsidR="00801375">
        <w:t xml:space="preserve">, … </w:t>
      </w:r>
      <w:r w:rsidR="00EE49D3">
        <w:t xml:space="preserve">and </w:t>
      </w:r>
      <w:proofErr w:type="spellStart"/>
      <w:r w:rsidR="00801375" w:rsidRPr="00EE49D3">
        <w:rPr>
          <w:i/>
        </w:rPr>
        <w:t>wn</w:t>
      </w:r>
      <w:proofErr w:type="spellEnd"/>
      <w:r w:rsidR="00801375">
        <w:t>, then</w:t>
      </w:r>
    </w:p>
    <w:p w:rsidR="00801375" w:rsidRPr="00EE49D3" w:rsidRDefault="00801375" w:rsidP="00801375">
      <w:pPr>
        <w:rPr>
          <w:i/>
        </w:rPr>
      </w:pPr>
    </w:p>
    <w:p w:rsidR="00801375" w:rsidRDefault="00801375" w:rsidP="00801375">
      <w:pPr>
        <w:rPr>
          <w:lang w:val="fr-FR"/>
        </w:rPr>
      </w:pPr>
      <w:proofErr w:type="spellStart"/>
      <w:r w:rsidRPr="00EE49D3">
        <w:rPr>
          <w:i/>
          <w:lang w:val="fr-FR"/>
        </w:rPr>
        <w:t>logRMB</w:t>
      </w:r>
      <w:proofErr w:type="spellEnd"/>
      <w:r w:rsidRPr="00EE49D3">
        <w:rPr>
          <w:i/>
          <w:lang w:val="fr-FR"/>
        </w:rPr>
        <w:t>(</w:t>
      </w:r>
      <w:proofErr w:type="spellStart"/>
      <w:r w:rsidRPr="00EE49D3">
        <w:rPr>
          <w:i/>
          <w:lang w:val="fr-FR"/>
        </w:rPr>
        <w:t>t+s</w:t>
      </w:r>
      <w:proofErr w:type="spellEnd"/>
      <w:r w:rsidRPr="00EE49D3">
        <w:rPr>
          <w:i/>
          <w:lang w:val="fr-FR"/>
        </w:rPr>
        <w:t>)-</w:t>
      </w:r>
      <w:proofErr w:type="spellStart"/>
      <w:r w:rsidRPr="00EE49D3">
        <w:rPr>
          <w:i/>
          <w:lang w:val="fr-FR"/>
        </w:rPr>
        <w:t>logRMB</w:t>
      </w:r>
      <w:proofErr w:type="spellEnd"/>
      <w:r w:rsidRPr="00EE49D3">
        <w:rPr>
          <w:i/>
          <w:lang w:val="fr-FR"/>
        </w:rPr>
        <w:t>(t) =</w:t>
      </w:r>
      <w:r w:rsidR="00E34914">
        <w:rPr>
          <w:i/>
          <w:lang w:val="fr-FR"/>
        </w:rPr>
        <w:t xml:space="preserve">c+ </w:t>
      </w:r>
      <w:r w:rsidRPr="00EE49D3">
        <w:rPr>
          <w:i/>
          <w:lang w:val="fr-FR"/>
        </w:rPr>
        <w:t>∑ w(j) [</w:t>
      </w:r>
      <w:proofErr w:type="spellStart"/>
      <w:proofErr w:type="gramStart"/>
      <w:r w:rsidRPr="00EE49D3">
        <w:rPr>
          <w:i/>
          <w:lang w:val="fr-FR"/>
        </w:rPr>
        <w:t>logX</w:t>
      </w:r>
      <w:proofErr w:type="spellEnd"/>
      <w:r w:rsidRPr="00EE49D3">
        <w:rPr>
          <w:i/>
          <w:lang w:val="fr-FR"/>
        </w:rPr>
        <w:t>(</w:t>
      </w:r>
      <w:proofErr w:type="gramEnd"/>
      <w:r w:rsidRPr="00EE49D3">
        <w:rPr>
          <w:i/>
          <w:lang w:val="fr-FR"/>
        </w:rPr>
        <w:t xml:space="preserve">j, </w:t>
      </w:r>
      <w:proofErr w:type="spellStart"/>
      <w:r w:rsidRPr="00EE49D3">
        <w:rPr>
          <w:i/>
          <w:lang w:val="fr-FR"/>
        </w:rPr>
        <w:t>t+s</w:t>
      </w:r>
      <w:proofErr w:type="spellEnd"/>
      <w:r w:rsidRPr="00EE49D3">
        <w:rPr>
          <w:i/>
          <w:lang w:val="fr-FR"/>
        </w:rPr>
        <w:t xml:space="preserve">) - </w:t>
      </w:r>
      <w:proofErr w:type="spellStart"/>
      <w:r w:rsidRPr="00EE49D3">
        <w:rPr>
          <w:i/>
          <w:lang w:val="fr-FR"/>
        </w:rPr>
        <w:t>logX</w:t>
      </w:r>
      <w:proofErr w:type="spellEnd"/>
      <w:r w:rsidRPr="00EE49D3">
        <w:rPr>
          <w:i/>
          <w:lang w:val="fr-FR"/>
        </w:rPr>
        <w:t>(j, t)]</w:t>
      </w:r>
    </w:p>
    <w:p w:rsidR="00801375" w:rsidRPr="00E34914" w:rsidRDefault="00801375" w:rsidP="00801375">
      <w:pPr>
        <w:rPr>
          <w:lang w:val="fr-FR"/>
        </w:rPr>
      </w:pPr>
    </w:p>
    <w:p w:rsidR="00494734" w:rsidRDefault="006713B5" w:rsidP="00801375">
      <w:r>
        <w:t>If the exchange rate is truly governed by a strict basket peg, then w</w:t>
      </w:r>
      <w:r w:rsidR="00494734">
        <w:t>e should be able to re</w:t>
      </w:r>
      <w:r>
        <w:t>cover the true weights precisely, so long as we have more observations than candidate currencies, and the equation should have a perfect fit.</w:t>
      </w:r>
    </w:p>
    <w:p w:rsidR="00494734" w:rsidRDefault="00494734" w:rsidP="00801375"/>
    <w:p w:rsidR="00801375" w:rsidRDefault="00801375" w:rsidP="00801375">
      <w:pPr>
        <w:ind w:firstLine="720"/>
      </w:pPr>
      <w:r>
        <w:t xml:space="preserve">Shah, </w:t>
      </w:r>
      <w:proofErr w:type="spellStart"/>
      <w:r>
        <w:t>Z</w:t>
      </w:r>
      <w:r w:rsidR="00442A5D">
        <w:t>eileis</w:t>
      </w:r>
      <w:proofErr w:type="spellEnd"/>
      <w:r w:rsidR="00442A5D">
        <w:t xml:space="preserve">, and Patnaik (2005) </w:t>
      </w:r>
      <w:r>
        <w:t xml:space="preserve">adopted this methodology to study the Chinese currency basket after </w:t>
      </w:r>
      <w:smartTag w:uri="urn:schemas-microsoft-com:office:smarttags" w:element="date">
        <w:smartTagPr>
          <w:attr w:name="Year" w:val="2005"/>
          <w:attr w:name="Day" w:val="21"/>
          <w:attr w:name="Month" w:val="7"/>
        </w:smartTagPr>
        <w:r>
          <w:t>July 21, 2005</w:t>
        </w:r>
      </w:smartTag>
      <w:r>
        <w:t xml:space="preserve"> and found that the RMB is still tightly pegged to the dollar</w:t>
      </w:r>
      <w:r w:rsidR="00C17D25">
        <w:t>, and</w:t>
      </w:r>
      <w:r>
        <w:t xml:space="preserve"> no</w:t>
      </w:r>
      <w:r w:rsidR="00C17D25">
        <w:t xml:space="preserve"> other currencies</w:t>
      </w:r>
      <w:r>
        <w:t xml:space="preserve">. </w:t>
      </w:r>
      <w:r w:rsidR="008D2C49">
        <w:t xml:space="preserve"> </w:t>
      </w:r>
      <w:r>
        <w:t>However, they only consider four candidate currencies in the RMB basket (the dollar, the yen, the</w:t>
      </w:r>
      <w:r w:rsidR="00A243E1">
        <w:t xml:space="preserve"> euro, and the pound), probab</w:t>
      </w:r>
      <w:r w:rsidR="00271795">
        <w:t>ly unaware of the eleven-</w:t>
      </w:r>
      <w:r>
        <w:t>currency disclosure made</w:t>
      </w:r>
      <w:r w:rsidR="00FB0687">
        <w:t xml:space="preserve"> by</w:t>
      </w:r>
      <w:r>
        <w:t xml:space="preserve"> the Chinese central bank. In addition, their sample was only the initial few months after </w:t>
      </w:r>
      <w:smartTag w:uri="urn:schemas-microsoft-com:office:smarttags" w:element="date">
        <w:smartTagPr>
          <w:attr w:name="Year" w:val="2005"/>
          <w:attr w:name="Day" w:val="21"/>
          <w:attr w:name="Month" w:val="7"/>
        </w:smartTagPr>
        <w:r>
          <w:t>July 21, 2005</w:t>
        </w:r>
      </w:smartTag>
      <w:r w:rsidR="008D2C49">
        <w:t xml:space="preserve">.   Frankel and Wei (2006) </w:t>
      </w:r>
      <w:r w:rsidR="00E20012">
        <w:t xml:space="preserve">extended to 11 the components of the basket, but </w:t>
      </w:r>
      <w:r w:rsidR="008D2C49">
        <w:t xml:space="preserve">found that the </w:t>
      </w:r>
      <w:r w:rsidR="003E0B54">
        <w:t xml:space="preserve">RMB </w:t>
      </w:r>
      <w:r w:rsidR="008D2C49">
        <w:t>regime in the second half of 2005 was still a tight dollar peg</w:t>
      </w:r>
      <w:r w:rsidR="003E0B54">
        <w:t xml:space="preserve"> – as tight as that of the </w:t>
      </w:r>
      <w:r w:rsidR="007E34B7">
        <w:t>Hong Kong SAR</w:t>
      </w:r>
      <w:r w:rsidR="003E0B54">
        <w:t xml:space="preserve"> regime</w:t>
      </w:r>
      <w:r w:rsidR="008D2C49">
        <w:t>.</w:t>
      </w:r>
      <w:r w:rsidR="001976F2">
        <w:t xml:space="preserve">  </w:t>
      </w:r>
      <w:r w:rsidR="002B6475">
        <w:t xml:space="preserve">Ogawa (2006) found the same.   </w:t>
      </w:r>
      <w:r w:rsidR="001976F2">
        <w:t xml:space="preserve">Eichengreen (2006, p. 22-25) had daily observations of data that ran from July 22, 2005, to March 21, 2006, and found a dollar weight around .9, but with no evidence of a downward trend in the weight, and no significance on non-dollar currencies. </w:t>
      </w:r>
      <w:r w:rsidR="008D2C49">
        <w:t xml:space="preserve">  Each of these </w:t>
      </w:r>
      <w:r w:rsidR="002B6475">
        <w:t>four</w:t>
      </w:r>
      <w:r w:rsidR="008D2C49">
        <w:t xml:space="preserve"> papers was too early to catch the evolution in 2006.</w:t>
      </w:r>
      <w:r w:rsidR="00271795">
        <w:t xml:space="preserve"> Yamazaki  (</w:t>
      </w:r>
      <w:r w:rsidR="00B71BDC">
        <w:t>2006,</w:t>
      </w:r>
      <w:r w:rsidR="00271795">
        <w:t xml:space="preserve"> </w:t>
      </w:r>
      <w:r w:rsidR="00E34914">
        <w:t>p.8</w:t>
      </w:r>
      <w:r w:rsidR="00396652">
        <w:t xml:space="preserve">) </w:t>
      </w:r>
      <w:r w:rsidR="00271795">
        <w:t xml:space="preserve">updated </w:t>
      </w:r>
      <w:r w:rsidR="00396652">
        <w:t>the estimation</w:t>
      </w:r>
      <w:r w:rsidR="00442A5D">
        <w:t>, and found some weight had shifted</w:t>
      </w:r>
      <w:r w:rsidR="00E34914">
        <w:t xml:space="preserve"> to the</w:t>
      </w:r>
      <w:r w:rsidR="00396652">
        <w:t xml:space="preserve"> euro, yen and won;</w:t>
      </w:r>
      <w:r w:rsidR="00E34914">
        <w:t xml:space="preserve"> but</w:t>
      </w:r>
      <w:r w:rsidR="0012524F">
        <w:t xml:space="preserve"> he</w:t>
      </w:r>
      <w:r w:rsidR="00E34914">
        <w:t xml:space="preserve"> estimated the equation in terms of levels rather than changes (risking non-station</w:t>
      </w:r>
      <w:r w:rsidR="00195386">
        <w:rPr>
          <w:rFonts w:hint="eastAsia"/>
          <w:lang w:eastAsia="zh-CN"/>
        </w:rPr>
        <w:t>a</w:t>
      </w:r>
      <w:r w:rsidR="00E34914">
        <w:t xml:space="preserve">rity), did not allow for a trend, </w:t>
      </w:r>
      <w:r w:rsidR="0012524F">
        <w:t xml:space="preserve">did not allow for the other currencies on the list, </w:t>
      </w:r>
      <w:r w:rsidR="00E34914">
        <w:t>and had a relatively small number of (bimonthly) observations.</w:t>
      </w:r>
    </w:p>
    <w:p w:rsidR="00801375" w:rsidRDefault="00801375" w:rsidP="00801375"/>
    <w:p w:rsidR="001A675B" w:rsidRPr="00861CA2" w:rsidRDefault="008D2C49" w:rsidP="00555ED4">
      <w:pPr>
        <w:ind w:firstLine="720"/>
      </w:pPr>
      <w:r>
        <w:t>One methodological question</w:t>
      </w:r>
      <w:r w:rsidR="00595B67">
        <w:t xml:space="preserve"> must be addressed</w:t>
      </w:r>
      <w:r>
        <w:t xml:space="preserve">, before we turn to the </w:t>
      </w:r>
      <w:r w:rsidR="00E57CF8">
        <w:t>new</w:t>
      </w:r>
      <w:r>
        <w:t xml:space="preserve"> results.  </w:t>
      </w:r>
      <w:r w:rsidR="00A243E1">
        <w:t xml:space="preserve">How do we define the “value” of each of the currencies?  This is the question of </w:t>
      </w:r>
      <w:r w:rsidR="00E20012">
        <w:t xml:space="preserve">the </w:t>
      </w:r>
      <w:r w:rsidR="00A243E1">
        <w:t>numeraire.</w:t>
      </w:r>
      <w:r w:rsidR="00E20012" w:rsidRPr="00E20012">
        <w:rPr>
          <w:rStyle w:val="FootnoteReference"/>
        </w:rPr>
        <w:t xml:space="preserve"> </w:t>
      </w:r>
      <w:r w:rsidR="00E20012">
        <w:rPr>
          <w:rStyle w:val="FootnoteReference"/>
        </w:rPr>
        <w:footnoteReference w:id="18"/>
      </w:r>
      <w:r w:rsidR="00E20012">
        <w:t xml:space="preserve"> </w:t>
      </w:r>
      <w:r w:rsidR="00A243E1">
        <w:t xml:space="preserve">   If the exchange rate is truly a basket peg,</w:t>
      </w:r>
      <w:r w:rsidR="00A243E1" w:rsidRPr="00A243E1">
        <w:t xml:space="preserve"> </w:t>
      </w:r>
      <w:r w:rsidR="00A243E1">
        <w:t xml:space="preserve">the choice of numeraire currency is immaterial; we estimate the weights accurately </w:t>
      </w:r>
      <w:r w:rsidR="006713B5">
        <w:t>regardless</w:t>
      </w:r>
      <w:r w:rsidR="00A243E1">
        <w:t>.</w:t>
      </w:r>
      <w:r w:rsidR="00E20012">
        <w:rPr>
          <w:rStyle w:val="FootnoteReference"/>
        </w:rPr>
        <w:footnoteReference w:id="19"/>
      </w:r>
      <w:r w:rsidR="00A243E1">
        <w:t xml:space="preserve">   If the true regime is more variable than </w:t>
      </w:r>
      <w:r w:rsidR="00E57CF8">
        <w:t xml:space="preserve">a </w:t>
      </w:r>
      <w:r w:rsidR="00A243E1">
        <w:t xml:space="preserve">rigid basket peg, then the choice of numeraire does make some difference to the estimation. </w:t>
      </w:r>
      <w:r w:rsidR="00494734">
        <w:t xml:space="preserve">  Some authors in the past have used </w:t>
      </w:r>
      <w:r w:rsidR="006804E0">
        <w:t xml:space="preserve">a remote currency, such as </w:t>
      </w:r>
      <w:r w:rsidR="00494734">
        <w:t>th</w:t>
      </w:r>
      <w:r w:rsidR="00661FAA">
        <w:t>e Swiss franc</w:t>
      </w:r>
      <w:r w:rsidR="00195386">
        <w:rPr>
          <w:rFonts w:hint="eastAsia"/>
          <w:lang w:eastAsia="zh-CN"/>
        </w:rPr>
        <w:t xml:space="preserve"> (e.g., Frankel and Wei, 1994)</w:t>
      </w:r>
      <w:r w:rsidR="00494734">
        <w:t>.  But a weighted index such as</w:t>
      </w:r>
      <w:r w:rsidR="00595B67" w:rsidRPr="00595B67">
        <w:t xml:space="preserve"> </w:t>
      </w:r>
      <w:r w:rsidR="00595B67">
        <w:t>a trade-weighted measure or</w:t>
      </w:r>
      <w:r w:rsidR="00494734">
        <w:t xml:space="preserve"> the SDR </w:t>
      </w:r>
      <w:r w:rsidR="00595B67">
        <w:t>(Special Drawing Right, an IMF unit composed of a basket of most important major currencies)</w:t>
      </w:r>
      <w:r w:rsidR="00494734">
        <w:t xml:space="preserve"> is probably more appropriate. </w:t>
      </w:r>
      <w:r w:rsidR="00A243E1">
        <w:t xml:space="preserve"> </w:t>
      </w:r>
      <w:r w:rsidR="00494734">
        <w:t xml:space="preserve"> </w:t>
      </w:r>
      <w:r w:rsidR="00E20012">
        <w:t xml:space="preserve">Here is why.   </w:t>
      </w:r>
      <w:r w:rsidR="00494734">
        <w:t>If the true regime is</w:t>
      </w:r>
      <w:r w:rsidR="00E57CF8">
        <w:t xml:space="preserve"> a ta</w:t>
      </w:r>
      <w:r w:rsidR="00494734">
        <w:t>rget zone or a managed float centered around a reference basket</w:t>
      </w:r>
      <w:r w:rsidR="00E57CF8">
        <w:t>,</w:t>
      </w:r>
      <w:r w:rsidR="00422A22">
        <w:t xml:space="preserve"> </w:t>
      </w:r>
      <w:r w:rsidR="00494734">
        <w:t>where the authorities intervene to an extent that depends on the magnitude of the deviation</w:t>
      </w:r>
      <w:r w:rsidR="00422A22">
        <w:t xml:space="preserve"> – and this seems the logical alternative hypothesis in which a strict basket peg is nested --</w:t>
      </w:r>
      <w:r w:rsidR="00494734">
        <w:t xml:space="preserve"> then </w:t>
      </w:r>
      <w:r w:rsidR="00F33B7B">
        <w:t xml:space="preserve">the error term in the equation represents shocks in demand for the currency that the authorities allow to be partially reflected in the exchange rate (but only partially, because they intervene if the shocks are large).  Then </w:t>
      </w:r>
      <w:r w:rsidR="00494734">
        <w:t>one should use a numeraire that is similar to that used by the authorities in measuring what constitutes a large deviation</w:t>
      </w:r>
      <w:r w:rsidR="00422A22">
        <w:t xml:space="preserve">.  </w:t>
      </w:r>
      <w:r w:rsidR="00E57CF8">
        <w:t xml:space="preserve"> The authorities are unlikely to use the Swiss franc or Canadian dollar in thinking about the size of deviations from their reference point.   They are more likely to use a weighted average of major currencies.    If we use a similar measure in the equation, it sh</w:t>
      </w:r>
      <w:r w:rsidR="00422A22">
        <w:t>ould help minimize the possibility of correlation between the error term and the numeraire</w:t>
      </w:r>
      <w:r w:rsidR="00494734">
        <w:t>.</w:t>
      </w:r>
      <w:r w:rsidR="00422A22">
        <w:rPr>
          <w:rStyle w:val="FootnoteReference"/>
        </w:rPr>
        <w:footnoteReference w:id="20"/>
      </w:r>
      <w:r w:rsidR="00494734">
        <w:t xml:space="preserve">     </w:t>
      </w:r>
      <w:r w:rsidR="0095566A">
        <w:t xml:space="preserve">Similarly, if there is a trend in the exchange rate equation (a constant term in the changes equation) representing deliberate gradual appreciation of the currency, then the value of the RMB should be defined in terms of whatever weighted exchange rate index the authorities are likely to use in thinking about the trend. </w:t>
      </w:r>
      <w:r w:rsidR="00F33B7B">
        <w:t xml:space="preserve">  </w:t>
      </w:r>
      <w:r w:rsidR="008912DB">
        <w:t>Th</w:t>
      </w:r>
      <w:r w:rsidR="00F33B7B">
        <w:t>ese considerations suggest</w:t>
      </w:r>
      <w:r w:rsidR="0095566A">
        <w:t xml:space="preserve"> </w:t>
      </w:r>
      <w:r w:rsidR="001A675B">
        <w:t xml:space="preserve">a numeraire that is itself composed of a basket of currencies.   We choose </w:t>
      </w:r>
      <w:r w:rsidR="00F33B7B">
        <w:t xml:space="preserve">here </w:t>
      </w:r>
      <w:r w:rsidR="001A675B">
        <w:t>the SDR.</w:t>
      </w:r>
    </w:p>
    <w:p w:rsidR="00801375" w:rsidRDefault="00801375" w:rsidP="00801375">
      <w:pPr>
        <w:ind w:firstLine="720"/>
      </w:pPr>
      <w:r>
        <w:t>Using daily exchange rate</w:t>
      </w:r>
      <w:r w:rsidR="0084391E">
        <w:t>s</w:t>
      </w:r>
      <w:r>
        <w:t xml:space="preserve"> (from </w:t>
      </w:r>
      <w:smartTag w:uri="urn:schemas-microsoft-com:office:smarttags" w:element="date">
        <w:smartTagPr>
          <w:attr w:name="Year" w:val="2005"/>
          <w:attr w:name="Day" w:val="21"/>
          <w:attr w:name="Month" w:val="7"/>
        </w:smartTagPr>
        <w:r>
          <w:t>July 21, 2005</w:t>
        </w:r>
      </w:smartTag>
      <w:r>
        <w:t xml:space="preserve"> to </w:t>
      </w:r>
      <w:r w:rsidR="001A675B">
        <w:t xml:space="preserve">the beginning of 2007) and the </w:t>
      </w:r>
      <w:r w:rsidR="00422A22">
        <w:t>SDR</w:t>
      </w:r>
      <w:r>
        <w:t xml:space="preserve"> as the numeraire currency, we implement a sequence of estimation</w:t>
      </w:r>
      <w:r w:rsidR="00422A22">
        <w:t>s</w:t>
      </w:r>
      <w:r>
        <w:t xml:space="preserve"> for the</w:t>
      </w:r>
      <w:r w:rsidR="00DF61D7">
        <w:t xml:space="preserve"> whole sample. </w:t>
      </w:r>
      <w:r w:rsidR="00FD03E6">
        <w:t xml:space="preserve">  </w:t>
      </w:r>
      <w:r w:rsidR="000D7F28">
        <w:t>Bilateral e</w:t>
      </w:r>
      <w:r w:rsidR="00FD03E6">
        <w:t xml:space="preserve">xchange rates are observed at the same moment in the day.  </w:t>
      </w:r>
      <w:r w:rsidR="00DF61D7">
        <w:t xml:space="preserve"> </w:t>
      </w:r>
      <w:r w:rsidR="000D7F28">
        <w:t>Column 1 of Table 4</w:t>
      </w:r>
      <w:r w:rsidR="00DF61D7">
        <w:t xml:space="preserve"> reports the result</w:t>
      </w:r>
      <w:r w:rsidR="000D7F28">
        <w:t xml:space="preserve"> for the entire sample period</w:t>
      </w:r>
      <w:r>
        <w:t xml:space="preserve">. </w:t>
      </w:r>
      <w:r w:rsidR="00DF61D7">
        <w:t xml:space="preserve"> Of the</w:t>
      </w:r>
      <w:r>
        <w:t xml:space="preserve"> 11 currenci</w:t>
      </w:r>
      <w:r w:rsidR="00581DC8">
        <w:t xml:space="preserve">es </w:t>
      </w:r>
      <w:r w:rsidR="00DF61D7">
        <w:t xml:space="preserve">that are supposedly </w:t>
      </w:r>
      <w:r w:rsidR="00581DC8">
        <w:t>in the basket, only two</w:t>
      </w:r>
      <w:r>
        <w:t xml:space="preserve"> currencies receive </w:t>
      </w:r>
      <w:r w:rsidR="003E0B54">
        <w:t xml:space="preserve">weights that </w:t>
      </w:r>
      <w:r w:rsidR="00062369">
        <w:t xml:space="preserve">are </w:t>
      </w:r>
      <w:r w:rsidR="003E0B54">
        <w:t xml:space="preserve">steady enough throughout the sample period to show up with </w:t>
      </w:r>
      <w:r>
        <w:t>pos</w:t>
      </w:r>
      <w:r w:rsidR="00422A22">
        <w:t>i</w:t>
      </w:r>
      <w:r>
        <w:t>tive and statistically significant weigh</w:t>
      </w:r>
      <w:r w:rsidR="00581DC8">
        <w:t>ts: the US dollar (90% weight) and Malaysian ringgit (5%</w:t>
      </w:r>
      <w:r w:rsidR="003E0B54">
        <w:t xml:space="preserve"> weight</w:t>
      </w:r>
      <w:r w:rsidR="00581DC8">
        <w:t>)</w:t>
      </w:r>
      <w:r>
        <w:t xml:space="preserve">. </w:t>
      </w:r>
      <w:r w:rsidR="003E0B54">
        <w:t xml:space="preserve">  Surprisingly, </w:t>
      </w:r>
      <w:r w:rsidR="00AF47F4">
        <w:t xml:space="preserve">the </w:t>
      </w:r>
      <w:r>
        <w:t xml:space="preserve">two major </w:t>
      </w:r>
      <w:r w:rsidR="003E0B54">
        <w:t>non-dollar</w:t>
      </w:r>
      <w:r>
        <w:t xml:space="preserve"> currencies, the euro and the yen, receive zero weight in the basket.</w:t>
      </w:r>
      <w:r w:rsidR="00422A22">
        <w:t xml:space="preserve"> </w:t>
      </w:r>
      <w:r>
        <w:t xml:space="preserve"> </w:t>
      </w:r>
      <w:r w:rsidR="00CD5F79">
        <w:t>(</w:t>
      </w:r>
      <w:r>
        <w:t>These results stay the same when we switch the numeraire currency from SDR to Swiss franc</w:t>
      </w:r>
      <w:r w:rsidR="00581DC8">
        <w:t xml:space="preserve"> or gold</w:t>
      </w:r>
      <w:r w:rsidR="003E0B54">
        <w:t xml:space="preserve"> as a robustness check</w:t>
      </w:r>
      <w:r w:rsidR="00581DC8">
        <w:t>.</w:t>
      </w:r>
      <w:r w:rsidR="00CD5F79">
        <w:t>)</w:t>
      </w:r>
      <w:r>
        <w:t xml:space="preserve"> </w:t>
      </w:r>
      <w:r w:rsidR="009C51FB">
        <w:t xml:space="preserve">  It appears that the Chinese authorities are more concerned with preserving trade competitiveness against major Asian rivals than with minimizing variability vis-à-vis the world’s most important currencies or </w:t>
      </w:r>
      <w:smartTag w:uri="urn:schemas-microsoft-com:office:smarttags" w:element="country-region">
        <w:smartTag w:uri="urn:schemas-microsoft-com:office:smarttags" w:element="place">
          <w:r w:rsidR="009C51FB">
            <w:t>China</w:t>
          </w:r>
        </w:smartTag>
      </w:smartTag>
      <w:r w:rsidR="009C51FB">
        <w:t>’s most important export markets.</w:t>
      </w:r>
    </w:p>
    <w:p w:rsidR="00801375" w:rsidRDefault="00801375" w:rsidP="00801375"/>
    <w:p w:rsidR="00801375" w:rsidRDefault="00801375" w:rsidP="00EB2E9F">
      <w:pPr>
        <w:ind w:firstLine="720"/>
      </w:pPr>
      <w:r>
        <w:t xml:space="preserve">Despite the official pronouncement that </w:t>
      </w:r>
      <w:smartTag w:uri="urn:schemas-microsoft-com:office:smarttags" w:element="country-region">
        <w:smartTag w:uri="urn:schemas-microsoft-com:office:smarttags" w:element="place">
          <w:r>
            <w:t>China</w:t>
          </w:r>
        </w:smartTag>
      </w:smartTag>
      <w:r>
        <w:t xml:space="preserve"> has </w:t>
      </w:r>
      <w:r w:rsidR="00EB2E9F">
        <w:t>ceased</w:t>
      </w:r>
      <w:r>
        <w:t xml:space="preserve"> </w:t>
      </w:r>
      <w:r w:rsidR="00EB2E9F">
        <w:t xml:space="preserve">its particular link to </w:t>
      </w:r>
      <w:proofErr w:type="gramStart"/>
      <w:r w:rsidR="00EB2E9F">
        <w:t xml:space="preserve">the </w:t>
      </w:r>
      <w:r>
        <w:t xml:space="preserve"> </w:t>
      </w:r>
      <w:r w:rsidR="00A85D9A">
        <w:t>US</w:t>
      </w:r>
      <w:proofErr w:type="gramEnd"/>
      <w:r>
        <w:t xml:space="preserve"> dollar, the </w:t>
      </w:r>
      <w:r w:rsidR="003E0B54">
        <w:t xml:space="preserve">sample-wide </w:t>
      </w:r>
      <w:r w:rsidR="00EB2E9F">
        <w:t>estimated weight on the dollar is still 90%</w:t>
      </w:r>
      <w:r>
        <w:t xml:space="preserve">. </w:t>
      </w:r>
      <w:r w:rsidR="00EB2E9F">
        <w:t xml:space="preserve">   </w:t>
      </w:r>
      <w:r w:rsidR="00CD5F79">
        <w:t xml:space="preserve">Further, </w:t>
      </w:r>
      <w:r>
        <w:t xml:space="preserve">the regression has a tight </w:t>
      </w:r>
      <w:r w:rsidR="00B2018C">
        <w:t>fit, with R</w:t>
      </w:r>
      <w:r w:rsidR="00B2018C" w:rsidRPr="00B2018C">
        <w:rPr>
          <w:vertAlign w:val="superscript"/>
        </w:rPr>
        <w:t>2</w:t>
      </w:r>
      <w:r w:rsidR="00581DC8" w:rsidRPr="00B2018C">
        <w:rPr>
          <w:vertAlign w:val="superscript"/>
        </w:rPr>
        <w:t xml:space="preserve"> </w:t>
      </w:r>
      <w:r w:rsidR="00581DC8">
        <w:t>of 0.95</w:t>
      </w:r>
      <w:r>
        <w:t xml:space="preserve"> </w:t>
      </w:r>
      <w:r w:rsidR="003E0B54">
        <w:t>and</w:t>
      </w:r>
      <w:r>
        <w:t xml:space="preserve"> root </w:t>
      </w:r>
      <w:r w:rsidR="00195386">
        <w:rPr>
          <w:rFonts w:hint="eastAsia"/>
          <w:lang w:eastAsia="zh-CN"/>
        </w:rPr>
        <w:t>mean squared errors (</w:t>
      </w:r>
      <w:r>
        <w:t>MSE</w:t>
      </w:r>
      <w:r w:rsidR="00195386">
        <w:rPr>
          <w:rFonts w:hint="eastAsia"/>
          <w:lang w:eastAsia="zh-CN"/>
        </w:rPr>
        <w:t>)</w:t>
      </w:r>
      <w:r>
        <w:t xml:space="preserve"> of 0.03</w:t>
      </w:r>
      <w:r w:rsidR="00195386">
        <w:rPr>
          <w:rFonts w:hint="eastAsia"/>
          <w:lang w:eastAsia="zh-CN"/>
        </w:rPr>
        <w:t>%</w:t>
      </w:r>
      <w:r w:rsidR="00EB2E9F">
        <w:t>, suggesting a tight peg to the basket</w:t>
      </w:r>
      <w:r>
        <w:t>.</w:t>
      </w:r>
      <w:r w:rsidR="00CD5F79">
        <w:t xml:space="preserve">   This finding is in contrast to the official position that the link to the basket (whatever its composition) is loose, that it is just a reference point.</w:t>
      </w:r>
      <w:r>
        <w:t xml:space="preserve"> </w:t>
      </w:r>
      <w:r w:rsidR="00EB2E9F">
        <w:t xml:space="preserve"> </w:t>
      </w:r>
      <w:r>
        <w:t xml:space="preserve">For comparison, we implement </w:t>
      </w:r>
      <w:r w:rsidR="00F85344">
        <w:t>the same</w:t>
      </w:r>
      <w:r>
        <w:t xml:space="preserve"> meth</w:t>
      </w:r>
      <w:r w:rsidR="00EB2E9F">
        <w:t>o</w:t>
      </w:r>
      <w:r>
        <w:t xml:space="preserve">dology on a currency that is clearly floating, namely the Japanese yen, and another currency that is known to </w:t>
      </w:r>
      <w:r w:rsidR="00CD5F79">
        <w:t xml:space="preserve">be </w:t>
      </w:r>
      <w:r>
        <w:t xml:space="preserve">pegged to the </w:t>
      </w:r>
      <w:r w:rsidR="00A85D9A">
        <w:t>US</w:t>
      </w:r>
      <w:r>
        <w:t xml:space="preserve"> dollar, namely, the </w:t>
      </w:r>
      <w:smartTag w:uri="urn:schemas-microsoft-com:office:smarttags" w:element="place">
        <w:r>
          <w:t>Hong Kong</w:t>
        </w:r>
      </w:smartTag>
      <w:r>
        <w:t xml:space="preserve"> dol</w:t>
      </w:r>
      <w:r w:rsidR="00EB2E9F">
        <w:t>lar. The R</w:t>
      </w:r>
      <w:r w:rsidR="00EB2E9F" w:rsidRPr="00EB2E9F">
        <w:rPr>
          <w:vertAlign w:val="superscript"/>
        </w:rPr>
        <w:t>2</w:t>
      </w:r>
      <w:r w:rsidR="00EB2E9F">
        <w:t xml:space="preserve"> i</w:t>
      </w:r>
      <w:r w:rsidR="00F563D0">
        <w:t>s 0.54</w:t>
      </w:r>
      <w:r>
        <w:t xml:space="preserve"> for the Japanese yen, mu</w:t>
      </w:r>
      <w:r w:rsidR="00F563D0">
        <w:t xml:space="preserve">ch lower </w:t>
      </w:r>
      <w:r w:rsidR="0095275F">
        <w:t xml:space="preserve">than </w:t>
      </w:r>
      <w:r w:rsidR="00F563D0">
        <w:t xml:space="preserve">that </w:t>
      </w:r>
      <w:r w:rsidR="0095275F">
        <w:t xml:space="preserve">of </w:t>
      </w:r>
      <w:r w:rsidR="00F563D0">
        <w:t>the RMB</w:t>
      </w:r>
      <w:r w:rsidR="00CD5F79">
        <w:t>.   I</w:t>
      </w:r>
      <w:r w:rsidR="00F563D0">
        <w:t>t is 99</w:t>
      </w:r>
      <w:r>
        <w:t xml:space="preserve">% for </w:t>
      </w:r>
      <w:smartTag w:uri="urn:schemas-microsoft-com:office:smarttags" w:element="place">
        <w:r>
          <w:t>Hong Kong</w:t>
        </w:r>
      </w:smartTag>
      <w:r>
        <w:t xml:space="preserve"> dollar, not that</w:t>
      </w:r>
      <w:r w:rsidR="00F563D0">
        <w:t xml:space="preserve"> much</w:t>
      </w:r>
      <w:r>
        <w:t xml:space="preserve"> different from the RMB. Similarly, the root mean squared </w:t>
      </w:r>
      <w:r w:rsidR="00F22C31">
        <w:t>error is</w:t>
      </w:r>
      <w:r>
        <w:t xml:space="preserve"> 0.36</w:t>
      </w:r>
      <w:r w:rsidR="00195386">
        <w:rPr>
          <w:rFonts w:hint="eastAsia"/>
          <w:lang w:eastAsia="zh-CN"/>
        </w:rPr>
        <w:t>%</w:t>
      </w:r>
      <w:r>
        <w:t xml:space="preserve"> for the yen, an order of magnitude bigger than for the RMB, but is 0.02</w:t>
      </w:r>
      <w:r w:rsidR="00195386">
        <w:rPr>
          <w:rFonts w:hint="eastAsia"/>
          <w:lang w:eastAsia="zh-CN"/>
        </w:rPr>
        <w:t>%</w:t>
      </w:r>
      <w:r>
        <w:t xml:space="preserve"> for the </w:t>
      </w:r>
      <w:smartTag w:uri="urn:schemas-microsoft-com:office:smarttags" w:element="place">
        <w:r>
          <w:t>Hong Kong</w:t>
        </w:r>
      </w:smartTag>
      <w:r>
        <w:t xml:space="preserve"> dollar, virtually the same as the RMB. </w:t>
      </w:r>
      <w:r w:rsidR="00CD5F79">
        <w:t xml:space="preserve">  It is striking </w:t>
      </w:r>
      <w:r>
        <w:t xml:space="preserve">that the </w:t>
      </w:r>
      <w:r w:rsidR="00F85344">
        <w:t>behavior</w:t>
      </w:r>
      <w:r>
        <w:t xml:space="preserve"> of the Chinese RMB since </w:t>
      </w:r>
      <w:smartTag w:uri="urn:schemas-microsoft-com:office:smarttags" w:element="date">
        <w:smartTagPr>
          <w:attr w:name="Year" w:val="2005"/>
          <w:attr w:name="Day" w:val="21"/>
          <w:attr w:name="Month" w:val="7"/>
        </w:smartTagPr>
        <w:r>
          <w:t>July 21, 2005</w:t>
        </w:r>
      </w:smartTag>
      <w:r>
        <w:t xml:space="preserve"> closely resembles </w:t>
      </w:r>
      <w:r w:rsidR="00F85344">
        <w:t xml:space="preserve">that of </w:t>
      </w:r>
      <w:r>
        <w:t xml:space="preserve">a known dollar pegger, the HK dollar, but </w:t>
      </w:r>
      <w:r w:rsidR="0095275F">
        <w:t xml:space="preserve">is </w:t>
      </w:r>
      <w:r>
        <w:t>very far from a known floater, the yen.</w:t>
      </w:r>
    </w:p>
    <w:p w:rsidR="00801375" w:rsidRDefault="00801375" w:rsidP="00801375"/>
    <w:p w:rsidR="00801375" w:rsidRDefault="00801375" w:rsidP="00801375">
      <w:pPr>
        <w:ind w:firstLine="720"/>
      </w:pPr>
      <w:r>
        <w:t>We implement</w:t>
      </w:r>
      <w:r w:rsidR="004358E1">
        <w:t>ed</w:t>
      </w:r>
      <w:r>
        <w:t xml:space="preserve"> </w:t>
      </w:r>
      <w:r w:rsidR="00A47A14">
        <w:t>the</w:t>
      </w:r>
      <w:r>
        <w:t xml:space="preserve"> methodology on three other East Asian currencies</w:t>
      </w:r>
      <w:r w:rsidR="00A47A14">
        <w:t xml:space="preserve"> as well</w:t>
      </w:r>
      <w:r>
        <w:t xml:space="preserve">: the </w:t>
      </w:r>
      <w:smartTag w:uri="urn:schemas-microsoft-com:office:smarttags" w:element="country-region">
        <w:smartTag w:uri="urn:schemas-microsoft-com:office:smarttags" w:element="place">
          <w:r>
            <w:t>Singapore</w:t>
          </w:r>
        </w:smartTag>
      </w:smartTag>
      <w:r>
        <w:t xml:space="preserve"> dollar, the Malaysian ringgi</w:t>
      </w:r>
      <w:r w:rsidR="00AD5347">
        <w:t>t, and the Korean won</w:t>
      </w:r>
      <w:r w:rsidR="004358E1">
        <w:t xml:space="preserve"> (reported in the Working Paper)</w:t>
      </w:r>
      <w:r w:rsidR="00AD5347">
        <w:t xml:space="preserve">. They </w:t>
      </w:r>
      <w:r>
        <w:t>cons</w:t>
      </w:r>
      <w:r w:rsidR="009B3C64">
        <w:t xml:space="preserve">titute intermediate cases. </w:t>
      </w:r>
      <w:r w:rsidR="00AD5347">
        <w:t xml:space="preserve"> Of the</w:t>
      </w:r>
      <w:r w:rsidR="0095275F">
        <w:t xml:space="preserve"> three, the </w:t>
      </w:r>
      <w:smartTag w:uri="urn:schemas-microsoft-com:office:smarttags" w:element="country-region">
        <w:smartTag w:uri="urn:schemas-microsoft-com:office:smarttags" w:element="place">
          <w:r w:rsidR="0095275F">
            <w:t>Singapore</w:t>
          </w:r>
        </w:smartTag>
      </w:smartTag>
      <w:r w:rsidR="0095275F">
        <w:t xml:space="preserve"> dollar and Malaysian ringgit both appear to be following loose basket pegs.  The weights on the dollar are </w:t>
      </w:r>
      <w:proofErr w:type="gramStart"/>
      <w:r w:rsidR="0095275F">
        <w:t>lower,</w:t>
      </w:r>
      <w:proofErr w:type="gramEnd"/>
      <w:r w:rsidR="0095275F">
        <w:t xml:space="preserve"> and the fit looser, than in the case of the RMB.    </w:t>
      </w:r>
      <w:r w:rsidR="00F22C31">
        <w:t>Nevertheless</w:t>
      </w:r>
      <w:r w:rsidR="0095275F">
        <w:t>, considering that the Malaysian currency appears to be the only important non-dollar currency in the Chinese basket, it is striking that the ringgit itself gives .5 weight to the dollar (also .1 weight</w:t>
      </w:r>
      <w:r w:rsidR="00AD5347">
        <w:t>,</w:t>
      </w:r>
      <w:r w:rsidR="0095275F">
        <w:t xml:space="preserve"> each</w:t>
      </w:r>
      <w:r w:rsidR="00AD5347">
        <w:t>,</w:t>
      </w:r>
      <w:r w:rsidR="0095275F">
        <w:t xml:space="preserve"> to the </w:t>
      </w:r>
      <w:smartTag w:uri="urn:schemas-microsoft-com:office:smarttags" w:element="country-region">
        <w:smartTag w:uri="urn:schemas-microsoft-com:office:smarttags" w:element="place">
          <w:r w:rsidR="0095275F">
            <w:t>Taiwan</w:t>
          </w:r>
        </w:smartTag>
      </w:smartTag>
      <w:r w:rsidR="0095275F">
        <w:t xml:space="preserve"> dollar, Philippine peso and Indian rupee). </w:t>
      </w:r>
      <w:r w:rsidR="00AD5347">
        <w:t xml:space="preserve">  </w:t>
      </w:r>
      <w:r w:rsidR="0095275F">
        <w:t>It means there is even less scope for yuan app</w:t>
      </w:r>
      <w:r w:rsidR="00EE286E">
        <w:t>reciation against the dollar.</w:t>
      </w:r>
    </w:p>
    <w:p w:rsidR="00A47A14" w:rsidRDefault="00A47A14" w:rsidP="00801375">
      <w:pPr>
        <w:ind w:firstLine="720"/>
      </w:pPr>
    </w:p>
    <w:p w:rsidR="00A47A14" w:rsidRDefault="00A47A14" w:rsidP="00801375">
      <w:pPr>
        <w:ind w:firstLine="720"/>
      </w:pPr>
      <w:r>
        <w:t xml:space="preserve">Some have reacted to </w:t>
      </w:r>
      <w:r w:rsidR="001B72BB">
        <w:t xml:space="preserve">our results by pointing to </w:t>
      </w:r>
      <w:r>
        <w:t>high m</w:t>
      </w:r>
      <w:r w:rsidR="00877150">
        <w:t>ulticollinearity and reverse-causality</w:t>
      </w:r>
      <w:r>
        <w:t xml:space="preserve"> among the </w:t>
      </w:r>
      <w:proofErr w:type="spellStart"/>
      <w:r>
        <w:t>regressors</w:t>
      </w:r>
      <w:proofErr w:type="spellEnd"/>
      <w:r>
        <w:t xml:space="preserve"> in the RMB equation and wondered whether the coefficient estimates are biased. </w:t>
      </w:r>
      <w:r w:rsidR="001B72BB">
        <w:t xml:space="preserve">  After all, we have just seen that the Malaysian dollar is highly correlated with the US dollar, and have suggested that this is deliberate policy on the part of </w:t>
      </w:r>
      <w:smartTag w:uri="urn:schemas-microsoft-com:office:smarttags" w:element="City">
        <w:smartTag w:uri="urn:schemas-microsoft-com:office:smarttags" w:element="place">
          <w:r w:rsidR="001B72BB">
            <w:t xml:space="preserve">Kuala </w:t>
          </w:r>
          <w:proofErr w:type="gramStart"/>
          <w:r w:rsidR="001B72BB">
            <w:t>Lumpur</w:t>
          </w:r>
        </w:smartTag>
      </w:smartTag>
      <w:r>
        <w:t xml:space="preserve">  But</w:t>
      </w:r>
      <w:proofErr w:type="gramEnd"/>
      <w:r>
        <w:t xml:space="preserve"> the independent significance of the </w:t>
      </w:r>
      <w:smartTag w:uri="urn:schemas-microsoft-com:office:smarttags" w:element="country-region">
        <w:smartTag w:uri="urn:schemas-microsoft-com:office:smarttags" w:element="place">
          <w:r>
            <w:t>US</w:t>
          </w:r>
        </w:smartTag>
      </w:smartTag>
      <w:r>
        <w:t xml:space="preserve"> and Malaysian dollars in the </w:t>
      </w:r>
      <w:r w:rsidR="001B72BB">
        <w:t xml:space="preserve">RMB </w:t>
      </w:r>
      <w:r>
        <w:t xml:space="preserve">equation </w:t>
      </w:r>
      <w:r w:rsidR="009A0D07">
        <w:t>suggests that the relationship is strong enough to prevail</w:t>
      </w:r>
      <w:r>
        <w:t xml:space="preserve"> over the multicollinearity.  (Of course, that is what multivariate regression is designed to d</w:t>
      </w:r>
      <w:r w:rsidR="00877150">
        <w:t>iscover</w:t>
      </w:r>
      <w:r>
        <w:t>.)</w:t>
      </w:r>
      <w:r w:rsidR="001B72BB">
        <w:t xml:space="preserve">  And the tightness of the fit suggests that the existence of another simultaneous equation determining the ringgit would not much bias the estimates in the RMB equation.    Recall that, in the limit, a perfect basket peg will produce perfect coefficient estimates:  the error term cannot be correlated with </w:t>
      </w:r>
      <w:proofErr w:type="spellStart"/>
      <w:r w:rsidR="001B72BB">
        <w:t>righthand</w:t>
      </w:r>
      <w:proofErr w:type="spellEnd"/>
      <w:r w:rsidR="001B72BB">
        <w:t xml:space="preserve"> side variables if there is no error term.</w:t>
      </w:r>
    </w:p>
    <w:p w:rsidR="00801375" w:rsidRPr="001610EC" w:rsidRDefault="00801375" w:rsidP="00801375">
      <w:pPr>
        <w:rPr>
          <w:b/>
          <w:i/>
        </w:rPr>
      </w:pPr>
    </w:p>
    <w:p w:rsidR="0004515E" w:rsidRPr="001610EC" w:rsidRDefault="00801375" w:rsidP="0004515E">
      <w:pPr>
        <w:numPr>
          <w:ilvl w:val="1"/>
          <w:numId w:val="13"/>
        </w:numPr>
        <w:rPr>
          <w:b/>
          <w:i/>
        </w:rPr>
      </w:pPr>
      <w:r w:rsidRPr="001610EC">
        <w:rPr>
          <w:b/>
          <w:i/>
        </w:rPr>
        <w:t xml:space="preserve">Evolution of the </w:t>
      </w:r>
      <w:r w:rsidR="0004515E" w:rsidRPr="001610EC">
        <w:rPr>
          <w:b/>
          <w:i/>
        </w:rPr>
        <w:t>B</w:t>
      </w:r>
      <w:r w:rsidRPr="001610EC">
        <w:rPr>
          <w:b/>
          <w:i/>
        </w:rPr>
        <w:t>asket</w:t>
      </w:r>
    </w:p>
    <w:p w:rsidR="0004515E" w:rsidRDefault="0004515E" w:rsidP="001610EC">
      <w:pPr>
        <w:ind w:left="360"/>
        <w:rPr>
          <w:i/>
        </w:rPr>
      </w:pPr>
    </w:p>
    <w:p w:rsidR="0004515E" w:rsidRPr="001610EC" w:rsidRDefault="0004515E" w:rsidP="001610EC">
      <w:pPr>
        <w:ind w:firstLine="720"/>
      </w:pPr>
      <w:r>
        <w:t xml:space="preserve">The situation is changing rapidly over time.  Estimates that impose unchanging coefficients could well be misleading.  </w:t>
      </w:r>
    </w:p>
    <w:p w:rsidR="0004515E" w:rsidRDefault="0004515E" w:rsidP="001610EC">
      <w:pPr>
        <w:ind w:left="360"/>
        <w:rPr>
          <w:i/>
        </w:rPr>
      </w:pPr>
    </w:p>
    <w:p w:rsidR="00801375" w:rsidRPr="00DB7CB9" w:rsidRDefault="00801375" w:rsidP="0004515E">
      <w:pPr>
        <w:numPr>
          <w:ilvl w:val="2"/>
          <w:numId w:val="13"/>
        </w:numPr>
        <w:rPr>
          <w:i/>
        </w:rPr>
      </w:pPr>
      <w:r>
        <w:rPr>
          <w:i/>
        </w:rPr>
        <w:t xml:space="preserve">Estimates from the </w:t>
      </w:r>
      <w:r w:rsidR="00F22C31">
        <w:rPr>
          <w:i/>
        </w:rPr>
        <w:t>sub samples</w:t>
      </w:r>
    </w:p>
    <w:p w:rsidR="00801375" w:rsidRDefault="00801375" w:rsidP="00801375"/>
    <w:p w:rsidR="00801375" w:rsidRDefault="00801375" w:rsidP="00801375">
      <w:pPr>
        <w:ind w:firstLine="720"/>
      </w:pPr>
      <w:r>
        <w:t xml:space="preserve">To </w:t>
      </w:r>
      <w:r w:rsidR="007D12E6">
        <w:t>allow for</w:t>
      </w:r>
      <w:r>
        <w:t xml:space="preserve"> evolution of the Chinese exchange rate regime since the July 21, 2005 policy change, we divide the sample into </w:t>
      </w:r>
      <w:r w:rsidR="00F563D0">
        <w:t>six</w:t>
      </w:r>
      <w:r>
        <w:t xml:space="preserve"> approximately equal-sized sub-periods: </w:t>
      </w:r>
      <w:r w:rsidR="00F563D0">
        <w:t xml:space="preserve">(1) </w:t>
      </w:r>
      <w:r>
        <w:t xml:space="preserve">July 22-October 31, 2005, </w:t>
      </w:r>
      <w:r w:rsidR="00F563D0">
        <w:t xml:space="preserve">(2) </w:t>
      </w:r>
      <w:r>
        <w:t>Novemb</w:t>
      </w:r>
      <w:r w:rsidR="00F563D0">
        <w:t>er 1, 2005 – January 31, 2006, (3) February 1 – April 28, 2006, (4) May 1- July 31, 2006, (5) August 1-October 31, 2006, and (6) October 1, 2006 – January 8, 2007</w:t>
      </w:r>
      <w:r w:rsidR="00FF75C4">
        <w:t>.</w:t>
      </w:r>
      <w:r w:rsidR="002F1BAE">
        <w:rPr>
          <w:rStyle w:val="FootnoteReference"/>
        </w:rPr>
        <w:footnoteReference w:id="21"/>
      </w:r>
      <w:r w:rsidR="00F563D0">
        <w:t xml:space="preserve"> </w:t>
      </w:r>
    </w:p>
    <w:p w:rsidR="00801375" w:rsidRDefault="0004515E" w:rsidP="00801375">
      <w:r>
        <w:tab/>
      </w:r>
      <w:r w:rsidR="00801375">
        <w:t xml:space="preserve">The estimation by </w:t>
      </w:r>
      <w:r w:rsidR="00F22C31">
        <w:t>sub-periods</w:t>
      </w:r>
      <w:r w:rsidR="00801375">
        <w:t xml:space="preserve"> reveals </w:t>
      </w:r>
      <w:r w:rsidR="00ED4146">
        <w:t xml:space="preserve">some </w:t>
      </w:r>
      <w:r w:rsidR="009B3C64">
        <w:t xml:space="preserve">interesting </w:t>
      </w:r>
      <w:r w:rsidR="00ED4146">
        <w:t>shifts</w:t>
      </w:r>
      <w:r w:rsidR="00801375">
        <w:t>. In the first two sub-sample</w:t>
      </w:r>
      <w:r w:rsidR="00DA3739">
        <w:t>s</w:t>
      </w:r>
      <w:r w:rsidR="00801375">
        <w:t>, the regime is virtually a US</w:t>
      </w:r>
      <w:r w:rsidR="009B3C64">
        <w:t xml:space="preserve"> dollar peg</w:t>
      </w:r>
      <w:r w:rsidR="00752166">
        <w:t>, after the initial 2.1% revaluation</w:t>
      </w:r>
      <w:r w:rsidR="00801375">
        <w:t>.</w:t>
      </w:r>
      <w:r w:rsidR="00752166">
        <w:t xml:space="preserve"> </w:t>
      </w:r>
      <w:r w:rsidR="00801375">
        <w:t xml:space="preserve"> The weight on the dollar </w:t>
      </w:r>
      <w:r w:rsidR="00123A45">
        <w:t>i</w:t>
      </w:r>
      <w:r w:rsidR="00801375">
        <w:t xml:space="preserve">s 0.997 in the first </w:t>
      </w:r>
      <w:proofErr w:type="gramStart"/>
      <w:r w:rsidR="00F22C31">
        <w:t>sub-sample</w:t>
      </w:r>
      <w:r w:rsidR="00801375">
        <w:t>,</w:t>
      </w:r>
      <w:proofErr w:type="gramEnd"/>
      <w:r w:rsidR="00801375">
        <w:t xml:space="preserve"> and 0.968 in the second sample. Neither estimate </w:t>
      </w:r>
      <w:r w:rsidR="00123A45">
        <w:t xml:space="preserve">differs </w:t>
      </w:r>
      <w:r w:rsidR="00801375">
        <w:t xml:space="preserve">statistically from one. Except for a tiny weight (0.02) on the </w:t>
      </w:r>
      <w:smartTag w:uri="urn:schemas-microsoft-com:office:smarttags" w:element="country-region">
        <w:smartTag w:uri="urn:schemas-microsoft-com:office:smarttags" w:element="place">
          <w:r w:rsidR="00801375">
            <w:t>Korea</w:t>
          </w:r>
        </w:smartTag>
      </w:smartTag>
      <w:r w:rsidR="00801375">
        <w:t xml:space="preserve"> won in the second </w:t>
      </w:r>
      <w:r w:rsidR="00F22C31">
        <w:t>sub-sample</w:t>
      </w:r>
      <w:r w:rsidR="00801375">
        <w:t xml:space="preserve">, no other </w:t>
      </w:r>
      <w:r w:rsidR="00123A45">
        <w:t xml:space="preserve">currency in the basket receives </w:t>
      </w:r>
      <w:r w:rsidR="00801375">
        <w:t>weight. The R</w:t>
      </w:r>
      <w:r w:rsidR="00D41BC8" w:rsidRPr="00D41BC8">
        <w:rPr>
          <w:vertAlign w:val="superscript"/>
        </w:rPr>
        <w:t>2</w:t>
      </w:r>
      <w:r w:rsidR="00D41BC8">
        <w:t xml:space="preserve"> i</w:t>
      </w:r>
      <w:r w:rsidR="00801375">
        <w:t xml:space="preserve">s essentially 100%. So for these </w:t>
      </w:r>
      <w:r w:rsidR="00123A45">
        <w:t>sub-periods, the regime was simp</w:t>
      </w:r>
      <w:r w:rsidR="00801375">
        <w:t xml:space="preserve">ly a dollar peg </w:t>
      </w:r>
      <w:r w:rsidR="00123A45">
        <w:t>masquerading as a basket</w:t>
      </w:r>
      <w:r w:rsidR="00801375">
        <w:t>.</w:t>
      </w:r>
    </w:p>
    <w:p w:rsidR="00801375" w:rsidRDefault="009B0E0B" w:rsidP="00801375">
      <w:pPr>
        <w:ind w:firstLine="720"/>
      </w:pPr>
      <w:r>
        <w:t xml:space="preserve">After January 2006, however, the dollar weight falls.   </w:t>
      </w:r>
      <w:r w:rsidR="00123A45">
        <w:t xml:space="preserve">In </w:t>
      </w:r>
      <w:r w:rsidR="00801375">
        <w:t>the sub-period</w:t>
      </w:r>
      <w:r w:rsidR="00F563D0">
        <w:t xml:space="preserve"> February-April, 2006</w:t>
      </w:r>
      <w:r>
        <w:t>,</w:t>
      </w:r>
      <w:r w:rsidR="00123A45">
        <w:t xml:space="preserve"> </w:t>
      </w:r>
      <w:r w:rsidR="00801375">
        <w:t xml:space="preserve">the </w:t>
      </w:r>
      <w:r w:rsidR="00123A45">
        <w:t xml:space="preserve">estimated </w:t>
      </w:r>
      <w:r w:rsidR="00801375">
        <w:t xml:space="preserve">weight on the US dollar </w:t>
      </w:r>
      <w:r>
        <w:t>is only</w:t>
      </w:r>
      <w:r w:rsidR="00801375">
        <w:t xml:space="preserve"> 0.</w:t>
      </w:r>
      <w:r w:rsidR="00F563D0">
        <w:t>7</w:t>
      </w:r>
      <w:r w:rsidR="00760EFF">
        <w:t>0</w:t>
      </w:r>
      <w:r w:rsidR="00801375">
        <w:t xml:space="preserve">. </w:t>
      </w:r>
      <w:r w:rsidR="00123A45">
        <w:t xml:space="preserve"> </w:t>
      </w:r>
      <w:r w:rsidR="00801375">
        <w:t xml:space="preserve">A few other currencies, notably, the Malaysian ringgit, the </w:t>
      </w:r>
      <w:smartTag w:uri="urn:schemas-microsoft-com:office:smarttags" w:element="country-region">
        <w:smartTag w:uri="urn:schemas-microsoft-com:office:smarttags" w:element="place">
          <w:r w:rsidR="00801375">
            <w:t>Korea</w:t>
          </w:r>
        </w:smartTag>
      </w:smartTag>
      <w:r w:rsidR="00801375">
        <w:t xml:space="preserve"> won, t</w:t>
      </w:r>
      <w:r w:rsidR="009B3C64">
        <w:t>he Russian rubble, and the Thai</w:t>
      </w:r>
      <w:r w:rsidR="00801375">
        <w:t xml:space="preserve"> baht</w:t>
      </w:r>
      <w:r w:rsidR="00DA3739">
        <w:t>,</w:t>
      </w:r>
      <w:r w:rsidR="00801375">
        <w:t xml:space="preserve"> receive positive weights in the basket. </w:t>
      </w:r>
      <w:r w:rsidR="00123A45">
        <w:t xml:space="preserve">  T</w:t>
      </w:r>
      <w:r w:rsidR="00801375">
        <w:t xml:space="preserve">he yen </w:t>
      </w:r>
      <w:r w:rsidR="00123A45">
        <w:t>and euro continue</w:t>
      </w:r>
      <w:r w:rsidR="00801375">
        <w:t xml:space="preserve"> to receive no </w:t>
      </w:r>
      <w:r w:rsidR="00123A45">
        <w:t xml:space="preserve">positive weight. </w:t>
      </w:r>
      <w:r w:rsidR="00801375">
        <w:t xml:space="preserve"> The root MSE increase</w:t>
      </w:r>
      <w:r w:rsidR="00123A45">
        <w:t>s</w:t>
      </w:r>
      <w:r w:rsidR="00801375">
        <w:t xml:space="preserve"> marginally from 0.02-0.03</w:t>
      </w:r>
      <w:r w:rsidR="002F1BAE">
        <w:rPr>
          <w:rFonts w:hint="eastAsia"/>
          <w:lang w:eastAsia="zh-CN"/>
        </w:rPr>
        <w:t>%</w:t>
      </w:r>
      <w:r w:rsidR="00801375">
        <w:t xml:space="preserve"> in the first two sub</w:t>
      </w:r>
      <w:r w:rsidR="009B3C64">
        <w:t>-</w:t>
      </w:r>
      <w:r w:rsidR="00801375">
        <w:t>samples to 0.04</w:t>
      </w:r>
      <w:r w:rsidR="002F1BAE">
        <w:rPr>
          <w:rFonts w:hint="eastAsia"/>
          <w:lang w:eastAsia="zh-CN"/>
        </w:rPr>
        <w:t>%</w:t>
      </w:r>
      <w:r w:rsidR="00801375">
        <w:t xml:space="preserve"> </w:t>
      </w:r>
      <w:r w:rsidR="00123A45">
        <w:t>in the third</w:t>
      </w:r>
      <w:r w:rsidR="00801375">
        <w:t xml:space="preserve"> sub</w:t>
      </w:r>
      <w:r w:rsidR="009B3C64">
        <w:t>-</w:t>
      </w:r>
      <w:r w:rsidR="00123A45">
        <w:t>period.</w:t>
      </w:r>
      <w:r w:rsidR="00123A45">
        <w:rPr>
          <w:rStyle w:val="FootnoteReference"/>
        </w:rPr>
        <w:footnoteReference w:id="22"/>
      </w:r>
    </w:p>
    <w:p w:rsidR="00F563D0" w:rsidRDefault="00F563D0" w:rsidP="00801375">
      <w:pPr>
        <w:ind w:firstLine="720"/>
      </w:pPr>
    </w:p>
    <w:p w:rsidR="00F563D0" w:rsidRDefault="00F563D0" w:rsidP="00801375">
      <w:pPr>
        <w:ind w:firstLine="720"/>
      </w:pPr>
      <w:r>
        <w:t xml:space="preserve">The </w:t>
      </w:r>
      <w:r w:rsidR="0015189F">
        <w:t xml:space="preserve">estimated </w:t>
      </w:r>
      <w:r>
        <w:t>weight on the dolla</w:t>
      </w:r>
      <w:r w:rsidR="00760EFF">
        <w:t xml:space="preserve">r </w:t>
      </w:r>
      <w:r>
        <w:t>return</w:t>
      </w:r>
      <w:r w:rsidR="00760EFF">
        <w:t>s</w:t>
      </w:r>
      <w:r>
        <w:t xml:space="preserve"> to 0.95 during May-July, 200</w:t>
      </w:r>
      <w:r w:rsidR="009B0E0B">
        <w:t>6</w:t>
      </w:r>
      <w:r w:rsidR="0015189F">
        <w:t xml:space="preserve">, but </w:t>
      </w:r>
      <w:r>
        <w:t>then decline</w:t>
      </w:r>
      <w:r w:rsidR="00760EFF">
        <w:t>s to 0.87 and 0.89</w:t>
      </w:r>
      <w:r>
        <w:t xml:space="preserve"> in the </w:t>
      </w:r>
      <w:r w:rsidR="00760EFF">
        <w:t>last two sub-periods</w:t>
      </w:r>
      <w:r>
        <w:t xml:space="preserve">. </w:t>
      </w:r>
      <w:r w:rsidR="008D1692">
        <w:t xml:space="preserve">Interestingly, none of the other currencies such as the </w:t>
      </w:r>
      <w:r w:rsidR="00F22C31">
        <w:t>ringgit</w:t>
      </w:r>
      <w:r w:rsidR="008D1692">
        <w:t xml:space="preserve">, the won, the yen, or the euro, received a positive weight that is statistically significant. In other words, the relaxed association between the RMB and the dollar </w:t>
      </w:r>
      <w:r w:rsidR="009B0E0B">
        <w:t xml:space="preserve">in the last five months of 2006 </w:t>
      </w:r>
      <w:r w:rsidR="008D1692">
        <w:t>is not accomplished by shifting more weights to other non-dollar currencies in the basket, but by a looser association between the RMB and the entire currency basket.</w:t>
      </w:r>
      <w:r w:rsidR="009B0E0B">
        <w:t xml:space="preserve">  These are also the first two sub-periods when the trend is statistically significant:  a trend appreciation of .0002 per day, which is .001 per week, or 5.2 per cent per year.</w:t>
      </w:r>
      <w:r w:rsidR="004D58F1">
        <w:t xml:space="preserve">   This is far less than the maximum allowable under the announced band, but is nonetheless large enough to be important.</w:t>
      </w:r>
    </w:p>
    <w:p w:rsidR="00801375" w:rsidRDefault="00801375" w:rsidP="00801375"/>
    <w:p w:rsidR="00801375" w:rsidRDefault="00801375" w:rsidP="00801375">
      <w:pPr>
        <w:ind w:firstLine="720"/>
      </w:pPr>
      <w:r>
        <w:t xml:space="preserve">To summarize, in the </w:t>
      </w:r>
      <w:r w:rsidR="00A81CE3">
        <w:t>first six months following</w:t>
      </w:r>
      <w:r>
        <w:t xml:space="preserve"> the announced shift by the Chinese central bank to a managed floating regime with reference to a basket of eleven currencies, </w:t>
      </w:r>
      <w:smartTag w:uri="urn:schemas-microsoft-com:office:smarttags" w:element="country-region">
        <w:smartTag w:uri="urn:schemas-microsoft-com:office:smarttags" w:element="place">
          <w:r>
            <w:t>China</w:t>
          </w:r>
        </w:smartTag>
      </w:smartTag>
      <w:r>
        <w:t xml:space="preserve"> made such a heavy reference to the US dollar that it was indistinguishable from a dollar pegger.</w:t>
      </w:r>
      <w:r w:rsidR="00636F58">
        <w:t xml:space="preserve"> </w:t>
      </w:r>
      <w:r>
        <w:t xml:space="preserve"> However, since February, 2006, there are signs </w:t>
      </w:r>
      <w:r w:rsidR="00A81CE3">
        <w:t>of increased flexibility. First, in th</w:t>
      </w:r>
      <w:r w:rsidR="000E6B41">
        <w:t>e spring of 2006,</w:t>
      </w:r>
      <w:r>
        <w:t xml:space="preserve"> </w:t>
      </w:r>
      <w:r w:rsidR="00636F58">
        <w:t>some weight in the basket was shifted to other currencies</w:t>
      </w:r>
      <w:r>
        <w:t xml:space="preserve">, </w:t>
      </w:r>
      <w:r w:rsidR="00636F58">
        <w:t>particularly</w:t>
      </w:r>
      <w:r>
        <w:t xml:space="preserve"> the Malaysian ringgit, the Korean won, the Russian ruble, and the Thai baht. </w:t>
      </w:r>
      <w:r w:rsidR="00636F58">
        <w:t xml:space="preserve"> </w:t>
      </w:r>
      <w:r w:rsidR="0015189F">
        <w:t xml:space="preserve"> Surpris</w:t>
      </w:r>
      <w:r>
        <w:t xml:space="preserve">ingly, </w:t>
      </w:r>
      <w:r w:rsidR="00206DC8">
        <w:t xml:space="preserve">throughout the sample, </w:t>
      </w:r>
      <w:r>
        <w:t>there is no</w:t>
      </w:r>
      <w:r w:rsidR="00636F58">
        <w:t>t an</w:t>
      </w:r>
      <w:r>
        <w:t xml:space="preserve"> iota of evidence of any positive weight assigned to the yen or the euro.</w:t>
      </w:r>
      <w:r w:rsidR="000E6B41">
        <w:t xml:space="preserve"> </w:t>
      </w:r>
      <w:r w:rsidR="00636F58">
        <w:t xml:space="preserve"> </w:t>
      </w:r>
      <w:r w:rsidR="000E6B41">
        <w:t xml:space="preserve">Second, since the fall of 2006, </w:t>
      </w:r>
      <w:r w:rsidR="00636F58">
        <w:t xml:space="preserve">in addition to the lesser weight on </w:t>
      </w:r>
      <w:r w:rsidR="000E6B41">
        <w:t>the dollar (</w:t>
      </w:r>
      <w:r w:rsidR="00636F58">
        <w:t xml:space="preserve">an estimated </w:t>
      </w:r>
      <w:r w:rsidR="000E6B41">
        <w:t>weight of 0.</w:t>
      </w:r>
      <w:r w:rsidR="00636F58">
        <w:t>9 rather than 1</w:t>
      </w:r>
      <w:r w:rsidR="000E6B41">
        <w:t>.</w:t>
      </w:r>
      <w:r w:rsidR="00636F58">
        <w:t>0</w:t>
      </w:r>
      <w:r w:rsidR="000E6B41">
        <w:t xml:space="preserve"> as in the earlier periods), the association between the RMB and the ref</w:t>
      </w:r>
      <w:r w:rsidR="00636F58">
        <w:t xml:space="preserve">erence currency basket has </w:t>
      </w:r>
      <w:r w:rsidR="000E6B41">
        <w:t>become looser.</w:t>
      </w:r>
      <w:r w:rsidR="00636F58">
        <w:t xml:space="preserve">  There is a non-negligible trend of appreciation against the basket, and </w:t>
      </w:r>
      <w:r w:rsidR="0058125C">
        <w:t>slightly looser fit.</w:t>
      </w:r>
    </w:p>
    <w:p w:rsidR="00801375" w:rsidRDefault="00801375" w:rsidP="00801375"/>
    <w:p w:rsidR="00801375" w:rsidRDefault="006612D5" w:rsidP="00801375">
      <w:pPr>
        <w:rPr>
          <w:i/>
        </w:rPr>
      </w:pPr>
      <w:proofErr w:type="gramStart"/>
      <w:r>
        <w:rPr>
          <w:i/>
        </w:rPr>
        <w:t>3.</w:t>
      </w:r>
      <w:r w:rsidR="0004515E">
        <w:rPr>
          <w:i/>
        </w:rPr>
        <w:t>2.2</w:t>
      </w:r>
      <w:r>
        <w:rPr>
          <w:i/>
        </w:rPr>
        <w:t xml:space="preserve">  </w:t>
      </w:r>
      <w:r w:rsidR="000F5EBB">
        <w:rPr>
          <w:i/>
        </w:rPr>
        <w:t>Robustness</w:t>
      </w:r>
      <w:proofErr w:type="gramEnd"/>
      <w:r w:rsidR="000F5EBB">
        <w:rPr>
          <w:i/>
        </w:rPr>
        <w:t xml:space="preserve"> with respect to</w:t>
      </w:r>
      <w:r w:rsidR="00801375">
        <w:rPr>
          <w:i/>
        </w:rPr>
        <w:t xml:space="preserve"> numeraire currency</w:t>
      </w:r>
    </w:p>
    <w:p w:rsidR="00801375" w:rsidRPr="00B507B0" w:rsidRDefault="00801375" w:rsidP="00801375"/>
    <w:p w:rsidR="00801375" w:rsidRDefault="00801375" w:rsidP="00801375">
      <w:r>
        <w:tab/>
      </w:r>
      <w:r w:rsidR="001A675B">
        <w:t xml:space="preserve">We </w:t>
      </w:r>
      <w:r w:rsidR="005B6D3D">
        <w:t xml:space="preserve">have chosen to </w:t>
      </w:r>
      <w:r w:rsidR="001A675B">
        <w:t xml:space="preserve">emphasize </w:t>
      </w:r>
      <w:r>
        <w:t>estimat</w:t>
      </w:r>
      <w:r w:rsidR="001A675B">
        <w:t>es that use</w:t>
      </w:r>
      <w:r>
        <w:t xml:space="preserve"> the Special Drawing Right as the numeraire currency. </w:t>
      </w:r>
      <w:r w:rsidR="001A675B">
        <w:t xml:space="preserve"> </w:t>
      </w:r>
      <w:r w:rsidR="002F1BAE">
        <w:rPr>
          <w:rFonts w:hint="eastAsia"/>
          <w:lang w:eastAsia="zh-CN"/>
        </w:rPr>
        <w:t xml:space="preserve">We </w:t>
      </w:r>
      <w:r w:rsidR="000C053C">
        <w:rPr>
          <w:lang w:eastAsia="zh-CN"/>
        </w:rPr>
        <w:t>noted</w:t>
      </w:r>
      <w:r w:rsidR="002F1BAE">
        <w:rPr>
          <w:rFonts w:hint="eastAsia"/>
          <w:lang w:eastAsia="zh-CN"/>
        </w:rPr>
        <w:t xml:space="preserve"> earlier that the choice of the numeraire is irrelevant if the currency is strictly pegged to a currency basket. However, if the value of the currency relative to the basket is allowed to fluctuate, different numeraires might generate different point estimates. </w:t>
      </w:r>
      <w:r w:rsidR="002F1BAE">
        <w:rPr>
          <w:lang w:eastAsia="zh-CN"/>
        </w:rPr>
        <w:t>F</w:t>
      </w:r>
      <w:r w:rsidR="002F1BAE">
        <w:rPr>
          <w:rFonts w:hint="eastAsia"/>
          <w:lang w:eastAsia="zh-CN"/>
        </w:rPr>
        <w:t>or this reason, we examine</w:t>
      </w:r>
      <w:r w:rsidR="004358E1">
        <w:rPr>
          <w:lang w:eastAsia="zh-CN"/>
        </w:rPr>
        <w:t>d</w:t>
      </w:r>
      <w:r w:rsidR="001A675B">
        <w:t xml:space="preserve"> </w:t>
      </w:r>
      <w:r w:rsidR="00DA3739">
        <w:t xml:space="preserve">if </w:t>
      </w:r>
      <w:r w:rsidR="001A675B">
        <w:t xml:space="preserve">the conclusions </w:t>
      </w:r>
      <w:r w:rsidR="00DA3739">
        <w:t xml:space="preserve">are robust </w:t>
      </w:r>
      <w:r w:rsidR="001A675B">
        <w:t xml:space="preserve">with respect to the choice of </w:t>
      </w:r>
      <w:r w:rsidR="00A666DC">
        <w:t>numeraires, r</w:t>
      </w:r>
      <w:r>
        <w:t>epeat</w:t>
      </w:r>
      <w:r w:rsidR="00A666DC">
        <w:t>ing</w:t>
      </w:r>
      <w:r>
        <w:t xml:space="preserve"> the regressions using the </w:t>
      </w:r>
      <w:r w:rsidR="000E6B41">
        <w:t>price of gold</w:t>
      </w:r>
      <w:r>
        <w:t xml:space="preserve"> a</w:t>
      </w:r>
      <w:r w:rsidR="001A675B">
        <w:t>s an alternative numeraire</w:t>
      </w:r>
      <w:r>
        <w:t xml:space="preserve">. </w:t>
      </w:r>
    </w:p>
    <w:p w:rsidR="000E6B41" w:rsidRDefault="000E6B41" w:rsidP="00801375"/>
    <w:p w:rsidR="00801375" w:rsidRDefault="001A675B" w:rsidP="00801375">
      <w:r>
        <w:tab/>
        <w:t xml:space="preserve">The </w:t>
      </w:r>
      <w:r w:rsidR="00A666DC">
        <w:t xml:space="preserve">gold-based </w:t>
      </w:r>
      <w:r>
        <w:t>regression</w:t>
      </w:r>
      <w:r w:rsidR="00801375">
        <w:t xml:space="preserve"> r</w:t>
      </w:r>
      <w:r w:rsidR="00A67F24">
        <w:t xml:space="preserve">esults are reported in </w:t>
      </w:r>
      <w:r w:rsidR="007454A6">
        <w:t>the</w:t>
      </w:r>
      <w:r w:rsidR="000C053C">
        <w:t xml:space="preserve"> working paper</w:t>
      </w:r>
      <w:r w:rsidR="00801375">
        <w:t>.</w:t>
      </w:r>
      <w:r w:rsidR="000C053C">
        <w:t xml:space="preserve">  </w:t>
      </w:r>
      <w:r w:rsidR="009248EA">
        <w:t xml:space="preserve"> Although</w:t>
      </w:r>
      <w:r w:rsidR="00801375">
        <w:t xml:space="preserve"> the exact point estimates vary</w:t>
      </w:r>
      <w:r w:rsidR="009248EA">
        <w:t xml:space="preserve"> somewhat</w:t>
      </w:r>
      <w:r w:rsidR="00801375">
        <w:t>, the same qualitative r</w:t>
      </w:r>
      <w:r w:rsidR="009248EA">
        <w:t>esults as before emerge clearly</w:t>
      </w:r>
      <w:r w:rsidR="00801375">
        <w:t xml:space="preserve">. First, in the </w:t>
      </w:r>
      <w:r w:rsidR="00F4541A">
        <w:t>initial</w:t>
      </w:r>
      <w:r w:rsidR="00801375">
        <w:t xml:space="preserve"> eight months after </w:t>
      </w:r>
      <w:smartTag w:uri="urn:schemas-microsoft-com:office:smarttags" w:element="date">
        <w:smartTagPr>
          <w:attr w:name="Year" w:val="2005"/>
          <w:attr w:name="Day" w:val="21"/>
          <w:attr w:name="Month" w:val="7"/>
        </w:smartTagPr>
        <w:r w:rsidR="00801375">
          <w:t>July 21, 2005</w:t>
        </w:r>
      </w:smartTag>
      <w:r w:rsidR="00801375">
        <w:t>, the Chinese exchange rate regime is best characterized as a virtual peg to the US dollar. The goodness-of-fit measure and RMSE for the Chinese RMB are close</w:t>
      </w:r>
      <w:r w:rsidR="005B6D3D">
        <w:t>r</w:t>
      </w:r>
      <w:r w:rsidR="00801375">
        <w:t xml:space="preserve"> to those of the </w:t>
      </w:r>
      <w:smartTag w:uri="urn:schemas-microsoft-com:office:smarttags" w:element="place">
        <w:r w:rsidR="00801375">
          <w:t>Hong Kong</w:t>
        </w:r>
      </w:smartTag>
      <w:r w:rsidR="00801375">
        <w:t xml:space="preserve"> dollar, </w:t>
      </w:r>
      <w:r w:rsidR="005B6D3D">
        <w:t>than to currencies known to have some flexibility</w:t>
      </w:r>
      <w:r w:rsidR="00801375">
        <w:t xml:space="preserve">. Second, </w:t>
      </w:r>
      <w:r w:rsidR="005B6D3D">
        <w:t>t</w:t>
      </w:r>
      <w:r w:rsidR="00801375">
        <w:t>here are signs of increased flexibility since February of 2006. The w</w:t>
      </w:r>
      <w:r w:rsidR="000E6B41">
        <w:t>eight on the US dollar decline</w:t>
      </w:r>
      <w:r w:rsidR="005B6D3D">
        <w:t>s (</w:t>
      </w:r>
      <w:r w:rsidR="000E6B41">
        <w:t xml:space="preserve">though the estimated magnitude of the decline is not as large as when </w:t>
      </w:r>
      <w:r w:rsidR="00F4541A">
        <w:t xml:space="preserve">the </w:t>
      </w:r>
      <w:r w:rsidR="000E6B41">
        <w:t>SDR is used as the numeraire</w:t>
      </w:r>
      <w:r w:rsidR="005B6D3D">
        <w:t>)</w:t>
      </w:r>
      <w:r w:rsidR="000E6B41">
        <w:t xml:space="preserve">. </w:t>
      </w:r>
      <w:r w:rsidR="00801375">
        <w:t>Third, as before, there is no evidence of a posi</w:t>
      </w:r>
      <w:r w:rsidR="005B6D3D">
        <w:t>ti</w:t>
      </w:r>
      <w:r w:rsidR="00801375">
        <w:t>ve weight assigned to either the euro or the yen</w:t>
      </w:r>
      <w:r w:rsidR="000E6B41">
        <w:t>.</w:t>
      </w:r>
    </w:p>
    <w:p w:rsidR="00660FFF" w:rsidRDefault="00660FFF" w:rsidP="00801375"/>
    <w:p w:rsidR="00660FFF" w:rsidRDefault="0004515E" w:rsidP="00801375">
      <w:pPr>
        <w:rPr>
          <w:i/>
        </w:rPr>
      </w:pPr>
      <w:proofErr w:type="gramStart"/>
      <w:r>
        <w:rPr>
          <w:i/>
        </w:rPr>
        <w:t>3.2.3</w:t>
      </w:r>
      <w:r w:rsidR="006612D5">
        <w:rPr>
          <w:i/>
        </w:rPr>
        <w:t xml:space="preserve">  </w:t>
      </w:r>
      <w:r w:rsidR="00660FFF" w:rsidRPr="00660FFF">
        <w:rPr>
          <w:i/>
        </w:rPr>
        <w:t>Allowing</w:t>
      </w:r>
      <w:proofErr w:type="gramEnd"/>
      <w:r w:rsidR="00660FFF" w:rsidRPr="00660FFF">
        <w:rPr>
          <w:i/>
        </w:rPr>
        <w:t xml:space="preserve"> for steady acceleration in the shift</w:t>
      </w:r>
    </w:p>
    <w:p w:rsidR="00930FCF" w:rsidRPr="00660FFF" w:rsidRDefault="00930FCF" w:rsidP="00801375">
      <w:pPr>
        <w:rPr>
          <w:i/>
        </w:rPr>
      </w:pPr>
    </w:p>
    <w:p w:rsidR="00801375" w:rsidRDefault="00660FFF" w:rsidP="00801375">
      <w:r>
        <w:tab/>
        <w:t xml:space="preserve">Several considerations suggest it would be useful to return to </w:t>
      </w:r>
      <w:r w:rsidR="00F4541A">
        <w:t xml:space="preserve">estimation over </w:t>
      </w:r>
      <w:r>
        <w:t xml:space="preserve">the </w:t>
      </w:r>
      <w:r w:rsidR="00F4541A">
        <w:t xml:space="preserve">entire </w:t>
      </w:r>
      <w:r w:rsidR="000D1E37">
        <w:t xml:space="preserve">18-month sample period but </w:t>
      </w:r>
      <w:r w:rsidR="00F4541A">
        <w:t xml:space="preserve">to </w:t>
      </w:r>
      <w:r w:rsidR="000D1E37">
        <w:t xml:space="preserve">allow for steady escalation of the various flexibility parameters.  First, everything we know about Chinese government officials, from their history </w:t>
      </w:r>
      <w:r w:rsidR="002F1BAE">
        <w:rPr>
          <w:rFonts w:hint="eastAsia"/>
          <w:lang w:eastAsia="zh-CN"/>
        </w:rPr>
        <w:t xml:space="preserve">of economic reforms </w:t>
      </w:r>
      <w:r w:rsidR="000D1E37">
        <w:t>to their own words, points to policy change that is gradual. Second, looking simply at the yuan/dollar exchange rate</w:t>
      </w:r>
      <w:r w:rsidR="002F1BAE">
        <w:rPr>
          <w:rFonts w:hint="eastAsia"/>
          <w:lang w:eastAsia="zh-CN"/>
        </w:rPr>
        <w:t xml:space="preserve"> in Figure </w:t>
      </w:r>
      <w:r w:rsidR="001028DE">
        <w:rPr>
          <w:rFonts w:hint="eastAsia"/>
          <w:lang w:eastAsia="zh-CN"/>
        </w:rPr>
        <w:t>2</w:t>
      </w:r>
      <w:r w:rsidR="000D1E37">
        <w:t>, there is a gradual trend appreciation that visually accelerates.  Third, looking at the econometric estimates across our sub-samples, all three flexibility parameters loose</w:t>
      </w:r>
      <w:r w:rsidR="0048665D">
        <w:t xml:space="preserve">n </w:t>
      </w:r>
      <w:r w:rsidR="000D1E37">
        <w:t>up as we move from 2005 to late 2006:  the weight on the dollar tends to fall, the appreciation trend becomes positive and significant, and the fit becomes looser.</w:t>
      </w:r>
      <w:r w:rsidR="0041380F">
        <w:t xml:space="preserve">  All these considerations presume very little movement in the short-term, but suggest signs of a</w:t>
      </w:r>
      <w:r w:rsidR="004358E1">
        <w:t xml:space="preserve"> </w:t>
      </w:r>
      <w:r w:rsidR="00245BAE">
        <w:t>pattern</w:t>
      </w:r>
      <w:r w:rsidR="004358E1">
        <w:t xml:space="preserve"> of acceleration</w:t>
      </w:r>
      <w:r w:rsidR="00245BAE">
        <w:t xml:space="preserve"> that if extrapolated a few years into the future could imply substantial flexibility.</w:t>
      </w:r>
    </w:p>
    <w:p w:rsidR="008D7DD5" w:rsidRDefault="008D7DD5" w:rsidP="00F9020D">
      <w:pPr>
        <w:ind w:firstLine="720"/>
      </w:pPr>
      <w:r w:rsidRPr="00413406">
        <w:t xml:space="preserve">Allowing for a time trend of appreciation that is linear in the log of the exchange rate is easy; that is the constant term that has been in the changes regression all along.   Allowing for a </w:t>
      </w:r>
      <w:r w:rsidRPr="001610EC">
        <w:rPr>
          <w:i/>
        </w:rPr>
        <w:t>steadily accelerating</w:t>
      </w:r>
      <w:r w:rsidRPr="00413406">
        <w:t xml:space="preserve"> time trend requires adding some function of time to the changes equation</w:t>
      </w:r>
      <w:r w:rsidR="00F9020D">
        <w:t>.  T</w:t>
      </w:r>
      <w:r w:rsidRPr="00413406">
        <w:t>he simplest is to add time itself.</w:t>
      </w:r>
      <w:r>
        <w:t xml:space="preserve">    </w:t>
      </w:r>
      <w:r w:rsidRPr="00413406">
        <w:t>Allowing for there to be a time trend in weight placed on the dollar versus non-dollar currencies is trickier.   We add to the equation time-dependent terms that interact with the changes in currency values, to see how the weights change over time.</w:t>
      </w:r>
      <w:r>
        <w:t xml:space="preserve">    </w:t>
      </w:r>
      <w:r w:rsidRPr="00413406">
        <w:t xml:space="preserve"> </w:t>
      </w:r>
      <w:r>
        <w:t xml:space="preserve">We begin with a simple linear trend specification for these time-dependent terms as well, even though </w:t>
      </w:r>
      <w:r w:rsidR="00610586">
        <w:t>linearity here</w:t>
      </w:r>
      <w:r>
        <w:t xml:space="preserve"> is less realistic than for the trend in the log of the RMB exchange rate itself.</w:t>
      </w:r>
    </w:p>
    <w:p w:rsidR="008D7DD5" w:rsidRDefault="0041380F" w:rsidP="008D7DD5">
      <w:r>
        <w:tab/>
        <w:t>The penultimate row of estimates in Table</w:t>
      </w:r>
      <w:r w:rsidR="006939EB">
        <w:t xml:space="preserve"> </w:t>
      </w:r>
      <w:r w:rsidR="000D7F28">
        <w:t>5</w:t>
      </w:r>
      <w:r w:rsidR="006939EB">
        <w:t xml:space="preserve"> shows</w:t>
      </w:r>
      <w:r>
        <w:t xml:space="preserve"> a highly significant downward </w:t>
      </w:r>
      <w:r w:rsidR="002C79AF">
        <w:t xml:space="preserve">linear </w:t>
      </w:r>
      <w:r>
        <w:t xml:space="preserve">trend </w:t>
      </w:r>
      <w:r w:rsidR="002C79AF">
        <w:t>i</w:t>
      </w:r>
      <w:r>
        <w:t>n the weight placed on the dollar.</w:t>
      </w:r>
      <w:r w:rsidR="00EA4FBE">
        <w:rPr>
          <w:rStyle w:val="FootnoteReference"/>
        </w:rPr>
        <w:footnoteReference w:id="23"/>
      </w:r>
      <w:r>
        <w:t xml:space="preserve">   The constant term is still highly significant statistically as well, but the </w:t>
      </w:r>
      <w:r w:rsidR="001B534D">
        <w:t xml:space="preserve">implied </w:t>
      </w:r>
      <w:r>
        <w:t xml:space="preserve">estimated trend appreciation </w:t>
      </w:r>
      <w:r w:rsidR="001B534D">
        <w:t xml:space="preserve">against the basket (.0001 per day, or 2.5 per cent per year) </w:t>
      </w:r>
      <w:r>
        <w:t xml:space="preserve">is now half what it was before.  Interestingly, there is </w:t>
      </w:r>
      <w:r w:rsidR="001B534D">
        <w:t>only weak evidence</w:t>
      </w:r>
      <w:r>
        <w:t xml:space="preserve"> </w:t>
      </w:r>
      <w:r w:rsidR="00245BAE">
        <w:t xml:space="preserve">here </w:t>
      </w:r>
      <w:r>
        <w:t xml:space="preserve">of an </w:t>
      </w:r>
      <w:r w:rsidRPr="001B534D">
        <w:rPr>
          <w:i/>
        </w:rPr>
        <w:t>acceleration</w:t>
      </w:r>
      <w:r>
        <w:t xml:space="preserve"> of the trend appreciation</w:t>
      </w:r>
      <w:r w:rsidR="00245BAE">
        <w:t xml:space="preserve"> per se</w:t>
      </w:r>
      <w:r w:rsidR="001B534D">
        <w:t xml:space="preserve"> (third to last row of esti</w:t>
      </w:r>
      <w:r w:rsidR="00AA3FA3">
        <w:t>mates in Table 5</w:t>
      </w:r>
      <w:r w:rsidR="001B534D">
        <w:t>)</w:t>
      </w:r>
      <w:r>
        <w:t xml:space="preserve">.  </w:t>
      </w:r>
      <w:r w:rsidR="00AA3FA3">
        <w:t>Appare</w:t>
      </w:r>
      <w:r>
        <w:t xml:space="preserve">ntly the </w:t>
      </w:r>
      <w:r w:rsidR="00245BAE">
        <w:t xml:space="preserve">visual </w:t>
      </w:r>
      <w:r>
        <w:t>impression of accelerating appreciation</w:t>
      </w:r>
      <w:r w:rsidR="00245BAE">
        <w:t xml:space="preserve"> in, for example, Figure 2, </w:t>
      </w:r>
      <w:r w:rsidR="00AA3FA3">
        <w:t>is</w:t>
      </w:r>
      <w:r w:rsidR="001B534D">
        <w:t xml:space="preserve"> primarily</w:t>
      </w:r>
      <w:r w:rsidR="00245BAE">
        <w:t xml:space="preserve"> due to the (quite modest) shift in weight to non-dollar currencies at a time when they have been appreciating against the dollar.</w:t>
      </w:r>
    </w:p>
    <w:p w:rsidR="000D1E37" w:rsidRDefault="000D1E37" w:rsidP="00801375">
      <w:r>
        <w:tab/>
      </w:r>
    </w:p>
    <w:p w:rsidR="00531A22" w:rsidRPr="00DC466C" w:rsidRDefault="0004515E" w:rsidP="00801375">
      <w:proofErr w:type="gramStart"/>
      <w:r w:rsidRPr="00DC466C">
        <w:rPr>
          <w:i/>
        </w:rPr>
        <w:t>3.</w:t>
      </w:r>
      <w:r w:rsidR="00297459" w:rsidRPr="001610EC">
        <w:rPr>
          <w:i/>
        </w:rPr>
        <w:t>2.4</w:t>
      </w:r>
      <w:r w:rsidR="006612D5" w:rsidRPr="00DC466C">
        <w:rPr>
          <w:i/>
        </w:rPr>
        <w:t xml:space="preserve">  </w:t>
      </w:r>
      <w:r w:rsidR="00531A22" w:rsidRPr="00DC466C">
        <w:rPr>
          <w:i/>
        </w:rPr>
        <w:t>Pressure</w:t>
      </w:r>
      <w:proofErr w:type="gramEnd"/>
      <w:r w:rsidR="00531A22" w:rsidRPr="00DC466C">
        <w:rPr>
          <w:i/>
        </w:rPr>
        <w:t xml:space="preserve"> from the </w:t>
      </w:r>
      <w:smartTag w:uri="urn:schemas-microsoft-com:office:smarttags" w:element="country-region">
        <w:smartTag w:uri="urn:schemas-microsoft-com:office:smarttags" w:element="place">
          <w:r w:rsidR="00A85D9A">
            <w:rPr>
              <w:i/>
            </w:rPr>
            <w:t>US</w:t>
          </w:r>
        </w:smartTag>
      </w:smartTag>
      <w:r w:rsidR="00531A22" w:rsidRPr="00DC466C">
        <w:rPr>
          <w:i/>
        </w:rPr>
        <w:t xml:space="preserve"> and the movement of the Chinese currency</w:t>
      </w:r>
    </w:p>
    <w:p w:rsidR="00531A22" w:rsidRDefault="00531A22" w:rsidP="00801375"/>
    <w:p w:rsidR="00B253EB" w:rsidRDefault="00B253EB" w:rsidP="00801375">
      <w:r>
        <w:tab/>
        <w:t xml:space="preserve">We now turn to a question that links the two parts of the paper: Do complaints about the Chinese exchange rate from US Treasury officials or other </w:t>
      </w:r>
      <w:smartTag w:uri="urn:schemas-microsoft-com:office:smarttags" w:element="country-region">
        <w:smartTag w:uri="urn:schemas-microsoft-com:office:smarttags" w:element="place">
          <w:r w:rsidR="005B6D3D">
            <w:t>US</w:t>
          </w:r>
        </w:smartTag>
      </w:smartTag>
      <w:r w:rsidR="005B6D3D">
        <w:t xml:space="preserve"> </w:t>
      </w:r>
      <w:r>
        <w:t xml:space="preserve">officials lead </w:t>
      </w:r>
      <w:smartTag w:uri="urn:schemas-microsoft-com:office:smarttags" w:element="country-region">
        <w:smartTag w:uri="urn:schemas-microsoft-com:office:smarttags" w:element="place">
          <w:r>
            <w:t>China</w:t>
          </w:r>
        </w:smartTag>
      </w:smartTag>
      <w:r>
        <w:t xml:space="preserve"> to respond by appreciating its currency relative to the basket and by reducing the weight of its currency on the dollar?</w:t>
      </w:r>
    </w:p>
    <w:p w:rsidR="00B253EB" w:rsidRDefault="00B253EB" w:rsidP="00801375">
      <w:r>
        <w:t xml:space="preserve"> </w:t>
      </w:r>
    </w:p>
    <w:p w:rsidR="00531A22" w:rsidRDefault="00B253EB" w:rsidP="00801375">
      <w:r>
        <w:tab/>
        <w:t xml:space="preserve">The change of the currency regime on </w:t>
      </w:r>
      <w:smartTag w:uri="urn:schemas-microsoft-com:office:smarttags" w:element="date">
        <w:smartTagPr>
          <w:attr w:name="Year" w:val="2005"/>
          <w:attr w:name="Day" w:val="21"/>
          <w:attr w:name="Month" w:val="7"/>
        </w:smartTagPr>
        <w:r>
          <w:t>July 21, 2005</w:t>
        </w:r>
      </w:smartTag>
      <w:r w:rsidR="005B6D3D">
        <w:t>,</w:t>
      </w:r>
      <w:r>
        <w:t xml:space="preserve"> came after two years of complaints from the </w:t>
      </w:r>
      <w:smartTag w:uri="urn:schemas-microsoft-com:office:smarttags" w:element="country-region">
        <w:smartTag w:uri="urn:schemas-microsoft-com:office:smarttags" w:element="place">
          <w:r>
            <w:t>United States</w:t>
          </w:r>
        </w:smartTag>
      </w:smartTag>
      <w:r>
        <w:t xml:space="preserve"> (and a few other countries). </w:t>
      </w:r>
      <w:r w:rsidR="005B6D3D">
        <w:t xml:space="preserve"> Complaints from US officials and politicians continued</w:t>
      </w:r>
      <w:r w:rsidR="007454A6">
        <w:t xml:space="preserve"> thereafter</w:t>
      </w:r>
      <w:r w:rsidR="005B6D3D">
        <w:t>, perhaps b</w:t>
      </w:r>
      <w:r>
        <w:t>ecause</w:t>
      </w:r>
      <w:r w:rsidR="00644A17" w:rsidRPr="00644A17">
        <w:t xml:space="preserve"> </w:t>
      </w:r>
      <w:r w:rsidR="00644A17">
        <w:t>as we have seen</w:t>
      </w:r>
      <w:r>
        <w:t xml:space="preserve"> </w:t>
      </w:r>
      <w:r w:rsidR="005B6D3D">
        <w:t>there had been so little de facto change to match the announcement</w:t>
      </w:r>
      <w:r>
        <w:t>.</w:t>
      </w:r>
      <w:r w:rsidR="005B6D3D">
        <w:t xml:space="preserve"> </w:t>
      </w:r>
      <w:r>
        <w:t xml:space="preserve"> To document th</w:t>
      </w:r>
      <w:r w:rsidR="005B6D3D">
        <w:t>e</w:t>
      </w:r>
      <w:r w:rsidR="00BA0398">
        <w:t xml:space="preserve"> official US pressure</w:t>
      </w:r>
      <w:r>
        <w:t xml:space="preserve"> systematically, we searched an ele</w:t>
      </w:r>
      <w:r w:rsidR="00BA0398">
        <w:t>c</w:t>
      </w:r>
      <w:r>
        <w:t xml:space="preserve">tronic database </w:t>
      </w:r>
      <w:r w:rsidR="00BA0398">
        <w:t>of</w:t>
      </w:r>
      <w:r>
        <w:t xml:space="preserve"> news reports (FACTIVA/</w:t>
      </w:r>
      <w:proofErr w:type="spellStart"/>
      <w:r>
        <w:t>NewsPlus</w:t>
      </w:r>
      <w:proofErr w:type="spellEnd"/>
      <w:r>
        <w:t>) and reco</w:t>
      </w:r>
      <w:r w:rsidR="00476FD2">
        <w:t xml:space="preserve">rded the number of news stories in all English-language newspapers in Washington DC, New York City, and Los Angeles, </w:t>
      </w:r>
      <w:r>
        <w:t xml:space="preserve">in which US officials are reported to </w:t>
      </w:r>
      <w:r w:rsidR="00DA3739">
        <w:t xml:space="preserve">have </w:t>
      </w:r>
      <w:r>
        <w:t>ask</w:t>
      </w:r>
      <w:r w:rsidR="00DA3739">
        <w:t>ed</w:t>
      </w:r>
      <w:r>
        <w:t xml:space="preserve"> China to speed up the exchange rate flexibility/revaluation</w:t>
      </w:r>
      <w:r w:rsidR="008D2C49">
        <w:t xml:space="preserve"> </w:t>
      </w:r>
      <w:r w:rsidR="00476FD2">
        <w:t>from July 1, 2005 to January 8, 2007.</w:t>
      </w:r>
      <w:r w:rsidR="00903ED8">
        <w:t xml:space="preserve"> </w:t>
      </w:r>
      <w:r w:rsidR="00476FD2">
        <w:t xml:space="preserve"> </w:t>
      </w:r>
      <w:r w:rsidR="00855AE1">
        <w:t xml:space="preserve"> </w:t>
      </w:r>
    </w:p>
    <w:p w:rsidR="00476FD2" w:rsidRDefault="00476FD2" w:rsidP="00801375">
      <w:r>
        <w:tab/>
        <w:t xml:space="preserve">To see whether </w:t>
      </w:r>
      <w:r w:rsidR="00644A17">
        <w:t xml:space="preserve">Chinese exchange rate behavior is related to </w:t>
      </w:r>
      <w:r>
        <w:t>the complaints</w:t>
      </w:r>
      <w:r w:rsidR="00644A17">
        <w:t>,</w:t>
      </w:r>
      <w:r w:rsidR="00AA3FA3">
        <w:t xml:space="preserve"> Table 6</w:t>
      </w:r>
      <w:r>
        <w:t xml:space="preserve"> reports a sequence of currency weight regressions that have added the cumulativ</w:t>
      </w:r>
      <w:r w:rsidR="00D61C72">
        <w:t xml:space="preserve">e </w:t>
      </w:r>
      <w:smartTag w:uri="urn:schemas-microsoft-com:office:smarttags" w:element="country-region">
        <w:smartTag w:uri="urn:schemas-microsoft-com:office:smarttags" w:element="place">
          <w:r w:rsidR="0063560F">
            <w:t>US</w:t>
          </w:r>
        </w:smartTag>
      </w:smartTag>
      <w:r w:rsidR="0063560F">
        <w:t xml:space="preserve"> </w:t>
      </w:r>
      <w:r w:rsidR="00D61C72">
        <w:t>complaints and their interact</w:t>
      </w:r>
      <w:r>
        <w:t xml:space="preserve">ions with the weight on the dollar as extra </w:t>
      </w:r>
      <w:proofErr w:type="spellStart"/>
      <w:r>
        <w:t>regressors</w:t>
      </w:r>
      <w:proofErr w:type="spellEnd"/>
      <w:r>
        <w:t xml:space="preserve">. </w:t>
      </w:r>
      <w:r w:rsidR="00D61C72">
        <w:t>T</w:t>
      </w:r>
      <w:r>
        <w:t xml:space="preserve">here is no evidence of </w:t>
      </w:r>
      <w:r w:rsidR="001D2C55">
        <w:t xml:space="preserve">an association between the complaints from </w:t>
      </w:r>
      <w:r w:rsidR="00A85D9A">
        <w:t>US</w:t>
      </w:r>
      <w:r w:rsidR="001D2C55">
        <w:t xml:space="preserve"> officials and </w:t>
      </w:r>
      <w:r>
        <w:t xml:space="preserve">appreciation of the RMB </w:t>
      </w:r>
      <w:r w:rsidRPr="00863BC3">
        <w:rPr>
          <w:i/>
        </w:rPr>
        <w:t xml:space="preserve">relative to </w:t>
      </w:r>
      <w:r w:rsidRPr="00AA3FA3">
        <w:t>the currency basket</w:t>
      </w:r>
      <w:r w:rsidR="00D61C72" w:rsidRPr="00AA3FA3">
        <w:t>.</w:t>
      </w:r>
      <w:r w:rsidR="00D61C72">
        <w:t xml:space="preserve">   There</w:t>
      </w:r>
      <w:r w:rsidR="00D61C72" w:rsidRPr="001610EC">
        <w:rPr>
          <w:i/>
        </w:rPr>
        <w:t xml:space="preserve"> is</w:t>
      </w:r>
      <w:r w:rsidR="00D61C72">
        <w:t xml:space="preserve"> evidence that cumulative complaints are associated with a reduction in the RMB</w:t>
      </w:r>
      <w:r w:rsidR="00AA3FA3">
        <w:t xml:space="preserve"> basket</w:t>
      </w:r>
      <w:r w:rsidR="00D61C72">
        <w:t xml:space="preserve">’s </w:t>
      </w:r>
      <w:r w:rsidR="00D61C72" w:rsidRPr="001610EC">
        <w:rPr>
          <w:i/>
        </w:rPr>
        <w:t>weight on the US dollar</w:t>
      </w:r>
      <w:r w:rsidR="00D61C72">
        <w:t>.</w:t>
      </w:r>
      <w:r w:rsidR="00863BC3">
        <w:t xml:space="preserve">   An attempt to distinguish between the </w:t>
      </w:r>
      <w:proofErr w:type="gramStart"/>
      <w:r w:rsidR="00863BC3">
        <w:t>effect</w:t>
      </w:r>
      <w:proofErr w:type="gramEnd"/>
      <w:r w:rsidR="00863BC3">
        <w:t xml:space="preserve"> of complaints from Treasury officials versus other </w:t>
      </w:r>
      <w:smartTag w:uri="urn:schemas-microsoft-com:office:smarttags" w:element="country-region">
        <w:smartTag w:uri="urn:schemas-microsoft-com:office:smarttags" w:element="place">
          <w:r w:rsidR="00863BC3">
            <w:t>US</w:t>
          </w:r>
        </w:smartTag>
      </w:smartTag>
      <w:r w:rsidR="00863BC3">
        <w:t xml:space="preserve"> officials suggests that the former may have carried more punch.</w:t>
      </w:r>
      <w:r w:rsidR="00863BC3">
        <w:rPr>
          <w:rStyle w:val="FootnoteReference"/>
        </w:rPr>
        <w:footnoteReference w:id="24"/>
      </w:r>
    </w:p>
    <w:p w:rsidR="00476FD2" w:rsidRDefault="00476FD2" w:rsidP="00801375">
      <w:r>
        <w:tab/>
      </w:r>
      <w:r w:rsidR="009430D7">
        <w:t xml:space="preserve">Since the complaint series </w:t>
      </w:r>
      <w:r w:rsidR="00B2018C">
        <w:t>is</w:t>
      </w:r>
      <w:r w:rsidR="002D0265">
        <w:t xml:space="preserve"> by construction</w:t>
      </w:r>
      <w:r w:rsidR="009430D7">
        <w:t xml:space="preserve"> </w:t>
      </w:r>
      <w:r w:rsidR="00B2018C">
        <w:t xml:space="preserve">a </w:t>
      </w:r>
      <w:r w:rsidR="009430D7">
        <w:t>non-decreas</w:t>
      </w:r>
      <w:r w:rsidR="00B2018C">
        <w:t xml:space="preserve">ing function </w:t>
      </w:r>
      <w:r w:rsidR="002D0265">
        <w:t>of time</w:t>
      </w:r>
      <w:r w:rsidR="009430D7">
        <w:t xml:space="preserve">, one could wonder if they simply pick </w:t>
      </w:r>
      <w:r w:rsidR="004D0EBC">
        <w:t>up a trend effect. We</w:t>
      </w:r>
      <w:r w:rsidR="009430D7">
        <w:t xml:space="preserve"> add a time trend and its interaction with the dollar weight as the additional </w:t>
      </w:r>
      <w:proofErr w:type="spellStart"/>
      <w:r w:rsidR="009430D7">
        <w:t>regressors</w:t>
      </w:r>
      <w:proofErr w:type="spellEnd"/>
      <w:r w:rsidR="009430D7">
        <w:t xml:space="preserve">. </w:t>
      </w:r>
      <w:r w:rsidR="004D0EBC">
        <w:t xml:space="preserve"> The results are little changed.   </w:t>
      </w:r>
      <w:r w:rsidR="009430D7">
        <w:t>Again, there is evidence of a gradual decline in the RMB’s weight on the US dollar, but there is no evidence of a steady appreciation of the RMB</w:t>
      </w:r>
      <w:r w:rsidR="009430D7" w:rsidRPr="00B2018C">
        <w:rPr>
          <w:i/>
        </w:rPr>
        <w:t xml:space="preserve"> relative</w:t>
      </w:r>
      <w:r w:rsidR="009430D7">
        <w:t xml:space="preserve"> to the whole basket. </w:t>
      </w:r>
    </w:p>
    <w:p w:rsidR="00476FD2" w:rsidRPr="00531A22" w:rsidRDefault="00476FD2" w:rsidP="00801375"/>
    <w:p w:rsidR="00DE0AE1" w:rsidRPr="001610EC" w:rsidRDefault="00DE0AE1" w:rsidP="00801375">
      <w:pPr>
        <w:rPr>
          <w:i/>
        </w:rPr>
      </w:pPr>
      <w:proofErr w:type="gramStart"/>
      <w:r w:rsidRPr="001610EC">
        <w:rPr>
          <w:i/>
        </w:rPr>
        <w:t>3.</w:t>
      </w:r>
      <w:r w:rsidR="00297459">
        <w:rPr>
          <w:i/>
        </w:rPr>
        <w:t>2.5</w:t>
      </w:r>
      <w:r w:rsidRPr="001610EC">
        <w:rPr>
          <w:i/>
        </w:rPr>
        <w:t xml:space="preserve">  Constraining</w:t>
      </w:r>
      <w:proofErr w:type="gramEnd"/>
      <w:r w:rsidRPr="001610EC">
        <w:rPr>
          <w:i/>
        </w:rPr>
        <w:t xml:space="preserve"> the basket weights to sum to 1</w:t>
      </w:r>
    </w:p>
    <w:p w:rsidR="00DE0AE1" w:rsidRDefault="00DE0AE1" w:rsidP="00801375"/>
    <w:p w:rsidR="008D7DD5" w:rsidRDefault="00473F26" w:rsidP="00801375">
      <w:r>
        <w:tab/>
        <w:t xml:space="preserve">There is a good argument for constraining the weights on the currencies to </w:t>
      </w:r>
      <w:r w:rsidR="00DE0AE1">
        <w:t>add up to</w:t>
      </w:r>
      <w:r>
        <w:t xml:space="preserve"> 1</w:t>
      </w:r>
      <w:r w:rsidR="00413229">
        <w:t>.  H</w:t>
      </w:r>
      <w:r>
        <w:t>owever weak one thinks the link to the</w:t>
      </w:r>
      <w:r w:rsidR="0035005E">
        <w:t xml:space="preserve"> reference basket might be, </w:t>
      </w:r>
      <w:r>
        <w:t>or however large or small the weight on the dollar</w:t>
      </w:r>
      <w:r w:rsidR="00413229">
        <w:t xml:space="preserve">, the authorities must view movements in the RMB through the metric of </w:t>
      </w:r>
      <w:r w:rsidR="00C00C5E">
        <w:t xml:space="preserve">distance from </w:t>
      </w:r>
      <w:r w:rsidR="00413229">
        <w:t>some reference rate or effective exchange rate</w:t>
      </w:r>
      <w:r>
        <w:t>.    The easiest way to implement th</w:t>
      </w:r>
      <w:r w:rsidR="00413229">
        <w:t>e adding up</w:t>
      </w:r>
      <w:r>
        <w:t xml:space="preserve"> constraint is to run the regressions with the changes in the log yuan value on the </w:t>
      </w:r>
      <w:r w:rsidR="00F22C31">
        <w:t>left-hand</w:t>
      </w:r>
      <w:r>
        <w:t xml:space="preserve"> side of the equation transformed by subtracting off the changes in the log value of one of the currencies, say the dollar, and the changes in the values of the non-dollar currencies on the </w:t>
      </w:r>
      <w:r w:rsidR="00F22C31">
        <w:t>right-hand</w:t>
      </w:r>
      <w:r>
        <w:t xml:space="preserve"> side transformed in the same way.    </w:t>
      </w:r>
    </w:p>
    <w:p w:rsidR="008D7DD5" w:rsidRDefault="008D7DD5" w:rsidP="00801375">
      <w:r>
        <w:tab/>
        <w:t>To see this, we repeat equation (1):</w:t>
      </w:r>
    </w:p>
    <w:p w:rsidR="008D7DD5" w:rsidRDefault="008D7DD5" w:rsidP="008D7DD5">
      <w:pPr>
        <w:rPr>
          <w:b/>
        </w:rPr>
      </w:pPr>
    </w:p>
    <w:p w:rsidR="008D7DD5" w:rsidRPr="00413406" w:rsidRDefault="008D7DD5" w:rsidP="008D7DD5">
      <w:pPr>
        <w:rPr>
          <w:b/>
        </w:rPr>
      </w:pPr>
      <w:r w:rsidRPr="00413406">
        <w:rPr>
          <w:b/>
        </w:rPr>
        <w:t>Δ</w:t>
      </w:r>
      <w:r w:rsidRPr="002E6AAE">
        <w:rPr>
          <w:b/>
          <w:i/>
        </w:rPr>
        <w:t xml:space="preserve"> log </w:t>
      </w:r>
      <w:proofErr w:type="spellStart"/>
      <w:r w:rsidRPr="002E6AAE">
        <w:rPr>
          <w:b/>
          <w:i/>
        </w:rPr>
        <w:t>RMB</w:t>
      </w:r>
      <w:r w:rsidRPr="002E6AAE">
        <w:rPr>
          <w:b/>
          <w:i/>
          <w:vertAlign w:val="subscript"/>
        </w:rPr>
        <w:t>t</w:t>
      </w:r>
      <w:proofErr w:type="spellEnd"/>
      <w:r w:rsidRPr="002E6AAE">
        <w:rPr>
          <w:b/>
          <w:i/>
        </w:rPr>
        <w:t xml:space="preserve"> </w:t>
      </w:r>
      <w:r w:rsidRPr="002E6AAE">
        <w:rPr>
          <w:b/>
          <w:i/>
        </w:rPr>
        <w:tab/>
        <w:t xml:space="preserve">= c </w:t>
      </w:r>
      <w:proofErr w:type="gramStart"/>
      <w:r w:rsidRPr="002E6AAE">
        <w:rPr>
          <w:b/>
          <w:i/>
        </w:rPr>
        <w:t>+  ∑</w:t>
      </w:r>
      <w:proofErr w:type="gramEnd"/>
      <w:r w:rsidRPr="002E6AAE">
        <w:rPr>
          <w:b/>
          <w:i/>
        </w:rPr>
        <w:t xml:space="preserve"> w(j) [</w:t>
      </w:r>
      <w:r w:rsidRPr="00413406">
        <w:rPr>
          <w:b/>
        </w:rPr>
        <w:t>Δ</w:t>
      </w:r>
      <w:r w:rsidRPr="002E6AAE">
        <w:rPr>
          <w:b/>
          <w:i/>
        </w:rPr>
        <w:t xml:space="preserve"> </w:t>
      </w:r>
      <w:proofErr w:type="spellStart"/>
      <w:r w:rsidRPr="002E6AAE">
        <w:rPr>
          <w:b/>
          <w:i/>
        </w:rPr>
        <w:t>logX</w:t>
      </w:r>
      <w:proofErr w:type="spellEnd"/>
      <w:r w:rsidRPr="002E6AAE">
        <w:rPr>
          <w:b/>
          <w:i/>
        </w:rPr>
        <w:t>(j)</w:t>
      </w:r>
      <w:r w:rsidRPr="002E6AAE">
        <w:rPr>
          <w:b/>
          <w:i/>
          <w:vertAlign w:val="subscript"/>
        </w:rPr>
        <w:t>t</w:t>
      </w:r>
      <w:r w:rsidR="00E112AF">
        <w:rPr>
          <w:b/>
          <w:i/>
          <w:vertAlign w:val="subscript"/>
        </w:rPr>
        <w:t xml:space="preserve"> </w:t>
      </w:r>
      <w:r w:rsidRPr="002E6AAE">
        <w:rPr>
          <w:b/>
          <w:i/>
        </w:rPr>
        <w:t>]</w:t>
      </w:r>
    </w:p>
    <w:p w:rsidR="008D7DD5" w:rsidRPr="00413406" w:rsidRDefault="008D7DD5" w:rsidP="008D7DD5">
      <w:pPr>
        <w:ind w:left="720" w:firstLine="720"/>
        <w:rPr>
          <w:b/>
          <w:i/>
        </w:rPr>
      </w:pPr>
      <w:r w:rsidRPr="00413406">
        <w:rPr>
          <w:b/>
          <w:i/>
        </w:rPr>
        <w:t xml:space="preserve">= c + </w:t>
      </w:r>
      <w:r w:rsidRPr="00413406">
        <w:rPr>
          <w:b/>
          <w:i/>
          <w:lang w:val="fr-FR"/>
        </w:rPr>
        <w:t>α</w:t>
      </w:r>
      <w:r w:rsidRPr="00413406">
        <w:rPr>
          <w:b/>
        </w:rPr>
        <w:t xml:space="preserve"> Δ</w:t>
      </w:r>
      <w:r w:rsidRPr="00413406">
        <w:rPr>
          <w:b/>
          <w:i/>
        </w:rPr>
        <w:t xml:space="preserve"> log </w:t>
      </w:r>
      <w:r w:rsidRPr="00413406">
        <w:rPr>
          <w:b/>
        </w:rPr>
        <w:t xml:space="preserve">$ </w:t>
      </w:r>
      <w:r w:rsidRPr="00413406">
        <w:rPr>
          <w:b/>
          <w:i/>
          <w:vertAlign w:val="subscript"/>
        </w:rPr>
        <w:t xml:space="preserve">t </w:t>
      </w:r>
      <w:r w:rsidRPr="00413406">
        <w:rPr>
          <w:b/>
        </w:rPr>
        <w:t xml:space="preserve">+ </w:t>
      </w:r>
      <w:proofErr w:type="gramStart"/>
      <w:r w:rsidRPr="00413406">
        <w:rPr>
          <w:b/>
        </w:rPr>
        <w:t>β(</w:t>
      </w:r>
      <w:proofErr w:type="gramEnd"/>
      <w:r w:rsidRPr="00413406">
        <w:rPr>
          <w:b/>
        </w:rPr>
        <w:t>1) Δ</w:t>
      </w:r>
      <w:r w:rsidRPr="00413406">
        <w:rPr>
          <w:b/>
          <w:i/>
        </w:rPr>
        <w:t xml:space="preserve"> log €</w:t>
      </w:r>
      <w:r w:rsidRPr="00413406">
        <w:rPr>
          <w:b/>
          <w:i/>
          <w:vertAlign w:val="subscript"/>
        </w:rPr>
        <w:t>t</w:t>
      </w:r>
      <w:r w:rsidRPr="00413406">
        <w:rPr>
          <w:b/>
          <w:i/>
        </w:rPr>
        <w:t xml:space="preserve"> + </w:t>
      </w:r>
      <w:r w:rsidRPr="00413406">
        <w:rPr>
          <w:b/>
        </w:rPr>
        <w:t>β(2) Δ</w:t>
      </w:r>
      <w:r w:rsidRPr="00413406">
        <w:rPr>
          <w:b/>
          <w:i/>
        </w:rPr>
        <w:t xml:space="preserve"> log £</w:t>
      </w:r>
      <w:r w:rsidRPr="00413406">
        <w:rPr>
          <w:b/>
          <w:i/>
          <w:vertAlign w:val="subscript"/>
        </w:rPr>
        <w:t>t</w:t>
      </w:r>
      <w:r w:rsidRPr="00413406">
        <w:rPr>
          <w:b/>
          <w:i/>
        </w:rPr>
        <w:t xml:space="preserve"> + </w:t>
      </w:r>
      <w:r w:rsidRPr="00413406">
        <w:rPr>
          <w:b/>
        </w:rPr>
        <w:t>β(3) …</w:t>
      </w:r>
      <w:r w:rsidRPr="00413406">
        <w:rPr>
          <w:b/>
          <w:i/>
        </w:rPr>
        <w:t xml:space="preserve">  </w:t>
      </w:r>
    </w:p>
    <w:p w:rsidR="008D7DD5" w:rsidRPr="002E6AAE" w:rsidRDefault="008D7DD5" w:rsidP="008D7DD5">
      <w:pPr>
        <w:rPr>
          <w:sz w:val="18"/>
          <w:szCs w:val="18"/>
        </w:rPr>
      </w:pPr>
    </w:p>
    <w:p w:rsidR="008D7DD5" w:rsidRPr="00413406" w:rsidRDefault="008D7DD5" w:rsidP="008D7DD5">
      <w:pPr>
        <w:rPr>
          <w:i/>
        </w:rPr>
      </w:pPr>
      <w:r w:rsidRPr="00413406">
        <w:t xml:space="preserve">We want to impose the adding up constraint </w:t>
      </w:r>
      <w:r w:rsidRPr="00413406">
        <w:rPr>
          <w:b/>
          <w:i/>
          <w:lang w:val="fr-FR"/>
        </w:rPr>
        <w:t>α</w:t>
      </w:r>
      <w:r w:rsidRPr="00413406">
        <w:rPr>
          <w:b/>
        </w:rPr>
        <w:t xml:space="preserve"> = 1 -</w:t>
      </w:r>
      <w:r w:rsidRPr="00413406">
        <w:t xml:space="preserve"> </w:t>
      </w:r>
      <w:proofErr w:type="gramStart"/>
      <w:r w:rsidRPr="00413406">
        <w:t>β(</w:t>
      </w:r>
      <w:proofErr w:type="gramEnd"/>
      <w:r w:rsidRPr="00413406">
        <w:t>1) - β(2) -</w:t>
      </w:r>
      <w:r w:rsidRPr="00413406">
        <w:rPr>
          <w:i/>
        </w:rPr>
        <w:t xml:space="preserve"> </w:t>
      </w:r>
      <w:r w:rsidRPr="00413406">
        <w:t>β(3) …</w:t>
      </w:r>
      <w:r w:rsidRPr="00413406">
        <w:rPr>
          <w:i/>
        </w:rPr>
        <w:t xml:space="preserve">  </w:t>
      </w:r>
    </w:p>
    <w:p w:rsidR="008D7DD5" w:rsidRDefault="008D7DD5" w:rsidP="008D7DD5">
      <w:r w:rsidRPr="00413406">
        <w:t>We implement it by running the regression</w:t>
      </w:r>
      <w:r>
        <w:t xml:space="preserve"> equation (2):</w:t>
      </w:r>
    </w:p>
    <w:p w:rsidR="00E112AF" w:rsidRPr="00413406" w:rsidRDefault="00E112AF" w:rsidP="008D7DD5"/>
    <w:p w:rsidR="008D7DD5" w:rsidRPr="001610EC" w:rsidRDefault="008D7DD5" w:rsidP="008D7DD5">
      <w:pPr>
        <w:rPr>
          <w:b/>
          <w:i/>
          <w:lang w:val="de-DE"/>
        </w:rPr>
      </w:pPr>
      <w:r w:rsidRPr="001610EC">
        <w:rPr>
          <w:b/>
          <w:lang w:val="de-DE"/>
        </w:rPr>
        <w:t>[</w:t>
      </w:r>
      <w:r w:rsidRPr="00413406">
        <w:rPr>
          <w:b/>
        </w:rPr>
        <w:t>Δ</w:t>
      </w:r>
      <w:r w:rsidRPr="001610EC">
        <w:rPr>
          <w:b/>
          <w:i/>
          <w:lang w:val="de-DE"/>
        </w:rPr>
        <w:t xml:space="preserve"> log RMB </w:t>
      </w:r>
      <w:r w:rsidRPr="001610EC">
        <w:rPr>
          <w:b/>
          <w:i/>
          <w:vertAlign w:val="subscript"/>
          <w:lang w:val="de-DE"/>
        </w:rPr>
        <w:t>t</w:t>
      </w:r>
      <w:r w:rsidRPr="001610EC">
        <w:rPr>
          <w:b/>
          <w:i/>
          <w:lang w:val="de-DE"/>
        </w:rPr>
        <w:t xml:space="preserve"> -</w:t>
      </w:r>
      <w:r w:rsidRPr="001610EC">
        <w:rPr>
          <w:b/>
          <w:lang w:val="de-DE"/>
        </w:rPr>
        <w:t xml:space="preserve"> </w:t>
      </w:r>
      <w:r w:rsidRPr="00413406">
        <w:rPr>
          <w:b/>
        </w:rPr>
        <w:t>Δ</w:t>
      </w:r>
      <w:r w:rsidRPr="001610EC">
        <w:rPr>
          <w:b/>
          <w:i/>
          <w:lang w:val="de-DE"/>
        </w:rPr>
        <w:t xml:space="preserve"> log</w:t>
      </w:r>
      <w:r w:rsidR="00413229" w:rsidRPr="001610EC">
        <w:rPr>
          <w:b/>
          <w:i/>
          <w:lang w:val="de-DE"/>
        </w:rPr>
        <w:t>$</w:t>
      </w:r>
      <w:r w:rsidRPr="001610EC">
        <w:rPr>
          <w:b/>
          <w:i/>
          <w:vertAlign w:val="subscript"/>
          <w:lang w:val="de-DE"/>
        </w:rPr>
        <w:t xml:space="preserve">t </w:t>
      </w:r>
      <w:r w:rsidRPr="001610EC">
        <w:rPr>
          <w:b/>
          <w:lang w:val="de-DE"/>
        </w:rPr>
        <w:t>]</w:t>
      </w:r>
      <w:r w:rsidRPr="001610EC">
        <w:rPr>
          <w:b/>
          <w:i/>
          <w:lang w:val="de-DE"/>
        </w:rPr>
        <w:t xml:space="preserve"> </w:t>
      </w:r>
    </w:p>
    <w:p w:rsidR="008D7DD5" w:rsidRPr="002E6AAE" w:rsidRDefault="008D7DD5" w:rsidP="008D7DD5">
      <w:pPr>
        <w:ind w:left="720" w:firstLine="720"/>
        <w:rPr>
          <w:b/>
          <w:i/>
        </w:rPr>
      </w:pPr>
      <w:r w:rsidRPr="001610EC">
        <w:rPr>
          <w:b/>
          <w:i/>
          <w:lang w:val="de-DE"/>
        </w:rPr>
        <w:t xml:space="preserve">= c + </w:t>
      </w:r>
      <w:r w:rsidRPr="001610EC">
        <w:rPr>
          <w:b/>
          <w:lang w:val="de-DE"/>
        </w:rPr>
        <w:t xml:space="preserve"> </w:t>
      </w:r>
      <w:r w:rsidRPr="00413406">
        <w:rPr>
          <w:b/>
        </w:rPr>
        <w:t>β</w:t>
      </w:r>
      <w:r w:rsidRPr="001610EC">
        <w:rPr>
          <w:b/>
          <w:lang w:val="de-DE"/>
        </w:rPr>
        <w:t>(1) [</w:t>
      </w:r>
      <w:r w:rsidRPr="00413406">
        <w:rPr>
          <w:b/>
        </w:rPr>
        <w:t>Δ</w:t>
      </w:r>
      <w:r w:rsidRPr="001610EC">
        <w:rPr>
          <w:b/>
          <w:i/>
          <w:lang w:val="de-DE"/>
        </w:rPr>
        <w:t xml:space="preserve"> log €</w:t>
      </w:r>
      <w:r w:rsidRPr="001610EC">
        <w:rPr>
          <w:b/>
          <w:i/>
          <w:vertAlign w:val="subscript"/>
          <w:lang w:val="de-DE"/>
        </w:rPr>
        <w:t>t</w:t>
      </w:r>
      <w:r w:rsidRPr="001610EC">
        <w:rPr>
          <w:b/>
          <w:i/>
          <w:lang w:val="de-DE"/>
        </w:rPr>
        <w:t xml:space="preserve"> - </w:t>
      </w:r>
      <w:r w:rsidRPr="00413406">
        <w:rPr>
          <w:b/>
        </w:rPr>
        <w:t>Δ</w:t>
      </w:r>
      <w:r w:rsidRPr="001610EC">
        <w:rPr>
          <w:b/>
          <w:i/>
          <w:lang w:val="de-DE"/>
        </w:rPr>
        <w:t xml:space="preserve"> log $</w:t>
      </w:r>
      <w:r w:rsidRPr="001610EC">
        <w:rPr>
          <w:b/>
          <w:i/>
          <w:vertAlign w:val="subscript"/>
          <w:lang w:val="de-DE"/>
        </w:rPr>
        <w:t>t</w:t>
      </w:r>
      <w:r w:rsidRPr="001610EC">
        <w:rPr>
          <w:b/>
          <w:i/>
          <w:lang w:val="de-DE"/>
        </w:rPr>
        <w:t xml:space="preserve"> </w:t>
      </w:r>
      <w:r w:rsidRPr="001610EC">
        <w:rPr>
          <w:b/>
          <w:lang w:val="de-DE"/>
        </w:rPr>
        <w:t>]</w:t>
      </w:r>
      <w:r w:rsidRPr="001610EC">
        <w:rPr>
          <w:b/>
          <w:i/>
          <w:lang w:val="de-DE"/>
        </w:rPr>
        <w:t xml:space="preserve">  +  </w:t>
      </w:r>
      <w:r w:rsidRPr="00413406">
        <w:rPr>
          <w:b/>
        </w:rPr>
        <w:t>β</w:t>
      </w:r>
      <w:r w:rsidRPr="001610EC">
        <w:rPr>
          <w:b/>
          <w:lang w:val="de-DE"/>
        </w:rPr>
        <w:t xml:space="preserve">(2)[ </w:t>
      </w:r>
      <w:r w:rsidRPr="00413406">
        <w:rPr>
          <w:b/>
        </w:rPr>
        <w:t>Δ</w:t>
      </w:r>
      <w:r w:rsidRPr="001610EC">
        <w:rPr>
          <w:b/>
          <w:i/>
          <w:lang w:val="de-DE"/>
        </w:rPr>
        <w:t xml:space="preserve"> log £ </w:t>
      </w:r>
      <w:r w:rsidRPr="001610EC">
        <w:rPr>
          <w:b/>
          <w:i/>
          <w:vertAlign w:val="subscript"/>
          <w:lang w:val="de-DE"/>
        </w:rPr>
        <w:t xml:space="preserve">t </w:t>
      </w:r>
      <w:r w:rsidRPr="001610EC">
        <w:rPr>
          <w:b/>
          <w:i/>
          <w:lang w:val="de-DE"/>
        </w:rPr>
        <w:t xml:space="preserve">- </w:t>
      </w:r>
      <w:r w:rsidRPr="00413406">
        <w:rPr>
          <w:b/>
        </w:rPr>
        <w:t>Δ</w:t>
      </w:r>
      <w:r w:rsidRPr="001610EC">
        <w:rPr>
          <w:b/>
          <w:i/>
          <w:lang w:val="de-DE"/>
        </w:rPr>
        <w:t xml:space="preserve"> log $ </w:t>
      </w:r>
      <w:r w:rsidRPr="001610EC">
        <w:rPr>
          <w:b/>
          <w:i/>
          <w:vertAlign w:val="subscript"/>
          <w:lang w:val="de-DE"/>
        </w:rPr>
        <w:t>t</w:t>
      </w:r>
      <w:r w:rsidRPr="001610EC">
        <w:rPr>
          <w:b/>
          <w:lang w:val="de-DE"/>
        </w:rPr>
        <w:t xml:space="preserve">] </w:t>
      </w:r>
      <w:r w:rsidRPr="001610EC">
        <w:rPr>
          <w:b/>
          <w:i/>
          <w:lang w:val="de-DE"/>
        </w:rPr>
        <w:t xml:space="preserve">+ </w:t>
      </w:r>
      <w:r w:rsidRPr="00413406">
        <w:rPr>
          <w:b/>
        </w:rPr>
        <w:t>β</w:t>
      </w:r>
      <w:r w:rsidRPr="001610EC">
        <w:rPr>
          <w:b/>
          <w:lang w:val="de-DE"/>
        </w:rPr>
        <w:t>(3) …</w:t>
      </w:r>
      <w:r w:rsidRPr="001610EC">
        <w:rPr>
          <w:b/>
          <w:i/>
          <w:lang w:val="de-DE"/>
        </w:rPr>
        <w:t xml:space="preserve">  </w:t>
      </w:r>
      <w:r w:rsidR="00C00C5E" w:rsidRPr="001610EC">
        <w:t>(2)</w:t>
      </w:r>
    </w:p>
    <w:p w:rsidR="008D7DD5" w:rsidRDefault="008D7DD5" w:rsidP="00801375"/>
    <w:p w:rsidR="00473F26" w:rsidRDefault="00473F26" w:rsidP="008D7DD5">
      <w:pPr>
        <w:ind w:firstLine="720"/>
      </w:pPr>
      <w:r>
        <w:t>The resu</w:t>
      </w:r>
      <w:r w:rsidR="00261F09">
        <w:t xml:space="preserve">lts are reported in </w:t>
      </w:r>
      <w:r w:rsidR="00A666DC">
        <w:t>the working paper</w:t>
      </w:r>
      <w:r>
        <w:t xml:space="preserve">.   One can recover the implicit weight on the dollar by </w:t>
      </w:r>
      <w:r w:rsidR="00A61192">
        <w:t>adding</w:t>
      </w:r>
      <w:r>
        <w:t xml:space="preserve"> </w:t>
      </w:r>
      <w:r w:rsidR="00A61192">
        <w:t>the estimated weights on the non-dollar currencies, and subt</w:t>
      </w:r>
      <w:r w:rsidR="008E3DF4">
        <w:t>racting the sum from 1.    We learn</w:t>
      </w:r>
      <w:r w:rsidR="00A61192">
        <w:t xml:space="preserve"> for example, that the weight on the dollar is 1 minus the weights on the won (.02) and ringgit (.07), which is .91.</w:t>
      </w:r>
      <w:r w:rsidR="00B1033B">
        <w:t xml:space="preserve">   These are very similar to the corresponding estimates when no constraint was imposed on the weights.   The increase in the Root MSE is tiny, suggesting that a test would not reject the constraint</w:t>
      </w:r>
      <w:r w:rsidR="00623877">
        <w:t xml:space="preserve"> that the weights sum to one</w:t>
      </w:r>
      <w:r w:rsidR="00B1033B">
        <w:t xml:space="preserve">.  But </w:t>
      </w:r>
      <w:r w:rsidR="00623877">
        <w:t xml:space="preserve">imposing the constraint sharpens </w:t>
      </w:r>
      <w:r w:rsidR="00B1033B">
        <w:t xml:space="preserve">the estimates </w:t>
      </w:r>
      <w:r w:rsidR="00623877">
        <w:t>a bit</w:t>
      </w:r>
      <w:r w:rsidR="00B1033B">
        <w:t xml:space="preserve">; for example the </w:t>
      </w:r>
      <w:r w:rsidR="00623877">
        <w:t>coefficient</w:t>
      </w:r>
      <w:r w:rsidR="00B1033B">
        <w:t xml:space="preserve"> on the Korean won now appears statistically significant not just when gold is used as numeraire but also in the preferred case where the SDR is used as numeraire.</w:t>
      </w:r>
      <w:r w:rsidR="00623877">
        <w:t xml:space="preserve">   The basic findings are unchanged: significant weights only on the same two non-dollar currencies, a trend appreciation against the basket, and gradually diminishing </w:t>
      </w:r>
      <w:r w:rsidR="002C79AF">
        <w:t xml:space="preserve">linear </w:t>
      </w:r>
      <w:r w:rsidR="00623877">
        <w:t>weight on the dollar.</w:t>
      </w:r>
    </w:p>
    <w:p w:rsidR="00623877" w:rsidRDefault="00261F09" w:rsidP="00801375">
      <w:r>
        <w:tab/>
      </w:r>
      <w:r w:rsidR="00FF75C4">
        <w:t>When we impose</w:t>
      </w:r>
      <w:r w:rsidR="00623877">
        <w:t xml:space="preserve"> the adding-up constraint in the equation where we test the role of official </w:t>
      </w:r>
      <w:smartTag w:uri="urn:schemas-microsoft-com:office:smarttags" w:element="country-region">
        <w:smartTag w:uri="urn:schemas-microsoft-com:office:smarttags" w:element="place">
          <w:r w:rsidR="00623877">
            <w:t>US</w:t>
          </w:r>
        </w:smartTag>
      </w:smartTag>
      <w:r w:rsidR="00623877">
        <w:t xml:space="preserve"> complaints</w:t>
      </w:r>
      <w:r w:rsidR="00FF75C4">
        <w:t xml:space="preserve">, </w:t>
      </w:r>
      <w:r w:rsidR="00623877">
        <w:t xml:space="preserve">the results are </w:t>
      </w:r>
      <w:r w:rsidR="00FF75C4">
        <w:t xml:space="preserve">again </w:t>
      </w:r>
      <w:r w:rsidR="00623877">
        <w:t xml:space="preserve">little changed; but </w:t>
      </w:r>
      <w:r w:rsidR="00320B5E">
        <w:t>the complaints have an even stronger negative effect on the dollar weight.   There is little evidence that they lead to an immediate appreciation, however small, per se.</w:t>
      </w:r>
    </w:p>
    <w:p w:rsidR="00473F26" w:rsidRPr="001610EC" w:rsidRDefault="00473F26" w:rsidP="00801375">
      <w:pPr>
        <w:rPr>
          <w:i/>
        </w:rPr>
      </w:pPr>
    </w:p>
    <w:p w:rsidR="00A6786F" w:rsidRDefault="00DC466C" w:rsidP="00297459">
      <w:pPr>
        <w:rPr>
          <w:i/>
        </w:rPr>
      </w:pPr>
      <w:proofErr w:type="gramStart"/>
      <w:r>
        <w:rPr>
          <w:i/>
        </w:rPr>
        <w:t>3.2</w:t>
      </w:r>
      <w:r w:rsidR="00B2018C">
        <w:rPr>
          <w:i/>
        </w:rPr>
        <w:t>.6</w:t>
      </w:r>
      <w:r w:rsidR="00297459">
        <w:rPr>
          <w:i/>
        </w:rPr>
        <w:t xml:space="preserve">  </w:t>
      </w:r>
      <w:r w:rsidR="00A6786F">
        <w:rPr>
          <w:i/>
        </w:rPr>
        <w:t>Allowing</w:t>
      </w:r>
      <w:proofErr w:type="gramEnd"/>
      <w:r w:rsidR="00A6786F">
        <w:rPr>
          <w:i/>
        </w:rPr>
        <w:t xml:space="preserve"> for</w:t>
      </w:r>
      <w:r w:rsidR="0070743D">
        <w:rPr>
          <w:i/>
        </w:rPr>
        <w:t xml:space="preserve"> nonlinear trends</w:t>
      </w:r>
      <w:r w:rsidR="00A6786F">
        <w:rPr>
          <w:i/>
        </w:rPr>
        <w:t xml:space="preserve"> in the weights</w:t>
      </w:r>
    </w:p>
    <w:p w:rsidR="00A6786F" w:rsidRPr="001610EC" w:rsidRDefault="00A6786F" w:rsidP="00A6786F"/>
    <w:p w:rsidR="002C79AF" w:rsidRDefault="002C79AF" w:rsidP="002C79AF">
      <w:pPr>
        <w:ind w:firstLine="720"/>
      </w:pPr>
      <w:r w:rsidRPr="001610EC">
        <w:t>In sections 3.2.3 and 3.</w:t>
      </w:r>
      <w:r w:rsidR="00F82C88">
        <w:t>2.</w:t>
      </w:r>
      <w:r w:rsidRPr="001610EC">
        <w:t xml:space="preserve">4 we allowed for a downward trend in the weight assigned to the dollar in the basket of reference currencies.  But the specification was a linear trend.  </w:t>
      </w:r>
      <w:r w:rsidRPr="000C67C8">
        <w:t xml:space="preserve">Since the currency weights are logically bounded by 0 and 1, a linear </w:t>
      </w:r>
      <w:r w:rsidR="00390012">
        <w:t xml:space="preserve">functional form </w:t>
      </w:r>
      <w:r w:rsidRPr="000C67C8">
        <w:t>for the trend in the weights</w:t>
      </w:r>
      <w:r w:rsidR="000B1DDC">
        <w:t>, which has</w:t>
      </w:r>
      <w:r w:rsidR="0070743D">
        <w:t xml:space="preserve"> the </w:t>
      </w:r>
      <w:r w:rsidR="000B1DDC">
        <w:t xml:space="preserve">undesirable </w:t>
      </w:r>
      <w:r w:rsidR="0070743D">
        <w:t xml:space="preserve">property that the weights eventually breech the limits of 0 or 1, </w:t>
      </w:r>
      <w:r w:rsidRPr="000C67C8">
        <w:t>is not the best</w:t>
      </w:r>
      <w:r w:rsidR="00390012">
        <w:t xml:space="preserve"> </w:t>
      </w:r>
      <w:r w:rsidR="00390012" w:rsidRPr="000C67C8">
        <w:t>specification</w:t>
      </w:r>
      <w:r w:rsidRPr="000C67C8">
        <w:t xml:space="preserve">.   Instead, the term designed to capture the possible shifting of weight toward non-dollar currencies can be assumed proportionate to </w:t>
      </w:r>
      <w:r w:rsidRPr="001610EC">
        <w:rPr>
          <w:i/>
        </w:rPr>
        <w:t>[1-</w:t>
      </w:r>
      <w:proofErr w:type="gramStart"/>
      <w:r w:rsidRPr="001610EC">
        <w:rPr>
          <w:i/>
        </w:rPr>
        <w:t>exp(</w:t>
      </w:r>
      <w:proofErr w:type="gramEnd"/>
      <w:r w:rsidRPr="001610EC">
        <w:rPr>
          <w:i/>
        </w:rPr>
        <w:t>-</w:t>
      </w:r>
      <w:r w:rsidR="000C67C8" w:rsidRPr="001610EC">
        <w:rPr>
          <w:i/>
        </w:rPr>
        <w:t xml:space="preserve">δ </w:t>
      </w:r>
      <w:r w:rsidRPr="001610EC">
        <w:rPr>
          <w:i/>
        </w:rPr>
        <w:t>t)],</w:t>
      </w:r>
      <w:r w:rsidRPr="000C67C8">
        <w:t xml:space="preserve"> which runs from 0 to 1 as required.   </w:t>
      </w:r>
      <w:r w:rsidR="000B1DDC">
        <w:t xml:space="preserve">The </w:t>
      </w:r>
      <w:r w:rsidRPr="000C67C8">
        <w:t>parameter</w:t>
      </w:r>
      <w:r w:rsidR="000B1DDC">
        <w:t xml:space="preserve"> </w:t>
      </w:r>
      <w:r w:rsidR="000B1DDC" w:rsidRPr="000C67C8">
        <w:t>δ</w:t>
      </w:r>
      <w:r w:rsidR="000B1DDC">
        <w:t xml:space="preserve"> helps</w:t>
      </w:r>
      <w:r w:rsidRPr="000C67C8">
        <w:t xml:space="preserve"> cap</w:t>
      </w:r>
      <w:r w:rsidR="000B1DDC">
        <w:t>tures the speed of the shift</w:t>
      </w:r>
      <w:r w:rsidRPr="000C67C8">
        <w:t>.</w:t>
      </w:r>
    </w:p>
    <w:p w:rsidR="0070743D" w:rsidRDefault="000B1DDC" w:rsidP="001610EC">
      <w:pPr>
        <w:ind w:firstLine="720"/>
      </w:pPr>
      <w:r>
        <w:t>We can</w:t>
      </w:r>
      <w:r w:rsidR="0070743D">
        <w:t xml:space="preserve"> continue to impose the constraint that the weights sum to 1, not just at </w:t>
      </w:r>
      <w:r w:rsidR="0070743D" w:rsidRPr="001610EC">
        <w:rPr>
          <w:i/>
        </w:rPr>
        <w:t>t=0</w:t>
      </w:r>
      <w:r w:rsidR="0070743D">
        <w:t xml:space="preserve"> but throughout the period, implementing the constraint by subtracting the change in the value of an arbitrary currency from all currency variables (i.e., from both the change in the RMB value and the change in the values of </w:t>
      </w:r>
      <w:r w:rsidR="00F82C88">
        <w:t xml:space="preserve">other </w:t>
      </w:r>
      <w:r w:rsidR="0070743D">
        <w:t>candidate currencies</w:t>
      </w:r>
      <w:r w:rsidR="00F82C88">
        <w:t xml:space="preserve"> in the basket</w:t>
      </w:r>
      <w:r w:rsidR="0070743D">
        <w:t>).   Algebraically,</w:t>
      </w:r>
      <w:r w:rsidR="00F82C88">
        <w:t xml:space="preserve"> if </w:t>
      </w:r>
      <w:proofErr w:type="gramStart"/>
      <w:r w:rsidR="00F82C88">
        <w:t>X(</w:t>
      </w:r>
      <w:proofErr w:type="gramEnd"/>
      <w:r w:rsidR="00F82C88">
        <w:t>j) is the value of currency j in the basket, and w(j) is the weight on that currency, then</w:t>
      </w:r>
    </w:p>
    <w:p w:rsidR="00F82C88" w:rsidRPr="00F61FF2" w:rsidRDefault="00F82C88" w:rsidP="001610EC">
      <w:pPr>
        <w:ind w:firstLine="720"/>
      </w:pPr>
    </w:p>
    <w:p w:rsidR="0070743D" w:rsidRPr="001610EC" w:rsidRDefault="0070743D" w:rsidP="001610EC">
      <w:pPr>
        <w:jc w:val="center"/>
        <w:rPr>
          <w:lang w:val="de-DE"/>
        </w:rPr>
      </w:pPr>
      <w:r w:rsidRPr="00413406">
        <w:t>Δ</w:t>
      </w:r>
      <w:r w:rsidRPr="001610EC">
        <w:rPr>
          <w:i/>
          <w:lang w:val="de-DE"/>
        </w:rPr>
        <w:t xml:space="preserve"> log RMB</w:t>
      </w:r>
      <w:r w:rsidRPr="001610EC">
        <w:rPr>
          <w:b/>
          <w:i/>
          <w:vertAlign w:val="subscript"/>
          <w:lang w:val="de-DE"/>
        </w:rPr>
        <w:t>t</w:t>
      </w:r>
      <w:r w:rsidRPr="001610EC">
        <w:rPr>
          <w:lang w:val="de-DE"/>
        </w:rPr>
        <w:t xml:space="preserve"> = </w:t>
      </w:r>
      <w:proofErr w:type="gramStart"/>
      <w:r w:rsidRPr="001610EC">
        <w:rPr>
          <w:lang w:val="de-DE"/>
        </w:rPr>
        <w:t>f(</w:t>
      </w:r>
      <w:proofErr w:type="gramEnd"/>
      <w:r w:rsidRPr="001610EC">
        <w:rPr>
          <w:lang w:val="de-DE"/>
        </w:rPr>
        <w:t xml:space="preserve">t) + ∑ w(j) </w:t>
      </w:r>
      <w:r w:rsidRPr="00413406">
        <w:t>Δ</w:t>
      </w:r>
      <w:r w:rsidRPr="001610EC">
        <w:rPr>
          <w:i/>
          <w:lang w:val="de-DE"/>
        </w:rPr>
        <w:t xml:space="preserve"> X(j)</w:t>
      </w:r>
      <w:r w:rsidRPr="001610EC">
        <w:rPr>
          <w:b/>
          <w:i/>
          <w:vertAlign w:val="subscript"/>
          <w:lang w:val="de-DE"/>
        </w:rPr>
        <w:t>t</w:t>
      </w:r>
    </w:p>
    <w:p w:rsidR="0070743D" w:rsidRPr="001610EC" w:rsidRDefault="0070743D" w:rsidP="0070743D">
      <w:pPr>
        <w:rPr>
          <w:lang w:val="de-DE"/>
        </w:rPr>
      </w:pPr>
    </w:p>
    <w:p w:rsidR="0070743D" w:rsidRDefault="0070743D" w:rsidP="0070743D">
      <w:r w:rsidRPr="009A72D8">
        <w:t xml:space="preserve">To impose the constraint </w:t>
      </w:r>
      <w:proofErr w:type="gramStart"/>
      <w:r w:rsidRPr="009A72D8">
        <w:t xml:space="preserve">that  </w:t>
      </w:r>
      <w:r w:rsidRPr="001610EC">
        <w:rPr>
          <w:i/>
        </w:rPr>
        <w:t>∑</w:t>
      </w:r>
      <w:proofErr w:type="gramEnd"/>
      <w:r w:rsidRPr="001610EC">
        <w:rPr>
          <w:i/>
          <w:vertAlign w:val="subscript"/>
        </w:rPr>
        <w:t>1</w:t>
      </w:r>
      <w:r w:rsidRPr="001610EC">
        <w:rPr>
          <w:i/>
          <w:vertAlign w:val="superscript"/>
        </w:rPr>
        <w:t>J</w:t>
      </w:r>
      <w:r w:rsidRPr="001610EC">
        <w:rPr>
          <w:i/>
        </w:rPr>
        <w:t xml:space="preserve"> w(j) =1</w:t>
      </w:r>
      <w:r>
        <w:t xml:space="preserve">, we only need </w:t>
      </w:r>
      <w:r w:rsidRPr="001610EC">
        <w:rPr>
          <w:i/>
        </w:rPr>
        <w:t>w(1) = 1- ∑</w:t>
      </w:r>
      <w:r w:rsidRPr="001610EC">
        <w:rPr>
          <w:i/>
          <w:vertAlign w:val="subscript"/>
        </w:rPr>
        <w:t>2</w:t>
      </w:r>
      <w:r w:rsidRPr="001610EC">
        <w:rPr>
          <w:i/>
          <w:vertAlign w:val="superscript"/>
        </w:rPr>
        <w:t>J</w:t>
      </w:r>
      <w:r w:rsidRPr="001610EC">
        <w:rPr>
          <w:i/>
        </w:rPr>
        <w:t xml:space="preserve"> w(j)</w:t>
      </w:r>
      <w:r>
        <w:t xml:space="preserve"> </w:t>
      </w:r>
      <w:r w:rsidR="00E112AF">
        <w:t>.</w:t>
      </w:r>
    </w:p>
    <w:p w:rsidR="0070743D" w:rsidRDefault="0070743D" w:rsidP="0070743D">
      <w:r>
        <w:t>Now we choose euro as the first currency. The constraint on the weights implies that</w:t>
      </w:r>
    </w:p>
    <w:p w:rsidR="0070743D" w:rsidRDefault="0070743D" w:rsidP="0070743D"/>
    <w:p w:rsidR="0070743D" w:rsidRPr="001610EC" w:rsidRDefault="0070743D" w:rsidP="001610EC">
      <w:pPr>
        <w:jc w:val="center"/>
        <w:rPr>
          <w:i/>
        </w:rPr>
      </w:pPr>
      <w:r w:rsidRPr="001610EC">
        <w:rPr>
          <w:i/>
        </w:rPr>
        <w:t>[Δ</w:t>
      </w:r>
      <w:r w:rsidRPr="0070743D">
        <w:rPr>
          <w:i/>
        </w:rPr>
        <w:t xml:space="preserve"> log </w:t>
      </w:r>
      <w:proofErr w:type="spellStart"/>
      <w:r w:rsidRPr="0070743D">
        <w:rPr>
          <w:i/>
        </w:rPr>
        <w:t>RMB</w:t>
      </w:r>
      <w:r w:rsidRPr="0070743D">
        <w:rPr>
          <w:b/>
          <w:i/>
          <w:vertAlign w:val="subscript"/>
        </w:rPr>
        <w:t>t</w:t>
      </w:r>
      <w:proofErr w:type="spellEnd"/>
      <w:r w:rsidRPr="0070743D">
        <w:rPr>
          <w:i/>
        </w:rPr>
        <w:t xml:space="preserve"> -</w:t>
      </w:r>
      <w:r w:rsidRPr="001610EC">
        <w:rPr>
          <w:i/>
        </w:rPr>
        <w:t xml:space="preserve"> Δ</w:t>
      </w:r>
      <w:r w:rsidRPr="0070743D">
        <w:rPr>
          <w:i/>
        </w:rPr>
        <w:t xml:space="preserve"> </w:t>
      </w:r>
      <w:proofErr w:type="spellStart"/>
      <w:r w:rsidRPr="0070743D">
        <w:rPr>
          <w:i/>
        </w:rPr>
        <w:t>log€</w:t>
      </w:r>
      <w:proofErr w:type="gramStart"/>
      <w:r w:rsidRPr="0070743D">
        <w:rPr>
          <w:b/>
          <w:i/>
          <w:vertAlign w:val="subscript"/>
        </w:rPr>
        <w:t>t</w:t>
      </w:r>
      <w:proofErr w:type="spellEnd"/>
      <w:r w:rsidRPr="0070743D">
        <w:rPr>
          <w:i/>
        </w:rPr>
        <w:t xml:space="preserve"> </w:t>
      </w:r>
      <w:r w:rsidRPr="001610EC">
        <w:rPr>
          <w:i/>
        </w:rPr>
        <w:t>]</w:t>
      </w:r>
      <w:proofErr w:type="gramEnd"/>
      <w:r w:rsidRPr="001610EC">
        <w:rPr>
          <w:i/>
        </w:rPr>
        <w:t xml:space="preserve"> = </w:t>
      </w:r>
      <w:proofErr w:type="gramStart"/>
      <w:r w:rsidRPr="001610EC">
        <w:rPr>
          <w:i/>
        </w:rPr>
        <w:t>f(</w:t>
      </w:r>
      <w:proofErr w:type="gramEnd"/>
      <w:r w:rsidRPr="001610EC">
        <w:rPr>
          <w:i/>
        </w:rPr>
        <w:t>t) + ∑</w:t>
      </w:r>
      <w:r w:rsidRPr="001610EC">
        <w:rPr>
          <w:i/>
          <w:vertAlign w:val="subscript"/>
        </w:rPr>
        <w:t>2</w:t>
      </w:r>
      <w:r w:rsidRPr="001610EC">
        <w:rPr>
          <w:i/>
          <w:vertAlign w:val="superscript"/>
        </w:rPr>
        <w:t>J</w:t>
      </w:r>
      <w:r w:rsidRPr="001610EC">
        <w:rPr>
          <w:i/>
        </w:rPr>
        <w:t xml:space="preserve"> w(j) (Δ</w:t>
      </w:r>
      <w:r w:rsidRPr="0070743D">
        <w:rPr>
          <w:i/>
        </w:rPr>
        <w:t xml:space="preserve"> X(j)</w:t>
      </w:r>
      <w:r w:rsidRPr="0070743D">
        <w:rPr>
          <w:b/>
          <w:i/>
          <w:vertAlign w:val="subscript"/>
        </w:rPr>
        <w:t xml:space="preserve">t </w:t>
      </w:r>
      <w:r w:rsidRPr="0070743D">
        <w:rPr>
          <w:i/>
        </w:rPr>
        <w:t>-</w:t>
      </w:r>
      <w:r w:rsidRPr="001610EC">
        <w:rPr>
          <w:i/>
        </w:rPr>
        <w:t xml:space="preserve"> Δ</w:t>
      </w:r>
      <w:r w:rsidRPr="0070743D">
        <w:rPr>
          <w:i/>
        </w:rPr>
        <w:t xml:space="preserve"> log€</w:t>
      </w:r>
      <w:r w:rsidR="008D6A3E">
        <w:rPr>
          <w:i/>
        </w:rPr>
        <w:t xml:space="preserve"> </w:t>
      </w:r>
      <w:r w:rsidRPr="0070743D">
        <w:rPr>
          <w:b/>
          <w:i/>
          <w:vertAlign w:val="subscript"/>
        </w:rPr>
        <w:t>t</w:t>
      </w:r>
      <w:r w:rsidR="008D6A3E">
        <w:rPr>
          <w:b/>
          <w:i/>
          <w:vertAlign w:val="subscript"/>
        </w:rPr>
        <w:t xml:space="preserve">  </w:t>
      </w:r>
      <w:r w:rsidRPr="001610EC">
        <w:rPr>
          <w:i/>
        </w:rPr>
        <w:t>)</w:t>
      </w:r>
      <w:r w:rsidR="008D6A3E">
        <w:rPr>
          <w:i/>
        </w:rPr>
        <w:t xml:space="preserve"> ,</w:t>
      </w:r>
    </w:p>
    <w:p w:rsidR="0070743D" w:rsidRDefault="0070743D" w:rsidP="0070743D"/>
    <w:p w:rsidR="0070743D" w:rsidRDefault="0070743D" w:rsidP="0070743D">
      <w:proofErr w:type="gramStart"/>
      <w:r>
        <w:t>where</w:t>
      </w:r>
      <w:proofErr w:type="gramEnd"/>
      <w:r>
        <w:t xml:space="preserve"> </w:t>
      </w:r>
      <w:r w:rsidRPr="001610EC">
        <w:rPr>
          <w:i/>
        </w:rPr>
        <w:t>w(j)</w:t>
      </w:r>
      <w:r>
        <w:t xml:space="preserve"> can be anything between zero and one. </w:t>
      </w:r>
    </w:p>
    <w:p w:rsidR="002268A6" w:rsidRDefault="0070743D" w:rsidP="0070743D">
      <w:r>
        <w:tab/>
        <w:t xml:space="preserve">Now let us add the time-dependent weight terms, using the exponential functional form for the </w:t>
      </w:r>
      <w:r w:rsidR="00CA7ED9" w:rsidRPr="00CA7ED9">
        <w:t>weights</w:t>
      </w:r>
      <w:r w:rsidR="00CA7ED9" w:rsidRPr="0070743D">
        <w:rPr>
          <w:i/>
        </w:rPr>
        <w:t xml:space="preserve"> </w:t>
      </w:r>
      <w:proofErr w:type="gramStart"/>
      <w:r w:rsidRPr="0070743D">
        <w:rPr>
          <w:i/>
        </w:rPr>
        <w:t>w(</w:t>
      </w:r>
      <w:proofErr w:type="gramEnd"/>
      <w:r w:rsidRPr="0070743D">
        <w:rPr>
          <w:i/>
        </w:rPr>
        <w:t>j)</w:t>
      </w:r>
      <w:r>
        <w:t xml:space="preserve">.   </w:t>
      </w:r>
      <w:r w:rsidR="00F82C88">
        <w:t>We consider four different ways to specify and/or estimate the trend terms</w:t>
      </w:r>
      <w:r w:rsidR="0035005E">
        <w:t>.   T</w:t>
      </w:r>
      <w:r w:rsidR="009E1FEA">
        <w:t>he choice</w:t>
      </w:r>
      <w:r w:rsidR="003C07E3">
        <w:t xml:space="preserve"> depend</w:t>
      </w:r>
      <w:r w:rsidR="009E1FEA">
        <w:t>s</w:t>
      </w:r>
      <w:r w:rsidR="003C07E3">
        <w:t xml:space="preserve"> on </w:t>
      </w:r>
      <w:r w:rsidR="009E1FEA">
        <w:t xml:space="preserve">how one feels about </w:t>
      </w:r>
      <w:r w:rsidR="003C07E3">
        <w:t>nonlinear estimation</w:t>
      </w:r>
      <w:r w:rsidR="00F82C88">
        <w:t>.</w:t>
      </w:r>
      <w:r w:rsidR="00DC466C">
        <w:rPr>
          <w:rStyle w:val="FootnoteReference"/>
        </w:rPr>
        <w:footnoteReference w:id="25"/>
      </w:r>
    </w:p>
    <w:p w:rsidR="0070743D" w:rsidRDefault="0070743D" w:rsidP="002268A6"/>
    <w:p w:rsidR="0070743D" w:rsidRPr="001610EC" w:rsidRDefault="0070743D" w:rsidP="001610EC">
      <w:pPr>
        <w:pStyle w:val="ListBullet"/>
        <w:rPr>
          <w:lang w:val="fr-FR"/>
        </w:rPr>
      </w:pPr>
      <w:proofErr w:type="spellStart"/>
      <w:r w:rsidRPr="00F61FF2">
        <w:rPr>
          <w:lang w:val="fr-FR"/>
        </w:rPr>
        <w:t>Specification</w:t>
      </w:r>
      <w:proofErr w:type="spellEnd"/>
      <w:r w:rsidRPr="00F61FF2">
        <w:rPr>
          <w:lang w:val="fr-FR"/>
        </w:rPr>
        <w:t xml:space="preserve"> 1: let </w:t>
      </w:r>
      <w:r w:rsidRPr="001610EC">
        <w:rPr>
          <w:i/>
          <w:lang w:val="fr-FR"/>
        </w:rPr>
        <w:t>w(j) = b0(j) + b1(j)* t,      f(t) = c0 + c1*</w:t>
      </w:r>
      <w:proofErr w:type="gramStart"/>
      <w:r w:rsidRPr="001610EC">
        <w:rPr>
          <w:i/>
          <w:lang w:val="fr-FR"/>
        </w:rPr>
        <w:t>t</w:t>
      </w:r>
      <w:r w:rsidR="008D6A3E">
        <w:rPr>
          <w:i/>
          <w:lang w:val="fr-FR"/>
        </w:rPr>
        <w:t xml:space="preserve"> .</w:t>
      </w:r>
      <w:proofErr w:type="gramEnd"/>
    </w:p>
    <w:p w:rsidR="0070743D" w:rsidRPr="00D86936" w:rsidRDefault="00F82C88" w:rsidP="001610EC">
      <w:pPr>
        <w:pStyle w:val="ListBullet"/>
        <w:numPr>
          <w:ilvl w:val="0"/>
          <w:numId w:val="0"/>
        </w:numPr>
      </w:pPr>
      <w:r>
        <w:t xml:space="preserve">This is the simplest specification and is estimated with OLS. </w:t>
      </w:r>
    </w:p>
    <w:p w:rsidR="0070743D" w:rsidRPr="001610EC" w:rsidRDefault="0070743D" w:rsidP="001610EC">
      <w:pPr>
        <w:pStyle w:val="ListBullet"/>
        <w:rPr>
          <w:lang w:val="fr-FR"/>
        </w:rPr>
      </w:pPr>
      <w:proofErr w:type="spellStart"/>
      <w:r w:rsidRPr="001610EC">
        <w:rPr>
          <w:lang w:val="fr-FR"/>
        </w:rPr>
        <w:t>Specifi</w:t>
      </w:r>
      <w:r w:rsidR="00DC466C">
        <w:rPr>
          <w:lang w:val="fr-FR"/>
        </w:rPr>
        <w:t>c</w:t>
      </w:r>
      <w:r w:rsidRPr="001610EC">
        <w:rPr>
          <w:lang w:val="fr-FR"/>
        </w:rPr>
        <w:t>ation</w:t>
      </w:r>
      <w:proofErr w:type="spellEnd"/>
      <w:r w:rsidRPr="001610EC">
        <w:rPr>
          <w:lang w:val="fr-FR"/>
        </w:rPr>
        <w:t xml:space="preserve"> 2 : let </w:t>
      </w:r>
      <w:r w:rsidRPr="001610EC">
        <w:rPr>
          <w:i/>
          <w:lang w:val="fr-FR"/>
        </w:rPr>
        <w:t xml:space="preserve">w(j) = b0(j) + b1(j)* [1- </w:t>
      </w:r>
      <w:proofErr w:type="gramStart"/>
      <w:r w:rsidRPr="001610EC">
        <w:rPr>
          <w:i/>
          <w:lang w:val="fr-FR"/>
        </w:rPr>
        <w:t>exp(</w:t>
      </w:r>
      <w:proofErr w:type="gramEnd"/>
      <w:r w:rsidRPr="001610EC">
        <w:rPr>
          <w:i/>
          <w:lang w:val="fr-FR"/>
        </w:rPr>
        <w:t>-d t)],     f(t) = c0 + c1*t</w:t>
      </w:r>
      <w:r w:rsidR="008D6A3E">
        <w:rPr>
          <w:i/>
          <w:lang w:val="fr-FR"/>
        </w:rPr>
        <w:t xml:space="preserve"> .</w:t>
      </w:r>
    </w:p>
    <w:p w:rsidR="002268A6" w:rsidRPr="00F61FF2" w:rsidRDefault="0070743D" w:rsidP="001610EC">
      <w:pPr>
        <w:pStyle w:val="ListBullet"/>
        <w:numPr>
          <w:ilvl w:val="0"/>
          <w:numId w:val="0"/>
        </w:numPr>
      </w:pPr>
      <w:r w:rsidRPr="00F61FF2">
        <w:t xml:space="preserve">We set </w:t>
      </w:r>
      <w:r w:rsidRPr="001610EC">
        <w:rPr>
          <w:i/>
        </w:rPr>
        <w:t xml:space="preserve">d </w:t>
      </w:r>
      <w:r w:rsidRPr="00F61FF2">
        <w:t>= 0.00001</w:t>
      </w:r>
      <w:r w:rsidR="00DC466C">
        <w:t>.</w:t>
      </w:r>
    </w:p>
    <w:p w:rsidR="0070743D" w:rsidRPr="00F61FF2" w:rsidRDefault="00F82C88" w:rsidP="001610EC">
      <w:pPr>
        <w:pStyle w:val="ListBullet"/>
        <w:numPr>
          <w:ilvl w:val="0"/>
          <w:numId w:val="0"/>
        </w:numPr>
      </w:pPr>
      <w:r>
        <w:t xml:space="preserve">While the trend </w:t>
      </w:r>
      <w:r w:rsidR="002268A6">
        <w:t xml:space="preserve">on the currency weights </w:t>
      </w:r>
      <w:r>
        <w:t xml:space="preserve">is non-linear, by </w:t>
      </w:r>
      <w:r w:rsidR="002268A6">
        <w:t xml:space="preserve">selecting a particular value for </w:t>
      </w:r>
      <w:r w:rsidR="002268A6" w:rsidRPr="001610EC">
        <w:rPr>
          <w:i/>
        </w:rPr>
        <w:t>d</w:t>
      </w:r>
      <w:r w:rsidR="003C07E3">
        <w:t xml:space="preserve"> we keep</w:t>
      </w:r>
      <w:r w:rsidR="002268A6">
        <w:t xml:space="preserve"> the specification still linear in the parameters to be estimated. Therefore, this </w:t>
      </w:r>
      <w:r w:rsidR="003C07E3">
        <w:t>equation can be</w:t>
      </w:r>
      <w:r w:rsidR="002268A6">
        <w:t xml:space="preserve"> estimated with </w:t>
      </w:r>
      <w:r w:rsidR="0070743D" w:rsidRPr="00F61FF2">
        <w:t>OLS</w:t>
      </w:r>
      <w:r w:rsidR="002268A6">
        <w:t xml:space="preserve"> as well.</w:t>
      </w:r>
    </w:p>
    <w:p w:rsidR="002268A6" w:rsidRPr="001610EC" w:rsidRDefault="0070743D" w:rsidP="001610EC">
      <w:pPr>
        <w:pStyle w:val="ListBullet"/>
        <w:rPr>
          <w:lang w:val="fr-FR"/>
        </w:rPr>
      </w:pPr>
      <w:proofErr w:type="spellStart"/>
      <w:r w:rsidRPr="001610EC">
        <w:rPr>
          <w:lang w:val="fr-FR"/>
        </w:rPr>
        <w:t>Specification</w:t>
      </w:r>
      <w:proofErr w:type="spellEnd"/>
      <w:r w:rsidRPr="001610EC">
        <w:rPr>
          <w:lang w:val="fr-FR"/>
        </w:rPr>
        <w:t xml:space="preserve"> 3: let </w:t>
      </w:r>
      <w:r w:rsidRPr="001610EC">
        <w:rPr>
          <w:i/>
          <w:lang w:val="fr-FR"/>
        </w:rPr>
        <w:t xml:space="preserve">w(j) = b0(j) + b1(j)* [1- </w:t>
      </w:r>
      <w:proofErr w:type="gramStart"/>
      <w:r w:rsidRPr="001610EC">
        <w:rPr>
          <w:i/>
          <w:lang w:val="fr-FR"/>
        </w:rPr>
        <w:t>exp(</w:t>
      </w:r>
      <w:proofErr w:type="gramEnd"/>
      <w:r w:rsidRPr="001610EC">
        <w:rPr>
          <w:i/>
          <w:lang w:val="fr-FR"/>
        </w:rPr>
        <w:t>-d t)],      f(t) = c0 + c1*t</w:t>
      </w:r>
    </w:p>
    <w:p w:rsidR="0070743D" w:rsidRDefault="002268A6" w:rsidP="001610EC">
      <w:pPr>
        <w:pStyle w:val="ListBullet"/>
        <w:numPr>
          <w:ilvl w:val="0"/>
          <w:numId w:val="0"/>
        </w:numPr>
      </w:pPr>
      <w:r>
        <w:t>Instead of imposing a value</w:t>
      </w:r>
      <w:r w:rsidR="0070743D" w:rsidRPr="00F61FF2">
        <w:t xml:space="preserve">, </w:t>
      </w:r>
      <w:r w:rsidR="0070743D" w:rsidRPr="001610EC">
        <w:rPr>
          <w:i/>
        </w:rPr>
        <w:t>d</w:t>
      </w:r>
      <w:r w:rsidR="0070743D" w:rsidRPr="00F61FF2">
        <w:t xml:space="preserve"> is a parameter to be estimated</w:t>
      </w:r>
      <w:r>
        <w:t>. A</w:t>
      </w:r>
      <w:r w:rsidR="0070743D">
        <w:t xml:space="preserve"> non-linear least square</w:t>
      </w:r>
      <w:r w:rsidR="003C07E3">
        <w:t>s</w:t>
      </w:r>
      <w:r>
        <w:t xml:space="preserve"> method is used for estimation.</w:t>
      </w:r>
      <w:r w:rsidR="00B2018C">
        <w:t xml:space="preserve">  However, </w:t>
      </w:r>
      <w:proofErr w:type="gramStart"/>
      <w:r w:rsidR="00B2018C" w:rsidRPr="00B2018C">
        <w:rPr>
          <w:i/>
        </w:rPr>
        <w:t>b1(</w:t>
      </w:r>
      <w:proofErr w:type="gramEnd"/>
      <w:r w:rsidR="00B2018C" w:rsidRPr="00B2018C">
        <w:rPr>
          <w:i/>
        </w:rPr>
        <w:t>US)</w:t>
      </w:r>
      <w:r w:rsidR="00B2018C">
        <w:t xml:space="preserve"> turns out not to be identified in the estimation.</w:t>
      </w:r>
    </w:p>
    <w:p w:rsidR="002268A6" w:rsidRPr="001610EC" w:rsidRDefault="0070743D" w:rsidP="001610EC">
      <w:pPr>
        <w:pStyle w:val="ListBullet"/>
        <w:rPr>
          <w:lang w:val="fr-FR"/>
        </w:rPr>
      </w:pPr>
      <w:proofErr w:type="spellStart"/>
      <w:r>
        <w:rPr>
          <w:lang w:val="fr-FR"/>
        </w:rPr>
        <w:t>Specification</w:t>
      </w:r>
      <w:proofErr w:type="spellEnd"/>
      <w:r>
        <w:rPr>
          <w:lang w:val="fr-FR"/>
        </w:rPr>
        <w:t xml:space="preserve"> 4</w:t>
      </w:r>
      <w:r w:rsidRPr="00F61FF2">
        <w:rPr>
          <w:lang w:val="fr-FR"/>
        </w:rPr>
        <w:t xml:space="preserve">: let </w:t>
      </w:r>
      <w:r w:rsidRPr="001610EC">
        <w:rPr>
          <w:i/>
          <w:lang w:val="fr-FR"/>
        </w:rPr>
        <w:t xml:space="preserve">w(j) = b0(j) + b1(j)* [1- </w:t>
      </w:r>
      <w:proofErr w:type="gramStart"/>
      <w:r w:rsidRPr="001610EC">
        <w:rPr>
          <w:i/>
          <w:lang w:val="fr-FR"/>
        </w:rPr>
        <w:t>exp(</w:t>
      </w:r>
      <w:proofErr w:type="gramEnd"/>
      <w:r w:rsidRPr="001610EC">
        <w:rPr>
          <w:i/>
          <w:lang w:val="fr-FR"/>
        </w:rPr>
        <w:t>-d t)],     f(t) = c0 + c1*t</w:t>
      </w:r>
    </w:p>
    <w:p w:rsidR="0070743D" w:rsidRDefault="0070743D" w:rsidP="001610EC">
      <w:pPr>
        <w:pStyle w:val="ListBullet"/>
        <w:numPr>
          <w:ilvl w:val="0"/>
          <w:numId w:val="0"/>
        </w:numPr>
      </w:pPr>
      <w:r w:rsidRPr="00F61FF2">
        <w:t xml:space="preserve">This time, </w:t>
      </w:r>
      <w:r w:rsidR="002268A6">
        <w:t xml:space="preserve">we </w:t>
      </w:r>
      <w:r>
        <w:t xml:space="preserve">set </w:t>
      </w:r>
      <w:proofErr w:type="gramStart"/>
      <w:r w:rsidRPr="001610EC">
        <w:rPr>
          <w:i/>
        </w:rPr>
        <w:t>b1(</w:t>
      </w:r>
      <w:proofErr w:type="gramEnd"/>
      <w:r w:rsidRPr="001610EC">
        <w:rPr>
          <w:i/>
        </w:rPr>
        <w:t>USD)</w:t>
      </w:r>
      <w:r>
        <w:t xml:space="preserve"> = -28.9, </w:t>
      </w:r>
      <w:r w:rsidR="002268A6">
        <w:t xml:space="preserve">which is </w:t>
      </w:r>
      <w:r>
        <w:t xml:space="preserve">the point estimate of </w:t>
      </w:r>
      <w:r w:rsidRPr="001610EC">
        <w:rPr>
          <w:i/>
        </w:rPr>
        <w:t>b1(USD)</w:t>
      </w:r>
      <w:r>
        <w:t xml:space="preserve"> from specification </w:t>
      </w:r>
      <w:r w:rsidR="002268A6">
        <w:t>2</w:t>
      </w:r>
      <w:r>
        <w:t>.</w:t>
      </w:r>
      <w:r w:rsidR="000B1DDC">
        <w:t xml:space="preserve">   The parameter</w:t>
      </w:r>
      <w:r>
        <w:t xml:space="preserve"> </w:t>
      </w:r>
      <w:r w:rsidRPr="001610EC">
        <w:rPr>
          <w:i/>
        </w:rPr>
        <w:t>d</w:t>
      </w:r>
      <w:r w:rsidRPr="00F61FF2">
        <w:t xml:space="preserve"> is </w:t>
      </w:r>
      <w:r>
        <w:t xml:space="preserve">still </w:t>
      </w:r>
      <w:r w:rsidRPr="00F61FF2">
        <w:t>to be estimated</w:t>
      </w:r>
      <w:r w:rsidR="000B1DDC">
        <w:t>, which we do by a</w:t>
      </w:r>
      <w:r w:rsidR="002268A6">
        <w:t xml:space="preserve"> non-linear least square method.</w:t>
      </w:r>
    </w:p>
    <w:p w:rsidR="00077759" w:rsidRDefault="00AB4061" w:rsidP="001610EC">
      <w:r>
        <w:tab/>
      </w:r>
      <w:r w:rsidR="00F82C88">
        <w:t>The results</w:t>
      </w:r>
      <w:r w:rsidR="00AA3FA3">
        <w:t xml:space="preserve">, </w:t>
      </w:r>
      <w:r w:rsidR="00F82C88">
        <w:t xml:space="preserve">reported in Table </w:t>
      </w:r>
      <w:r w:rsidR="00AA3FA3">
        <w:t>7, are probab</w:t>
      </w:r>
      <w:r>
        <w:t xml:space="preserve">ly the most important for distinguishing whether the gradual appreciation of the yuan against the dollar is attributable to a shift of weights in the basket away from the dollar, or rather to an appreciation against the basket.   The table confirms that in the immediate aftermath of </w:t>
      </w:r>
      <w:r w:rsidR="002268A6">
        <w:t xml:space="preserve">the policy change in </w:t>
      </w:r>
      <w:r>
        <w:t xml:space="preserve">July 2005, the weight on the dollar was an estimated .98, statistically indistinguishable from 1.   It also confirms a downward trend in the weight on the dollar (this time estimated in a realistic nonlinear functional form).   </w:t>
      </w:r>
      <w:r w:rsidR="002268A6">
        <w:t>While it is</w:t>
      </w:r>
      <w:r>
        <w:t xml:space="preserve"> less clear which of the other currencies are receiving the reallocation of weight, </w:t>
      </w:r>
      <w:r w:rsidR="002268A6">
        <w:t>a</w:t>
      </w:r>
      <w:r w:rsidR="00297459">
        <w:t>n upward trend in the weight on the Malaysian ringgit appears the strongest statistically</w:t>
      </w:r>
      <w:r w:rsidR="002268A6">
        <w:t>.</w:t>
      </w:r>
      <w:r w:rsidR="00297459">
        <w:t xml:space="preserve"> </w:t>
      </w:r>
      <w:r w:rsidR="00A61DC6">
        <w:t xml:space="preserve"> Under the technique of</w:t>
      </w:r>
      <w:r w:rsidR="00297459">
        <w:t xml:space="preserve"> non-linear least</w:t>
      </w:r>
      <w:r w:rsidR="00A61DC6">
        <w:t xml:space="preserve"> squares</w:t>
      </w:r>
      <w:r w:rsidR="002268A6">
        <w:t>,</w:t>
      </w:r>
      <w:r w:rsidR="00297459">
        <w:t xml:space="preserve"> the ringgit trend acquires statistical significance</w:t>
      </w:r>
      <w:r w:rsidR="00A61DC6">
        <w:t xml:space="preserve"> (the last two columns in the table)</w:t>
      </w:r>
      <w:r w:rsidR="00297459">
        <w:t>.   Strikingly, there is no statistical significance to the trend of appreciation against the basket, let alone to acceleration in that trend.  Rather the action comes from the decline in the weight on the dollar.</w:t>
      </w:r>
    </w:p>
    <w:p w:rsidR="000C67C8" w:rsidRDefault="00077759" w:rsidP="001610EC">
      <w:pPr>
        <w:ind w:firstLine="720"/>
      </w:pPr>
      <w:r>
        <w:t>Could the steady decrease in the dollar weight that we find produce important flexibility in the future if it continues?  It is h</w:t>
      </w:r>
      <w:r w:rsidR="00231988">
        <w:t>ard to judge the importance</w:t>
      </w:r>
      <w:r>
        <w:t xml:space="preserve"> of the parameter estimates by </w:t>
      </w:r>
      <w:r w:rsidR="002268A6">
        <w:t xml:space="preserve">just </w:t>
      </w:r>
      <w:r>
        <w:t>looking at them</w:t>
      </w:r>
      <w:r w:rsidR="00231988">
        <w:t>,</w:t>
      </w:r>
      <w:r w:rsidR="002268A6">
        <w:t xml:space="preserve"> especially for estimates from a non-linear specification</w:t>
      </w:r>
      <w:r>
        <w:t>.   So we ca</w:t>
      </w:r>
      <w:r w:rsidR="002268A6">
        <w:t>librate</w:t>
      </w:r>
      <w:r>
        <w:t xml:space="preserve"> what the implied path for the weight on the dollar </w:t>
      </w:r>
      <w:r w:rsidR="003804BF">
        <w:t>would be</w:t>
      </w:r>
      <w:r>
        <w:t xml:space="preserve"> out in</w:t>
      </w:r>
      <w:r w:rsidR="00A61DC6">
        <w:t>to</w:t>
      </w:r>
      <w:r>
        <w:t xml:space="preserve"> the future, extrapolating the trend of our sample period</w:t>
      </w:r>
      <w:r w:rsidR="002268A6">
        <w:t xml:space="preserve"> based on the last column in the table</w:t>
      </w:r>
      <w:r>
        <w:t xml:space="preserve">.    Figure </w:t>
      </w:r>
      <w:r w:rsidR="00AA3FA3">
        <w:t>5</w:t>
      </w:r>
      <w:r>
        <w:t xml:space="preserve"> reveals the shift away from the dollar to be painfully slow</w:t>
      </w:r>
      <w:r w:rsidR="00D60FF7">
        <w:t xml:space="preserve"> over a five year period:  s</w:t>
      </w:r>
      <w:r>
        <w:t xml:space="preserve">tarting at .98 in 2005, the dollar weight </w:t>
      </w:r>
      <w:r w:rsidR="003804BF">
        <w:t>would fall</w:t>
      </w:r>
      <w:r>
        <w:t xml:space="preserve"> only to .87 by </w:t>
      </w:r>
      <w:r w:rsidR="00D60FF7">
        <w:t>2010.</w:t>
      </w:r>
    </w:p>
    <w:p w:rsidR="00413229" w:rsidRPr="000C67C8" w:rsidRDefault="00413229" w:rsidP="00A6786F">
      <w:pPr>
        <w:rPr>
          <w:i/>
        </w:rPr>
      </w:pPr>
    </w:p>
    <w:p w:rsidR="00297459" w:rsidRPr="0004515E" w:rsidRDefault="00297459" w:rsidP="00297459">
      <w:pPr>
        <w:rPr>
          <w:b/>
        </w:rPr>
      </w:pPr>
      <w:proofErr w:type="gramStart"/>
      <w:r w:rsidRPr="0004515E">
        <w:rPr>
          <w:b/>
          <w:i/>
        </w:rPr>
        <w:t>3.</w:t>
      </w:r>
      <w:r>
        <w:rPr>
          <w:b/>
          <w:i/>
        </w:rPr>
        <w:t>3</w:t>
      </w:r>
      <w:r w:rsidRPr="0004515E">
        <w:rPr>
          <w:b/>
          <w:i/>
        </w:rPr>
        <w:t xml:space="preserve">  Other</w:t>
      </w:r>
      <w:proofErr w:type="gramEnd"/>
      <w:r w:rsidRPr="0004515E">
        <w:rPr>
          <w:b/>
          <w:i/>
        </w:rPr>
        <w:t xml:space="preserve"> extensions</w:t>
      </w:r>
    </w:p>
    <w:p w:rsidR="00297459" w:rsidRDefault="00297459" w:rsidP="00297459"/>
    <w:p w:rsidR="00297459" w:rsidRDefault="00297459" w:rsidP="00297459">
      <w:r>
        <w:tab/>
        <w:t xml:space="preserve">Some extensions of the empirical estimates allow us to gain </w:t>
      </w:r>
      <w:r w:rsidR="00231988">
        <w:t>more confidence in the findings.</w:t>
      </w:r>
    </w:p>
    <w:p w:rsidR="00413229" w:rsidRDefault="00413229" w:rsidP="00A6786F">
      <w:pPr>
        <w:rPr>
          <w:i/>
        </w:rPr>
      </w:pPr>
    </w:p>
    <w:p w:rsidR="00DE0AE1" w:rsidRDefault="00DE0AE1" w:rsidP="00297459">
      <w:pPr>
        <w:numPr>
          <w:ilvl w:val="2"/>
          <w:numId w:val="17"/>
        </w:numPr>
        <w:rPr>
          <w:i/>
        </w:rPr>
      </w:pPr>
      <w:r w:rsidRPr="001610EC">
        <w:rPr>
          <w:i/>
        </w:rPr>
        <w:t>Method of moments</w:t>
      </w:r>
    </w:p>
    <w:p w:rsidR="00DE0AE1" w:rsidRPr="001610EC" w:rsidRDefault="00DE0AE1" w:rsidP="00DE0AE1">
      <w:pPr>
        <w:rPr>
          <w:i/>
        </w:rPr>
      </w:pPr>
    </w:p>
    <w:p w:rsidR="00801375" w:rsidRDefault="00801375" w:rsidP="001610EC">
      <w:pPr>
        <w:ind w:firstLine="720"/>
      </w:pPr>
      <w:r>
        <w:t>B</w:t>
      </w:r>
      <w:r w:rsidR="00AA49E2">
        <w:t>é</w:t>
      </w:r>
      <w:r>
        <w:t>nassy-Qu</w:t>
      </w:r>
      <w:r w:rsidR="00AA49E2">
        <w:t>é</w:t>
      </w:r>
      <w:r>
        <w:t>r</w:t>
      </w:r>
      <w:r w:rsidR="00AA49E2">
        <w:t>é</w:t>
      </w:r>
      <w:r>
        <w:t>, Coeur</w:t>
      </w:r>
      <w:r w:rsidR="00AA49E2">
        <w:t>é</w:t>
      </w:r>
      <w:r>
        <w:t>, and Mignon (2004) propose a modification of the Frankel-Wei methodology based on a method of moment</w:t>
      </w:r>
      <w:r w:rsidR="00DE0AE1">
        <w:t>s</w:t>
      </w:r>
      <w:r>
        <w:t xml:space="preserve"> approach. The advantage of the modification is that it does not depend on the choice of a numeraire currency. </w:t>
      </w:r>
      <w:r w:rsidR="006358CE">
        <w:t xml:space="preserve">  </w:t>
      </w:r>
      <w:r>
        <w:t xml:space="preserve">As a robustness exercise, </w:t>
      </w:r>
      <w:r w:rsidR="00231988">
        <w:t xml:space="preserve">we </w:t>
      </w:r>
      <w:r w:rsidR="006358CE">
        <w:t xml:space="preserve">apply </w:t>
      </w:r>
      <w:r>
        <w:t>the B</w:t>
      </w:r>
      <w:r w:rsidR="00AA49E2">
        <w:t>é</w:t>
      </w:r>
      <w:r>
        <w:t>nassy-Qu</w:t>
      </w:r>
      <w:r w:rsidR="00AA49E2">
        <w:t>é</w:t>
      </w:r>
      <w:r>
        <w:t>r</w:t>
      </w:r>
      <w:r w:rsidR="00AA49E2">
        <w:t>é</w:t>
      </w:r>
      <w:r>
        <w:t xml:space="preserve"> et al approach to the Chinese </w:t>
      </w:r>
      <w:r w:rsidR="00930FCF">
        <w:t>currency data.   W</w:t>
      </w:r>
      <w:r>
        <w:t>e take</w:t>
      </w:r>
      <w:r w:rsidR="003804BF">
        <w:t xml:space="preserve"> as given</w:t>
      </w:r>
      <w:r>
        <w:t xml:space="preserve"> the eleven currencies that the Chinese cent</w:t>
      </w:r>
      <w:r w:rsidR="003804BF">
        <w:t>ral bank says are in the basket</w:t>
      </w:r>
      <w:r>
        <w:t xml:space="preserve">, impose </w:t>
      </w:r>
      <w:r w:rsidR="003804BF">
        <w:t xml:space="preserve">the restriction that the </w:t>
      </w:r>
      <w:r>
        <w:t xml:space="preserve">weights in the basket </w:t>
      </w:r>
      <w:r w:rsidR="003804BF">
        <w:t>sum</w:t>
      </w:r>
      <w:r>
        <w:t xml:space="preserve"> to one, and </w:t>
      </w:r>
      <w:r w:rsidR="00231988">
        <w:t xml:space="preserve">estimate by </w:t>
      </w:r>
      <w:r>
        <w:t>GMM.</w:t>
      </w:r>
      <w:r w:rsidR="00231988">
        <w:t xml:space="preserve">  </w:t>
      </w:r>
      <w:r>
        <w:t xml:space="preserve"> We experimented with different sets of lagged </w:t>
      </w:r>
      <w:proofErr w:type="spellStart"/>
      <w:r>
        <w:t>regressors</w:t>
      </w:r>
      <w:proofErr w:type="spellEnd"/>
      <w:r>
        <w:t xml:space="preserve"> as the instrumental variables</w:t>
      </w:r>
      <w:r w:rsidR="003804BF">
        <w:t xml:space="preserve"> [</w:t>
      </w:r>
      <w:r w:rsidR="00004528">
        <w:t>skipping</w:t>
      </w:r>
      <w:r>
        <w:t xml:space="preserve"> the first lag to avoid contamination from possible </w:t>
      </w:r>
      <w:r w:rsidR="003804BF">
        <w:t xml:space="preserve">first-order </w:t>
      </w:r>
      <w:r>
        <w:t>serial correlation</w:t>
      </w:r>
      <w:r w:rsidR="003804BF">
        <w:t>]</w:t>
      </w:r>
      <w:r>
        <w:t>. Unfortunately, it is generally difficult for the estimation to converge in our sample.</w:t>
      </w:r>
    </w:p>
    <w:p w:rsidR="00801375" w:rsidRDefault="00801375" w:rsidP="00D41BC8">
      <w:pPr>
        <w:ind w:firstLine="720"/>
      </w:pPr>
      <w:r>
        <w:t xml:space="preserve">As an alternative, we focus on the set of first-tier currencies in </w:t>
      </w:r>
      <w:smartTag w:uri="urn:schemas-microsoft-com:office:smarttags" w:element="country-region">
        <w:smartTag w:uri="urn:schemas-microsoft-com:office:smarttags" w:element="place">
          <w:r>
            <w:t>China</w:t>
          </w:r>
        </w:smartTag>
      </w:smartTag>
      <w:r>
        <w:t xml:space="preserve">’s announced basket, namely, the dollar, the yen, the euro, and the Korean won. This time, we do obtain convergence. </w:t>
      </w:r>
      <w:r w:rsidR="00004528">
        <w:t xml:space="preserve"> T</w:t>
      </w:r>
      <w:r>
        <w:t xml:space="preserve">here is also a decline in the weight on the US dollar by this approach, </w:t>
      </w:r>
      <w:r w:rsidR="00004528">
        <w:t xml:space="preserve">though </w:t>
      </w:r>
      <w:r>
        <w:t xml:space="preserve">the decline is more moderate than </w:t>
      </w:r>
      <w:r w:rsidR="009141DF">
        <w:t xml:space="preserve">in </w:t>
      </w:r>
      <w:r>
        <w:t xml:space="preserve">the previous estimation, from 0.97/0.98 in the first and second </w:t>
      </w:r>
      <w:proofErr w:type="spellStart"/>
      <w:r>
        <w:t>subperiods</w:t>
      </w:r>
      <w:proofErr w:type="spellEnd"/>
      <w:r>
        <w:t xml:space="preserve"> to 0.91 in the last </w:t>
      </w:r>
      <w:proofErr w:type="spellStart"/>
      <w:r>
        <w:t>subperiod</w:t>
      </w:r>
      <w:proofErr w:type="spellEnd"/>
      <w:r>
        <w:t>. As before, the Korean won receive</w:t>
      </w:r>
      <w:r w:rsidR="00004528">
        <w:t>s</w:t>
      </w:r>
      <w:r>
        <w:t xml:space="preserve"> some positive weight, especially in the latest </w:t>
      </w:r>
      <w:proofErr w:type="spellStart"/>
      <w:r>
        <w:t>subperiod</w:t>
      </w:r>
      <w:proofErr w:type="spellEnd"/>
      <w:r w:rsidR="00004528">
        <w:t>, and there is little sign of positive weight on the euro or yen</w:t>
      </w:r>
      <w:r>
        <w:t xml:space="preserve">. </w:t>
      </w:r>
    </w:p>
    <w:p w:rsidR="00801375" w:rsidRDefault="00801375" w:rsidP="00801375"/>
    <w:p w:rsidR="00DE0AE1" w:rsidRPr="001610EC" w:rsidRDefault="00297459" w:rsidP="00297459">
      <w:pPr>
        <w:rPr>
          <w:i/>
        </w:rPr>
      </w:pPr>
      <w:r>
        <w:rPr>
          <w:i/>
        </w:rPr>
        <w:t>3</w:t>
      </w:r>
      <w:r w:rsidR="00DC466C">
        <w:rPr>
          <w:i/>
        </w:rPr>
        <w:t>.</w:t>
      </w:r>
      <w:r>
        <w:rPr>
          <w:i/>
        </w:rPr>
        <w:t>3</w:t>
      </w:r>
      <w:r w:rsidR="00DC466C">
        <w:rPr>
          <w:i/>
        </w:rPr>
        <w:t>.</w:t>
      </w:r>
      <w:r>
        <w:rPr>
          <w:i/>
        </w:rPr>
        <w:t xml:space="preserve">2    </w:t>
      </w:r>
      <w:r w:rsidR="00DE0AE1" w:rsidRPr="001610EC">
        <w:rPr>
          <w:i/>
        </w:rPr>
        <w:t>Intra-daily movements</w:t>
      </w:r>
    </w:p>
    <w:p w:rsidR="00DE0AE1" w:rsidRDefault="00DE0AE1" w:rsidP="00DE0AE1"/>
    <w:p w:rsidR="00801375" w:rsidRDefault="00D41BC8" w:rsidP="00D41BC8">
      <w:pPr>
        <w:ind w:firstLine="720"/>
      </w:pPr>
      <w:r>
        <w:t xml:space="preserve">It is possible </w:t>
      </w:r>
      <w:r w:rsidR="00801375">
        <w:t xml:space="preserve">that the RMB regime governing intra-day exchange rate movement is different from that governing day to day or month to month movement. In particular, the </w:t>
      </w:r>
      <w:r w:rsidR="00930FCF">
        <w:t>r</w:t>
      </w:r>
      <w:r w:rsidR="00801375">
        <w:t xml:space="preserve">egime </w:t>
      </w:r>
      <w:r w:rsidR="00930FCF">
        <w:t xml:space="preserve">announced in July 2005 </w:t>
      </w:r>
      <w:r w:rsidR="00801375">
        <w:t>sets a limit on intra-day movement, leaving the possibility that the rule</w:t>
      </w:r>
      <w:r>
        <w:t>s governing the change from dai</w:t>
      </w:r>
      <w:r w:rsidR="00801375">
        <w:t xml:space="preserve">ly close to the following day’s open quotes could be different. </w:t>
      </w:r>
      <w:r w:rsidR="00930FCF">
        <w:t xml:space="preserve">  </w:t>
      </w:r>
      <w:r w:rsidR="00801375">
        <w:t>Unfortunately, as RMB trading is relativ</w:t>
      </w:r>
      <w:r>
        <w:t>ely thin, there are generally to</w:t>
      </w:r>
      <w:r w:rsidR="00801375">
        <w:t>o few observations to perform a regression based on one day’s data. So we have to pool intra-day data together.</w:t>
      </w:r>
    </w:p>
    <w:p w:rsidR="00801375" w:rsidRDefault="00801375" w:rsidP="00801375"/>
    <w:p w:rsidR="00801375" w:rsidRDefault="00801375" w:rsidP="001610EC">
      <w:pPr>
        <w:ind w:firstLine="720"/>
      </w:pPr>
      <w:r>
        <w:t xml:space="preserve">We have collected intra-day data (quotes at 15 minute intervals) for two periods: July 22 – </w:t>
      </w:r>
      <w:smartTag w:uri="urn:schemas-microsoft-com:office:smarttags" w:element="date">
        <w:smartTagPr>
          <w:attr w:name="Year" w:val="2005"/>
          <w:attr w:name="Day" w:val="25"/>
          <w:attr w:name="Month" w:val="8"/>
        </w:smartTagPr>
        <w:r>
          <w:t>August 25, 2005</w:t>
        </w:r>
      </w:smartTag>
      <w:r>
        <w:t xml:space="preserve">, and February 16 – </w:t>
      </w:r>
      <w:smartTag w:uri="urn:schemas-microsoft-com:office:smarttags" w:element="date">
        <w:smartTagPr>
          <w:attr w:name="Year" w:val="2006"/>
          <w:attr w:name="Day" w:val="17"/>
          <w:attr w:name="Month" w:val="5"/>
        </w:smartTagPr>
        <w:r>
          <w:t>May 17, 2006</w:t>
        </w:r>
      </w:smartTag>
      <w:r>
        <w:t xml:space="preserve">. In a given 15 minute interval, say, </w:t>
      </w:r>
      <w:smartTag w:uri="urn:schemas-microsoft-com:office:smarttags" w:element="time">
        <w:smartTagPr>
          <w:attr w:name="Minute" w:val="0"/>
          <w:attr w:name="Hour" w:val="10"/>
        </w:smartTagPr>
        <w:r>
          <w:t>10</w:t>
        </w:r>
        <w:r w:rsidR="00231988">
          <w:t>:00</w:t>
        </w:r>
        <w:r>
          <w:t>-10:15 am</w:t>
        </w:r>
      </w:smartTag>
      <w:r>
        <w:t xml:space="preserve">, the exchange rate is the last quote during the interval. If there is no active quote available, then the most recently available quote is used. For a very active currency, say the euro, the quote is likely to take place at or close to </w:t>
      </w:r>
      <w:smartTag w:uri="urn:schemas-microsoft-com:office:smarttags" w:element="time">
        <w:smartTagPr>
          <w:attr w:name="Minute" w:val="15"/>
          <w:attr w:name="Hour" w:val="10"/>
        </w:smartTagPr>
        <w:r>
          <w:t>10:15 am</w:t>
        </w:r>
      </w:smartTag>
      <w:r>
        <w:t xml:space="preserve">. However, for a thinly traded currency, such as </w:t>
      </w:r>
      <w:r w:rsidR="00231988">
        <w:t xml:space="preserve">the </w:t>
      </w:r>
      <w:r>
        <w:t xml:space="preserve">RMB, the actual time of the quote could be much earlier. </w:t>
      </w:r>
      <w:r w:rsidR="00930FCF">
        <w:t xml:space="preserve"> It is</w:t>
      </w:r>
      <w:r w:rsidR="00930FCF" w:rsidRPr="00930FCF">
        <w:t xml:space="preserve"> </w:t>
      </w:r>
      <w:r w:rsidR="00930FCF">
        <w:t>useful to bear in mind that th</w:t>
      </w:r>
      <w:r>
        <w:t>is potential mismatch in timing among the different exchange rates introduces noi</w:t>
      </w:r>
      <w:r w:rsidR="00930FCF">
        <w:t xml:space="preserve">se into our estimation. </w:t>
      </w:r>
    </w:p>
    <w:p w:rsidR="00801375" w:rsidRDefault="00930FCF" w:rsidP="001610EC">
      <w:pPr>
        <w:ind w:firstLine="720"/>
      </w:pPr>
      <w:r>
        <w:t xml:space="preserve">Table </w:t>
      </w:r>
      <w:r w:rsidR="00AA3FA3">
        <w:t>8</w:t>
      </w:r>
      <w:r w:rsidR="00261F09">
        <w:t xml:space="preserve"> </w:t>
      </w:r>
      <w:r w:rsidR="00801375">
        <w:t>reports a sequence of estimation using 15-minute exchange rates and the SDR as the numeraire currency.</w:t>
      </w:r>
      <w:r w:rsidR="00801375">
        <w:rPr>
          <w:rStyle w:val="FootnoteReference"/>
        </w:rPr>
        <w:footnoteReference w:id="26"/>
      </w:r>
      <w:r w:rsidR="00801375">
        <w:t xml:space="preserve"> </w:t>
      </w:r>
      <w:r w:rsidR="00A87BA2">
        <w:t xml:space="preserve">  </w:t>
      </w:r>
      <w:r w:rsidR="00801375">
        <w:t xml:space="preserve">If one focuses on the four first-tier currencies in the Chinese basket, one sees that the weight on the dollar is very high </w:t>
      </w:r>
      <w:r w:rsidR="00A87BA2">
        <w:t>throughout the sample, virtually</w:t>
      </w:r>
      <w:r w:rsidR="00801375">
        <w:t xml:space="preserve"> 99-100% in all sub</w:t>
      </w:r>
      <w:r w:rsidR="00D41BC8">
        <w:t>-</w:t>
      </w:r>
      <w:r w:rsidR="00801375">
        <w:t xml:space="preserve">periods. </w:t>
      </w:r>
      <w:r w:rsidR="00A87BA2">
        <w:t xml:space="preserve"> </w:t>
      </w:r>
      <w:r w:rsidR="00801375">
        <w:t>If one uses all 11 currencies as candidate currencies in the basket, then the weight on the dollar fluctuates (between 0.51 in the very last sub</w:t>
      </w:r>
      <w:r w:rsidR="00D41BC8">
        <w:t>-</w:t>
      </w:r>
      <w:r w:rsidR="00801375">
        <w:t>period to nearly 1 in the second-to-the last sub</w:t>
      </w:r>
      <w:r w:rsidR="00D41BC8">
        <w:t>-</w:t>
      </w:r>
      <w:r w:rsidR="00801375">
        <w:t>period).</w:t>
      </w:r>
      <w:r w:rsidR="00A87BA2">
        <w:rPr>
          <w:rStyle w:val="FootnoteReference"/>
        </w:rPr>
        <w:footnoteReference w:id="27"/>
      </w:r>
    </w:p>
    <w:p w:rsidR="00801375" w:rsidRDefault="00801375" w:rsidP="00D41BC8">
      <w:pPr>
        <w:ind w:firstLine="720"/>
      </w:pPr>
      <w:r>
        <w:t>These results are consistent with the interpretation that the intra-day RMB regime may be somewhat different from the day to day or month to month regime. Within a day, the dollar weight is likely to be high and close to 1</w:t>
      </w:r>
      <w:r w:rsidR="001C5BEA">
        <w:t>,</w:t>
      </w:r>
      <w:r>
        <w:t xml:space="preserve"> now as </w:t>
      </w:r>
      <w:r w:rsidR="00F51DCF">
        <w:t>in 2005</w:t>
      </w:r>
      <w:r>
        <w:t xml:space="preserve">. However, from day to day, the dollar weight may have declined </w:t>
      </w:r>
      <w:r w:rsidR="001C5BEA">
        <w:t>subsequent to the first months after the July 2005 announcement</w:t>
      </w:r>
      <w:r>
        <w:t>.</w:t>
      </w:r>
    </w:p>
    <w:p w:rsidR="00FF7AE7" w:rsidRDefault="00FF7AE7" w:rsidP="00801375"/>
    <w:p w:rsidR="00795F34" w:rsidRPr="0009269C" w:rsidRDefault="00795F34" w:rsidP="00795F34">
      <w:pPr>
        <w:rPr>
          <w:b/>
        </w:rPr>
      </w:pPr>
    </w:p>
    <w:p w:rsidR="0009269C" w:rsidRPr="0009269C" w:rsidRDefault="00DE0AE1" w:rsidP="0009269C">
      <w:pPr>
        <w:rPr>
          <w:b/>
        </w:rPr>
      </w:pPr>
      <w:proofErr w:type="gramStart"/>
      <w:r>
        <w:rPr>
          <w:b/>
        </w:rPr>
        <w:t>3.</w:t>
      </w:r>
      <w:r w:rsidR="00297459">
        <w:rPr>
          <w:b/>
        </w:rPr>
        <w:t>4</w:t>
      </w:r>
      <w:r>
        <w:rPr>
          <w:b/>
        </w:rPr>
        <w:t xml:space="preserve">  </w:t>
      </w:r>
      <w:r w:rsidR="0009269C" w:rsidRPr="0009269C">
        <w:rPr>
          <w:b/>
        </w:rPr>
        <w:t>Conclusions</w:t>
      </w:r>
      <w:proofErr w:type="gramEnd"/>
      <w:r w:rsidR="0009269C" w:rsidRPr="0009269C">
        <w:rPr>
          <w:b/>
        </w:rPr>
        <w:t xml:space="preserve"> regarding the recent Chinese exchange rate regime</w:t>
      </w:r>
    </w:p>
    <w:p w:rsidR="00531A22" w:rsidRDefault="00531A22" w:rsidP="00D41BC8">
      <w:pPr>
        <w:ind w:firstLine="720"/>
      </w:pPr>
    </w:p>
    <w:p w:rsidR="004C5134" w:rsidRDefault="0009269C" w:rsidP="00D41BC8">
      <w:pPr>
        <w:ind w:firstLine="720"/>
      </w:pPr>
      <w:r>
        <w:t xml:space="preserve">To summarize our findings, within 2005 there was very little change in the de facto regime despite the announced policy change in July of that year.  Not only did the true weight on the dollar in the basket remain close to 1, but the tightness of the fit was similar to that of the </w:t>
      </w:r>
      <w:smartTag w:uri="urn:schemas-microsoft-com:office:smarttags" w:element="place">
        <w:r>
          <w:t>Hong Kong</w:t>
        </w:r>
      </w:smartTag>
      <w:r>
        <w:t xml:space="preserve"> dollar, which is on a currency board! </w:t>
      </w:r>
      <w:r w:rsidR="0085010B">
        <w:rPr>
          <w:rStyle w:val="FootnoteReference"/>
        </w:rPr>
        <w:footnoteReference w:id="28"/>
      </w:r>
      <w:r>
        <w:t xml:space="preserve">  In 2006, the de facto regime began to put a significant, but still small, weight on some </w:t>
      </w:r>
      <w:r w:rsidR="00B32411">
        <w:t xml:space="preserve">non-dollar </w:t>
      </w:r>
      <w:r w:rsidR="00022D16">
        <w:t>currencies</w:t>
      </w:r>
      <w:r w:rsidR="00B32411">
        <w:t xml:space="preserve">. </w:t>
      </w:r>
      <w:r w:rsidR="009141DF">
        <w:t xml:space="preserve"> T</w:t>
      </w:r>
      <w:r w:rsidR="00B32411">
        <w:t xml:space="preserve">hese were </w:t>
      </w:r>
      <w:r w:rsidR="009141DF">
        <w:t xml:space="preserve">not </w:t>
      </w:r>
      <w:r w:rsidR="00D60FF7">
        <w:t xml:space="preserve">primarily </w:t>
      </w:r>
      <w:r w:rsidR="009141DF">
        <w:t>the yen or euro</w:t>
      </w:r>
      <w:r w:rsidR="00D60FF7">
        <w:t xml:space="preserve"> as one would expect</w:t>
      </w:r>
      <w:r w:rsidR="009141DF">
        <w:t xml:space="preserve">, but rather the </w:t>
      </w:r>
      <w:r w:rsidR="00B32411">
        <w:t>currencies</w:t>
      </w:r>
      <w:r w:rsidR="00022D16">
        <w:t xml:space="preserve"> of other Asian developing countries (</w:t>
      </w:r>
      <w:r w:rsidR="00CF5B26">
        <w:t xml:space="preserve">the won and the ringgit) </w:t>
      </w:r>
      <w:r w:rsidR="00B32411">
        <w:t>which themselves do not float</w:t>
      </w:r>
      <w:r w:rsidR="004C5134">
        <w:t xml:space="preserve"> freely</w:t>
      </w:r>
      <w:r w:rsidR="00B32411">
        <w:t xml:space="preserve"> against the dollar</w:t>
      </w:r>
      <w:r w:rsidR="009141DF">
        <w:t>.</w:t>
      </w:r>
      <w:r w:rsidR="00CF5B26">
        <w:t xml:space="preserve"> </w:t>
      </w:r>
      <w:r w:rsidR="00B32411">
        <w:t xml:space="preserve"> Moreover, </w:t>
      </w:r>
      <w:r>
        <w:t xml:space="preserve">these weights were still small and the peg was still tight.  </w:t>
      </w:r>
      <w:r w:rsidR="00772F45">
        <w:t>The small increase in flexibility that we have seen could be important only if it were a harbinger of more to come.</w:t>
      </w:r>
      <w:r w:rsidR="00BF2138">
        <w:t xml:space="preserve">  </w:t>
      </w:r>
      <w:r w:rsidR="001028DE">
        <w:rPr>
          <w:rFonts w:hint="eastAsia"/>
          <w:lang w:eastAsia="zh-CN"/>
        </w:rPr>
        <w:t>T</w:t>
      </w:r>
      <w:r w:rsidR="00BF2138">
        <w:t>his is likely, as Chinese leaders gradually become more comfortable with the idea.</w:t>
      </w:r>
      <w:r w:rsidR="008D2567">
        <w:t xml:space="preserve">  </w:t>
      </w:r>
    </w:p>
    <w:p w:rsidR="004C5134" w:rsidRDefault="004C5134" w:rsidP="00D41BC8">
      <w:pPr>
        <w:ind w:firstLine="720"/>
      </w:pPr>
    </w:p>
    <w:p w:rsidR="008D2567" w:rsidRDefault="004C5134" w:rsidP="00DC466C">
      <w:pPr>
        <w:ind w:firstLine="720"/>
      </w:pPr>
      <w:r>
        <w:t xml:space="preserve">Reporting in the financial press has focused on the appreciation of the RMB against the dollar.  The focus is understandable, both because this is the question of political interest, and because looking at a graph of the dollar/yuan exchange rate (e.g. in Figure 2) seems to tell a clean story of an appreciation trend that, though starting out very small, has been gradually escalating in an exponential way.   If this accelerating trend were in fact deemed part of the current regime, one could extrapolate it and predict more serious appreciation in the future.   </w:t>
      </w:r>
    </w:p>
    <w:p w:rsidR="00E3681A" w:rsidRDefault="00E3681A" w:rsidP="00D41BC8">
      <w:pPr>
        <w:ind w:firstLine="720"/>
      </w:pPr>
      <w:r>
        <w:t xml:space="preserve">Our results, however, suggest that the regime </w:t>
      </w:r>
      <w:r w:rsidR="009C51FB">
        <w:t xml:space="preserve">probably </w:t>
      </w:r>
      <w:r>
        <w:t>is not best described as a dollar peg with a trend appreciation</w:t>
      </w:r>
      <w:r w:rsidR="009C51FB">
        <w:t xml:space="preserve">, </w:t>
      </w:r>
      <w:r w:rsidR="004C5134">
        <w:t>let alone a gradually accelerating trend</w:t>
      </w:r>
      <w:r>
        <w:t>.</w:t>
      </w:r>
      <w:r w:rsidR="00A6786F">
        <w:t xml:space="preserve"> The findings of Section 3.</w:t>
      </w:r>
      <w:r w:rsidR="00077759">
        <w:t>2.</w:t>
      </w:r>
      <w:r w:rsidR="003804BF">
        <w:t>6</w:t>
      </w:r>
      <w:r w:rsidR="00A6786F">
        <w:t xml:space="preserve"> are the sharpest on this point. </w:t>
      </w:r>
      <w:r>
        <w:t xml:space="preserve"> Rather</w:t>
      </w:r>
      <w:r w:rsidR="009141DF">
        <w:t>,</w:t>
      </w:r>
      <w:r>
        <w:t xml:space="preserve"> the regime is better described as a basket peg with weights on non-dollar currencies that, though starting out very small in 2005, </w:t>
      </w:r>
      <w:r w:rsidR="00D60FF7">
        <w:t>rose</w:t>
      </w:r>
      <w:r w:rsidR="003804BF">
        <w:t xml:space="preserve"> gradually</w:t>
      </w:r>
      <w:r>
        <w:t xml:space="preserve"> in 2006.  The difference in characterizations of the regime could make a big difference for the future.  Our results suggest that if the Korean won and Malaysian ringgit stop appreciating against the dollar, or even begin to reverse, so will the Chinese currency.</w:t>
      </w:r>
      <w:r w:rsidR="007D31FB">
        <w:t xml:space="preserve">   In any case, the evidence supports the hypothesis of small steps away from the dollar link more than small st</w:t>
      </w:r>
      <w:r w:rsidR="009C51FB">
        <w:t>eps toward appreciation per se.</w:t>
      </w:r>
      <w:r w:rsidR="00B32411">
        <w:t xml:space="preserve">   This ultimately may not be enough to appease the US Treasury or, especially, the US Congress.</w:t>
      </w:r>
    </w:p>
    <w:p w:rsidR="00767F64" w:rsidRDefault="00767F64" w:rsidP="00777055"/>
    <w:p w:rsidR="004C5134" w:rsidRDefault="00B32411" w:rsidP="00767F64">
      <w:pPr>
        <w:ind w:firstLine="720"/>
      </w:pPr>
      <w:r>
        <w:t>This adds to the onus on the IMF to deal with the yuan/dollar question.</w:t>
      </w:r>
      <w:r w:rsidR="000D4B57">
        <w:rPr>
          <w:rFonts w:hint="eastAsia"/>
          <w:lang w:eastAsia="zh-CN"/>
        </w:rPr>
        <w:t xml:space="preserve"> </w:t>
      </w:r>
      <w:r>
        <w:t>M</w:t>
      </w:r>
      <w:r w:rsidRPr="004C6D9E">
        <w:t xml:space="preserve">ultilateral institutions and international law </w:t>
      </w:r>
      <w:r w:rsidR="002F2F69">
        <w:t>are more relevant to this issue</w:t>
      </w:r>
      <w:r>
        <w:t xml:space="preserve"> than is the case with most </w:t>
      </w:r>
      <w:r w:rsidR="00A41B60">
        <w:t xml:space="preserve">big-power </w:t>
      </w:r>
      <w:r w:rsidR="002F2F69">
        <w:t>issues</w:t>
      </w:r>
      <w:r>
        <w:t xml:space="preserve"> </w:t>
      </w:r>
      <w:r w:rsidR="00A41B60">
        <w:t>realistically speaking</w:t>
      </w:r>
      <w:r>
        <w:t>.</w:t>
      </w:r>
      <w:r w:rsidR="00767F64">
        <w:t xml:space="preserve">   T</w:t>
      </w:r>
      <w:r w:rsidR="00B82DE9">
        <w:t xml:space="preserve">he Members originally intended the Fund, not national authorities, to judge manipulation.   More recently, the institution </w:t>
      </w:r>
      <w:r w:rsidR="00767F64" w:rsidRPr="004C6D9E">
        <w:t xml:space="preserve">was given </w:t>
      </w:r>
      <w:r w:rsidR="00B82DE9">
        <w:t xml:space="preserve">a reinforced </w:t>
      </w:r>
      <w:r w:rsidR="00767F64" w:rsidRPr="004C6D9E">
        <w:t>ma</w:t>
      </w:r>
      <w:r w:rsidR="00767F64">
        <w:t>ndate in the spring of 2006</w:t>
      </w:r>
      <w:r w:rsidR="00A41B60">
        <w:t xml:space="preserve">, </w:t>
      </w:r>
      <w:r w:rsidR="00767F64" w:rsidRPr="004C6D9E">
        <w:t>both</w:t>
      </w:r>
      <w:r w:rsidR="00767F64">
        <w:t xml:space="preserve"> by</w:t>
      </w:r>
      <w:r w:rsidR="00767F64" w:rsidRPr="004C6D9E">
        <w:t xml:space="preserve"> its governing body and </w:t>
      </w:r>
      <w:r w:rsidR="00A41B60">
        <w:t>–</w:t>
      </w:r>
      <w:r w:rsidR="00767F64" w:rsidRPr="004C6D9E">
        <w:t xml:space="preserve"> </w:t>
      </w:r>
      <w:r w:rsidR="00A41B60">
        <w:t>perhaps more importantly</w:t>
      </w:r>
      <w:r w:rsidR="00767F64">
        <w:t xml:space="preserve"> -- by</w:t>
      </w:r>
      <w:r w:rsidR="00A41B60">
        <w:t xml:space="preserve"> the G-7</w:t>
      </w:r>
      <w:r w:rsidR="00B82DE9">
        <w:t>.  The mandate was</w:t>
      </w:r>
      <w:r w:rsidR="00767F64" w:rsidRPr="004C6D9E">
        <w:t xml:space="preserve"> to </w:t>
      </w:r>
      <w:r w:rsidR="00B302D9">
        <w:t xml:space="preserve">reconsider the 1977 Decision and thereby </w:t>
      </w:r>
      <w:r w:rsidR="00767F64">
        <w:t xml:space="preserve">expand </w:t>
      </w:r>
      <w:r w:rsidR="00767F64" w:rsidRPr="004C6D9E">
        <w:t>the surveillance described in the Articles of Agreement</w:t>
      </w:r>
      <w:r w:rsidR="00767F64">
        <w:t xml:space="preserve"> beyond the </w:t>
      </w:r>
      <w:r w:rsidR="00767F64" w:rsidRPr="0034218F">
        <w:rPr>
          <w:i/>
        </w:rPr>
        <w:t>World Economic Outlook</w:t>
      </w:r>
      <w:r w:rsidR="00767F64">
        <w:t xml:space="preserve"> and bilateral Article IV consultations, and to look into the issue of global current account imbalances through a multilateral consultation process</w:t>
      </w:r>
      <w:r w:rsidR="00767F64" w:rsidRPr="004C6D9E">
        <w:t>.   In practical terms, this</w:t>
      </w:r>
      <w:r w:rsidR="00767F64">
        <w:t xml:space="preserve"> means that the US Treasury in 2006 </w:t>
      </w:r>
      <w:r w:rsidR="00767F64" w:rsidRPr="004C6D9E">
        <w:t>passed the RMB hot potato on to the IMF, giving that institution a rare potential opportunity to pass judgment or at least help broker a multilateral agreement over the Chinese curren</w:t>
      </w:r>
      <w:r w:rsidR="00767F64">
        <w:t>cy and also G-7</w:t>
      </w:r>
      <w:r w:rsidR="000D4B57">
        <w:rPr>
          <w:rFonts w:hint="eastAsia"/>
          <w:lang w:eastAsia="zh-CN"/>
        </w:rPr>
        <w:t xml:space="preserve"> </w:t>
      </w:r>
      <w:r w:rsidR="00767F64">
        <w:t>imbalances.</w:t>
      </w:r>
      <w:r w:rsidR="00767F64">
        <w:rPr>
          <w:rStyle w:val="FootnoteReference"/>
        </w:rPr>
        <w:footnoteReference w:id="29"/>
      </w:r>
      <w:r w:rsidR="00767F64">
        <w:t xml:space="preserve">  M</w:t>
      </w:r>
      <w:r w:rsidR="00767F64" w:rsidRPr="004C6D9E">
        <w:t xml:space="preserve">any economists identify </w:t>
      </w:r>
      <w:r w:rsidR="00767F64">
        <w:t xml:space="preserve">G-7 imbalances </w:t>
      </w:r>
      <w:r w:rsidR="00767F64" w:rsidRPr="004C6D9E">
        <w:t xml:space="preserve">as far more a result of deficient </w:t>
      </w:r>
      <w:smartTag w:uri="urn:schemas-microsoft-com:office:smarttags" w:element="country-region">
        <w:smartTag w:uri="urn:schemas-microsoft-com:office:smarttags" w:element="place">
          <w:r w:rsidR="00767F64" w:rsidRPr="004C6D9E">
            <w:t>US</w:t>
          </w:r>
        </w:smartTag>
      </w:smartTag>
      <w:r w:rsidR="00767F64" w:rsidRPr="004C6D9E">
        <w:t xml:space="preserve"> national saving than of </w:t>
      </w:r>
      <w:smartTag w:uri="urn:schemas-microsoft-com:office:smarttags" w:element="country-region">
        <w:smartTag w:uri="urn:schemas-microsoft-com:office:smarttags" w:element="place">
          <w:r w:rsidR="00767F64" w:rsidRPr="004C6D9E">
            <w:t>China</w:t>
          </w:r>
        </w:smartTag>
      </w:smartTag>
      <w:r w:rsidR="00767F64" w:rsidRPr="004C6D9E">
        <w:t>’s support of the dollar against its own currency.</w:t>
      </w:r>
      <w:r w:rsidR="00767F64">
        <w:rPr>
          <w:rStyle w:val="FootnoteReference"/>
        </w:rPr>
        <w:footnoteReference w:id="30"/>
      </w:r>
      <w:r w:rsidR="00767F64">
        <w:t xml:space="preserve">  A cooperative agreement might entail concrete steps by the </w:t>
      </w:r>
      <w:smartTag w:uri="urn:schemas-microsoft-com:office:smarttags" w:element="country-region">
        <w:smartTag w:uri="urn:schemas-microsoft-com:office:smarttags" w:element="place">
          <w:r w:rsidR="00767F64">
            <w:t>US</w:t>
          </w:r>
        </w:smartTag>
      </w:smartTag>
      <w:r w:rsidR="00767F64">
        <w:t xml:space="preserve"> government to </w:t>
      </w:r>
      <w:proofErr w:type="gramStart"/>
      <w:r w:rsidR="00767F64">
        <w:t>raise</w:t>
      </w:r>
      <w:proofErr w:type="gramEnd"/>
      <w:r w:rsidR="00767F64">
        <w:t xml:space="preserve"> national saving, together with a decision by </w:t>
      </w:r>
      <w:smartTag w:uri="urn:schemas-microsoft-com:office:smarttags" w:element="country-region">
        <w:smartTag w:uri="urn:schemas-microsoft-com:office:smarttags" w:element="place">
          <w:r w:rsidR="00767F64">
            <w:t>China</w:t>
          </w:r>
        </w:smartTag>
      </w:smartTag>
      <w:r w:rsidR="00767F64">
        <w:t xml:space="preserve"> </w:t>
      </w:r>
      <w:r w:rsidR="00D819C4">
        <w:t xml:space="preserve">jointly </w:t>
      </w:r>
      <w:r w:rsidR="00767F64">
        <w:t xml:space="preserve">with other Asian countries, and oil-exporters which are running even larger surpluses, to allow their currencies to appreciate simultaneously.  </w:t>
      </w:r>
      <w:smartTag w:uri="urn:schemas-microsoft-com:office:smarttags" w:element="place">
        <w:r w:rsidR="00767F64">
          <w:t>Europe</w:t>
        </w:r>
      </w:smartTag>
      <w:r w:rsidR="00767F64">
        <w:t xml:space="preserve"> would have a role as well.</w:t>
      </w:r>
      <w:r w:rsidR="00767F64">
        <w:rPr>
          <w:rStyle w:val="FootnoteReference"/>
        </w:rPr>
        <w:footnoteReference w:id="31"/>
      </w:r>
      <w:r w:rsidR="00767F64">
        <w:t xml:space="preserve">   Negotiations over such an agreement cannot take place in the G7 because </w:t>
      </w:r>
      <w:smartTag w:uri="urn:schemas-microsoft-com:office:smarttags" w:element="country-region">
        <w:smartTag w:uri="urn:schemas-microsoft-com:office:smarttags" w:element="place">
          <w:r w:rsidR="00767F64">
            <w:t>China</w:t>
          </w:r>
        </w:smartTag>
      </w:smartTag>
      <w:r w:rsidR="00767F64">
        <w:t xml:space="preserve">, </w:t>
      </w:r>
      <w:smartTag w:uri="urn:schemas-microsoft-com:office:smarttags" w:element="country-region">
        <w:smartTag w:uri="urn:schemas-microsoft-com:office:smarttags" w:element="place">
          <w:r w:rsidR="00767F64">
            <w:t>Korea</w:t>
          </w:r>
        </w:smartTag>
      </w:smartTag>
      <w:r w:rsidR="00767F64">
        <w:t xml:space="preserve">, and the others are not members.  The IMF is the logical place.  </w:t>
      </w:r>
    </w:p>
    <w:p w:rsidR="00767F64" w:rsidRPr="004C6D9E" w:rsidRDefault="00767F64" w:rsidP="00767F64">
      <w:pPr>
        <w:ind w:firstLine="720"/>
      </w:pPr>
      <w:r>
        <w:t>Agreeing on such multilateral cooperation will not be easy.</w:t>
      </w:r>
      <w:r w:rsidR="004C5134">
        <w:t xml:space="preserve">   Both sides will be reluctant to make the necessary concessions.</w:t>
      </w:r>
      <w:r>
        <w:t xml:space="preserve">   </w:t>
      </w:r>
      <w:r w:rsidR="006349B7">
        <w:t xml:space="preserve">The </w:t>
      </w:r>
      <w:smartTag w:uri="urn:schemas-microsoft-com:office:smarttags" w:element="country-region">
        <w:smartTag w:uri="urn:schemas-microsoft-com:office:smarttags" w:element="place">
          <w:r w:rsidR="006349B7">
            <w:t>United States</w:t>
          </w:r>
        </w:smartTag>
      </w:smartTag>
      <w:r w:rsidR="006349B7">
        <w:t xml:space="preserve"> is not likely to give up easily on the politically attractive idea that </w:t>
      </w:r>
      <w:smartTag w:uri="urn:schemas-microsoft-com:office:smarttags" w:element="country-region">
        <w:smartTag w:uri="urn:schemas-microsoft-com:office:smarttags" w:element="place">
          <w:r w:rsidR="006349B7">
            <w:t>China</w:t>
          </w:r>
        </w:smartTag>
      </w:smartTag>
      <w:r w:rsidR="006349B7">
        <w:t xml:space="preserve"> bears some responsibility for its trade deficit, represented numerically by the b</w:t>
      </w:r>
      <w:r w:rsidR="009141DF">
        <w:t>ilateral deficit</w:t>
      </w:r>
      <w:r w:rsidR="00D819C4">
        <w:t xml:space="preserve">.  </w:t>
      </w:r>
      <w:r w:rsidR="009141DF">
        <w:t xml:space="preserve"> Congress</w:t>
      </w:r>
      <w:r w:rsidR="00D819C4">
        <w:t xml:space="preserve"> deliberately</w:t>
      </w:r>
      <w:r w:rsidR="009141DF">
        <w:t xml:space="preserve"> intended to legitimize </w:t>
      </w:r>
      <w:r w:rsidR="00D819C4">
        <w:t xml:space="preserve">the bilateral deficit </w:t>
      </w:r>
      <w:r w:rsidR="009141DF">
        <w:t xml:space="preserve">in the 1988 </w:t>
      </w:r>
      <w:proofErr w:type="gramStart"/>
      <w:r w:rsidR="009141DF">
        <w:t>law</w:t>
      </w:r>
      <w:r w:rsidR="009B65BA">
        <w:t>,</w:t>
      </w:r>
      <w:proofErr w:type="gramEnd"/>
      <w:r w:rsidR="009B65BA">
        <w:t xml:space="preserve"> however the IMF Articles of Agreement define manipulation.  </w:t>
      </w:r>
      <w:smartTag w:uri="urn:schemas-microsoft-com:office:smarttags" w:element="country-region">
        <w:smartTag w:uri="urn:schemas-microsoft-com:office:smarttags" w:element="place">
          <w:r w:rsidR="006349B7">
            <w:t>China</w:t>
          </w:r>
        </w:smartTag>
      </w:smartTag>
      <w:r w:rsidR="006349B7">
        <w:t xml:space="preserve"> for its part is not likely to give up easily on the i</w:t>
      </w:r>
      <w:r w:rsidR="004C5134">
        <w:t>dea that it has the sovereign right</w:t>
      </w:r>
      <w:r w:rsidR="006349B7">
        <w:t xml:space="preserve"> to move as slowly on currency reform as it deems in its interest.   </w:t>
      </w:r>
      <w:r>
        <w:t xml:space="preserve">But </w:t>
      </w:r>
      <w:r w:rsidR="006349B7">
        <w:t xml:space="preserve">both sides </w:t>
      </w:r>
      <w:r w:rsidR="004C5134">
        <w:t xml:space="preserve">also </w:t>
      </w:r>
      <w:r w:rsidR="006349B7">
        <w:t xml:space="preserve">have something </w:t>
      </w:r>
      <w:r w:rsidR="004C5134">
        <w:t xml:space="preserve">important </w:t>
      </w:r>
      <w:r w:rsidR="006349B7">
        <w:t>to lose if the issue is no</w:t>
      </w:r>
      <w:r w:rsidR="004C5134">
        <w:t>t settled</w:t>
      </w:r>
      <w:r w:rsidR="006349B7">
        <w:t xml:space="preserve">.   </w:t>
      </w:r>
      <w:smartTag w:uri="urn:schemas-microsoft-com:office:smarttags" w:element="country-region">
        <w:smartTag w:uri="urn:schemas-microsoft-com:office:smarttags" w:element="place">
          <w:r w:rsidR="006349B7">
            <w:t>China</w:t>
          </w:r>
        </w:smartTag>
      </w:smartTag>
      <w:r w:rsidR="006349B7">
        <w:t>’s leaders run the danger of losing free a</w:t>
      </w:r>
      <w:r w:rsidR="00D819C4">
        <w:t>ccess to a very large and</w:t>
      </w:r>
      <w:r w:rsidR="006349B7">
        <w:t xml:space="preserve"> important</w:t>
      </w:r>
      <w:r w:rsidR="00D819C4">
        <w:t xml:space="preserve"> export market.</w:t>
      </w:r>
      <w:r w:rsidR="006349B7">
        <w:t xml:space="preserve"> </w:t>
      </w:r>
      <w:r w:rsidR="00D819C4">
        <w:t>T</w:t>
      </w:r>
      <w:r w:rsidR="006349B7">
        <w:t xml:space="preserve">he </w:t>
      </w:r>
      <w:smartTag w:uri="urn:schemas-microsoft-com:office:smarttags" w:element="country-region">
        <w:smartTag w:uri="urn:schemas-microsoft-com:office:smarttags" w:element="place">
          <w:r w:rsidR="006349B7">
            <w:t>US</w:t>
          </w:r>
        </w:smartTag>
      </w:smartTag>
      <w:r w:rsidR="006349B7">
        <w:t xml:space="preserve"> leaders run the risk of the political momentum behind the scapegoat strategy backfiring</w:t>
      </w:r>
      <w:r w:rsidR="00D819C4">
        <w:t>,</w:t>
      </w:r>
      <w:r w:rsidR="006349B7">
        <w:t xml:space="preserve"> in the form of either self-inflicted protectionist legislation or a hard landing for the dollar and US securities in global financial markets.   T</w:t>
      </w:r>
      <w:r w:rsidR="0079785B">
        <w:t xml:space="preserve">he RMB/dollar rate and associated imbalances </w:t>
      </w:r>
      <w:r w:rsidR="00D50752">
        <w:t>constitute</w:t>
      </w:r>
      <w:r>
        <w:t xml:space="preserve"> a better subject for multilateral surveillance and international cooperation than any</w:t>
      </w:r>
      <w:r w:rsidR="00D819C4">
        <w:t xml:space="preserve"> subject</w:t>
      </w:r>
      <w:r>
        <w:t xml:space="preserve"> to come along in many years,</w:t>
      </w:r>
      <w:r w:rsidR="0079785B" w:rsidRPr="0079785B">
        <w:t xml:space="preserve"> </w:t>
      </w:r>
      <w:r w:rsidR="0079785B">
        <w:t>and it is more likely to be amenable to progress in the forum of the IMF than anywhere else.  I</w:t>
      </w:r>
      <w:r>
        <w:t>f nothing else, this process might help delay and deflect protectionist fervor in the US Congress.</w:t>
      </w:r>
      <w:r w:rsidR="0079785B">
        <w:t xml:space="preserve">   </w:t>
      </w:r>
    </w:p>
    <w:p w:rsidR="00767F64" w:rsidRPr="00767F64" w:rsidRDefault="00767F64" w:rsidP="00767F64">
      <w:pPr>
        <w:ind w:firstLine="720"/>
      </w:pPr>
    </w:p>
    <w:p w:rsidR="00AE7FE9" w:rsidRDefault="001A32D5" w:rsidP="00994F21">
      <w:r>
        <w:br w:type="page"/>
      </w:r>
    </w:p>
    <w:p w:rsidR="000C6034" w:rsidRPr="00D41BC8" w:rsidRDefault="000C6034" w:rsidP="00D41BC8">
      <w:pPr>
        <w:jc w:val="center"/>
        <w:rPr>
          <w:rFonts w:ascii="Verdana" w:hAnsi="Verdana" w:cs="Arial"/>
          <w:b/>
          <w:bCs/>
          <w:sz w:val="28"/>
          <w:szCs w:val="28"/>
        </w:rPr>
      </w:pPr>
      <w:r w:rsidRPr="008322FD">
        <w:rPr>
          <w:rFonts w:ascii="Verdana" w:hAnsi="Verdana" w:cs="Arial"/>
          <w:b/>
          <w:bCs/>
          <w:sz w:val="28"/>
          <w:szCs w:val="28"/>
        </w:rPr>
        <w:t>References</w:t>
      </w:r>
    </w:p>
    <w:p w:rsidR="008D2C49" w:rsidRDefault="008D2C49" w:rsidP="008D2C49">
      <w:pPr>
        <w:jc w:val="both"/>
        <w:rPr>
          <w:snapToGrid w:val="0"/>
          <w:color w:val="000000"/>
          <w:sz w:val="22"/>
          <w:szCs w:val="22"/>
        </w:rPr>
      </w:pPr>
    </w:p>
    <w:p w:rsidR="001B63B3" w:rsidRDefault="001B63B3" w:rsidP="008D2C49">
      <w:pPr>
        <w:jc w:val="both"/>
        <w:rPr>
          <w:snapToGrid w:val="0"/>
          <w:color w:val="000000"/>
          <w:sz w:val="20"/>
          <w:szCs w:val="20"/>
        </w:rPr>
      </w:pPr>
      <w:r>
        <w:rPr>
          <w:snapToGrid w:val="0"/>
          <w:color w:val="000000"/>
          <w:sz w:val="20"/>
          <w:szCs w:val="20"/>
        </w:rPr>
        <w:t>Adams, Tim, 2006, “Working with the IMF to Strengthen Exchange Rate Surveillance,” remarks by Treasury Undersecretary for International Affairs, Feb. 2.</w:t>
      </w:r>
      <w:proofErr w:type="gramStart"/>
      <w:r>
        <w:rPr>
          <w:snapToGrid w:val="0"/>
          <w:color w:val="000000"/>
          <w:sz w:val="20"/>
          <w:szCs w:val="20"/>
        </w:rPr>
        <w:t>;  www.treas.gov</w:t>
      </w:r>
      <w:proofErr w:type="gramEnd"/>
      <w:r>
        <w:rPr>
          <w:snapToGrid w:val="0"/>
          <w:color w:val="000000"/>
          <w:sz w:val="20"/>
          <w:szCs w:val="20"/>
        </w:rPr>
        <w:t>/press/releases/js4002.htm.</w:t>
      </w:r>
    </w:p>
    <w:p w:rsidR="001B63B3" w:rsidRDefault="001B63B3" w:rsidP="008D2C49">
      <w:pPr>
        <w:jc w:val="both"/>
        <w:rPr>
          <w:snapToGrid w:val="0"/>
          <w:color w:val="000000"/>
          <w:sz w:val="20"/>
          <w:szCs w:val="20"/>
        </w:rPr>
      </w:pPr>
    </w:p>
    <w:p w:rsidR="008D2C49" w:rsidRPr="00775F5B" w:rsidRDefault="008D2C49" w:rsidP="008D2C49">
      <w:pPr>
        <w:jc w:val="both"/>
        <w:rPr>
          <w:snapToGrid w:val="0"/>
          <w:color w:val="000000"/>
          <w:sz w:val="20"/>
          <w:szCs w:val="20"/>
        </w:rPr>
      </w:pPr>
      <w:r w:rsidRPr="00775F5B">
        <w:rPr>
          <w:snapToGrid w:val="0"/>
          <w:color w:val="000000"/>
          <w:sz w:val="20"/>
          <w:szCs w:val="20"/>
        </w:rPr>
        <w:t>B</w:t>
      </w:r>
      <w:r w:rsidR="00AA49E2">
        <w:t>é</w:t>
      </w:r>
      <w:r w:rsidRPr="00775F5B">
        <w:rPr>
          <w:snapToGrid w:val="0"/>
          <w:color w:val="000000"/>
          <w:sz w:val="20"/>
          <w:szCs w:val="20"/>
        </w:rPr>
        <w:t>nassy-Qu</w:t>
      </w:r>
      <w:r w:rsidR="00AA49E2">
        <w:t>é</w:t>
      </w:r>
      <w:r w:rsidRPr="00775F5B">
        <w:rPr>
          <w:snapToGrid w:val="0"/>
          <w:color w:val="000000"/>
          <w:sz w:val="20"/>
          <w:szCs w:val="20"/>
        </w:rPr>
        <w:t>r</w:t>
      </w:r>
      <w:r w:rsidR="00AA49E2">
        <w:t>é</w:t>
      </w:r>
      <w:r w:rsidRPr="00775F5B">
        <w:rPr>
          <w:snapToGrid w:val="0"/>
          <w:color w:val="000000"/>
          <w:sz w:val="20"/>
          <w:szCs w:val="20"/>
        </w:rPr>
        <w:t>, Agn</w:t>
      </w:r>
      <w:r w:rsidR="003B798E">
        <w:rPr>
          <w:sz w:val="20"/>
          <w:szCs w:val="20"/>
        </w:rPr>
        <w:t>è</w:t>
      </w:r>
      <w:r w:rsidRPr="00775F5B">
        <w:rPr>
          <w:snapToGrid w:val="0"/>
          <w:color w:val="000000"/>
          <w:sz w:val="20"/>
          <w:szCs w:val="20"/>
        </w:rPr>
        <w:t xml:space="preserve">s, 1999, “Exchange Rate Regimes and Policies: An Empirical Analysis,” in </w:t>
      </w:r>
      <w:r w:rsidRPr="00775F5B">
        <w:rPr>
          <w:snapToGrid w:val="0"/>
          <w:color w:val="000000"/>
          <w:sz w:val="20"/>
          <w:szCs w:val="20"/>
          <w:u w:val="single"/>
        </w:rPr>
        <w:t>Exchange Rate Policies in Emerging Asian Countries,</w:t>
      </w:r>
      <w:r w:rsidRPr="00775F5B">
        <w:rPr>
          <w:snapToGrid w:val="0"/>
          <w:color w:val="000000"/>
          <w:sz w:val="20"/>
          <w:szCs w:val="20"/>
        </w:rPr>
        <w:t xml:space="preserve"> edited by Stefan </w:t>
      </w:r>
      <w:proofErr w:type="spellStart"/>
      <w:r w:rsidRPr="00775F5B">
        <w:rPr>
          <w:snapToGrid w:val="0"/>
          <w:color w:val="000000"/>
          <w:sz w:val="20"/>
          <w:szCs w:val="20"/>
        </w:rPr>
        <w:t>Collignon</w:t>
      </w:r>
      <w:proofErr w:type="spellEnd"/>
      <w:r w:rsidRPr="00775F5B">
        <w:rPr>
          <w:snapToGrid w:val="0"/>
          <w:color w:val="000000"/>
          <w:sz w:val="20"/>
          <w:szCs w:val="20"/>
        </w:rPr>
        <w:t xml:space="preserve">, Jean </w:t>
      </w:r>
      <w:proofErr w:type="spellStart"/>
      <w:r w:rsidRPr="00775F5B">
        <w:rPr>
          <w:snapToGrid w:val="0"/>
          <w:color w:val="000000"/>
          <w:sz w:val="20"/>
          <w:szCs w:val="20"/>
        </w:rPr>
        <w:t>Pisani-Ferry</w:t>
      </w:r>
      <w:proofErr w:type="spellEnd"/>
      <w:r w:rsidRPr="00775F5B">
        <w:rPr>
          <w:snapToGrid w:val="0"/>
          <w:color w:val="000000"/>
          <w:sz w:val="20"/>
          <w:szCs w:val="20"/>
        </w:rPr>
        <w:t xml:space="preserve">, and Yung </w:t>
      </w:r>
      <w:proofErr w:type="spellStart"/>
      <w:r w:rsidRPr="00775F5B">
        <w:rPr>
          <w:snapToGrid w:val="0"/>
          <w:color w:val="000000"/>
          <w:sz w:val="20"/>
          <w:szCs w:val="20"/>
        </w:rPr>
        <w:t>Chul</w:t>
      </w:r>
      <w:proofErr w:type="spellEnd"/>
      <w:r w:rsidRPr="00775F5B">
        <w:rPr>
          <w:snapToGrid w:val="0"/>
          <w:color w:val="000000"/>
          <w:sz w:val="20"/>
          <w:szCs w:val="20"/>
        </w:rPr>
        <w:t xml:space="preserve"> Park (Routledge: London), 40-64.</w:t>
      </w:r>
    </w:p>
    <w:p w:rsidR="008D2C49" w:rsidRPr="00775F5B" w:rsidRDefault="008D2C49" w:rsidP="00291B12">
      <w:pPr>
        <w:pStyle w:val="Footer"/>
        <w:tabs>
          <w:tab w:val="clear" w:pos="4320"/>
          <w:tab w:val="clear" w:pos="8640"/>
        </w:tabs>
        <w:rPr>
          <w:sz w:val="20"/>
          <w:szCs w:val="20"/>
        </w:rPr>
      </w:pPr>
    </w:p>
    <w:p w:rsidR="00291B12" w:rsidRPr="00775F5B" w:rsidRDefault="00291B12" w:rsidP="00291B12">
      <w:pPr>
        <w:pStyle w:val="Footer"/>
        <w:tabs>
          <w:tab w:val="clear" w:pos="4320"/>
          <w:tab w:val="clear" w:pos="8640"/>
        </w:tabs>
        <w:rPr>
          <w:sz w:val="20"/>
          <w:szCs w:val="20"/>
        </w:rPr>
      </w:pPr>
      <w:r w:rsidRPr="00775F5B">
        <w:rPr>
          <w:sz w:val="20"/>
          <w:szCs w:val="20"/>
        </w:rPr>
        <w:t>B</w:t>
      </w:r>
      <w:r w:rsidR="00AA49E2">
        <w:t>é</w:t>
      </w:r>
      <w:r w:rsidRPr="00775F5B">
        <w:rPr>
          <w:sz w:val="20"/>
          <w:szCs w:val="20"/>
        </w:rPr>
        <w:t>nassy-Qu</w:t>
      </w:r>
      <w:r w:rsidR="00AA49E2">
        <w:t>é</w:t>
      </w:r>
      <w:r w:rsidRPr="00775F5B">
        <w:rPr>
          <w:sz w:val="20"/>
          <w:szCs w:val="20"/>
        </w:rPr>
        <w:t>r</w:t>
      </w:r>
      <w:r w:rsidR="00AA49E2">
        <w:t>é</w:t>
      </w:r>
      <w:r w:rsidRPr="00775F5B">
        <w:rPr>
          <w:sz w:val="20"/>
          <w:szCs w:val="20"/>
        </w:rPr>
        <w:t>, Agn</w:t>
      </w:r>
      <w:r w:rsidR="003B798E">
        <w:rPr>
          <w:sz w:val="20"/>
          <w:szCs w:val="20"/>
        </w:rPr>
        <w:t>è</w:t>
      </w:r>
      <w:r w:rsidRPr="00775F5B">
        <w:rPr>
          <w:sz w:val="20"/>
          <w:szCs w:val="20"/>
        </w:rPr>
        <w:t>s, Benoit Coeur</w:t>
      </w:r>
      <w:r w:rsidR="00AA49E2">
        <w:t>é</w:t>
      </w:r>
      <w:r w:rsidRPr="00775F5B">
        <w:rPr>
          <w:sz w:val="20"/>
          <w:szCs w:val="20"/>
        </w:rPr>
        <w:t xml:space="preserve">, and </w:t>
      </w:r>
      <w:proofErr w:type="spellStart"/>
      <w:r w:rsidRPr="00775F5B">
        <w:rPr>
          <w:sz w:val="20"/>
          <w:szCs w:val="20"/>
        </w:rPr>
        <w:t>Val</w:t>
      </w:r>
      <w:r w:rsidR="00AA49E2">
        <w:t>é</w:t>
      </w:r>
      <w:r w:rsidRPr="00775F5B">
        <w:rPr>
          <w:sz w:val="20"/>
          <w:szCs w:val="20"/>
        </w:rPr>
        <w:t>rie</w:t>
      </w:r>
      <w:proofErr w:type="spellEnd"/>
      <w:r w:rsidRPr="00775F5B">
        <w:rPr>
          <w:sz w:val="20"/>
          <w:szCs w:val="20"/>
        </w:rPr>
        <w:t xml:space="preserve"> Mignon, 2004, “On the Identification of de facto Currency Pegs,” </w:t>
      </w:r>
      <w:r w:rsidRPr="00775F5B">
        <w:rPr>
          <w:sz w:val="20"/>
          <w:szCs w:val="20"/>
          <w:u w:val="single"/>
        </w:rPr>
        <w:t>Journal of Japanese and International Economies</w:t>
      </w:r>
      <w:r w:rsidR="00372682">
        <w:rPr>
          <w:sz w:val="20"/>
          <w:szCs w:val="20"/>
          <w:u w:val="single"/>
        </w:rPr>
        <w:t xml:space="preserve"> </w:t>
      </w:r>
      <w:r w:rsidR="00372682" w:rsidRPr="00372682">
        <w:rPr>
          <w:sz w:val="20"/>
          <w:szCs w:val="20"/>
        </w:rPr>
        <w:t>vol. 20 (1), pages 112-127, March</w:t>
      </w:r>
      <w:r w:rsidRPr="00372682">
        <w:rPr>
          <w:sz w:val="20"/>
          <w:szCs w:val="20"/>
        </w:rPr>
        <w:t>.</w:t>
      </w:r>
    </w:p>
    <w:p w:rsidR="00291B12" w:rsidRPr="00775F5B" w:rsidRDefault="00291B12" w:rsidP="00291B12">
      <w:pPr>
        <w:pStyle w:val="Footer"/>
        <w:tabs>
          <w:tab w:val="clear" w:pos="4320"/>
          <w:tab w:val="clear" w:pos="8640"/>
        </w:tabs>
        <w:rPr>
          <w:sz w:val="20"/>
          <w:szCs w:val="20"/>
        </w:rPr>
      </w:pPr>
    </w:p>
    <w:p w:rsidR="00291B12" w:rsidRPr="00775F5B" w:rsidRDefault="00291B12" w:rsidP="00291B12">
      <w:pPr>
        <w:pStyle w:val="Footer"/>
        <w:tabs>
          <w:tab w:val="clear" w:pos="4320"/>
          <w:tab w:val="clear" w:pos="8640"/>
        </w:tabs>
        <w:rPr>
          <w:sz w:val="20"/>
          <w:szCs w:val="20"/>
        </w:rPr>
      </w:pPr>
      <w:r w:rsidRPr="00775F5B">
        <w:rPr>
          <w:sz w:val="20"/>
          <w:szCs w:val="20"/>
        </w:rPr>
        <w:t xml:space="preserve">Bergsten, </w:t>
      </w:r>
      <w:proofErr w:type="spellStart"/>
      <w:r w:rsidRPr="00775F5B">
        <w:rPr>
          <w:sz w:val="20"/>
          <w:szCs w:val="20"/>
        </w:rPr>
        <w:t>C.Fred</w:t>
      </w:r>
      <w:proofErr w:type="spellEnd"/>
      <w:r w:rsidRPr="00775F5B">
        <w:rPr>
          <w:sz w:val="20"/>
          <w:szCs w:val="20"/>
        </w:rPr>
        <w:t xml:space="preserve">, 1989, “Currency Manipulation? The Case of </w:t>
      </w:r>
      <w:smartTag w:uri="urn:schemas-microsoft-com:office:smarttags" w:element="country-region">
        <w:smartTag w:uri="urn:schemas-microsoft-com:office:smarttags" w:element="place">
          <w:r w:rsidRPr="00775F5B">
            <w:rPr>
              <w:sz w:val="20"/>
              <w:szCs w:val="20"/>
            </w:rPr>
            <w:t>Korea</w:t>
          </w:r>
        </w:smartTag>
      </w:smartTag>
      <w:r w:rsidRPr="00775F5B">
        <w:rPr>
          <w:sz w:val="20"/>
          <w:szCs w:val="20"/>
        </w:rPr>
        <w:t>,” Statement before the Committee on Finance, Subcommittee on International Trade,”</w:t>
      </w:r>
      <w:r w:rsidR="009B65BA" w:rsidRPr="009B65BA">
        <w:rPr>
          <w:sz w:val="20"/>
          <w:szCs w:val="20"/>
        </w:rPr>
        <w:t xml:space="preserve"> </w:t>
      </w:r>
      <w:r w:rsidR="009B65BA" w:rsidRPr="00775F5B">
        <w:rPr>
          <w:sz w:val="20"/>
          <w:szCs w:val="20"/>
        </w:rPr>
        <w:t>United States Senate</w:t>
      </w:r>
      <w:r w:rsidR="009B65BA">
        <w:rPr>
          <w:sz w:val="20"/>
          <w:szCs w:val="20"/>
        </w:rPr>
        <w:t>,</w:t>
      </w:r>
      <w:r w:rsidRPr="00775F5B">
        <w:rPr>
          <w:sz w:val="20"/>
          <w:szCs w:val="20"/>
        </w:rPr>
        <w:t xml:space="preserve"> May 12.</w:t>
      </w:r>
    </w:p>
    <w:p w:rsidR="00291B12" w:rsidRPr="00775F5B" w:rsidRDefault="00291B12" w:rsidP="00291B12">
      <w:pPr>
        <w:pStyle w:val="Footer"/>
        <w:tabs>
          <w:tab w:val="clear" w:pos="4320"/>
          <w:tab w:val="clear" w:pos="8640"/>
        </w:tabs>
        <w:rPr>
          <w:sz w:val="20"/>
          <w:szCs w:val="20"/>
        </w:rPr>
      </w:pPr>
    </w:p>
    <w:p w:rsidR="00291B12" w:rsidRDefault="00291B12" w:rsidP="00291B12">
      <w:pPr>
        <w:pStyle w:val="Footer"/>
        <w:tabs>
          <w:tab w:val="clear" w:pos="4320"/>
          <w:tab w:val="clear" w:pos="8640"/>
        </w:tabs>
        <w:rPr>
          <w:sz w:val="20"/>
          <w:szCs w:val="20"/>
        </w:rPr>
      </w:pPr>
      <w:r w:rsidRPr="00775F5B">
        <w:rPr>
          <w:sz w:val="20"/>
          <w:szCs w:val="20"/>
        </w:rPr>
        <w:t xml:space="preserve">Bergsten, </w:t>
      </w:r>
      <w:proofErr w:type="spellStart"/>
      <w:r w:rsidRPr="00775F5B">
        <w:rPr>
          <w:sz w:val="20"/>
          <w:szCs w:val="20"/>
        </w:rPr>
        <w:t>C.Fred</w:t>
      </w:r>
      <w:proofErr w:type="spellEnd"/>
      <w:r w:rsidRPr="00775F5B">
        <w:rPr>
          <w:sz w:val="20"/>
          <w:szCs w:val="20"/>
        </w:rPr>
        <w:t>, 2006,</w:t>
      </w:r>
      <w:r w:rsidR="006179F1" w:rsidRPr="00775F5B">
        <w:rPr>
          <w:sz w:val="20"/>
          <w:szCs w:val="20"/>
        </w:rPr>
        <w:t xml:space="preserve"> </w:t>
      </w:r>
      <w:r w:rsidRPr="00775F5B">
        <w:rPr>
          <w:sz w:val="20"/>
          <w:szCs w:val="20"/>
        </w:rPr>
        <w:t>Testimony before the Hearing on US-China Economic Relations Revisited, Committee on Finance, United States Senate, March 29.</w:t>
      </w:r>
    </w:p>
    <w:p w:rsidR="0053377A" w:rsidRPr="0053377A" w:rsidRDefault="0053377A" w:rsidP="00291B12">
      <w:pPr>
        <w:pStyle w:val="Footer"/>
        <w:tabs>
          <w:tab w:val="clear" w:pos="4320"/>
          <w:tab w:val="clear" w:pos="8640"/>
        </w:tabs>
        <w:rPr>
          <w:sz w:val="20"/>
          <w:szCs w:val="20"/>
        </w:rPr>
      </w:pPr>
    </w:p>
    <w:p w:rsidR="0053377A" w:rsidRPr="001610EC" w:rsidRDefault="0053377A" w:rsidP="001610EC">
      <w:pPr>
        <w:pStyle w:val="Footer"/>
        <w:tabs>
          <w:tab w:val="clear" w:pos="4320"/>
          <w:tab w:val="clear" w:pos="8640"/>
        </w:tabs>
        <w:rPr>
          <w:sz w:val="20"/>
          <w:szCs w:val="20"/>
        </w:rPr>
      </w:pPr>
      <w:proofErr w:type="spellStart"/>
      <w:r w:rsidRPr="006D624E">
        <w:rPr>
          <w:sz w:val="20"/>
          <w:szCs w:val="20"/>
        </w:rPr>
        <w:t>Boughton</w:t>
      </w:r>
      <w:proofErr w:type="spellEnd"/>
      <w:r w:rsidRPr="006D624E">
        <w:rPr>
          <w:sz w:val="20"/>
          <w:szCs w:val="20"/>
        </w:rPr>
        <w:t xml:space="preserve">, James, </w:t>
      </w:r>
      <w:r w:rsidRPr="001610EC">
        <w:rPr>
          <w:sz w:val="20"/>
          <w:szCs w:val="20"/>
        </w:rPr>
        <w:t xml:space="preserve">2001, </w:t>
      </w:r>
      <w:r w:rsidRPr="001610EC">
        <w:rPr>
          <w:sz w:val="20"/>
          <w:szCs w:val="20"/>
          <w:u w:val="single"/>
        </w:rPr>
        <w:t>Silent Revolution: The International Monetary Fund 1979–1989</w:t>
      </w:r>
      <w:r w:rsidRPr="001610EC">
        <w:rPr>
          <w:sz w:val="20"/>
          <w:szCs w:val="20"/>
        </w:rPr>
        <w:t xml:space="preserve"> </w:t>
      </w:r>
      <w:r w:rsidR="006D624E" w:rsidRPr="001610EC">
        <w:rPr>
          <w:sz w:val="20"/>
          <w:szCs w:val="20"/>
        </w:rPr>
        <w:t xml:space="preserve">(International Monetary Fund: </w:t>
      </w:r>
      <w:smartTag w:uri="urn:schemas-microsoft-com:office:smarttags" w:element="State">
        <w:smartTag w:uri="urn:schemas-microsoft-com:office:smarttags" w:element="place">
          <w:r w:rsidR="006D624E" w:rsidRPr="001610EC">
            <w:rPr>
              <w:sz w:val="20"/>
              <w:szCs w:val="20"/>
            </w:rPr>
            <w:t>Washington</w:t>
          </w:r>
        </w:smartTag>
      </w:smartTag>
      <w:r w:rsidR="006D624E" w:rsidRPr="001610EC">
        <w:rPr>
          <w:sz w:val="20"/>
          <w:szCs w:val="20"/>
        </w:rPr>
        <w:t>).</w:t>
      </w:r>
      <w:r w:rsidRPr="001610EC">
        <w:rPr>
          <w:sz w:val="20"/>
          <w:szCs w:val="20"/>
        </w:rPr>
        <w:t xml:space="preserve"> </w:t>
      </w:r>
      <w:smartTag w:uri="urn:schemas-microsoft-com:office:smarttags" w:element="date">
        <w:smartTagPr>
          <w:attr w:name="Year" w:val="2001"/>
          <w:attr w:name="Day" w:val="1"/>
          <w:attr w:name="Month" w:val="10"/>
        </w:smartTagPr>
        <w:r w:rsidRPr="001610EC">
          <w:rPr>
            <w:sz w:val="20"/>
            <w:szCs w:val="20"/>
          </w:rPr>
          <w:t>October 1, 2001</w:t>
        </w:r>
      </w:smartTag>
      <w:r w:rsidRPr="001610EC">
        <w:rPr>
          <w:sz w:val="20"/>
          <w:szCs w:val="20"/>
        </w:rPr>
        <w:t>.</w:t>
      </w:r>
    </w:p>
    <w:p w:rsidR="00291B12" w:rsidRPr="00775F5B" w:rsidRDefault="00291B12" w:rsidP="00291B12">
      <w:pPr>
        <w:pStyle w:val="Footer"/>
        <w:tabs>
          <w:tab w:val="clear" w:pos="4320"/>
          <w:tab w:val="clear" w:pos="8640"/>
        </w:tabs>
        <w:rPr>
          <w:sz w:val="20"/>
          <w:szCs w:val="20"/>
        </w:rPr>
      </w:pPr>
    </w:p>
    <w:p w:rsidR="00291B12" w:rsidRDefault="00291B12" w:rsidP="00291B12">
      <w:pPr>
        <w:pStyle w:val="Footer"/>
        <w:tabs>
          <w:tab w:val="clear" w:pos="4320"/>
          <w:tab w:val="clear" w:pos="8640"/>
        </w:tabs>
        <w:rPr>
          <w:sz w:val="20"/>
          <w:szCs w:val="20"/>
        </w:rPr>
      </w:pPr>
      <w:r w:rsidRPr="00775F5B">
        <w:rPr>
          <w:sz w:val="20"/>
          <w:szCs w:val="20"/>
        </w:rPr>
        <w:t>Cooper, Richard, 2005</w:t>
      </w:r>
      <w:proofErr w:type="gramStart"/>
      <w:r w:rsidRPr="00775F5B">
        <w:rPr>
          <w:sz w:val="20"/>
          <w:szCs w:val="20"/>
        </w:rPr>
        <w:t>,  “</w:t>
      </w:r>
      <w:proofErr w:type="gramEnd"/>
      <w:r w:rsidRPr="00775F5B">
        <w:rPr>
          <w:sz w:val="20"/>
          <w:szCs w:val="20"/>
        </w:rPr>
        <w:t>Living with Global Imbalances: A Contrarian View,” Policy Brief No. 05-3, Institute for International Economics, December.</w:t>
      </w:r>
    </w:p>
    <w:p w:rsidR="00B87D33" w:rsidRDefault="00B87D33" w:rsidP="00291B12">
      <w:pPr>
        <w:pStyle w:val="Footer"/>
        <w:tabs>
          <w:tab w:val="clear" w:pos="4320"/>
          <w:tab w:val="clear" w:pos="8640"/>
        </w:tabs>
        <w:rPr>
          <w:sz w:val="20"/>
          <w:szCs w:val="20"/>
        </w:rPr>
      </w:pPr>
    </w:p>
    <w:p w:rsidR="00B87D33" w:rsidRPr="00775F5B" w:rsidRDefault="00B87D33" w:rsidP="00291B12">
      <w:pPr>
        <w:pStyle w:val="Footer"/>
        <w:tabs>
          <w:tab w:val="clear" w:pos="4320"/>
          <w:tab w:val="clear" w:pos="8640"/>
        </w:tabs>
        <w:rPr>
          <w:sz w:val="20"/>
          <w:szCs w:val="20"/>
        </w:rPr>
      </w:pPr>
      <w:r>
        <w:rPr>
          <w:sz w:val="20"/>
          <w:szCs w:val="20"/>
        </w:rPr>
        <w:t xml:space="preserve">De </w:t>
      </w:r>
      <w:proofErr w:type="spellStart"/>
      <w:r>
        <w:rPr>
          <w:sz w:val="20"/>
          <w:szCs w:val="20"/>
        </w:rPr>
        <w:t>Vries</w:t>
      </w:r>
      <w:proofErr w:type="spellEnd"/>
      <w:r w:rsidR="006D624E">
        <w:rPr>
          <w:sz w:val="20"/>
          <w:szCs w:val="20"/>
        </w:rPr>
        <w:t xml:space="preserve">, Margaret, </w:t>
      </w:r>
      <w:r>
        <w:rPr>
          <w:sz w:val="20"/>
          <w:szCs w:val="20"/>
        </w:rPr>
        <w:t>198</w:t>
      </w:r>
      <w:r w:rsidR="006D624E">
        <w:rPr>
          <w:sz w:val="20"/>
          <w:szCs w:val="20"/>
        </w:rPr>
        <w:t xml:space="preserve">6, </w:t>
      </w:r>
      <w:proofErr w:type="gramStart"/>
      <w:r w:rsidR="006D624E" w:rsidRPr="001610EC">
        <w:rPr>
          <w:sz w:val="20"/>
          <w:szCs w:val="20"/>
          <w:u w:val="single"/>
        </w:rPr>
        <w:t>The</w:t>
      </w:r>
      <w:proofErr w:type="gramEnd"/>
      <w:r w:rsidR="006D624E" w:rsidRPr="001610EC">
        <w:rPr>
          <w:sz w:val="20"/>
          <w:szCs w:val="20"/>
          <w:u w:val="single"/>
        </w:rPr>
        <w:t xml:space="preserve"> IMF in a Changing World, 1945-1985</w:t>
      </w:r>
      <w:r w:rsidR="006D624E">
        <w:rPr>
          <w:sz w:val="20"/>
          <w:szCs w:val="20"/>
        </w:rPr>
        <w:t xml:space="preserve">. (International Monetary Fund: </w:t>
      </w:r>
      <w:smartTag w:uri="urn:schemas-microsoft-com:office:smarttags" w:element="State">
        <w:smartTag w:uri="urn:schemas-microsoft-com:office:smarttags" w:element="place">
          <w:r w:rsidR="006D624E">
            <w:rPr>
              <w:sz w:val="20"/>
              <w:szCs w:val="20"/>
            </w:rPr>
            <w:t>Washington</w:t>
          </w:r>
        </w:smartTag>
      </w:smartTag>
      <w:r w:rsidR="006D624E">
        <w:rPr>
          <w:sz w:val="20"/>
          <w:szCs w:val="20"/>
        </w:rPr>
        <w:t xml:space="preserve">) </w:t>
      </w:r>
      <w:smartTag w:uri="urn:schemas-microsoft-com:office:smarttags" w:element="date">
        <w:smartTagPr>
          <w:attr w:name="Year" w:val="1986"/>
          <w:attr w:name="Day" w:val="15"/>
          <w:attr w:name="Month" w:val="6"/>
        </w:smartTagPr>
        <w:r w:rsidR="006D624E">
          <w:rPr>
            <w:sz w:val="20"/>
            <w:szCs w:val="20"/>
          </w:rPr>
          <w:t>June 15, 1986</w:t>
        </w:r>
      </w:smartTag>
      <w:r w:rsidR="006D624E">
        <w:rPr>
          <w:sz w:val="20"/>
          <w:szCs w:val="20"/>
        </w:rPr>
        <w:t>.</w:t>
      </w:r>
    </w:p>
    <w:p w:rsidR="001976F2" w:rsidRPr="00775F5B" w:rsidRDefault="001976F2" w:rsidP="00291B12">
      <w:pPr>
        <w:pStyle w:val="Footer"/>
        <w:tabs>
          <w:tab w:val="clear" w:pos="4320"/>
          <w:tab w:val="clear" w:pos="8640"/>
        </w:tabs>
        <w:rPr>
          <w:sz w:val="20"/>
          <w:szCs w:val="20"/>
        </w:rPr>
      </w:pPr>
    </w:p>
    <w:p w:rsidR="001976F2" w:rsidRPr="00775F5B" w:rsidRDefault="007508AE" w:rsidP="00291B12">
      <w:pPr>
        <w:pStyle w:val="Footer"/>
        <w:tabs>
          <w:tab w:val="clear" w:pos="4320"/>
          <w:tab w:val="clear" w:pos="8640"/>
        </w:tabs>
        <w:rPr>
          <w:sz w:val="20"/>
          <w:szCs w:val="20"/>
        </w:rPr>
      </w:pPr>
      <w:r w:rsidRPr="00775F5B">
        <w:rPr>
          <w:sz w:val="20"/>
          <w:szCs w:val="20"/>
        </w:rPr>
        <w:t xml:space="preserve">Eichengreen, Barry, 2006, </w:t>
      </w:r>
      <w:r w:rsidR="001976F2" w:rsidRPr="00775F5B">
        <w:rPr>
          <w:color w:val="000000"/>
          <w:sz w:val="20"/>
          <w:szCs w:val="20"/>
        </w:rPr>
        <w:t>"</w:t>
      </w:r>
      <w:smartTag w:uri="urn:schemas-microsoft-com:office:smarttags" w:element="country-region">
        <w:smartTag w:uri="urn:schemas-microsoft-com:office:smarttags" w:element="place">
          <w:r w:rsidR="001976F2" w:rsidRPr="00775F5B">
            <w:rPr>
              <w:color w:val="000000"/>
              <w:sz w:val="20"/>
              <w:szCs w:val="20"/>
            </w:rPr>
            <w:t>China</w:t>
          </w:r>
        </w:smartTag>
      </w:smartTag>
      <w:r w:rsidR="001976F2" w:rsidRPr="00775F5B">
        <w:rPr>
          <w:color w:val="000000"/>
          <w:sz w:val="20"/>
          <w:szCs w:val="20"/>
        </w:rPr>
        <w:t>'s Exchange Rate Regime: The Long and Short of It</w:t>
      </w:r>
      <w:r w:rsidRPr="00775F5B">
        <w:rPr>
          <w:color w:val="000000"/>
          <w:sz w:val="20"/>
          <w:szCs w:val="20"/>
        </w:rPr>
        <w:t>,</w:t>
      </w:r>
      <w:r w:rsidR="001976F2" w:rsidRPr="00775F5B">
        <w:rPr>
          <w:color w:val="000000"/>
          <w:sz w:val="20"/>
          <w:szCs w:val="20"/>
        </w:rPr>
        <w:t>"</w:t>
      </w:r>
      <w:r w:rsidRPr="00775F5B">
        <w:rPr>
          <w:color w:val="000000"/>
          <w:sz w:val="20"/>
          <w:szCs w:val="20"/>
        </w:rPr>
        <w:t xml:space="preserve"> revision of</w:t>
      </w:r>
      <w:r w:rsidR="001976F2" w:rsidRPr="00775F5B">
        <w:rPr>
          <w:color w:val="000000"/>
          <w:sz w:val="20"/>
          <w:szCs w:val="20"/>
        </w:rPr>
        <w:t xml:space="preserve"> paper for </w:t>
      </w:r>
      <w:smartTag w:uri="urn:schemas-microsoft-com:office:smarttags" w:element="place">
        <w:smartTag w:uri="urn:schemas-microsoft-com:office:smarttags" w:element="PlaceName">
          <w:r w:rsidR="001976F2" w:rsidRPr="00775F5B">
            <w:rPr>
              <w:color w:val="000000"/>
              <w:sz w:val="20"/>
              <w:szCs w:val="20"/>
            </w:rPr>
            <w:t>Columbia</w:t>
          </w:r>
        </w:smartTag>
        <w:r w:rsidR="001976F2" w:rsidRPr="00775F5B">
          <w:rPr>
            <w:color w:val="000000"/>
            <w:sz w:val="20"/>
            <w:szCs w:val="20"/>
          </w:rPr>
          <w:t xml:space="preserve"> </w:t>
        </w:r>
        <w:smartTag w:uri="urn:schemas-microsoft-com:office:smarttags" w:element="PlaceType">
          <w:r w:rsidR="001976F2" w:rsidRPr="00775F5B">
            <w:rPr>
              <w:color w:val="000000"/>
              <w:sz w:val="20"/>
              <w:szCs w:val="20"/>
            </w:rPr>
            <w:t>University</w:t>
          </w:r>
        </w:smartTag>
      </w:smartTag>
      <w:r w:rsidR="001976F2" w:rsidRPr="00775F5B">
        <w:rPr>
          <w:color w:val="000000"/>
          <w:sz w:val="20"/>
          <w:szCs w:val="20"/>
        </w:rPr>
        <w:t>'s conference on Chinese money and finance h</w:t>
      </w:r>
      <w:r w:rsidRPr="00775F5B">
        <w:rPr>
          <w:color w:val="000000"/>
          <w:sz w:val="20"/>
          <w:szCs w:val="20"/>
        </w:rPr>
        <w:t xml:space="preserve">eld in </w:t>
      </w:r>
      <w:smartTag w:uri="urn:schemas-microsoft-com:office:smarttags" w:element="State">
        <w:smartTag w:uri="urn:schemas-microsoft-com:office:smarttags" w:element="place">
          <w:r w:rsidRPr="00775F5B">
            <w:rPr>
              <w:color w:val="000000"/>
              <w:sz w:val="20"/>
              <w:szCs w:val="20"/>
            </w:rPr>
            <w:t>New York</w:t>
          </w:r>
        </w:smartTag>
      </w:smartTag>
      <w:r w:rsidRPr="00775F5B">
        <w:rPr>
          <w:color w:val="000000"/>
          <w:sz w:val="20"/>
          <w:szCs w:val="20"/>
        </w:rPr>
        <w:t xml:space="preserve"> on February 2-3</w:t>
      </w:r>
      <w:r w:rsidR="001976F2" w:rsidRPr="00775F5B">
        <w:rPr>
          <w:color w:val="000000"/>
          <w:sz w:val="20"/>
          <w:szCs w:val="20"/>
        </w:rPr>
        <w:t>.</w:t>
      </w:r>
    </w:p>
    <w:p w:rsidR="00291B12" w:rsidRPr="00775F5B" w:rsidRDefault="00291B12" w:rsidP="00291B12">
      <w:pPr>
        <w:pStyle w:val="Footer"/>
        <w:tabs>
          <w:tab w:val="clear" w:pos="4320"/>
          <w:tab w:val="clear" w:pos="8640"/>
        </w:tabs>
        <w:rPr>
          <w:sz w:val="20"/>
          <w:szCs w:val="20"/>
        </w:rPr>
      </w:pPr>
    </w:p>
    <w:p w:rsidR="00291B12" w:rsidRPr="00775F5B" w:rsidRDefault="00291B12" w:rsidP="00291B12">
      <w:pPr>
        <w:pStyle w:val="Footer"/>
        <w:tabs>
          <w:tab w:val="clear" w:pos="4320"/>
          <w:tab w:val="clear" w:pos="8640"/>
        </w:tabs>
        <w:rPr>
          <w:sz w:val="20"/>
          <w:szCs w:val="20"/>
        </w:rPr>
      </w:pPr>
      <w:r w:rsidRPr="00775F5B">
        <w:rPr>
          <w:sz w:val="20"/>
          <w:szCs w:val="20"/>
        </w:rPr>
        <w:t xml:space="preserve">Frankel, Jeffrey, 1984, "The Yen/Dollar Agreement:  Liberalizing Japanese Capital Markets," </w:t>
      </w:r>
      <w:r w:rsidRPr="00775F5B">
        <w:rPr>
          <w:sz w:val="20"/>
          <w:szCs w:val="20"/>
          <w:u w:val="single"/>
        </w:rPr>
        <w:t>Policy Analyses In International Economics</w:t>
      </w:r>
      <w:r w:rsidRPr="00775F5B">
        <w:rPr>
          <w:sz w:val="20"/>
          <w:szCs w:val="20"/>
        </w:rPr>
        <w:t xml:space="preserve"> No.9, M.I.T. Press for </w:t>
      </w:r>
      <w:r w:rsidRPr="00775F5B">
        <w:rPr>
          <w:i/>
          <w:sz w:val="20"/>
          <w:szCs w:val="20"/>
        </w:rPr>
        <w:t>Institute for International Economics</w:t>
      </w:r>
      <w:r w:rsidRPr="00775F5B">
        <w:rPr>
          <w:sz w:val="20"/>
          <w:szCs w:val="20"/>
        </w:rPr>
        <w:t xml:space="preserve">:  </w:t>
      </w:r>
      <w:smartTag w:uri="urn:schemas-microsoft-com:office:smarttags" w:element="place">
        <w:smartTag w:uri="urn:schemas-microsoft-com:office:smarttags" w:element="City">
          <w:r w:rsidRPr="00775F5B">
            <w:rPr>
              <w:sz w:val="20"/>
              <w:szCs w:val="20"/>
            </w:rPr>
            <w:t>Washington</w:t>
          </w:r>
        </w:smartTag>
        <w:r w:rsidRPr="00775F5B">
          <w:rPr>
            <w:sz w:val="20"/>
            <w:szCs w:val="20"/>
          </w:rPr>
          <w:t xml:space="preserve">, </w:t>
        </w:r>
        <w:proofErr w:type="gramStart"/>
        <w:smartTag w:uri="urn:schemas-microsoft-com:office:smarttags" w:element="State">
          <w:r w:rsidRPr="00775F5B">
            <w:rPr>
              <w:sz w:val="20"/>
              <w:szCs w:val="20"/>
            </w:rPr>
            <w:t>D.C.</w:t>
          </w:r>
        </w:smartTag>
      </w:smartTag>
      <w:r w:rsidRPr="00775F5B">
        <w:rPr>
          <w:sz w:val="20"/>
          <w:szCs w:val="20"/>
        </w:rPr>
        <w:t>.</w:t>
      </w:r>
      <w:proofErr w:type="gramEnd"/>
    </w:p>
    <w:p w:rsidR="00291B12" w:rsidRPr="00775F5B" w:rsidRDefault="00291B12" w:rsidP="00291B12">
      <w:pPr>
        <w:pStyle w:val="Footer"/>
        <w:tabs>
          <w:tab w:val="clear" w:pos="4320"/>
          <w:tab w:val="clear" w:pos="8640"/>
        </w:tabs>
        <w:rPr>
          <w:sz w:val="20"/>
          <w:szCs w:val="20"/>
        </w:rPr>
      </w:pPr>
    </w:p>
    <w:p w:rsidR="00291B12" w:rsidRPr="00775F5B" w:rsidRDefault="00291B12" w:rsidP="00291B12">
      <w:pPr>
        <w:pStyle w:val="Footer"/>
        <w:tabs>
          <w:tab w:val="clear" w:pos="4320"/>
          <w:tab w:val="clear" w:pos="8640"/>
        </w:tabs>
        <w:rPr>
          <w:sz w:val="20"/>
          <w:szCs w:val="20"/>
        </w:rPr>
      </w:pPr>
      <w:r w:rsidRPr="00775F5B">
        <w:rPr>
          <w:sz w:val="20"/>
          <w:szCs w:val="20"/>
        </w:rPr>
        <w:t xml:space="preserve">Frankel, Jeffrey, 1993a, </w:t>
      </w:r>
      <w:hyperlink r:id="rId9" w:history="1">
        <w:r w:rsidRPr="00775F5B">
          <w:rPr>
            <w:rStyle w:val="Hyperlink"/>
            <w:color w:val="auto"/>
            <w:sz w:val="20"/>
            <w:szCs w:val="20"/>
            <w:u w:val="none"/>
          </w:rPr>
          <w:t>"Foreign Exchange Policy, Monetary Policy and Capital Market Liberalization in Korea,"</w:t>
        </w:r>
      </w:hyperlink>
      <w:r w:rsidRPr="00775F5B">
        <w:rPr>
          <w:sz w:val="20"/>
          <w:szCs w:val="20"/>
        </w:rPr>
        <w:t xml:space="preserve"> in </w:t>
      </w:r>
      <w:r w:rsidRPr="00775F5B">
        <w:rPr>
          <w:sz w:val="20"/>
          <w:szCs w:val="20"/>
          <w:u w:val="single"/>
        </w:rPr>
        <w:t>Korean-</w:t>
      </w:r>
      <w:r w:rsidR="00A85D9A">
        <w:rPr>
          <w:sz w:val="20"/>
          <w:szCs w:val="20"/>
          <w:u w:val="single"/>
        </w:rPr>
        <w:t>US</w:t>
      </w:r>
      <w:r w:rsidRPr="00775F5B">
        <w:rPr>
          <w:sz w:val="20"/>
          <w:szCs w:val="20"/>
          <w:u w:val="single"/>
        </w:rPr>
        <w:t xml:space="preserve"> Financial Issues,</w:t>
      </w:r>
      <w:r w:rsidRPr="00775F5B">
        <w:rPr>
          <w:sz w:val="20"/>
          <w:szCs w:val="20"/>
        </w:rPr>
        <w:t xml:space="preserve"> </w:t>
      </w:r>
      <w:r w:rsidRPr="00775F5B">
        <w:rPr>
          <w:i/>
          <w:sz w:val="20"/>
          <w:szCs w:val="20"/>
        </w:rPr>
        <w:t>Joint Korea-</w:t>
      </w:r>
      <w:r w:rsidR="00A85D9A">
        <w:rPr>
          <w:i/>
          <w:sz w:val="20"/>
          <w:szCs w:val="20"/>
        </w:rPr>
        <w:t>US</w:t>
      </w:r>
      <w:r w:rsidRPr="00775F5B">
        <w:rPr>
          <w:i/>
          <w:sz w:val="20"/>
          <w:szCs w:val="20"/>
        </w:rPr>
        <w:t xml:space="preserve"> Academic Symposium</w:t>
      </w:r>
      <w:r w:rsidR="0056524A" w:rsidRPr="00775F5B">
        <w:rPr>
          <w:sz w:val="20"/>
          <w:szCs w:val="20"/>
        </w:rPr>
        <w:t xml:space="preserve"> Vol. 3, </w:t>
      </w:r>
      <w:proofErr w:type="spellStart"/>
      <w:r w:rsidRPr="00775F5B">
        <w:rPr>
          <w:sz w:val="20"/>
          <w:szCs w:val="20"/>
        </w:rPr>
        <w:t>Chwee</w:t>
      </w:r>
      <w:proofErr w:type="spellEnd"/>
      <w:r w:rsidRPr="00775F5B">
        <w:rPr>
          <w:sz w:val="20"/>
          <w:szCs w:val="20"/>
        </w:rPr>
        <w:t xml:space="preserve"> </w:t>
      </w:r>
      <w:proofErr w:type="spellStart"/>
      <w:r w:rsidRPr="00775F5B">
        <w:rPr>
          <w:sz w:val="20"/>
          <w:szCs w:val="20"/>
        </w:rPr>
        <w:t>Huay</w:t>
      </w:r>
      <w:proofErr w:type="spellEnd"/>
      <w:r w:rsidRPr="00775F5B">
        <w:rPr>
          <w:sz w:val="20"/>
          <w:szCs w:val="20"/>
        </w:rPr>
        <w:t xml:space="preserve"> Ow-Taylor, </w:t>
      </w:r>
      <w:r w:rsidR="0056524A" w:rsidRPr="00775F5B">
        <w:rPr>
          <w:sz w:val="20"/>
          <w:szCs w:val="20"/>
        </w:rPr>
        <w:t xml:space="preserve">ed., </w:t>
      </w:r>
      <w:r w:rsidRPr="00775F5B">
        <w:rPr>
          <w:sz w:val="20"/>
          <w:szCs w:val="20"/>
        </w:rPr>
        <w:t>Korea Economic Institute of America, Washington, D.C., 91-107.</w:t>
      </w:r>
    </w:p>
    <w:p w:rsidR="00291B12" w:rsidRPr="00775F5B" w:rsidRDefault="00291B12" w:rsidP="00291B12">
      <w:pPr>
        <w:pStyle w:val="Footer"/>
        <w:tabs>
          <w:tab w:val="clear" w:pos="4320"/>
          <w:tab w:val="clear" w:pos="8640"/>
        </w:tabs>
        <w:rPr>
          <w:sz w:val="20"/>
          <w:szCs w:val="20"/>
        </w:rPr>
      </w:pPr>
    </w:p>
    <w:p w:rsidR="00291B12" w:rsidRPr="00775F5B" w:rsidRDefault="00291B12" w:rsidP="00291B12">
      <w:pPr>
        <w:pStyle w:val="Footer"/>
        <w:tabs>
          <w:tab w:val="clear" w:pos="4320"/>
          <w:tab w:val="clear" w:pos="8640"/>
        </w:tabs>
        <w:rPr>
          <w:sz w:val="20"/>
          <w:szCs w:val="20"/>
        </w:rPr>
      </w:pPr>
      <w:r w:rsidRPr="00775F5B">
        <w:rPr>
          <w:sz w:val="20"/>
          <w:szCs w:val="20"/>
        </w:rPr>
        <w:t xml:space="preserve">Frankel, Jeffrey, 1993b, "Liberalization of Korea's Foreign Exchange Markets, and the Role of Trade Relations with the United States," in </w:t>
      </w:r>
      <w:r w:rsidRPr="00775F5B">
        <w:rPr>
          <w:sz w:val="20"/>
          <w:szCs w:val="20"/>
          <w:u w:val="single"/>
        </w:rPr>
        <w:t>Shaping a New Economic Relationship: The Republic of Korea and the United States</w:t>
      </w:r>
      <w:r w:rsidR="004A60CE">
        <w:rPr>
          <w:sz w:val="20"/>
          <w:szCs w:val="20"/>
        </w:rPr>
        <w:t xml:space="preserve">, </w:t>
      </w:r>
      <w:proofErr w:type="spellStart"/>
      <w:r w:rsidRPr="00775F5B">
        <w:rPr>
          <w:sz w:val="20"/>
          <w:szCs w:val="20"/>
        </w:rPr>
        <w:t>Jongryn</w:t>
      </w:r>
      <w:proofErr w:type="spellEnd"/>
      <w:r w:rsidRPr="00775F5B">
        <w:rPr>
          <w:sz w:val="20"/>
          <w:szCs w:val="20"/>
        </w:rPr>
        <w:t xml:space="preserve"> Mo and Ramon Myers,</w:t>
      </w:r>
      <w:r w:rsidR="004A60CE">
        <w:rPr>
          <w:sz w:val="20"/>
          <w:szCs w:val="20"/>
        </w:rPr>
        <w:t xml:space="preserve"> eds.,</w:t>
      </w:r>
      <w:r w:rsidRPr="00775F5B">
        <w:rPr>
          <w:sz w:val="20"/>
          <w:szCs w:val="20"/>
        </w:rPr>
        <w:t xml:space="preserve"> Hoover Institution Press, Stanford, CA: 120-142.</w:t>
      </w:r>
    </w:p>
    <w:p w:rsidR="00771D1C" w:rsidRPr="00775F5B" w:rsidRDefault="00771D1C" w:rsidP="00291B12">
      <w:pPr>
        <w:pStyle w:val="Footer"/>
        <w:tabs>
          <w:tab w:val="clear" w:pos="4320"/>
          <w:tab w:val="clear" w:pos="8640"/>
        </w:tabs>
        <w:rPr>
          <w:sz w:val="20"/>
          <w:szCs w:val="20"/>
        </w:rPr>
      </w:pPr>
    </w:p>
    <w:p w:rsidR="00291B12" w:rsidRPr="00775F5B" w:rsidRDefault="00771D1C" w:rsidP="00291B12">
      <w:pPr>
        <w:pStyle w:val="Footer"/>
        <w:tabs>
          <w:tab w:val="clear" w:pos="4320"/>
          <w:tab w:val="clear" w:pos="8640"/>
        </w:tabs>
        <w:rPr>
          <w:sz w:val="20"/>
          <w:szCs w:val="20"/>
        </w:rPr>
      </w:pPr>
      <w:r w:rsidRPr="00775F5B">
        <w:rPr>
          <w:sz w:val="20"/>
          <w:szCs w:val="20"/>
        </w:rPr>
        <w:t xml:space="preserve">Frankel, Jeffrey, 1993, </w:t>
      </w:r>
      <w:hyperlink r:id="rId10" w:history="1">
        <w:r w:rsidRPr="00775F5B">
          <w:rPr>
            <w:rStyle w:val="Hyperlink"/>
            <w:color w:val="auto"/>
            <w:sz w:val="20"/>
            <w:szCs w:val="20"/>
            <w:u w:val="none"/>
          </w:rPr>
          <w:t>"Is Japan Creating a Yen Bloc in East Asia and the Pacific?"</w:t>
        </w:r>
      </w:hyperlink>
      <w:r w:rsidRPr="00775F5B">
        <w:rPr>
          <w:sz w:val="20"/>
          <w:szCs w:val="20"/>
        </w:rPr>
        <w:t xml:space="preserve"> </w:t>
      </w:r>
      <w:proofErr w:type="gramStart"/>
      <w:r w:rsidRPr="00775F5B">
        <w:rPr>
          <w:sz w:val="20"/>
          <w:szCs w:val="20"/>
        </w:rPr>
        <w:t>in</w:t>
      </w:r>
      <w:proofErr w:type="gramEnd"/>
      <w:r w:rsidRPr="00775F5B">
        <w:rPr>
          <w:sz w:val="20"/>
          <w:szCs w:val="20"/>
        </w:rPr>
        <w:t xml:space="preserve"> </w:t>
      </w:r>
      <w:hyperlink r:id="rId11" w:history="1">
        <w:r w:rsidRPr="00775F5B">
          <w:rPr>
            <w:rStyle w:val="Emphasis"/>
            <w:sz w:val="20"/>
            <w:szCs w:val="20"/>
            <w:u w:val="single"/>
          </w:rPr>
          <w:t xml:space="preserve">Regionalism and Rivalry: Japan and the </w:t>
        </w:r>
        <w:r w:rsidR="00A85D9A">
          <w:rPr>
            <w:rStyle w:val="Emphasis"/>
            <w:sz w:val="20"/>
            <w:szCs w:val="20"/>
            <w:u w:val="single"/>
          </w:rPr>
          <w:t>US</w:t>
        </w:r>
        <w:r w:rsidRPr="00775F5B">
          <w:rPr>
            <w:rStyle w:val="Emphasis"/>
            <w:sz w:val="20"/>
            <w:szCs w:val="20"/>
            <w:u w:val="single"/>
          </w:rPr>
          <w:t xml:space="preserve"> in Pacific Asi</w:t>
        </w:r>
      </w:hyperlink>
      <w:r w:rsidRPr="00775F5B">
        <w:rPr>
          <w:sz w:val="20"/>
          <w:szCs w:val="20"/>
        </w:rPr>
        <w:t xml:space="preserve">a, edited by Jeffrey Frankel and Miles </w:t>
      </w:r>
      <w:proofErr w:type="spellStart"/>
      <w:r w:rsidRPr="00775F5B">
        <w:rPr>
          <w:sz w:val="20"/>
          <w:szCs w:val="20"/>
        </w:rPr>
        <w:t>Kahler</w:t>
      </w:r>
      <w:proofErr w:type="spellEnd"/>
      <w:r w:rsidRPr="00775F5B">
        <w:rPr>
          <w:sz w:val="20"/>
          <w:szCs w:val="20"/>
        </w:rPr>
        <w:t xml:space="preserve">, </w:t>
      </w:r>
      <w:smartTag w:uri="urn:schemas-microsoft-com:office:smarttags" w:element="place">
        <w:smartTag w:uri="urn:schemas-microsoft-com:office:smarttags" w:element="PlaceType">
          <w:r w:rsidRPr="00775F5B">
            <w:rPr>
              <w:sz w:val="20"/>
              <w:szCs w:val="20"/>
            </w:rPr>
            <w:t>University</w:t>
          </w:r>
        </w:smartTag>
        <w:r w:rsidRPr="00775F5B">
          <w:rPr>
            <w:sz w:val="20"/>
            <w:szCs w:val="20"/>
          </w:rPr>
          <w:t xml:space="preserve"> of </w:t>
        </w:r>
        <w:smartTag w:uri="urn:schemas-microsoft-com:office:smarttags" w:element="PlaceName">
          <w:r w:rsidRPr="00775F5B">
            <w:rPr>
              <w:sz w:val="20"/>
              <w:szCs w:val="20"/>
            </w:rPr>
            <w:t>Chicago Press</w:t>
          </w:r>
        </w:smartTag>
      </w:smartTag>
      <w:r w:rsidRPr="00775F5B">
        <w:rPr>
          <w:sz w:val="20"/>
          <w:szCs w:val="20"/>
        </w:rPr>
        <w:t xml:space="preserve">, </w:t>
      </w:r>
      <w:smartTag w:uri="urn:schemas-microsoft-com:office:smarttags" w:element="City">
        <w:smartTag w:uri="urn:schemas-microsoft-com:office:smarttags" w:element="place">
          <w:r w:rsidRPr="00775F5B">
            <w:rPr>
              <w:sz w:val="20"/>
              <w:szCs w:val="20"/>
            </w:rPr>
            <w:t>Chicago</w:t>
          </w:r>
        </w:smartTag>
      </w:smartTag>
      <w:r w:rsidRPr="00775F5B">
        <w:rPr>
          <w:sz w:val="20"/>
          <w:szCs w:val="20"/>
        </w:rPr>
        <w:t>, 53-85.</w:t>
      </w:r>
    </w:p>
    <w:p w:rsidR="00291B12" w:rsidRPr="00775F5B" w:rsidRDefault="00291B12" w:rsidP="00291B12">
      <w:pPr>
        <w:pStyle w:val="Footer"/>
        <w:tabs>
          <w:tab w:val="clear" w:pos="4320"/>
          <w:tab w:val="clear" w:pos="8640"/>
        </w:tabs>
        <w:rPr>
          <w:sz w:val="20"/>
          <w:szCs w:val="20"/>
        </w:rPr>
      </w:pPr>
    </w:p>
    <w:p w:rsidR="00291B12" w:rsidRPr="00775F5B" w:rsidRDefault="00291B12" w:rsidP="00291B12">
      <w:pPr>
        <w:rPr>
          <w:sz w:val="20"/>
          <w:szCs w:val="20"/>
        </w:rPr>
      </w:pPr>
      <w:r w:rsidRPr="00775F5B">
        <w:rPr>
          <w:sz w:val="20"/>
          <w:szCs w:val="20"/>
        </w:rPr>
        <w:t>Frankel, Jeffrey, 2006</w:t>
      </w:r>
      <w:r w:rsidR="00D41BC8" w:rsidRPr="00775F5B">
        <w:rPr>
          <w:sz w:val="20"/>
          <w:szCs w:val="20"/>
        </w:rPr>
        <w:t>a</w:t>
      </w:r>
      <w:r w:rsidRPr="00775F5B">
        <w:rPr>
          <w:sz w:val="20"/>
          <w:szCs w:val="20"/>
        </w:rPr>
        <w:t>, “</w:t>
      </w:r>
      <w:r w:rsidRPr="00775F5B">
        <w:rPr>
          <w:snapToGrid w:val="0"/>
          <w:sz w:val="20"/>
          <w:szCs w:val="20"/>
        </w:rPr>
        <w:t>On the Yuan: The Choice Between Adjustment Under a Fixed Exchange Rate and Adjustment u</w:t>
      </w:r>
      <w:r w:rsidR="00F01A94" w:rsidRPr="00775F5B">
        <w:rPr>
          <w:snapToGrid w:val="0"/>
          <w:sz w:val="20"/>
          <w:szCs w:val="20"/>
        </w:rPr>
        <w:t>nder a Flexible Rate,</w:t>
      </w:r>
      <w:proofErr w:type="gramStart"/>
      <w:r w:rsidR="00F01A94" w:rsidRPr="00775F5B">
        <w:rPr>
          <w:snapToGrid w:val="0"/>
          <w:sz w:val="20"/>
          <w:szCs w:val="20"/>
        </w:rPr>
        <w:t xml:space="preserve">” </w:t>
      </w:r>
      <w:r w:rsidRPr="00775F5B">
        <w:rPr>
          <w:snapToGrid w:val="0"/>
          <w:sz w:val="20"/>
          <w:szCs w:val="20"/>
        </w:rPr>
        <w:t xml:space="preserve"> </w:t>
      </w:r>
      <w:r w:rsidRPr="00775F5B">
        <w:rPr>
          <w:sz w:val="20"/>
          <w:szCs w:val="20"/>
        </w:rPr>
        <w:t>in</w:t>
      </w:r>
      <w:proofErr w:type="gramEnd"/>
      <w:r w:rsidRPr="00775F5B">
        <w:rPr>
          <w:sz w:val="20"/>
          <w:szCs w:val="20"/>
        </w:rPr>
        <w:t xml:space="preserve"> </w:t>
      </w:r>
      <w:r w:rsidRPr="00775F5B">
        <w:rPr>
          <w:sz w:val="20"/>
          <w:szCs w:val="20"/>
          <w:u w:val="single"/>
        </w:rPr>
        <w:t>Understanding the Chinese Economy</w:t>
      </w:r>
      <w:r w:rsidRPr="00775F5B">
        <w:rPr>
          <w:sz w:val="20"/>
          <w:szCs w:val="20"/>
        </w:rPr>
        <w:t xml:space="preserve">, edited by Gerhard </w:t>
      </w:r>
      <w:proofErr w:type="spellStart"/>
      <w:r w:rsidRPr="00775F5B">
        <w:rPr>
          <w:sz w:val="20"/>
          <w:szCs w:val="20"/>
        </w:rPr>
        <w:t>Illing</w:t>
      </w:r>
      <w:proofErr w:type="spellEnd"/>
      <w:r w:rsidRPr="00775F5B">
        <w:rPr>
          <w:sz w:val="20"/>
          <w:szCs w:val="20"/>
        </w:rPr>
        <w:t xml:space="preserve"> (</w:t>
      </w:r>
      <w:proofErr w:type="spellStart"/>
      <w:r w:rsidRPr="00775F5B">
        <w:rPr>
          <w:sz w:val="20"/>
          <w:szCs w:val="20"/>
        </w:rPr>
        <w:t>CESifo</w:t>
      </w:r>
      <w:proofErr w:type="spellEnd"/>
      <w:r w:rsidRPr="00775F5B">
        <w:rPr>
          <w:sz w:val="20"/>
          <w:szCs w:val="20"/>
        </w:rPr>
        <w:t xml:space="preserve"> Economic Studies, </w:t>
      </w:r>
      <w:smartTag w:uri="urn:schemas-microsoft-com:office:smarttags" w:element="City">
        <w:smartTag w:uri="urn:schemas-microsoft-com:office:smarttags" w:element="place">
          <w:r w:rsidRPr="00775F5B">
            <w:rPr>
              <w:sz w:val="20"/>
              <w:szCs w:val="20"/>
            </w:rPr>
            <w:t>Munich</w:t>
          </w:r>
        </w:smartTag>
      </w:smartTag>
      <w:r w:rsidRPr="00775F5B">
        <w:rPr>
          <w:sz w:val="20"/>
          <w:szCs w:val="20"/>
        </w:rPr>
        <w:t>).   NBER W</w:t>
      </w:r>
      <w:r w:rsidR="00F01A94" w:rsidRPr="00775F5B">
        <w:rPr>
          <w:sz w:val="20"/>
          <w:szCs w:val="20"/>
        </w:rPr>
        <w:t>P No. 11274</w:t>
      </w:r>
      <w:r w:rsidRPr="00775F5B">
        <w:rPr>
          <w:sz w:val="20"/>
          <w:szCs w:val="20"/>
        </w:rPr>
        <w:t>.</w:t>
      </w:r>
    </w:p>
    <w:p w:rsidR="00F01A94" w:rsidRPr="00775F5B" w:rsidRDefault="00F01A94" w:rsidP="00291B12">
      <w:pPr>
        <w:rPr>
          <w:sz w:val="20"/>
          <w:szCs w:val="20"/>
        </w:rPr>
      </w:pPr>
    </w:p>
    <w:p w:rsidR="00F01A94" w:rsidRPr="00775F5B" w:rsidRDefault="00F01A94" w:rsidP="00291B12">
      <w:pPr>
        <w:rPr>
          <w:sz w:val="20"/>
          <w:szCs w:val="20"/>
        </w:rPr>
      </w:pPr>
      <w:r w:rsidRPr="00775F5B">
        <w:rPr>
          <w:bCs/>
          <w:sz w:val="20"/>
          <w:szCs w:val="20"/>
        </w:rPr>
        <w:t xml:space="preserve">Frankel, Jeffrey, 2006b, “Global Imbalances and Low Interest Rates: An Equilibrium Model vs. a Disequilibrium Reality -- </w:t>
      </w:r>
      <w:r w:rsidRPr="00775F5B">
        <w:rPr>
          <w:sz w:val="20"/>
          <w:szCs w:val="20"/>
        </w:rPr>
        <w:t xml:space="preserve">Comments on </w:t>
      </w:r>
      <w:r w:rsidRPr="00A41B60">
        <w:rPr>
          <w:bCs/>
          <w:sz w:val="20"/>
          <w:szCs w:val="20"/>
        </w:rPr>
        <w:t>Caballero</w:t>
      </w:r>
      <w:r w:rsidRPr="00A41B60">
        <w:rPr>
          <w:sz w:val="20"/>
          <w:szCs w:val="20"/>
        </w:rPr>
        <w:t xml:space="preserve">, </w:t>
      </w:r>
      <w:proofErr w:type="spellStart"/>
      <w:r w:rsidRPr="00A41B60">
        <w:rPr>
          <w:bCs/>
          <w:sz w:val="20"/>
          <w:szCs w:val="20"/>
        </w:rPr>
        <w:t>Farhis</w:t>
      </w:r>
      <w:proofErr w:type="spellEnd"/>
      <w:r w:rsidRPr="00A41B60">
        <w:rPr>
          <w:sz w:val="20"/>
          <w:szCs w:val="20"/>
        </w:rPr>
        <w:t xml:space="preserve"> and </w:t>
      </w:r>
      <w:r w:rsidRPr="00A41B60">
        <w:rPr>
          <w:bCs/>
          <w:sz w:val="20"/>
          <w:szCs w:val="20"/>
        </w:rPr>
        <w:t>Gourinchas,”</w:t>
      </w:r>
      <w:r w:rsidRPr="00A41B60">
        <w:rPr>
          <w:sz w:val="20"/>
          <w:szCs w:val="20"/>
        </w:rPr>
        <w:t xml:space="preserve"> </w:t>
      </w:r>
      <w:r w:rsidRPr="00775F5B">
        <w:rPr>
          <w:sz w:val="20"/>
          <w:szCs w:val="20"/>
        </w:rPr>
        <w:t xml:space="preserve">BIS Annual Research Conference, </w:t>
      </w:r>
      <w:proofErr w:type="spellStart"/>
      <w:smartTag w:uri="urn:schemas-microsoft-com:office:smarttags" w:element="place">
        <w:smartTag w:uri="urn:schemas-microsoft-com:office:smarttags" w:element="City">
          <w:r w:rsidRPr="00775F5B">
            <w:rPr>
              <w:sz w:val="20"/>
              <w:szCs w:val="20"/>
            </w:rPr>
            <w:t>Brunnen</w:t>
          </w:r>
        </w:smartTag>
        <w:proofErr w:type="spellEnd"/>
        <w:r w:rsidRPr="00775F5B">
          <w:rPr>
            <w:sz w:val="20"/>
            <w:szCs w:val="20"/>
          </w:rPr>
          <w:t xml:space="preserve">, </w:t>
        </w:r>
        <w:smartTag w:uri="urn:schemas-microsoft-com:office:smarttags" w:element="country-region">
          <w:r w:rsidRPr="00775F5B">
            <w:rPr>
              <w:sz w:val="20"/>
              <w:szCs w:val="20"/>
            </w:rPr>
            <w:t>Switzerland</w:t>
          </w:r>
        </w:smartTag>
      </w:smartTag>
      <w:r w:rsidR="00A41B60">
        <w:rPr>
          <w:sz w:val="20"/>
          <w:szCs w:val="20"/>
        </w:rPr>
        <w:t>, June 19-20.</w:t>
      </w:r>
    </w:p>
    <w:p w:rsidR="0081617B" w:rsidRPr="00775F5B" w:rsidRDefault="0081617B" w:rsidP="00291B12">
      <w:pPr>
        <w:rPr>
          <w:sz w:val="20"/>
          <w:szCs w:val="20"/>
        </w:rPr>
      </w:pPr>
    </w:p>
    <w:p w:rsidR="0081617B" w:rsidRPr="00775F5B" w:rsidRDefault="0081617B" w:rsidP="0081617B">
      <w:pPr>
        <w:jc w:val="both"/>
        <w:rPr>
          <w:sz w:val="20"/>
          <w:szCs w:val="20"/>
        </w:rPr>
      </w:pPr>
      <w:r w:rsidRPr="00775F5B">
        <w:rPr>
          <w:color w:val="000000"/>
          <w:sz w:val="20"/>
          <w:szCs w:val="20"/>
        </w:rPr>
        <w:t>Frankel, Jeffrey, Sergio Schmukler and Luis Servén, 2000</w:t>
      </w:r>
      <w:proofErr w:type="gramStart"/>
      <w:r w:rsidRPr="00775F5B">
        <w:rPr>
          <w:color w:val="000000"/>
          <w:sz w:val="20"/>
          <w:szCs w:val="20"/>
        </w:rPr>
        <w:t>, ”</w:t>
      </w:r>
      <w:proofErr w:type="gramEnd"/>
      <w:r w:rsidRPr="00775F5B">
        <w:rPr>
          <w:color w:val="000000"/>
          <w:sz w:val="20"/>
          <w:szCs w:val="20"/>
        </w:rPr>
        <w:t xml:space="preserve">Verifiability and the Vanishing Intermediate Exchange Rate Regime,” </w:t>
      </w:r>
      <w:r w:rsidRPr="00775F5B">
        <w:rPr>
          <w:sz w:val="20"/>
          <w:szCs w:val="20"/>
          <w:u w:val="single"/>
        </w:rPr>
        <w:t>Brookings Trade Forum 2000</w:t>
      </w:r>
      <w:r w:rsidRPr="00775F5B">
        <w:rPr>
          <w:sz w:val="20"/>
          <w:szCs w:val="20"/>
        </w:rPr>
        <w:t xml:space="preserve">, edited by Susan Collins and Dani Rodrik (Brookings Institution, </w:t>
      </w:r>
      <w:smartTag w:uri="urn:schemas-microsoft-com:office:smarttags" w:element="place">
        <w:smartTag w:uri="urn:schemas-microsoft-com:office:smarttags" w:element="City">
          <w:r w:rsidRPr="00775F5B">
            <w:rPr>
              <w:sz w:val="20"/>
              <w:szCs w:val="20"/>
            </w:rPr>
            <w:t>Washington</w:t>
          </w:r>
        </w:smartTag>
        <w:r w:rsidRPr="00775F5B">
          <w:rPr>
            <w:sz w:val="20"/>
            <w:szCs w:val="20"/>
          </w:rPr>
          <w:t xml:space="preserve"> </w:t>
        </w:r>
        <w:smartTag w:uri="urn:schemas-microsoft-com:office:smarttags" w:element="State">
          <w:r w:rsidRPr="00775F5B">
            <w:rPr>
              <w:sz w:val="20"/>
              <w:szCs w:val="20"/>
            </w:rPr>
            <w:t>DC</w:t>
          </w:r>
        </w:smartTag>
      </w:smartTag>
      <w:r w:rsidRPr="00775F5B">
        <w:rPr>
          <w:sz w:val="20"/>
          <w:szCs w:val="20"/>
        </w:rPr>
        <w:t>).</w:t>
      </w:r>
    </w:p>
    <w:p w:rsidR="00291B12" w:rsidRPr="00775F5B" w:rsidRDefault="00291B12" w:rsidP="00291B12">
      <w:pPr>
        <w:rPr>
          <w:sz w:val="20"/>
          <w:szCs w:val="20"/>
        </w:rPr>
      </w:pPr>
    </w:p>
    <w:p w:rsidR="0081617B" w:rsidRPr="00775F5B" w:rsidRDefault="00291B12" w:rsidP="00291B12">
      <w:pPr>
        <w:rPr>
          <w:sz w:val="20"/>
          <w:szCs w:val="20"/>
        </w:rPr>
      </w:pPr>
      <w:proofErr w:type="gramStart"/>
      <w:r w:rsidRPr="00775F5B">
        <w:rPr>
          <w:sz w:val="20"/>
          <w:szCs w:val="20"/>
        </w:rPr>
        <w:t>Frankel, Jeffrey, and Shang-Jin Wei, 1994, “Yen Bloc or Dollar Bloc?</w:t>
      </w:r>
      <w:proofErr w:type="gramEnd"/>
      <w:r w:rsidRPr="00775F5B">
        <w:rPr>
          <w:sz w:val="20"/>
          <w:szCs w:val="20"/>
        </w:rPr>
        <w:t xml:space="preserve"> Exchange Rate Policies of the East Asian Economies,” in </w:t>
      </w:r>
      <w:r w:rsidRPr="00775F5B">
        <w:rPr>
          <w:sz w:val="20"/>
          <w:szCs w:val="20"/>
          <w:u w:val="single"/>
        </w:rPr>
        <w:t>Macroeconomic Linkages: Savings, Exchange Rates and Capital Flows</w:t>
      </w:r>
      <w:r w:rsidR="00F01A94" w:rsidRPr="00775F5B">
        <w:rPr>
          <w:sz w:val="20"/>
          <w:szCs w:val="20"/>
        </w:rPr>
        <w:t xml:space="preserve">, </w:t>
      </w:r>
      <w:r w:rsidRPr="00775F5B">
        <w:rPr>
          <w:sz w:val="20"/>
          <w:szCs w:val="20"/>
        </w:rPr>
        <w:t>Takatoshi Ito an</w:t>
      </w:r>
      <w:r w:rsidR="00F01A94" w:rsidRPr="00775F5B">
        <w:rPr>
          <w:sz w:val="20"/>
          <w:szCs w:val="20"/>
        </w:rPr>
        <w:t xml:space="preserve">d Anne O. Krueger, eds., </w:t>
      </w:r>
      <w:smartTag w:uri="urn:schemas-microsoft-com:office:smarttags" w:element="City">
        <w:smartTag w:uri="urn:schemas-microsoft-com:office:smarttags" w:element="place">
          <w:r w:rsidR="00F01A94" w:rsidRPr="00775F5B">
            <w:rPr>
              <w:sz w:val="20"/>
              <w:szCs w:val="20"/>
            </w:rPr>
            <w:t>Chicago</w:t>
          </w:r>
        </w:smartTag>
      </w:smartTag>
      <w:r w:rsidR="00F01A94" w:rsidRPr="00775F5B">
        <w:rPr>
          <w:sz w:val="20"/>
          <w:szCs w:val="20"/>
        </w:rPr>
        <w:t xml:space="preserve">: </w:t>
      </w:r>
      <w:smartTag w:uri="urn:schemas-microsoft-com:office:smarttags" w:element="place">
        <w:smartTag w:uri="urn:schemas-microsoft-com:office:smarttags" w:element="PlaceType">
          <w:r w:rsidRPr="00775F5B">
            <w:rPr>
              <w:sz w:val="20"/>
              <w:szCs w:val="20"/>
            </w:rPr>
            <w:t>University</w:t>
          </w:r>
        </w:smartTag>
        <w:r w:rsidRPr="00775F5B">
          <w:rPr>
            <w:sz w:val="20"/>
            <w:szCs w:val="20"/>
          </w:rPr>
          <w:t xml:space="preserve"> of </w:t>
        </w:r>
        <w:smartTag w:uri="urn:schemas-microsoft-com:office:smarttags" w:element="PlaceName">
          <w:r w:rsidRPr="00775F5B">
            <w:rPr>
              <w:sz w:val="20"/>
              <w:szCs w:val="20"/>
            </w:rPr>
            <w:t>Chicago</w:t>
          </w:r>
        </w:smartTag>
      </w:smartTag>
      <w:r w:rsidRPr="00775F5B">
        <w:rPr>
          <w:sz w:val="20"/>
          <w:szCs w:val="20"/>
        </w:rPr>
        <w:t xml:space="preserve"> Press, 295-329.</w:t>
      </w:r>
    </w:p>
    <w:p w:rsidR="0081617B" w:rsidRPr="00775F5B" w:rsidRDefault="0081617B" w:rsidP="00291B12">
      <w:pPr>
        <w:rPr>
          <w:sz w:val="20"/>
          <w:szCs w:val="20"/>
        </w:rPr>
      </w:pPr>
    </w:p>
    <w:p w:rsidR="0081617B" w:rsidRPr="00775F5B" w:rsidRDefault="0081617B" w:rsidP="00840F6A">
      <w:pPr>
        <w:tabs>
          <w:tab w:val="left" w:pos="1008"/>
          <w:tab w:val="left" w:pos="7200"/>
        </w:tabs>
        <w:jc w:val="both"/>
        <w:rPr>
          <w:sz w:val="20"/>
          <w:szCs w:val="20"/>
        </w:rPr>
      </w:pPr>
      <w:r w:rsidRPr="00775F5B">
        <w:rPr>
          <w:sz w:val="20"/>
          <w:szCs w:val="20"/>
        </w:rPr>
        <w:t xml:space="preserve">Frankel, Jeffrey, and Shang-Jin Wei, 1995, "Emerging Currency Blocs," </w:t>
      </w:r>
      <w:r w:rsidRPr="00775F5B">
        <w:rPr>
          <w:sz w:val="20"/>
          <w:szCs w:val="20"/>
          <w:u w:val="single"/>
        </w:rPr>
        <w:t>The International Monetary System: Its Institutions and its Future</w:t>
      </w:r>
      <w:r w:rsidR="00840F6A" w:rsidRPr="00775F5B">
        <w:rPr>
          <w:sz w:val="20"/>
          <w:szCs w:val="20"/>
        </w:rPr>
        <w:t xml:space="preserve">, </w:t>
      </w:r>
      <w:r w:rsidRPr="00775F5B">
        <w:rPr>
          <w:sz w:val="20"/>
          <w:szCs w:val="20"/>
        </w:rPr>
        <w:t xml:space="preserve">Hans </w:t>
      </w:r>
      <w:proofErr w:type="spellStart"/>
      <w:r w:rsidRPr="00775F5B">
        <w:rPr>
          <w:sz w:val="20"/>
          <w:szCs w:val="20"/>
        </w:rPr>
        <w:t>Genberg</w:t>
      </w:r>
      <w:proofErr w:type="spellEnd"/>
      <w:r w:rsidRPr="00775F5B">
        <w:rPr>
          <w:sz w:val="20"/>
          <w:szCs w:val="20"/>
        </w:rPr>
        <w:t>,</w:t>
      </w:r>
      <w:r w:rsidR="00840F6A" w:rsidRPr="00775F5B">
        <w:rPr>
          <w:sz w:val="20"/>
          <w:szCs w:val="20"/>
        </w:rPr>
        <w:t xml:space="preserve"> ed.,</w:t>
      </w:r>
      <w:r w:rsidRPr="00775F5B">
        <w:rPr>
          <w:sz w:val="20"/>
          <w:szCs w:val="20"/>
        </w:rPr>
        <w:t xml:space="preserve"> Springer, </w:t>
      </w:r>
      <w:smartTag w:uri="urn:schemas-microsoft-com:office:smarttags" w:element="State">
        <w:smartTag w:uri="urn:schemas-microsoft-com:office:smarttags" w:element="place">
          <w:r w:rsidRPr="00775F5B">
            <w:rPr>
              <w:sz w:val="20"/>
              <w:szCs w:val="20"/>
            </w:rPr>
            <w:t>Berlin</w:t>
          </w:r>
        </w:smartTag>
      </w:smartTag>
      <w:r w:rsidRPr="00775F5B">
        <w:rPr>
          <w:sz w:val="20"/>
          <w:szCs w:val="20"/>
        </w:rPr>
        <w:t>, 111-143.</w:t>
      </w:r>
    </w:p>
    <w:p w:rsidR="005C30A9" w:rsidRPr="00775F5B" w:rsidRDefault="005C30A9" w:rsidP="00291B12">
      <w:pPr>
        <w:rPr>
          <w:sz w:val="20"/>
          <w:szCs w:val="20"/>
        </w:rPr>
      </w:pPr>
    </w:p>
    <w:p w:rsidR="005C30A9" w:rsidRPr="00775F5B" w:rsidRDefault="005C30A9" w:rsidP="005C30A9">
      <w:pPr>
        <w:rPr>
          <w:sz w:val="20"/>
          <w:szCs w:val="20"/>
        </w:rPr>
      </w:pPr>
      <w:r w:rsidRPr="00775F5B">
        <w:rPr>
          <w:sz w:val="20"/>
          <w:szCs w:val="20"/>
        </w:rPr>
        <w:t>Frankel, Jeffrey, and Shang-Jin Wei</w:t>
      </w:r>
      <w:r w:rsidR="00771D1C" w:rsidRPr="00775F5B">
        <w:rPr>
          <w:sz w:val="20"/>
          <w:szCs w:val="20"/>
        </w:rPr>
        <w:t xml:space="preserve">, 2006, </w:t>
      </w:r>
      <w:r w:rsidRPr="00775F5B">
        <w:rPr>
          <w:sz w:val="20"/>
          <w:szCs w:val="20"/>
        </w:rPr>
        <w:t>“Currency Mysteries</w:t>
      </w:r>
      <w:proofErr w:type="gramStart"/>
      <w:r w:rsidRPr="00775F5B">
        <w:rPr>
          <w:sz w:val="20"/>
          <w:szCs w:val="20"/>
        </w:rPr>
        <w:t>,“</w:t>
      </w:r>
      <w:proofErr w:type="gramEnd"/>
      <w:r w:rsidRPr="00775F5B">
        <w:rPr>
          <w:sz w:val="20"/>
          <w:szCs w:val="20"/>
        </w:rPr>
        <w:t xml:space="preserve"> May 28.</w:t>
      </w:r>
    </w:p>
    <w:p w:rsidR="00291B12" w:rsidRPr="00775F5B" w:rsidRDefault="00291B12" w:rsidP="00291B12">
      <w:pPr>
        <w:rPr>
          <w:sz w:val="20"/>
          <w:szCs w:val="20"/>
        </w:rPr>
      </w:pPr>
    </w:p>
    <w:p w:rsidR="00291B12" w:rsidRPr="00775F5B" w:rsidRDefault="00291B12" w:rsidP="00291B12">
      <w:pPr>
        <w:rPr>
          <w:sz w:val="20"/>
          <w:szCs w:val="20"/>
        </w:rPr>
      </w:pPr>
      <w:r w:rsidRPr="00775F5B">
        <w:rPr>
          <w:sz w:val="20"/>
          <w:szCs w:val="20"/>
        </w:rPr>
        <w:t>Goldstein, Morris, 2003, “China's Exchange Rate Regime,” Testimony before the Subcommittee on  Domestic and International Monetary Policy, Trade, and Technology, Committee on Financial Services, US House of Representatives, Washington, DC,  October 1.</w:t>
      </w:r>
    </w:p>
    <w:p w:rsidR="00291B12" w:rsidRPr="002202F5" w:rsidRDefault="00291B12" w:rsidP="00291B12">
      <w:pPr>
        <w:rPr>
          <w:sz w:val="20"/>
          <w:szCs w:val="20"/>
        </w:rPr>
      </w:pPr>
    </w:p>
    <w:p w:rsidR="00775F5B" w:rsidRDefault="00291B12" w:rsidP="002202F5">
      <w:pPr>
        <w:rPr>
          <w:sz w:val="20"/>
          <w:szCs w:val="20"/>
        </w:rPr>
      </w:pPr>
      <w:r w:rsidRPr="002202F5">
        <w:rPr>
          <w:sz w:val="20"/>
          <w:szCs w:val="20"/>
        </w:rPr>
        <w:t>Goldstein, Morris, 2004</w:t>
      </w:r>
      <w:proofErr w:type="gramStart"/>
      <w:r w:rsidRPr="002202F5">
        <w:rPr>
          <w:sz w:val="20"/>
          <w:szCs w:val="20"/>
        </w:rPr>
        <w:t xml:space="preserve">, </w:t>
      </w:r>
      <w:r w:rsidR="00AE6A80">
        <w:rPr>
          <w:sz w:val="20"/>
          <w:szCs w:val="20"/>
        </w:rPr>
        <w:t xml:space="preserve"> </w:t>
      </w:r>
      <w:r w:rsidRPr="002202F5">
        <w:rPr>
          <w:sz w:val="20"/>
          <w:szCs w:val="20"/>
        </w:rPr>
        <w:t>“</w:t>
      </w:r>
      <w:proofErr w:type="gramEnd"/>
      <w:r w:rsidRPr="002202F5">
        <w:rPr>
          <w:sz w:val="20"/>
          <w:szCs w:val="20"/>
        </w:rPr>
        <w:t xml:space="preserve">Adjusting China’s Exchange Rate Policies,” High-Level Seminar, </w:t>
      </w:r>
      <w:smartTag w:uri="urn:schemas-microsoft-com:office:smarttags" w:element="place">
        <w:smartTag w:uri="urn:schemas-microsoft-com:office:smarttags" w:element="City">
          <w:r w:rsidRPr="002202F5">
            <w:rPr>
              <w:sz w:val="20"/>
              <w:szCs w:val="20"/>
            </w:rPr>
            <w:t>Dalian</w:t>
          </w:r>
        </w:smartTag>
        <w:r w:rsidRPr="002202F5">
          <w:rPr>
            <w:sz w:val="20"/>
            <w:szCs w:val="20"/>
          </w:rPr>
          <w:t xml:space="preserve">, </w:t>
        </w:r>
        <w:smartTag w:uri="urn:schemas-microsoft-com:office:smarttags" w:element="country-region">
          <w:r w:rsidRPr="002202F5">
            <w:rPr>
              <w:sz w:val="20"/>
              <w:szCs w:val="20"/>
            </w:rPr>
            <w:t>China</w:t>
          </w:r>
        </w:smartTag>
      </w:smartTag>
      <w:r w:rsidR="002202F5">
        <w:rPr>
          <w:sz w:val="20"/>
          <w:szCs w:val="20"/>
        </w:rPr>
        <w:t>, May 26-27</w:t>
      </w:r>
      <w:r w:rsidRPr="002202F5">
        <w:rPr>
          <w:sz w:val="20"/>
          <w:szCs w:val="20"/>
        </w:rPr>
        <w:t>.</w:t>
      </w:r>
      <w:r w:rsidR="002202F5" w:rsidRPr="002202F5">
        <w:rPr>
          <w:sz w:val="20"/>
          <w:szCs w:val="20"/>
        </w:rPr>
        <w:t xml:space="preserve">   </w:t>
      </w:r>
      <w:proofErr w:type="gramStart"/>
      <w:r w:rsidR="002202F5" w:rsidRPr="002202F5">
        <w:rPr>
          <w:sz w:val="20"/>
          <w:szCs w:val="20"/>
        </w:rPr>
        <w:t xml:space="preserve">Working Paper 04-1, Petersen Institute for International Economics, </w:t>
      </w:r>
      <w:smartTag w:uri="urn:schemas-microsoft-com:office:smarttags" w:element="place">
        <w:smartTag w:uri="urn:schemas-microsoft-com:office:smarttags" w:element="City">
          <w:r w:rsidR="002202F5" w:rsidRPr="002202F5">
            <w:rPr>
              <w:sz w:val="20"/>
              <w:szCs w:val="20"/>
            </w:rPr>
            <w:t>Washington</w:t>
          </w:r>
        </w:smartTag>
        <w:r w:rsidR="002202F5" w:rsidRPr="002202F5">
          <w:rPr>
            <w:sz w:val="20"/>
            <w:szCs w:val="20"/>
          </w:rPr>
          <w:t xml:space="preserve">, </w:t>
        </w:r>
        <w:smartTag w:uri="urn:schemas-microsoft-com:office:smarttags" w:element="State">
          <w:r w:rsidR="002202F5" w:rsidRPr="002202F5">
            <w:rPr>
              <w:sz w:val="20"/>
              <w:szCs w:val="20"/>
            </w:rPr>
            <w:t>DC</w:t>
          </w:r>
        </w:smartTag>
      </w:smartTag>
      <w:r w:rsidR="002202F5" w:rsidRPr="002202F5">
        <w:rPr>
          <w:sz w:val="20"/>
          <w:szCs w:val="20"/>
        </w:rPr>
        <w:t>.</w:t>
      </w:r>
      <w:proofErr w:type="gramEnd"/>
    </w:p>
    <w:p w:rsidR="00AE6A80" w:rsidRDefault="00AE6A80" w:rsidP="002202F5">
      <w:pPr>
        <w:rPr>
          <w:sz w:val="20"/>
          <w:szCs w:val="20"/>
        </w:rPr>
      </w:pPr>
    </w:p>
    <w:p w:rsidR="00AE6A80" w:rsidRPr="002202F5" w:rsidRDefault="00AE6A80" w:rsidP="002202F5">
      <w:pPr>
        <w:rPr>
          <w:sz w:val="20"/>
          <w:szCs w:val="20"/>
        </w:rPr>
      </w:pPr>
      <w:r>
        <w:rPr>
          <w:sz w:val="20"/>
          <w:szCs w:val="20"/>
        </w:rPr>
        <w:t>Goldstein, Morris, 2007</w:t>
      </w:r>
      <w:proofErr w:type="gramStart"/>
      <w:r>
        <w:rPr>
          <w:sz w:val="20"/>
          <w:szCs w:val="20"/>
        </w:rPr>
        <w:t>,  “</w:t>
      </w:r>
      <w:proofErr w:type="gramEnd"/>
      <w:r>
        <w:rPr>
          <w:sz w:val="20"/>
          <w:szCs w:val="20"/>
        </w:rPr>
        <w:t xml:space="preserve">Assessing Progress on </w:t>
      </w:r>
      <w:smartTag w:uri="urn:schemas-microsoft-com:office:smarttags" w:element="country-region">
        <w:smartTag w:uri="urn:schemas-microsoft-com:office:smarttags" w:element="place">
          <w:r>
            <w:rPr>
              <w:sz w:val="20"/>
              <w:szCs w:val="20"/>
            </w:rPr>
            <w:t>China</w:t>
          </w:r>
        </w:smartTag>
      </w:smartTag>
      <w:r>
        <w:rPr>
          <w:sz w:val="20"/>
          <w:szCs w:val="20"/>
        </w:rPr>
        <w:t xml:space="preserve">’s Exchange Rate Policies,” Testimony before the Hearing on </w:t>
      </w:r>
      <w:r w:rsidRPr="00AE6A80">
        <w:rPr>
          <w:i/>
          <w:sz w:val="20"/>
          <w:szCs w:val="20"/>
        </w:rPr>
        <w:t>Risks and Reform: the Role of Currency in the US-China Relationship</w:t>
      </w:r>
      <w:r>
        <w:rPr>
          <w:sz w:val="20"/>
          <w:szCs w:val="20"/>
        </w:rPr>
        <w:t xml:space="preserve">, “ US Senate Finance Committee, </w:t>
      </w:r>
      <w:smartTag w:uri="urn:schemas-microsoft-com:office:smarttags" w:element="place">
        <w:smartTag w:uri="urn:schemas-microsoft-com:office:smarttags" w:element="City">
          <w:r>
            <w:rPr>
              <w:sz w:val="20"/>
              <w:szCs w:val="20"/>
            </w:rPr>
            <w:t>Washington</w:t>
          </w:r>
        </w:smartTag>
        <w:r>
          <w:rPr>
            <w:sz w:val="20"/>
            <w:szCs w:val="20"/>
          </w:rPr>
          <w:t xml:space="preserve"> </w:t>
        </w:r>
        <w:smartTag w:uri="urn:schemas-microsoft-com:office:smarttags" w:element="State">
          <w:r>
            <w:rPr>
              <w:sz w:val="20"/>
              <w:szCs w:val="20"/>
            </w:rPr>
            <w:t>DC</w:t>
          </w:r>
        </w:smartTag>
      </w:smartTag>
      <w:r>
        <w:rPr>
          <w:sz w:val="20"/>
          <w:szCs w:val="20"/>
        </w:rPr>
        <w:t>, March 28.</w:t>
      </w:r>
    </w:p>
    <w:p w:rsidR="00775F5B" w:rsidRPr="00775F5B" w:rsidRDefault="00775F5B" w:rsidP="00291B12">
      <w:pPr>
        <w:rPr>
          <w:sz w:val="20"/>
          <w:szCs w:val="20"/>
        </w:rPr>
      </w:pPr>
    </w:p>
    <w:p w:rsidR="002202F5" w:rsidRDefault="00291B12" w:rsidP="00291B12">
      <w:pPr>
        <w:rPr>
          <w:sz w:val="20"/>
          <w:szCs w:val="20"/>
        </w:rPr>
      </w:pPr>
      <w:r w:rsidRPr="00775F5B">
        <w:rPr>
          <w:sz w:val="20"/>
          <w:szCs w:val="20"/>
        </w:rPr>
        <w:t xml:space="preserve">Goldstein, Morris, and Nicholas Lardy, 2003, “Two-Stage Currency Reform for </w:t>
      </w:r>
      <w:smartTag w:uri="urn:schemas-microsoft-com:office:smarttags" w:element="country-region">
        <w:smartTag w:uri="urn:schemas-microsoft-com:office:smarttags" w:element="place">
          <w:r w:rsidRPr="00775F5B">
            <w:rPr>
              <w:sz w:val="20"/>
              <w:szCs w:val="20"/>
            </w:rPr>
            <w:t>China</w:t>
          </w:r>
        </w:smartTag>
      </w:smartTag>
      <w:r w:rsidRPr="00775F5B">
        <w:rPr>
          <w:sz w:val="20"/>
          <w:szCs w:val="20"/>
        </w:rPr>
        <w:t xml:space="preserve">,” </w:t>
      </w:r>
      <w:r w:rsidRPr="00775F5B">
        <w:rPr>
          <w:i/>
          <w:sz w:val="20"/>
          <w:szCs w:val="20"/>
        </w:rPr>
        <w:t>Wall Street Journal</w:t>
      </w:r>
      <w:r w:rsidRPr="00775F5B">
        <w:rPr>
          <w:sz w:val="20"/>
          <w:szCs w:val="20"/>
        </w:rPr>
        <w:t>, September 12.</w:t>
      </w:r>
    </w:p>
    <w:p w:rsidR="00291B12" w:rsidRPr="002202F5" w:rsidRDefault="002202F5" w:rsidP="002202F5">
      <w:pPr>
        <w:pStyle w:val="NormalWeb"/>
        <w:rPr>
          <w:rFonts w:ascii="Times New Roman" w:hAnsi="Times New Roman" w:cs="Times New Roman"/>
        </w:rPr>
      </w:pPr>
      <w:r w:rsidRPr="002202F5">
        <w:rPr>
          <w:rFonts w:ascii="Times New Roman" w:hAnsi="Times New Roman" w:cs="Times New Roman"/>
        </w:rPr>
        <w:t>Goldstein, Morris, and Nicholas Lardy, 2005, “</w:t>
      </w:r>
      <w:hyperlink r:id="rId12" w:history="1">
        <w:r w:rsidRPr="002202F5">
          <w:rPr>
            <w:rStyle w:val="Hyperlink"/>
            <w:rFonts w:ascii="Times New Roman" w:hAnsi="Times New Roman" w:cs="Times New Roman"/>
            <w:color w:val="auto"/>
            <w:u w:val="none"/>
          </w:rPr>
          <w:t>China's Role in the Revived Bretton Woods System: A Case of Mistaken Identity</w:t>
        </w:r>
      </w:hyperlink>
      <w:r w:rsidR="003B798E">
        <w:rPr>
          <w:rFonts w:ascii="Times New Roman" w:hAnsi="Times New Roman" w:cs="Times New Roman"/>
        </w:rPr>
        <w:t>,</w:t>
      </w:r>
      <w:r w:rsidRPr="002202F5">
        <w:rPr>
          <w:rFonts w:ascii="Times New Roman" w:hAnsi="Times New Roman" w:cs="Times New Roman"/>
        </w:rPr>
        <w:t>” W</w:t>
      </w:r>
      <w:r w:rsidR="004A60CE">
        <w:rPr>
          <w:rFonts w:ascii="Times New Roman" w:hAnsi="Times New Roman" w:cs="Times New Roman"/>
        </w:rPr>
        <w:t>P</w:t>
      </w:r>
      <w:r w:rsidRPr="002202F5">
        <w:rPr>
          <w:rFonts w:ascii="Times New Roman" w:hAnsi="Times New Roman" w:cs="Times New Roman"/>
        </w:rPr>
        <w:t xml:space="preserve"> 05-2, Petersen Institute for International Economics, </w:t>
      </w:r>
      <w:smartTag w:uri="urn:schemas-microsoft-com:office:smarttags" w:element="place">
        <w:smartTag w:uri="urn:schemas-microsoft-com:office:smarttags" w:element="City">
          <w:r w:rsidRPr="002202F5">
            <w:rPr>
              <w:rFonts w:ascii="Times New Roman" w:hAnsi="Times New Roman" w:cs="Times New Roman"/>
            </w:rPr>
            <w:t>Washington</w:t>
          </w:r>
        </w:smartTag>
        <w:r w:rsidRPr="002202F5">
          <w:rPr>
            <w:rFonts w:ascii="Times New Roman" w:hAnsi="Times New Roman" w:cs="Times New Roman"/>
          </w:rPr>
          <w:t xml:space="preserve">, </w:t>
        </w:r>
        <w:smartTag w:uri="urn:schemas-microsoft-com:office:smarttags" w:element="State">
          <w:r w:rsidRPr="002202F5">
            <w:rPr>
              <w:rFonts w:ascii="Times New Roman" w:hAnsi="Times New Roman" w:cs="Times New Roman"/>
            </w:rPr>
            <w:t>DC</w:t>
          </w:r>
        </w:smartTag>
      </w:smartTag>
      <w:r w:rsidRPr="002202F5">
        <w:rPr>
          <w:rFonts w:ascii="Times New Roman" w:hAnsi="Times New Roman" w:cs="Times New Roman"/>
        </w:rPr>
        <w:t>.</w:t>
      </w:r>
    </w:p>
    <w:p w:rsidR="00291B12" w:rsidRPr="00775F5B" w:rsidRDefault="00291B12" w:rsidP="00291B12">
      <w:pPr>
        <w:rPr>
          <w:sz w:val="20"/>
          <w:szCs w:val="20"/>
        </w:rPr>
      </w:pPr>
      <w:r w:rsidRPr="00775F5B">
        <w:rPr>
          <w:sz w:val="20"/>
          <w:szCs w:val="20"/>
        </w:rPr>
        <w:t>Haldane AG, and SG Hall, 1991, “</w:t>
      </w:r>
      <w:smartTag w:uri="urn:schemas-microsoft-com:office:smarttags" w:element="City">
        <w:smartTag w:uri="urn:schemas-microsoft-com:office:smarttags" w:element="place">
          <w:r w:rsidRPr="00775F5B">
            <w:rPr>
              <w:sz w:val="20"/>
              <w:szCs w:val="20"/>
            </w:rPr>
            <w:t>Sterling</w:t>
          </w:r>
        </w:smartTag>
      </w:smartTag>
      <w:r w:rsidRPr="00775F5B">
        <w:rPr>
          <w:sz w:val="20"/>
          <w:szCs w:val="20"/>
        </w:rPr>
        <w:t xml:space="preserve">’s Relationship with the Dollar and the Deutschemark: 1976-89,” </w:t>
      </w:r>
      <w:r w:rsidRPr="00775F5B">
        <w:rPr>
          <w:sz w:val="20"/>
          <w:szCs w:val="20"/>
          <w:u w:val="single"/>
        </w:rPr>
        <w:t>The Economic Journal</w:t>
      </w:r>
      <w:r w:rsidRPr="00775F5B">
        <w:rPr>
          <w:sz w:val="20"/>
          <w:szCs w:val="20"/>
        </w:rPr>
        <w:t>, 101: 436-443.</w:t>
      </w:r>
    </w:p>
    <w:p w:rsidR="0091742F" w:rsidRPr="00775F5B" w:rsidRDefault="0091742F" w:rsidP="00291B12">
      <w:pPr>
        <w:rPr>
          <w:sz w:val="20"/>
          <w:szCs w:val="20"/>
        </w:rPr>
      </w:pPr>
    </w:p>
    <w:p w:rsidR="00E54CFA" w:rsidRPr="00775F5B" w:rsidRDefault="00E54CFA" w:rsidP="00291B12">
      <w:pPr>
        <w:rPr>
          <w:sz w:val="20"/>
          <w:szCs w:val="20"/>
        </w:rPr>
      </w:pPr>
      <w:r w:rsidRPr="00775F5B">
        <w:rPr>
          <w:sz w:val="20"/>
          <w:szCs w:val="20"/>
        </w:rPr>
        <w:t xml:space="preserve">International Monetary Fund, </w:t>
      </w:r>
      <w:proofErr w:type="gramStart"/>
      <w:r w:rsidRPr="00775F5B">
        <w:rPr>
          <w:sz w:val="20"/>
          <w:szCs w:val="20"/>
        </w:rPr>
        <w:t>2006a ,</w:t>
      </w:r>
      <w:proofErr w:type="gramEnd"/>
      <w:r w:rsidRPr="00775F5B">
        <w:rPr>
          <w:sz w:val="20"/>
          <w:szCs w:val="20"/>
        </w:rPr>
        <w:t xml:space="preserve"> “Article IV of the Fund’s Articles of Agreement: An Overview of the Legal Framework,” Legal Department, June 28.</w:t>
      </w:r>
    </w:p>
    <w:p w:rsidR="00E54CFA" w:rsidRPr="00775F5B" w:rsidRDefault="00E54CFA" w:rsidP="00291B12">
      <w:pPr>
        <w:rPr>
          <w:sz w:val="20"/>
          <w:szCs w:val="20"/>
        </w:rPr>
      </w:pPr>
    </w:p>
    <w:p w:rsidR="0091742F" w:rsidRPr="00775F5B" w:rsidRDefault="0091742F" w:rsidP="00291B12">
      <w:pPr>
        <w:rPr>
          <w:sz w:val="20"/>
          <w:szCs w:val="20"/>
        </w:rPr>
      </w:pPr>
      <w:r w:rsidRPr="00775F5B">
        <w:rPr>
          <w:sz w:val="20"/>
          <w:szCs w:val="20"/>
        </w:rPr>
        <w:t>International Monetary Fund, 2006</w:t>
      </w:r>
      <w:r w:rsidR="00E54CFA" w:rsidRPr="00775F5B">
        <w:rPr>
          <w:sz w:val="20"/>
          <w:szCs w:val="20"/>
        </w:rPr>
        <w:t>b</w:t>
      </w:r>
      <w:r w:rsidRPr="00775F5B">
        <w:rPr>
          <w:sz w:val="20"/>
          <w:szCs w:val="20"/>
        </w:rPr>
        <w:t xml:space="preserve">, “People’s Republic of </w:t>
      </w:r>
      <w:smartTag w:uri="urn:schemas-microsoft-com:office:smarttags" w:element="country-region">
        <w:smartTag w:uri="urn:schemas-microsoft-com:office:smarttags" w:element="place">
          <w:r w:rsidRPr="00775F5B">
            <w:rPr>
              <w:sz w:val="20"/>
              <w:szCs w:val="20"/>
            </w:rPr>
            <w:t>China</w:t>
          </w:r>
        </w:smartTag>
      </w:smartTag>
      <w:r w:rsidRPr="00775F5B">
        <w:rPr>
          <w:sz w:val="20"/>
          <w:szCs w:val="20"/>
        </w:rPr>
        <w:t xml:space="preserve">: 2006 Article IV Consultation – Staff Report,” </w:t>
      </w:r>
      <w:r w:rsidRPr="00775F5B">
        <w:rPr>
          <w:i/>
          <w:sz w:val="20"/>
          <w:szCs w:val="20"/>
        </w:rPr>
        <w:t>IMF Country Report No. 06/394</w:t>
      </w:r>
      <w:r w:rsidRPr="00775F5B">
        <w:rPr>
          <w:sz w:val="20"/>
          <w:szCs w:val="20"/>
        </w:rPr>
        <w:t>, October.</w:t>
      </w:r>
    </w:p>
    <w:p w:rsidR="00B71BDC" w:rsidRDefault="00B71BDC" w:rsidP="00291B12">
      <w:pPr>
        <w:rPr>
          <w:sz w:val="20"/>
          <w:szCs w:val="20"/>
        </w:rPr>
      </w:pPr>
    </w:p>
    <w:p w:rsidR="00B302D9" w:rsidRDefault="00B302D9" w:rsidP="00291B12">
      <w:pPr>
        <w:rPr>
          <w:sz w:val="20"/>
          <w:szCs w:val="20"/>
        </w:rPr>
      </w:pPr>
      <w:r w:rsidRPr="00775F5B">
        <w:rPr>
          <w:sz w:val="20"/>
          <w:szCs w:val="20"/>
        </w:rPr>
        <w:t>International Monetary Fund, 2006</w:t>
      </w:r>
      <w:r>
        <w:rPr>
          <w:sz w:val="20"/>
          <w:szCs w:val="20"/>
        </w:rPr>
        <w:t>c, “Selected Decisions and Selected Documents of the IMF, Thirtieth Issue – Surveillance over Exchange Rate Policies, Legal Department, updated June 30.</w:t>
      </w:r>
    </w:p>
    <w:p w:rsidR="00B302D9" w:rsidRPr="00775F5B" w:rsidRDefault="00B302D9" w:rsidP="00291B12">
      <w:pPr>
        <w:rPr>
          <w:sz w:val="20"/>
          <w:szCs w:val="20"/>
        </w:rPr>
      </w:pPr>
    </w:p>
    <w:p w:rsidR="00B71BDC" w:rsidRDefault="00B71BDC" w:rsidP="00291B12">
      <w:pPr>
        <w:rPr>
          <w:sz w:val="20"/>
          <w:szCs w:val="20"/>
        </w:rPr>
      </w:pPr>
      <w:r w:rsidRPr="00775F5B">
        <w:rPr>
          <w:sz w:val="20"/>
          <w:szCs w:val="20"/>
        </w:rPr>
        <w:t>Jen, Stephen, 2005, “Chinese RMB Basket Still a Mystery,” G</w:t>
      </w:r>
      <w:r w:rsidR="002C2CE5">
        <w:rPr>
          <w:rFonts w:hint="eastAsia"/>
          <w:sz w:val="20"/>
          <w:szCs w:val="20"/>
          <w:lang w:eastAsia="zh-CN"/>
        </w:rPr>
        <w:t>l</w:t>
      </w:r>
      <w:r w:rsidRPr="00775F5B">
        <w:rPr>
          <w:sz w:val="20"/>
          <w:szCs w:val="20"/>
        </w:rPr>
        <w:t xml:space="preserve">obal Economics Forum, Morgan Stanley, August 19.  </w:t>
      </w:r>
    </w:p>
    <w:p w:rsidR="00290B29" w:rsidRDefault="00290B29" w:rsidP="00291B12">
      <w:pPr>
        <w:rPr>
          <w:sz w:val="20"/>
          <w:szCs w:val="20"/>
        </w:rPr>
      </w:pPr>
    </w:p>
    <w:p w:rsidR="00290B29" w:rsidRPr="00775F5B" w:rsidRDefault="00290B29" w:rsidP="00291B12">
      <w:pPr>
        <w:rPr>
          <w:sz w:val="20"/>
          <w:szCs w:val="20"/>
        </w:rPr>
      </w:pPr>
      <w:r>
        <w:rPr>
          <w:sz w:val="20"/>
          <w:szCs w:val="20"/>
        </w:rPr>
        <w:t xml:space="preserve">King, Mervyn, 2006, “Through the Looking Glass – Reform of the International Institutions,”   Inaugural Distinguished Lecture, Governor of the Bank of </w:t>
      </w:r>
      <w:smartTag w:uri="urn:schemas-microsoft-com:office:smarttags" w:element="country-region">
        <w:smartTag w:uri="urn:schemas-microsoft-com:office:smarttags" w:element="place">
          <w:r>
            <w:rPr>
              <w:sz w:val="20"/>
              <w:szCs w:val="20"/>
            </w:rPr>
            <w:t>England</w:t>
          </w:r>
        </w:smartTag>
      </w:smartTag>
      <w:r>
        <w:rPr>
          <w:sz w:val="20"/>
          <w:szCs w:val="20"/>
        </w:rPr>
        <w:t xml:space="preserve">, to the </w:t>
      </w:r>
      <w:smartTag w:uri="urn:schemas-microsoft-com:office:smarttags" w:element="City">
        <w:smartTag w:uri="urn:schemas-microsoft-com:office:smarttags" w:element="place">
          <w:r>
            <w:rPr>
              <w:sz w:val="20"/>
              <w:szCs w:val="20"/>
            </w:rPr>
            <w:t>Melbourne</w:t>
          </w:r>
        </w:smartTag>
      </w:smartTag>
      <w:r>
        <w:rPr>
          <w:sz w:val="20"/>
          <w:szCs w:val="20"/>
        </w:rPr>
        <w:t xml:space="preserve"> Centre for Financial Studies, 21 December.</w:t>
      </w:r>
    </w:p>
    <w:p w:rsidR="00787C16" w:rsidRPr="00775F5B" w:rsidRDefault="00787C16" w:rsidP="000C6034">
      <w:pPr>
        <w:rPr>
          <w:sz w:val="20"/>
          <w:szCs w:val="20"/>
        </w:rPr>
      </w:pPr>
    </w:p>
    <w:p w:rsidR="00F03CF0" w:rsidRPr="00775F5B" w:rsidRDefault="00F03CF0" w:rsidP="000C6034">
      <w:pPr>
        <w:rPr>
          <w:sz w:val="20"/>
          <w:szCs w:val="20"/>
        </w:rPr>
      </w:pPr>
      <w:r w:rsidRPr="00775F5B">
        <w:rPr>
          <w:sz w:val="20"/>
          <w:szCs w:val="20"/>
        </w:rPr>
        <w:t xml:space="preserve">McKinnon, Ronald, 2006, “Comment” in response to “Request for Public Comments on the Report to Congress on International and Exchange Rate Policies,” </w:t>
      </w:r>
      <w:smartTag w:uri="urn:schemas-microsoft-com:office:smarttags" w:element="place">
        <w:smartTag w:uri="urn:schemas-microsoft-com:office:smarttags" w:element="PlaceName">
          <w:r w:rsidRPr="00775F5B">
            <w:rPr>
              <w:sz w:val="20"/>
              <w:szCs w:val="20"/>
            </w:rPr>
            <w:t>Stanford</w:t>
          </w:r>
        </w:smartTag>
        <w:r w:rsidRPr="00775F5B">
          <w:rPr>
            <w:sz w:val="20"/>
            <w:szCs w:val="20"/>
          </w:rPr>
          <w:t xml:space="preserve"> </w:t>
        </w:r>
        <w:smartTag w:uri="urn:schemas-microsoft-com:office:smarttags" w:element="PlaceType">
          <w:r w:rsidRPr="00775F5B">
            <w:rPr>
              <w:sz w:val="20"/>
              <w:szCs w:val="20"/>
            </w:rPr>
            <w:t>University</w:t>
          </w:r>
        </w:smartTag>
      </w:smartTag>
      <w:r w:rsidR="008817C0" w:rsidRPr="00775F5B">
        <w:rPr>
          <w:sz w:val="20"/>
          <w:szCs w:val="20"/>
        </w:rPr>
        <w:t>, Ap</w:t>
      </w:r>
      <w:r w:rsidR="00291B12" w:rsidRPr="00775F5B">
        <w:rPr>
          <w:sz w:val="20"/>
          <w:szCs w:val="20"/>
        </w:rPr>
        <w:t>ril</w:t>
      </w:r>
    </w:p>
    <w:p w:rsidR="008B0E33" w:rsidRPr="00775F5B" w:rsidRDefault="008B0E33" w:rsidP="000C6034">
      <w:pPr>
        <w:rPr>
          <w:sz w:val="20"/>
          <w:szCs w:val="20"/>
        </w:rPr>
      </w:pPr>
    </w:p>
    <w:p w:rsidR="00D31BE4" w:rsidRDefault="008B0E33" w:rsidP="008B0E33">
      <w:pPr>
        <w:rPr>
          <w:sz w:val="20"/>
          <w:szCs w:val="20"/>
        </w:rPr>
      </w:pPr>
      <w:r w:rsidRPr="00775F5B">
        <w:rPr>
          <w:sz w:val="20"/>
          <w:szCs w:val="20"/>
        </w:rPr>
        <w:t xml:space="preserve">McKinnon, Ronald, and Gunther </w:t>
      </w:r>
      <w:proofErr w:type="spellStart"/>
      <w:r w:rsidRPr="00775F5B">
        <w:rPr>
          <w:sz w:val="20"/>
          <w:szCs w:val="20"/>
        </w:rPr>
        <w:t>Schnabl</w:t>
      </w:r>
      <w:proofErr w:type="spellEnd"/>
      <w:r w:rsidRPr="00775F5B">
        <w:rPr>
          <w:sz w:val="20"/>
          <w:szCs w:val="20"/>
        </w:rPr>
        <w:t>, 200</w:t>
      </w:r>
      <w:r w:rsidR="00075BEC">
        <w:rPr>
          <w:sz w:val="20"/>
          <w:szCs w:val="20"/>
        </w:rPr>
        <w:t>4a</w:t>
      </w:r>
      <w:r w:rsidRPr="00775F5B">
        <w:rPr>
          <w:sz w:val="20"/>
          <w:szCs w:val="20"/>
        </w:rPr>
        <w:t>, “The East Asian Dollar Standard, Fear of Floating, and Original Sin,</w:t>
      </w:r>
      <w:proofErr w:type="gramStart"/>
      <w:r w:rsidRPr="00775F5B">
        <w:rPr>
          <w:sz w:val="20"/>
          <w:szCs w:val="20"/>
        </w:rPr>
        <w:t xml:space="preserve">” </w:t>
      </w:r>
      <w:r w:rsidR="00075BEC">
        <w:rPr>
          <w:sz w:val="20"/>
          <w:szCs w:val="20"/>
        </w:rPr>
        <w:t xml:space="preserve"> </w:t>
      </w:r>
      <w:smartTag w:uri="urn:schemas-microsoft-com:office:smarttags" w:element="place">
        <w:smartTag w:uri="urn:schemas-microsoft-com:office:smarttags" w:element="PlaceName">
          <w:r w:rsidRPr="00775F5B">
            <w:rPr>
              <w:sz w:val="20"/>
              <w:szCs w:val="20"/>
            </w:rPr>
            <w:t>Stanford</w:t>
          </w:r>
        </w:smartTag>
        <w:proofErr w:type="gramEnd"/>
        <w:r w:rsidRPr="00775F5B">
          <w:rPr>
            <w:sz w:val="20"/>
            <w:szCs w:val="20"/>
          </w:rPr>
          <w:t xml:space="preserve"> </w:t>
        </w:r>
        <w:smartTag w:uri="urn:schemas-microsoft-com:office:smarttags" w:element="PlaceType">
          <w:r w:rsidRPr="00775F5B">
            <w:rPr>
              <w:sz w:val="20"/>
              <w:szCs w:val="20"/>
            </w:rPr>
            <w:t>University</w:t>
          </w:r>
        </w:smartTag>
      </w:smartTag>
      <w:r w:rsidRPr="00775F5B">
        <w:rPr>
          <w:sz w:val="20"/>
          <w:szCs w:val="20"/>
        </w:rPr>
        <w:t>, September</w:t>
      </w:r>
      <w:r w:rsidR="00075BEC">
        <w:rPr>
          <w:sz w:val="20"/>
          <w:szCs w:val="20"/>
        </w:rPr>
        <w:t>.</w:t>
      </w:r>
      <w:r w:rsidR="00075BEC" w:rsidRPr="00B417D0">
        <w:t xml:space="preserve"> </w:t>
      </w:r>
      <w:r w:rsidR="00075BEC">
        <w:t xml:space="preserve"> </w:t>
      </w:r>
      <w:hyperlink r:id="rId13" w:history="1">
        <w:r w:rsidR="00075BEC" w:rsidRPr="00075BEC">
          <w:rPr>
            <w:rStyle w:val="Hyperlink"/>
            <w:i/>
            <w:color w:val="auto"/>
            <w:sz w:val="20"/>
            <w:szCs w:val="20"/>
            <w:u w:val="none"/>
          </w:rPr>
          <w:t>Review of Development Economics</w:t>
        </w:r>
      </w:hyperlink>
      <w:r w:rsidR="00075BEC" w:rsidRPr="00075BEC">
        <w:rPr>
          <w:sz w:val="20"/>
          <w:szCs w:val="20"/>
        </w:rPr>
        <w:t>, Blackwell Publishing, vol. 8(3), pages 331-360, 08.</w:t>
      </w:r>
      <w:r w:rsidR="00075BEC" w:rsidRPr="00B417D0">
        <w:t xml:space="preserve">    </w:t>
      </w:r>
    </w:p>
    <w:p w:rsidR="00075BEC" w:rsidRDefault="00075BEC" w:rsidP="00D31BE4">
      <w:pPr>
        <w:rPr>
          <w:sz w:val="20"/>
          <w:szCs w:val="20"/>
        </w:rPr>
      </w:pPr>
    </w:p>
    <w:p w:rsidR="00D31BE4" w:rsidRDefault="00D31BE4" w:rsidP="00D31BE4">
      <w:pPr>
        <w:rPr>
          <w:sz w:val="20"/>
          <w:szCs w:val="20"/>
        </w:rPr>
      </w:pPr>
      <w:r w:rsidRPr="00775F5B">
        <w:rPr>
          <w:sz w:val="20"/>
          <w:szCs w:val="20"/>
        </w:rPr>
        <w:t xml:space="preserve">McKinnon, Ronald, and Gunther </w:t>
      </w:r>
      <w:proofErr w:type="spellStart"/>
      <w:r w:rsidRPr="00775F5B">
        <w:rPr>
          <w:sz w:val="20"/>
          <w:szCs w:val="20"/>
        </w:rPr>
        <w:t>Schnabl</w:t>
      </w:r>
      <w:proofErr w:type="spellEnd"/>
      <w:r>
        <w:rPr>
          <w:sz w:val="20"/>
          <w:szCs w:val="20"/>
        </w:rPr>
        <w:t>, 2004</w:t>
      </w:r>
      <w:r w:rsidR="00075BEC">
        <w:rPr>
          <w:sz w:val="20"/>
          <w:szCs w:val="20"/>
        </w:rPr>
        <w:t>b</w:t>
      </w:r>
      <w:r>
        <w:rPr>
          <w:sz w:val="20"/>
          <w:szCs w:val="20"/>
        </w:rPr>
        <w:t xml:space="preserve">, “The Return to Soft Dollar Pegging in </w:t>
      </w:r>
      <w:smartTag w:uri="urn:schemas-microsoft-com:office:smarttags" w:element="place">
        <w:r>
          <w:rPr>
            <w:sz w:val="20"/>
            <w:szCs w:val="20"/>
          </w:rPr>
          <w:t>East Asia</w:t>
        </w:r>
      </w:smartTag>
      <w:r>
        <w:rPr>
          <w:sz w:val="20"/>
          <w:szCs w:val="20"/>
        </w:rPr>
        <w:t xml:space="preserve">: Mitigating Conflicted Virtue,” </w:t>
      </w:r>
      <w:r w:rsidRPr="004E356A">
        <w:rPr>
          <w:i/>
          <w:sz w:val="20"/>
          <w:szCs w:val="20"/>
        </w:rPr>
        <w:t>International Finance</w:t>
      </w:r>
      <w:r>
        <w:rPr>
          <w:sz w:val="20"/>
          <w:szCs w:val="20"/>
        </w:rPr>
        <w:t xml:space="preserve"> 7, pp. 169-201.</w:t>
      </w:r>
    </w:p>
    <w:p w:rsidR="00D96454" w:rsidRPr="00775F5B" w:rsidRDefault="00D96454" w:rsidP="008B0E33">
      <w:pPr>
        <w:rPr>
          <w:sz w:val="20"/>
          <w:szCs w:val="20"/>
        </w:rPr>
      </w:pPr>
    </w:p>
    <w:p w:rsidR="00D96454" w:rsidRPr="00775F5B" w:rsidRDefault="00D96454" w:rsidP="008B0E33">
      <w:pPr>
        <w:rPr>
          <w:sz w:val="20"/>
          <w:szCs w:val="20"/>
        </w:rPr>
      </w:pPr>
      <w:r w:rsidRPr="00775F5B">
        <w:rPr>
          <w:sz w:val="20"/>
          <w:szCs w:val="20"/>
        </w:rPr>
        <w:t xml:space="preserve">Mundell, Robert, 2004, “Adjustment in </w:t>
      </w:r>
      <w:smartTag w:uri="urn:schemas-microsoft-com:office:smarttags" w:element="country-region">
        <w:smartTag w:uri="urn:schemas-microsoft-com:office:smarttags" w:element="place">
          <w:r w:rsidRPr="00775F5B">
            <w:rPr>
              <w:sz w:val="20"/>
              <w:szCs w:val="20"/>
            </w:rPr>
            <w:t>China</w:t>
          </w:r>
        </w:smartTag>
      </w:smartTag>
      <w:r w:rsidRPr="00775F5B">
        <w:rPr>
          <w:sz w:val="20"/>
          <w:szCs w:val="20"/>
        </w:rPr>
        <w:t xml:space="preserve">’s exchange rate regime,” remarks at Inaugural Seminar on Foreign Exchange System,” </w:t>
      </w:r>
      <w:smartTag w:uri="urn:schemas-microsoft-com:office:smarttags" w:element="place">
        <w:smartTag w:uri="urn:schemas-microsoft-com:office:smarttags" w:element="City">
          <w:r w:rsidRPr="00775F5B">
            <w:rPr>
              <w:sz w:val="20"/>
              <w:szCs w:val="20"/>
            </w:rPr>
            <w:t>Dalian</w:t>
          </w:r>
        </w:smartTag>
        <w:r w:rsidRPr="00775F5B">
          <w:rPr>
            <w:sz w:val="20"/>
            <w:szCs w:val="20"/>
          </w:rPr>
          <w:t xml:space="preserve">, </w:t>
        </w:r>
        <w:smartTag w:uri="urn:schemas-microsoft-com:office:smarttags" w:element="country-region">
          <w:r w:rsidRPr="00775F5B">
            <w:rPr>
              <w:sz w:val="20"/>
              <w:szCs w:val="20"/>
            </w:rPr>
            <w:t>China</w:t>
          </w:r>
        </w:smartTag>
      </w:smartTag>
      <w:r w:rsidRPr="00775F5B">
        <w:rPr>
          <w:sz w:val="20"/>
          <w:szCs w:val="20"/>
        </w:rPr>
        <w:t>, May 26-27.</w:t>
      </w:r>
    </w:p>
    <w:p w:rsidR="005675B0" w:rsidRPr="00775F5B" w:rsidRDefault="005675B0" w:rsidP="008B0E33">
      <w:pPr>
        <w:rPr>
          <w:sz w:val="20"/>
          <w:szCs w:val="20"/>
        </w:rPr>
      </w:pPr>
    </w:p>
    <w:p w:rsidR="005675B0" w:rsidRDefault="005675B0" w:rsidP="008B0E33">
      <w:pPr>
        <w:rPr>
          <w:rFonts w:eastAsia="MS Mincho"/>
          <w:color w:val="000000"/>
          <w:sz w:val="20"/>
          <w:szCs w:val="20"/>
          <w:lang w:eastAsia="ja-JP"/>
        </w:rPr>
      </w:pPr>
      <w:r w:rsidRPr="00775F5B">
        <w:rPr>
          <w:rFonts w:eastAsia="MS Mincho"/>
          <w:color w:val="000000"/>
          <w:sz w:val="20"/>
          <w:szCs w:val="20"/>
          <w:lang w:eastAsia="ja-JP"/>
        </w:rPr>
        <w:t>Noland, Marcus, 1997, "Chasing Phantoms:  The Political Economy of USTR,"</w:t>
      </w:r>
      <w:r w:rsidRPr="00775F5B">
        <w:rPr>
          <w:rFonts w:eastAsia="MS Mincho"/>
          <w:i/>
          <w:iCs/>
          <w:color w:val="000000"/>
          <w:sz w:val="20"/>
          <w:szCs w:val="20"/>
          <w:lang w:eastAsia="ja-JP"/>
        </w:rPr>
        <w:t xml:space="preserve"> International Organization</w:t>
      </w:r>
      <w:r w:rsidRPr="00775F5B">
        <w:rPr>
          <w:rFonts w:eastAsia="MS Mincho"/>
          <w:color w:val="000000"/>
          <w:sz w:val="20"/>
          <w:szCs w:val="20"/>
          <w:lang w:eastAsia="ja-JP"/>
        </w:rPr>
        <w:t xml:space="preserve">, </w:t>
      </w:r>
      <w:proofErr w:type="gramStart"/>
      <w:r w:rsidRPr="00775F5B">
        <w:rPr>
          <w:rFonts w:eastAsia="MS Mincho"/>
          <w:color w:val="000000"/>
          <w:sz w:val="20"/>
          <w:szCs w:val="20"/>
          <w:lang w:eastAsia="ja-JP"/>
        </w:rPr>
        <w:t>Summer</w:t>
      </w:r>
      <w:proofErr w:type="gramEnd"/>
      <w:r w:rsidRPr="00775F5B">
        <w:rPr>
          <w:rFonts w:eastAsia="MS Mincho"/>
          <w:color w:val="000000"/>
          <w:sz w:val="20"/>
          <w:szCs w:val="20"/>
          <w:lang w:eastAsia="ja-JP"/>
        </w:rPr>
        <w:t>.</w:t>
      </w:r>
    </w:p>
    <w:p w:rsidR="005D551C" w:rsidRDefault="005D551C" w:rsidP="008B0E33">
      <w:pPr>
        <w:rPr>
          <w:rFonts w:eastAsia="MS Mincho"/>
          <w:color w:val="000000"/>
          <w:sz w:val="20"/>
          <w:szCs w:val="20"/>
          <w:lang w:eastAsia="ja-JP"/>
        </w:rPr>
      </w:pPr>
    </w:p>
    <w:p w:rsidR="005D551C" w:rsidRPr="005D551C" w:rsidRDefault="005D551C" w:rsidP="001610EC">
      <w:pPr>
        <w:autoSpaceDE w:val="0"/>
        <w:autoSpaceDN w:val="0"/>
        <w:adjustRightInd w:val="0"/>
        <w:spacing w:line="240" w:lineRule="atLeast"/>
        <w:rPr>
          <w:rFonts w:eastAsia="MS Mincho"/>
          <w:color w:val="000000"/>
          <w:sz w:val="20"/>
          <w:szCs w:val="20"/>
          <w:lang w:eastAsia="ja-JP"/>
        </w:rPr>
      </w:pPr>
      <w:proofErr w:type="gramStart"/>
      <w:r w:rsidRPr="001610EC">
        <w:rPr>
          <w:rFonts w:eastAsia="MS Mincho"/>
          <w:color w:val="000000"/>
          <w:sz w:val="20"/>
          <w:szCs w:val="20"/>
          <w:lang w:eastAsia="ja-JP"/>
        </w:rPr>
        <w:t xml:space="preserve">Ogawa, </w:t>
      </w:r>
      <w:proofErr w:type="spellStart"/>
      <w:r w:rsidRPr="001610EC">
        <w:rPr>
          <w:rFonts w:eastAsia="MS Mincho"/>
          <w:color w:val="000000"/>
          <w:sz w:val="20"/>
          <w:szCs w:val="20"/>
          <w:lang w:eastAsia="ja-JP"/>
        </w:rPr>
        <w:t>Eiji</w:t>
      </w:r>
      <w:proofErr w:type="spellEnd"/>
      <w:r w:rsidRPr="001610EC">
        <w:rPr>
          <w:rFonts w:eastAsia="MS Mincho"/>
          <w:color w:val="000000"/>
          <w:sz w:val="20"/>
          <w:szCs w:val="20"/>
          <w:lang w:eastAsia="ja-JP"/>
        </w:rPr>
        <w:t xml:space="preserve">, 2006, "The Chinese Yuan after the Chinese Exchange Rate System Reform", </w:t>
      </w:r>
      <w:r w:rsidRPr="001610EC">
        <w:rPr>
          <w:rFonts w:eastAsia="MS Mincho"/>
          <w:i/>
          <w:color w:val="000000"/>
          <w:sz w:val="20"/>
          <w:szCs w:val="20"/>
          <w:lang w:eastAsia="ja-JP"/>
        </w:rPr>
        <w:t>China &amp; World Economy</w:t>
      </w:r>
      <w:r w:rsidRPr="005D551C">
        <w:rPr>
          <w:rFonts w:eastAsia="MS Mincho"/>
          <w:color w:val="000000"/>
          <w:sz w:val="20"/>
          <w:szCs w:val="20"/>
          <w:lang w:eastAsia="ja-JP"/>
        </w:rPr>
        <w:t>,</w:t>
      </w:r>
      <w:r w:rsidRPr="001610EC">
        <w:rPr>
          <w:rFonts w:eastAsia="MS Mincho"/>
          <w:color w:val="000000"/>
          <w:sz w:val="20"/>
          <w:szCs w:val="20"/>
          <w:lang w:eastAsia="ja-JP"/>
        </w:rPr>
        <w:t xml:space="preserve"> Vol. 14, no.6, Nov.-Dec. 2006, pp.39-57.</w:t>
      </w:r>
      <w:proofErr w:type="gramEnd"/>
    </w:p>
    <w:p w:rsidR="00840F6A" w:rsidRPr="00775F5B" w:rsidRDefault="00840F6A" w:rsidP="008B0E33">
      <w:pPr>
        <w:rPr>
          <w:rFonts w:eastAsia="MS Mincho"/>
          <w:color w:val="000000"/>
          <w:sz w:val="20"/>
          <w:szCs w:val="20"/>
          <w:lang w:eastAsia="ja-JP"/>
        </w:rPr>
      </w:pPr>
    </w:p>
    <w:p w:rsidR="00840F6A" w:rsidRPr="00775F5B" w:rsidRDefault="00840F6A" w:rsidP="00840F6A">
      <w:pPr>
        <w:tabs>
          <w:tab w:val="left" w:pos="0"/>
          <w:tab w:val="left" w:pos="720"/>
          <w:tab w:val="left" w:pos="1440"/>
          <w:tab w:val="left" w:pos="2160"/>
          <w:tab w:val="left" w:pos="2880"/>
          <w:tab w:val="left" w:pos="3600"/>
          <w:tab w:val="left" w:pos="4320"/>
        </w:tabs>
        <w:jc w:val="both"/>
        <w:rPr>
          <w:sz w:val="20"/>
          <w:szCs w:val="20"/>
        </w:rPr>
      </w:pPr>
      <w:proofErr w:type="spellStart"/>
      <w:proofErr w:type="gramStart"/>
      <w:r w:rsidRPr="00775F5B">
        <w:rPr>
          <w:sz w:val="20"/>
          <w:szCs w:val="20"/>
        </w:rPr>
        <w:t>Ohno</w:t>
      </w:r>
      <w:proofErr w:type="spellEnd"/>
      <w:r w:rsidRPr="00775F5B">
        <w:rPr>
          <w:sz w:val="20"/>
          <w:szCs w:val="20"/>
        </w:rPr>
        <w:t xml:space="preserve">, Kenichi, 1999, “Exchange Rate Management in Developing </w:t>
      </w:r>
      <w:smartTag w:uri="urn:schemas-microsoft-com:office:smarttags" w:element="place">
        <w:r w:rsidRPr="00775F5B">
          <w:rPr>
            <w:sz w:val="20"/>
            <w:szCs w:val="20"/>
          </w:rPr>
          <w:t>Asia</w:t>
        </w:r>
      </w:smartTag>
      <w:r w:rsidRPr="00775F5B">
        <w:rPr>
          <w:sz w:val="20"/>
          <w:szCs w:val="20"/>
        </w:rPr>
        <w:t>," Working Paper No.1.</w:t>
      </w:r>
      <w:proofErr w:type="gramEnd"/>
      <w:r w:rsidRPr="00775F5B">
        <w:rPr>
          <w:sz w:val="20"/>
          <w:szCs w:val="20"/>
        </w:rPr>
        <w:t xml:space="preserve"> </w:t>
      </w:r>
      <w:proofErr w:type="gramStart"/>
      <w:r w:rsidRPr="00775F5B">
        <w:rPr>
          <w:sz w:val="20"/>
          <w:szCs w:val="20"/>
        </w:rPr>
        <w:t>(January), Asian Development Bank Institute.</w:t>
      </w:r>
      <w:proofErr w:type="gramEnd"/>
    </w:p>
    <w:p w:rsidR="00787C16" w:rsidRDefault="00787C16" w:rsidP="008B0E33">
      <w:pPr>
        <w:rPr>
          <w:rFonts w:hint="eastAsia"/>
          <w:color w:val="000000"/>
          <w:sz w:val="20"/>
          <w:szCs w:val="20"/>
          <w:lang w:eastAsia="zh-CN"/>
        </w:rPr>
      </w:pPr>
    </w:p>
    <w:p w:rsidR="00352EA7" w:rsidRDefault="00352EA7" w:rsidP="008B0E33">
      <w:pPr>
        <w:rPr>
          <w:rFonts w:hint="eastAsia"/>
          <w:color w:val="000000"/>
          <w:sz w:val="20"/>
          <w:szCs w:val="20"/>
          <w:lang w:eastAsia="zh-CN"/>
        </w:rPr>
      </w:pPr>
      <w:r>
        <w:rPr>
          <w:rFonts w:hint="eastAsia"/>
          <w:color w:val="000000"/>
          <w:sz w:val="20"/>
          <w:szCs w:val="20"/>
          <w:lang w:eastAsia="zh-CN"/>
        </w:rPr>
        <w:t xml:space="preserve">Prasad, Eswar, and Shang-Jin Wei, 2005, </w:t>
      </w:r>
      <w:r>
        <w:rPr>
          <w:color w:val="000000"/>
          <w:sz w:val="20"/>
          <w:szCs w:val="20"/>
          <w:lang w:eastAsia="zh-CN"/>
        </w:rPr>
        <w:t>“</w:t>
      </w:r>
      <w:r>
        <w:rPr>
          <w:rFonts w:hint="eastAsia"/>
          <w:color w:val="000000"/>
          <w:sz w:val="20"/>
          <w:szCs w:val="20"/>
          <w:lang w:eastAsia="zh-CN"/>
        </w:rPr>
        <w:t>The Chinese Approach to International Capital Flows: Patterns and Possible Explanations,</w:t>
      </w:r>
      <w:r>
        <w:rPr>
          <w:color w:val="000000"/>
          <w:sz w:val="20"/>
          <w:szCs w:val="20"/>
          <w:lang w:eastAsia="zh-CN"/>
        </w:rPr>
        <w:t>”</w:t>
      </w:r>
      <w:r>
        <w:rPr>
          <w:rFonts w:hint="eastAsia"/>
          <w:color w:val="000000"/>
          <w:sz w:val="20"/>
          <w:szCs w:val="20"/>
          <w:lang w:eastAsia="zh-CN"/>
        </w:rPr>
        <w:t xml:space="preserve"> NBER Working Paper 11306</w:t>
      </w:r>
      <w:r w:rsidR="00F94999">
        <w:rPr>
          <w:color w:val="000000"/>
          <w:sz w:val="20"/>
          <w:szCs w:val="20"/>
          <w:lang w:eastAsia="zh-CN"/>
        </w:rPr>
        <w:t>.  F</w:t>
      </w:r>
      <w:r>
        <w:rPr>
          <w:rFonts w:hint="eastAsia"/>
          <w:color w:val="000000"/>
          <w:sz w:val="20"/>
          <w:szCs w:val="20"/>
          <w:lang w:eastAsia="zh-CN"/>
        </w:rPr>
        <w:t xml:space="preserve">orthcoming as a chapter in S. Edwards, </w:t>
      </w:r>
      <w:proofErr w:type="spellStart"/>
      <w:proofErr w:type="gramStart"/>
      <w:r>
        <w:rPr>
          <w:rFonts w:hint="eastAsia"/>
          <w:color w:val="000000"/>
          <w:sz w:val="20"/>
          <w:szCs w:val="20"/>
          <w:lang w:eastAsia="zh-CN"/>
        </w:rPr>
        <w:t>ed</w:t>
      </w:r>
      <w:proofErr w:type="spellEnd"/>
      <w:proofErr w:type="gramEnd"/>
      <w:r>
        <w:rPr>
          <w:rFonts w:hint="eastAsia"/>
          <w:color w:val="000000"/>
          <w:sz w:val="20"/>
          <w:szCs w:val="20"/>
          <w:lang w:eastAsia="zh-CN"/>
        </w:rPr>
        <w:t xml:space="preserve">, </w:t>
      </w:r>
    </w:p>
    <w:p w:rsidR="00352EA7" w:rsidRPr="001610EC" w:rsidRDefault="00352EA7" w:rsidP="008B0E33">
      <w:pPr>
        <w:rPr>
          <w:rFonts w:hint="eastAsia"/>
          <w:color w:val="000000"/>
          <w:sz w:val="20"/>
          <w:szCs w:val="20"/>
          <w:lang w:eastAsia="zh-CN"/>
        </w:rPr>
      </w:pPr>
    </w:p>
    <w:p w:rsidR="002A6F7E" w:rsidRDefault="002A6F7E" w:rsidP="008B0E33">
      <w:pPr>
        <w:rPr>
          <w:i/>
          <w:sz w:val="20"/>
          <w:szCs w:val="20"/>
          <w:lang w:eastAsia="zh-CN"/>
        </w:rPr>
      </w:pPr>
    </w:p>
    <w:p w:rsidR="002A6F7E" w:rsidRDefault="002A6F7E" w:rsidP="008B0E33">
      <w:pPr>
        <w:rPr>
          <w:sz w:val="20"/>
          <w:szCs w:val="20"/>
          <w:lang w:eastAsia="zh-CN"/>
        </w:rPr>
      </w:pPr>
      <w:r>
        <w:rPr>
          <w:sz w:val="20"/>
          <w:szCs w:val="20"/>
          <w:lang w:eastAsia="zh-CN"/>
        </w:rPr>
        <w:t>Roubini, Nouriel, 2007, “</w:t>
      </w:r>
      <w:smartTag w:uri="urn:schemas-microsoft-com:office:smarttags" w:element="place">
        <w:r w:rsidR="00F8672A">
          <w:rPr>
            <w:sz w:val="20"/>
            <w:szCs w:val="20"/>
            <w:lang w:eastAsia="zh-CN"/>
          </w:rPr>
          <w:t>Asia</w:t>
        </w:r>
      </w:smartTag>
      <w:r w:rsidR="00F8672A">
        <w:rPr>
          <w:sz w:val="20"/>
          <w:szCs w:val="20"/>
          <w:lang w:eastAsia="zh-CN"/>
        </w:rPr>
        <w:t xml:space="preserve"> is Learning the Wrong Lessons from Its 1997-98 Financial Crisis: The Rising Risks of a New and Different Type of Financial Crisis in </w:t>
      </w:r>
      <w:smartTag w:uri="urn:schemas-microsoft-com:office:smarttags" w:element="place">
        <w:r w:rsidR="00F8672A">
          <w:rPr>
            <w:sz w:val="20"/>
            <w:szCs w:val="20"/>
            <w:lang w:eastAsia="zh-CN"/>
          </w:rPr>
          <w:t>Asia</w:t>
        </w:r>
      </w:smartTag>
      <w:r w:rsidR="00F8672A">
        <w:rPr>
          <w:sz w:val="20"/>
          <w:szCs w:val="20"/>
          <w:lang w:eastAsia="zh-CN"/>
        </w:rPr>
        <w:t xml:space="preserve">,” NYU.  </w:t>
      </w:r>
      <w:proofErr w:type="gramStart"/>
      <w:r w:rsidR="00F8672A">
        <w:rPr>
          <w:sz w:val="20"/>
          <w:szCs w:val="20"/>
          <w:lang w:eastAsia="zh-CN"/>
        </w:rPr>
        <w:t>May</w:t>
      </w:r>
      <w:r>
        <w:rPr>
          <w:sz w:val="20"/>
          <w:szCs w:val="20"/>
          <w:lang w:eastAsia="zh-CN"/>
        </w:rPr>
        <w:t>.</w:t>
      </w:r>
      <w:proofErr w:type="gramEnd"/>
    </w:p>
    <w:p w:rsidR="00352EA7" w:rsidRPr="001610EC" w:rsidRDefault="00352EA7" w:rsidP="008B0E33">
      <w:pPr>
        <w:rPr>
          <w:rFonts w:eastAsia="MS Mincho" w:hint="eastAsia"/>
          <w:color w:val="000000"/>
          <w:sz w:val="20"/>
          <w:szCs w:val="20"/>
          <w:lang w:eastAsia="zh-CN"/>
        </w:rPr>
      </w:pPr>
    </w:p>
    <w:p w:rsidR="00291B12" w:rsidRPr="00775F5B" w:rsidRDefault="00291B12" w:rsidP="00291B12">
      <w:pPr>
        <w:rPr>
          <w:sz w:val="20"/>
          <w:szCs w:val="20"/>
        </w:rPr>
      </w:pPr>
      <w:proofErr w:type="gramStart"/>
      <w:r w:rsidRPr="00775F5B">
        <w:rPr>
          <w:sz w:val="20"/>
          <w:szCs w:val="20"/>
        </w:rPr>
        <w:t xml:space="preserve">Shah, Ajay, </w:t>
      </w:r>
      <w:proofErr w:type="spellStart"/>
      <w:r w:rsidRPr="00775F5B">
        <w:rPr>
          <w:sz w:val="20"/>
          <w:szCs w:val="20"/>
        </w:rPr>
        <w:t>Achim</w:t>
      </w:r>
      <w:proofErr w:type="spellEnd"/>
      <w:r w:rsidRPr="00775F5B">
        <w:rPr>
          <w:sz w:val="20"/>
          <w:szCs w:val="20"/>
        </w:rPr>
        <w:t xml:space="preserve"> </w:t>
      </w:r>
      <w:proofErr w:type="spellStart"/>
      <w:r w:rsidRPr="00775F5B">
        <w:rPr>
          <w:sz w:val="20"/>
          <w:szCs w:val="20"/>
        </w:rPr>
        <w:t>Zeileis</w:t>
      </w:r>
      <w:proofErr w:type="spellEnd"/>
      <w:r w:rsidRPr="00775F5B">
        <w:rPr>
          <w:sz w:val="20"/>
          <w:szCs w:val="20"/>
        </w:rPr>
        <w:t>, and Ila Patnaik, 2005, “What is the New Chinese Currency Regime?”</w:t>
      </w:r>
      <w:proofErr w:type="gramEnd"/>
      <w:r w:rsidRPr="00775F5B">
        <w:rPr>
          <w:sz w:val="20"/>
          <w:szCs w:val="20"/>
        </w:rPr>
        <w:t xml:space="preserve"> </w:t>
      </w:r>
      <w:proofErr w:type="gramStart"/>
      <w:r w:rsidRPr="00775F5B">
        <w:rPr>
          <w:sz w:val="20"/>
          <w:szCs w:val="20"/>
        </w:rPr>
        <w:t>Unpublished, November.</w:t>
      </w:r>
      <w:proofErr w:type="gramEnd"/>
    </w:p>
    <w:p w:rsidR="00F17471" w:rsidRPr="00775F5B" w:rsidRDefault="00F17471" w:rsidP="00787C16">
      <w:pPr>
        <w:rPr>
          <w:sz w:val="20"/>
          <w:szCs w:val="20"/>
        </w:rPr>
      </w:pPr>
    </w:p>
    <w:p w:rsidR="00F17471" w:rsidRPr="00775F5B" w:rsidRDefault="00F17471" w:rsidP="00787C16">
      <w:pPr>
        <w:rPr>
          <w:sz w:val="20"/>
          <w:szCs w:val="20"/>
        </w:rPr>
      </w:pPr>
      <w:r w:rsidRPr="00775F5B">
        <w:rPr>
          <w:sz w:val="20"/>
          <w:szCs w:val="20"/>
        </w:rPr>
        <w:t xml:space="preserve">Snow, John, 2003, Testimony of Treasury Secretary </w:t>
      </w:r>
      <w:proofErr w:type="gramStart"/>
      <w:r w:rsidRPr="00775F5B">
        <w:rPr>
          <w:sz w:val="20"/>
          <w:szCs w:val="20"/>
        </w:rPr>
        <w:t>Before</w:t>
      </w:r>
      <w:proofErr w:type="gramEnd"/>
      <w:r w:rsidRPr="00775F5B">
        <w:rPr>
          <w:sz w:val="20"/>
          <w:szCs w:val="20"/>
        </w:rPr>
        <w:t xml:space="preserve"> the Senate Committee on Banking, Housing and Urban Affairs, October 30.</w:t>
      </w:r>
    </w:p>
    <w:p w:rsidR="006075DC" w:rsidRPr="00775F5B" w:rsidRDefault="006075DC" w:rsidP="00787C16">
      <w:pPr>
        <w:rPr>
          <w:rFonts w:eastAsia="MS Mincho"/>
          <w:color w:val="333333"/>
          <w:sz w:val="20"/>
          <w:szCs w:val="20"/>
          <w:lang w:eastAsia="ja-JP"/>
        </w:rPr>
      </w:pPr>
    </w:p>
    <w:p w:rsidR="006075DC" w:rsidRDefault="006075DC" w:rsidP="00787C16">
      <w:pPr>
        <w:rPr>
          <w:rFonts w:eastAsia="MS Mincho"/>
          <w:bCs/>
          <w:color w:val="333333"/>
          <w:sz w:val="20"/>
          <w:szCs w:val="20"/>
          <w:lang w:eastAsia="ja-JP"/>
        </w:rPr>
      </w:pPr>
      <w:r w:rsidRPr="00775F5B">
        <w:rPr>
          <w:rFonts w:eastAsia="MS Mincho"/>
          <w:bCs/>
          <w:color w:val="333333"/>
          <w:sz w:val="20"/>
          <w:szCs w:val="20"/>
          <w:lang w:eastAsia="ja-JP"/>
        </w:rPr>
        <w:t>Taylor, John B., 2003</w:t>
      </w:r>
      <w:r w:rsidR="002950B8" w:rsidRPr="00775F5B">
        <w:rPr>
          <w:rFonts w:eastAsia="MS Mincho"/>
          <w:bCs/>
          <w:color w:val="333333"/>
          <w:sz w:val="20"/>
          <w:szCs w:val="20"/>
          <w:lang w:eastAsia="ja-JP"/>
        </w:rPr>
        <w:t>,</w:t>
      </w:r>
      <w:r w:rsidRPr="00775F5B">
        <w:rPr>
          <w:rFonts w:eastAsia="MS Mincho"/>
          <w:bCs/>
          <w:color w:val="333333"/>
          <w:sz w:val="20"/>
          <w:szCs w:val="20"/>
          <w:lang w:eastAsia="ja-JP"/>
        </w:rPr>
        <w:t xml:space="preserve"> "China’s Exchange Rate Regime and its Effects on the </w:t>
      </w:r>
      <w:r w:rsidR="00A85D9A">
        <w:rPr>
          <w:rFonts w:eastAsia="MS Mincho"/>
          <w:bCs/>
          <w:color w:val="333333"/>
          <w:sz w:val="20"/>
          <w:szCs w:val="20"/>
          <w:lang w:eastAsia="ja-JP"/>
        </w:rPr>
        <w:t>US</w:t>
      </w:r>
      <w:r w:rsidRPr="00775F5B">
        <w:rPr>
          <w:rFonts w:eastAsia="MS Mincho"/>
          <w:bCs/>
          <w:color w:val="333333"/>
          <w:sz w:val="20"/>
          <w:szCs w:val="20"/>
          <w:lang w:eastAsia="ja-JP"/>
        </w:rPr>
        <w:t xml:space="preserve"> Economy</w:t>
      </w:r>
      <w:r w:rsidR="008B6CFA">
        <w:rPr>
          <w:rFonts w:eastAsia="MS Mincho"/>
          <w:bCs/>
          <w:color w:val="333333"/>
          <w:sz w:val="20"/>
          <w:szCs w:val="20"/>
          <w:lang w:eastAsia="ja-JP"/>
        </w:rPr>
        <w:t>,</w:t>
      </w:r>
      <w:r w:rsidRPr="00775F5B">
        <w:rPr>
          <w:rFonts w:eastAsia="MS Mincho"/>
          <w:bCs/>
          <w:color w:val="333333"/>
          <w:sz w:val="20"/>
          <w:szCs w:val="20"/>
          <w:lang w:eastAsia="ja-JP"/>
        </w:rPr>
        <w:t xml:space="preserve">"  </w:t>
      </w:r>
      <w:r w:rsidR="008B6CFA">
        <w:rPr>
          <w:rFonts w:eastAsia="MS Mincho"/>
          <w:bCs/>
          <w:color w:val="333333"/>
          <w:sz w:val="20"/>
          <w:szCs w:val="20"/>
          <w:lang w:eastAsia="ja-JP"/>
        </w:rPr>
        <w:t>U</w:t>
      </w:r>
      <w:r w:rsidRPr="00775F5B">
        <w:rPr>
          <w:rFonts w:eastAsia="MS Mincho"/>
          <w:bCs/>
          <w:color w:val="333333"/>
          <w:sz w:val="20"/>
          <w:szCs w:val="20"/>
          <w:lang w:eastAsia="ja-JP"/>
        </w:rPr>
        <w:t>nder Secretary of Treasury for International Affairs’ Testimony</w:t>
      </w:r>
      <w:r w:rsidR="00201383" w:rsidRPr="00775F5B">
        <w:rPr>
          <w:rFonts w:eastAsia="MS Mincho"/>
          <w:bCs/>
          <w:color w:val="333333"/>
          <w:sz w:val="20"/>
          <w:szCs w:val="20"/>
          <w:lang w:eastAsia="ja-JP"/>
        </w:rPr>
        <w:t xml:space="preserve"> </w:t>
      </w:r>
      <w:r w:rsidRPr="00775F5B">
        <w:rPr>
          <w:rFonts w:eastAsia="MS Mincho"/>
          <w:bCs/>
          <w:color w:val="333333"/>
          <w:sz w:val="20"/>
          <w:szCs w:val="20"/>
          <w:lang w:eastAsia="ja-JP"/>
        </w:rPr>
        <w:t>before the Subcommittee on Domestic and International Monetary Policy, Trade, and Technology House Committee on Financial Services, October 1.</w:t>
      </w:r>
    </w:p>
    <w:p w:rsidR="00781C19" w:rsidRDefault="00781C19" w:rsidP="00787C16">
      <w:pPr>
        <w:rPr>
          <w:rFonts w:eastAsia="MS Mincho"/>
          <w:bCs/>
          <w:color w:val="333333"/>
          <w:sz w:val="20"/>
          <w:szCs w:val="20"/>
          <w:lang w:eastAsia="ja-JP"/>
        </w:rPr>
      </w:pPr>
    </w:p>
    <w:p w:rsidR="00B71BDC" w:rsidRDefault="00A85D9A" w:rsidP="00787C16">
      <w:pPr>
        <w:rPr>
          <w:rFonts w:eastAsia="MS Mincho"/>
          <w:bCs/>
          <w:color w:val="333333"/>
          <w:sz w:val="20"/>
          <w:szCs w:val="20"/>
          <w:lang w:eastAsia="ja-JP"/>
        </w:rPr>
      </w:pPr>
      <w:r>
        <w:rPr>
          <w:rFonts w:eastAsia="MS Mincho"/>
          <w:bCs/>
          <w:color w:val="333333"/>
          <w:sz w:val="20"/>
          <w:szCs w:val="20"/>
          <w:lang w:eastAsia="ja-JP"/>
        </w:rPr>
        <w:t>US</w:t>
      </w:r>
      <w:r w:rsidR="00781C19" w:rsidRPr="00781C19">
        <w:rPr>
          <w:rFonts w:eastAsia="MS Mincho"/>
          <w:bCs/>
          <w:color w:val="333333"/>
          <w:sz w:val="20"/>
          <w:szCs w:val="20"/>
          <w:lang w:eastAsia="ja-JP"/>
        </w:rPr>
        <w:t xml:space="preserve"> Treasury Department, 2005, “</w:t>
      </w:r>
      <w:r w:rsidR="00781C19" w:rsidRPr="001610EC">
        <w:rPr>
          <w:sz w:val="20"/>
          <w:szCs w:val="20"/>
        </w:rPr>
        <w:t>Semiannual Report on International Economic and Exchange Rate Policies,</w:t>
      </w:r>
      <w:proofErr w:type="gramStart"/>
      <w:r w:rsidR="00781C19" w:rsidRPr="001610EC">
        <w:rPr>
          <w:sz w:val="20"/>
          <w:szCs w:val="20"/>
        </w:rPr>
        <w:t>”  November</w:t>
      </w:r>
      <w:proofErr w:type="gramEnd"/>
      <w:r w:rsidR="00781C19">
        <w:rPr>
          <w:b/>
          <w:sz w:val="20"/>
          <w:szCs w:val="20"/>
        </w:rPr>
        <w:t>.</w:t>
      </w:r>
      <w:bookmarkStart w:id="1" w:name="content"/>
      <w:bookmarkStart w:id="2" w:name="top"/>
      <w:bookmarkEnd w:id="1"/>
      <w:bookmarkEnd w:id="2"/>
      <w:r w:rsidR="00781C19" w:rsidRPr="00775F5B" w:rsidDel="00781C19">
        <w:rPr>
          <w:rFonts w:eastAsia="MS Mincho"/>
          <w:bCs/>
          <w:color w:val="333333"/>
          <w:sz w:val="20"/>
          <w:szCs w:val="20"/>
          <w:lang w:eastAsia="ja-JP"/>
        </w:rPr>
        <w:t xml:space="preserve"> </w:t>
      </w:r>
    </w:p>
    <w:p w:rsidR="00781C19" w:rsidRDefault="00781C19" w:rsidP="00781C19">
      <w:pPr>
        <w:rPr>
          <w:rFonts w:eastAsia="MS Mincho"/>
          <w:bCs/>
          <w:color w:val="333333"/>
          <w:sz w:val="20"/>
          <w:szCs w:val="20"/>
          <w:lang w:eastAsia="ja-JP"/>
        </w:rPr>
      </w:pPr>
    </w:p>
    <w:p w:rsidR="00781C19" w:rsidRDefault="00A85D9A" w:rsidP="00781C19">
      <w:pPr>
        <w:rPr>
          <w:rFonts w:eastAsia="MS Mincho"/>
          <w:bCs/>
          <w:color w:val="333333"/>
          <w:sz w:val="20"/>
          <w:szCs w:val="20"/>
          <w:lang w:eastAsia="ja-JP"/>
        </w:rPr>
      </w:pPr>
      <w:r>
        <w:rPr>
          <w:rFonts w:eastAsia="MS Mincho"/>
          <w:bCs/>
          <w:color w:val="333333"/>
          <w:sz w:val="20"/>
          <w:szCs w:val="20"/>
          <w:lang w:eastAsia="ja-JP"/>
        </w:rPr>
        <w:t>US</w:t>
      </w:r>
      <w:r w:rsidR="00781C19" w:rsidRPr="00781C19">
        <w:rPr>
          <w:rFonts w:eastAsia="MS Mincho"/>
          <w:bCs/>
          <w:color w:val="333333"/>
          <w:sz w:val="20"/>
          <w:szCs w:val="20"/>
          <w:lang w:eastAsia="ja-JP"/>
        </w:rPr>
        <w:t xml:space="preserve"> Treasury Department, 200</w:t>
      </w:r>
      <w:r w:rsidR="00781C19">
        <w:rPr>
          <w:rFonts w:eastAsia="MS Mincho"/>
          <w:bCs/>
          <w:color w:val="333333"/>
          <w:sz w:val="20"/>
          <w:szCs w:val="20"/>
          <w:lang w:eastAsia="ja-JP"/>
        </w:rPr>
        <w:t>6</w:t>
      </w:r>
      <w:r w:rsidR="00781C19" w:rsidRPr="00781C19">
        <w:rPr>
          <w:rFonts w:eastAsia="MS Mincho"/>
          <w:bCs/>
          <w:color w:val="333333"/>
          <w:sz w:val="20"/>
          <w:szCs w:val="20"/>
          <w:lang w:eastAsia="ja-JP"/>
        </w:rPr>
        <w:t>, “</w:t>
      </w:r>
      <w:r w:rsidR="00781C19" w:rsidRPr="00781C19">
        <w:rPr>
          <w:sz w:val="20"/>
          <w:szCs w:val="20"/>
        </w:rPr>
        <w:t>Semiannual Report on International Economic and Exchange Rate Policies,</w:t>
      </w:r>
      <w:proofErr w:type="gramStart"/>
      <w:r w:rsidR="00781C19" w:rsidRPr="00781C19">
        <w:rPr>
          <w:sz w:val="20"/>
          <w:szCs w:val="20"/>
        </w:rPr>
        <w:t xml:space="preserve">”  </w:t>
      </w:r>
      <w:r w:rsidR="00781C19">
        <w:rPr>
          <w:sz w:val="20"/>
          <w:szCs w:val="20"/>
        </w:rPr>
        <w:t>May</w:t>
      </w:r>
      <w:proofErr w:type="gramEnd"/>
      <w:r w:rsidR="00781C19">
        <w:rPr>
          <w:b/>
          <w:sz w:val="20"/>
          <w:szCs w:val="20"/>
        </w:rPr>
        <w:t>.</w:t>
      </w:r>
    </w:p>
    <w:p w:rsidR="00781C19" w:rsidRPr="00775F5B" w:rsidRDefault="00781C19" w:rsidP="00787C16">
      <w:pPr>
        <w:rPr>
          <w:rFonts w:eastAsia="MS Mincho"/>
          <w:bCs/>
          <w:color w:val="333333"/>
          <w:sz w:val="20"/>
          <w:szCs w:val="20"/>
          <w:lang w:eastAsia="ja-JP"/>
        </w:rPr>
      </w:pPr>
    </w:p>
    <w:p w:rsidR="00B71BDC" w:rsidRPr="00775F5B" w:rsidRDefault="00B71BDC" w:rsidP="00787C16">
      <w:pPr>
        <w:rPr>
          <w:rFonts w:eastAsia="MS Mincho"/>
          <w:color w:val="333333"/>
          <w:sz w:val="20"/>
          <w:szCs w:val="20"/>
          <w:lang w:eastAsia="ja-JP"/>
        </w:rPr>
      </w:pPr>
      <w:r w:rsidRPr="00775F5B">
        <w:rPr>
          <w:rFonts w:eastAsia="MS Mincho"/>
          <w:bCs/>
          <w:color w:val="333333"/>
          <w:sz w:val="20"/>
          <w:szCs w:val="20"/>
          <w:lang w:eastAsia="ja-JP"/>
        </w:rPr>
        <w:t xml:space="preserve">Yamazaki, Kazuo, 2006, “Inside the Currency Basket,” </w:t>
      </w:r>
      <w:smartTag w:uri="urn:schemas-microsoft-com:office:smarttags" w:element="place">
        <w:smartTag w:uri="urn:schemas-microsoft-com:office:smarttags" w:element="PlaceName">
          <w:r w:rsidRPr="00775F5B">
            <w:rPr>
              <w:rFonts w:eastAsia="MS Mincho"/>
              <w:bCs/>
              <w:color w:val="333333"/>
              <w:sz w:val="20"/>
              <w:szCs w:val="20"/>
              <w:lang w:eastAsia="ja-JP"/>
            </w:rPr>
            <w:t>Columbia</w:t>
          </w:r>
        </w:smartTag>
        <w:r w:rsidRPr="00775F5B">
          <w:rPr>
            <w:rFonts w:eastAsia="MS Mincho"/>
            <w:bCs/>
            <w:color w:val="333333"/>
            <w:sz w:val="20"/>
            <w:szCs w:val="20"/>
            <w:lang w:eastAsia="ja-JP"/>
          </w:rPr>
          <w:t xml:space="preserve"> </w:t>
        </w:r>
        <w:smartTag w:uri="urn:schemas-microsoft-com:office:smarttags" w:element="PlaceType">
          <w:r w:rsidRPr="00775F5B">
            <w:rPr>
              <w:rFonts w:eastAsia="MS Mincho"/>
              <w:bCs/>
              <w:color w:val="333333"/>
              <w:sz w:val="20"/>
              <w:szCs w:val="20"/>
              <w:lang w:eastAsia="ja-JP"/>
            </w:rPr>
            <w:t>University</w:t>
          </w:r>
        </w:smartTag>
      </w:smartTag>
      <w:r w:rsidRPr="00775F5B">
        <w:rPr>
          <w:rFonts w:eastAsia="MS Mincho"/>
          <w:bCs/>
          <w:color w:val="333333"/>
          <w:sz w:val="20"/>
          <w:szCs w:val="20"/>
          <w:lang w:eastAsia="ja-JP"/>
        </w:rPr>
        <w:t xml:space="preserve"> and Mitsubishi UFJ Trust and Banking Corp., December.</w:t>
      </w:r>
    </w:p>
    <w:p w:rsidR="00291B12" w:rsidRPr="00775F5B" w:rsidRDefault="00291B12" w:rsidP="00291B12">
      <w:pPr>
        <w:rPr>
          <w:sz w:val="20"/>
          <w:szCs w:val="20"/>
        </w:rPr>
      </w:pPr>
    </w:p>
    <w:p w:rsidR="00291B12" w:rsidRPr="004A60CE" w:rsidRDefault="00291B12" w:rsidP="00291B12">
      <w:pPr>
        <w:rPr>
          <w:sz w:val="20"/>
          <w:szCs w:val="20"/>
        </w:rPr>
      </w:pPr>
      <w:r w:rsidRPr="00775F5B">
        <w:rPr>
          <w:sz w:val="20"/>
          <w:szCs w:val="20"/>
        </w:rPr>
        <w:t xml:space="preserve">Zhou, </w:t>
      </w:r>
      <w:proofErr w:type="spellStart"/>
      <w:r w:rsidRPr="00775F5B">
        <w:rPr>
          <w:sz w:val="20"/>
          <w:szCs w:val="20"/>
        </w:rPr>
        <w:t>Xiao</w:t>
      </w:r>
      <w:r w:rsidR="00EB468F" w:rsidRPr="00775F5B">
        <w:rPr>
          <w:sz w:val="20"/>
          <w:szCs w:val="20"/>
        </w:rPr>
        <w:t>chuan</w:t>
      </w:r>
      <w:proofErr w:type="spellEnd"/>
      <w:r w:rsidR="00EB468F" w:rsidRPr="00775F5B">
        <w:rPr>
          <w:sz w:val="20"/>
          <w:szCs w:val="20"/>
        </w:rPr>
        <w:t>, 200</w:t>
      </w:r>
      <w:r w:rsidR="0039235A" w:rsidRPr="00775F5B">
        <w:rPr>
          <w:sz w:val="20"/>
          <w:szCs w:val="20"/>
        </w:rPr>
        <w:t>5</w:t>
      </w:r>
      <w:r w:rsidR="00EB468F" w:rsidRPr="00775F5B">
        <w:rPr>
          <w:sz w:val="20"/>
          <w:szCs w:val="20"/>
        </w:rPr>
        <w:t>,</w:t>
      </w:r>
      <w:r w:rsidR="0039235A" w:rsidRPr="00775F5B">
        <w:rPr>
          <w:sz w:val="20"/>
          <w:szCs w:val="20"/>
        </w:rPr>
        <w:t xml:space="preserve"> Governor’s speech at the opening of the </w:t>
      </w:r>
      <w:smartTag w:uri="urn:schemas-microsoft-com:office:smarttags" w:element="City">
        <w:smartTag w:uri="urn:schemas-microsoft-com:office:smarttags" w:element="place">
          <w:r w:rsidR="0039235A" w:rsidRPr="00775F5B">
            <w:rPr>
              <w:sz w:val="20"/>
              <w:szCs w:val="20"/>
            </w:rPr>
            <w:t>Shanghai</w:t>
          </w:r>
        </w:smartTag>
      </w:smartTag>
      <w:r w:rsidR="0039235A" w:rsidRPr="00775F5B">
        <w:rPr>
          <w:sz w:val="20"/>
          <w:szCs w:val="20"/>
        </w:rPr>
        <w:t xml:space="preserve"> headquarters of the People’s Bank of China (in Chinese), </w:t>
      </w:r>
      <w:hyperlink r:id="rId14" w:history="1">
        <w:r w:rsidR="0039235A" w:rsidRPr="00775F5B">
          <w:rPr>
            <w:rStyle w:val="Hyperlink"/>
            <w:color w:val="auto"/>
            <w:sz w:val="20"/>
            <w:szCs w:val="20"/>
            <w:u w:val="none"/>
          </w:rPr>
          <w:t>www.hexun.com</w:t>
        </w:r>
      </w:hyperlink>
      <w:r w:rsidR="00F43335" w:rsidRPr="00775F5B">
        <w:rPr>
          <w:sz w:val="20"/>
          <w:szCs w:val="20"/>
        </w:rPr>
        <w:t>, August 10</w:t>
      </w:r>
      <w:r w:rsidR="004A60CE">
        <w:rPr>
          <w:sz w:val="20"/>
          <w:szCs w:val="20"/>
        </w:rPr>
        <w:t xml:space="preserve"> (accessed</w:t>
      </w:r>
      <w:r w:rsidR="0039235A" w:rsidRPr="00775F5B">
        <w:rPr>
          <w:sz w:val="20"/>
          <w:szCs w:val="20"/>
        </w:rPr>
        <w:t xml:space="preserve"> </w:t>
      </w:r>
      <w:smartTag w:uri="urn:schemas-microsoft-com:office:smarttags" w:element="date">
        <w:smartTagPr>
          <w:attr w:name="Year" w:val="2005"/>
          <w:attr w:name="Day" w:val="25"/>
          <w:attr w:name="Month" w:val="8"/>
        </w:smartTagPr>
        <w:r w:rsidR="004A60CE">
          <w:rPr>
            <w:sz w:val="20"/>
            <w:szCs w:val="20"/>
          </w:rPr>
          <w:t>8/25/05</w:t>
        </w:r>
      </w:smartTag>
      <w:r w:rsidR="0039235A" w:rsidRPr="00775F5B">
        <w:rPr>
          <w:sz w:val="20"/>
          <w:szCs w:val="20"/>
        </w:rPr>
        <w:t xml:space="preserve">).   </w:t>
      </w:r>
      <w:r w:rsidR="0043520C" w:rsidRPr="00775F5B">
        <w:rPr>
          <w:sz w:val="20"/>
          <w:szCs w:val="20"/>
        </w:rPr>
        <w:t xml:space="preserve"> </w:t>
      </w:r>
      <w:r w:rsidR="004A60CE">
        <w:rPr>
          <w:sz w:val="20"/>
          <w:szCs w:val="20"/>
        </w:rPr>
        <w:t xml:space="preserve">Speech (in English) on </w:t>
      </w:r>
      <w:proofErr w:type="spellStart"/>
      <w:r w:rsidR="004A60CE">
        <w:rPr>
          <w:sz w:val="20"/>
          <w:szCs w:val="20"/>
        </w:rPr>
        <w:t>PBoC</w:t>
      </w:r>
      <w:proofErr w:type="spellEnd"/>
      <w:r w:rsidR="004A60CE">
        <w:rPr>
          <w:sz w:val="20"/>
          <w:szCs w:val="20"/>
        </w:rPr>
        <w:t xml:space="preserve"> website: </w:t>
      </w:r>
      <w:r w:rsidR="004A60CE" w:rsidRPr="004A60CE">
        <w:rPr>
          <w:sz w:val="20"/>
          <w:szCs w:val="20"/>
        </w:rPr>
        <w:t>http://www.pbc.gov.cn/english//detail.asp?col=6500&amp;ID=82</w:t>
      </w:r>
      <w:r w:rsidR="004A60CE">
        <w:rPr>
          <w:sz w:val="20"/>
          <w:szCs w:val="20"/>
        </w:rPr>
        <w:t>.</w:t>
      </w:r>
    </w:p>
    <w:p w:rsidR="00EB64B1" w:rsidRDefault="00A26329" w:rsidP="00652E41">
      <w:pPr>
        <w:jc w:val="center"/>
        <w:rPr>
          <w:rFonts w:ascii="Verdana" w:hAnsi="Verdana" w:cs="Arial"/>
          <w:b/>
          <w:bCs/>
          <w:sz w:val="28"/>
          <w:szCs w:val="28"/>
        </w:rPr>
      </w:pPr>
      <w:r>
        <w:rPr>
          <w:rFonts w:ascii="Verdana" w:hAnsi="Verdana" w:cs="Arial"/>
          <w:b/>
          <w:bCs/>
          <w:sz w:val="20"/>
          <w:szCs w:val="20"/>
        </w:rPr>
        <w:br w:type="page"/>
      </w:r>
      <w:r w:rsidR="00652E41" w:rsidRPr="00D41BC8">
        <w:rPr>
          <w:rFonts w:ascii="Verdana" w:hAnsi="Verdana" w:cs="Arial"/>
          <w:b/>
          <w:bCs/>
          <w:sz w:val="28"/>
          <w:szCs w:val="28"/>
        </w:rPr>
        <w:t>Tables</w:t>
      </w:r>
      <w:r w:rsidR="00EB64B1">
        <w:rPr>
          <w:rFonts w:ascii="Verdana" w:hAnsi="Verdana" w:cs="Arial"/>
          <w:b/>
          <w:bCs/>
          <w:sz w:val="28"/>
          <w:szCs w:val="28"/>
        </w:rPr>
        <w:t xml:space="preserve"> for Part 2</w:t>
      </w:r>
    </w:p>
    <w:p w:rsidR="00EA1CAD" w:rsidRPr="00D41BC8" w:rsidRDefault="00EA1CAD" w:rsidP="00EA1CAD">
      <w:pPr>
        <w:jc w:val="center"/>
        <w:rPr>
          <w:rFonts w:ascii="Verdana" w:hAnsi="Verdana" w:cs="Arial"/>
          <w:b/>
          <w:bCs/>
          <w:sz w:val="28"/>
          <w:szCs w:val="28"/>
        </w:rPr>
      </w:pPr>
      <w:r w:rsidRPr="00D41BC8">
        <w:rPr>
          <w:rFonts w:ascii="Verdana" w:hAnsi="Verdana" w:cs="Arial"/>
          <w:b/>
          <w:bCs/>
          <w:sz w:val="28"/>
          <w:szCs w:val="28"/>
        </w:rPr>
        <w:t xml:space="preserve">Explaining findings of </w:t>
      </w:r>
      <w:proofErr w:type="spellStart"/>
      <w:r w:rsidR="00A85D9A">
        <w:rPr>
          <w:rFonts w:ascii="Verdana" w:hAnsi="Verdana" w:cs="Arial"/>
          <w:b/>
          <w:bCs/>
          <w:sz w:val="28"/>
          <w:szCs w:val="28"/>
        </w:rPr>
        <w:t>US</w:t>
      </w:r>
      <w:r w:rsidRPr="00D41BC8">
        <w:rPr>
          <w:rFonts w:ascii="Verdana" w:hAnsi="Verdana" w:cs="Arial"/>
          <w:b/>
          <w:bCs/>
          <w:sz w:val="28"/>
          <w:szCs w:val="28"/>
        </w:rPr>
        <w:t>Treasury</w:t>
      </w:r>
      <w:proofErr w:type="spellEnd"/>
      <w:r w:rsidRPr="00D41BC8">
        <w:rPr>
          <w:rFonts w:ascii="Verdana" w:hAnsi="Verdana" w:cs="Arial"/>
          <w:b/>
          <w:bCs/>
          <w:sz w:val="28"/>
          <w:szCs w:val="28"/>
        </w:rPr>
        <w:t xml:space="preserve"> Department biannual</w:t>
      </w:r>
    </w:p>
    <w:p w:rsidR="00EA1CAD" w:rsidRPr="001610EC" w:rsidRDefault="00EA1CAD" w:rsidP="00EA1CAD">
      <w:pPr>
        <w:jc w:val="center"/>
        <w:rPr>
          <w:rFonts w:ascii="Verdana" w:hAnsi="Verdana" w:cs="Arial"/>
          <w:b/>
          <w:bCs/>
          <w:i/>
          <w:sz w:val="28"/>
          <w:szCs w:val="28"/>
        </w:rPr>
      </w:pPr>
      <w:r w:rsidRPr="001610EC">
        <w:rPr>
          <w:rFonts w:ascii="Verdana" w:hAnsi="Verdana" w:cs="Arial"/>
          <w:b/>
          <w:bCs/>
          <w:i/>
          <w:sz w:val="28"/>
          <w:szCs w:val="28"/>
        </w:rPr>
        <w:t>Report to Congress on International Economics and Exchange Rate Policy</w:t>
      </w:r>
    </w:p>
    <w:p w:rsidR="00EA1CAD" w:rsidRDefault="00EA1CAD" w:rsidP="00EA1CAD">
      <w:pPr>
        <w:rPr>
          <w:rFonts w:ascii="Verdana" w:hAnsi="Verdana"/>
          <w:sz w:val="16"/>
          <w:szCs w:val="16"/>
        </w:rPr>
      </w:pPr>
    </w:p>
    <w:p w:rsidR="00EA1CAD" w:rsidRPr="00D33AB7" w:rsidRDefault="00EA1CAD" w:rsidP="00EA1CAD">
      <w:pPr>
        <w:rPr>
          <w:rFonts w:ascii="Verdana" w:hAnsi="Verdana"/>
          <w:sz w:val="16"/>
          <w:szCs w:val="16"/>
        </w:rPr>
      </w:pPr>
    </w:p>
    <w:p w:rsidR="00EA1CAD" w:rsidRDefault="00EA1CAD" w:rsidP="00EA1CAD">
      <w:pPr>
        <w:jc w:val="center"/>
        <w:rPr>
          <w:rFonts w:eastAsia="GungsuhChe"/>
          <w:b/>
          <w:szCs w:val="20"/>
        </w:rPr>
      </w:pPr>
      <w:r>
        <w:rPr>
          <w:rFonts w:eastAsia="GungsuhChe"/>
          <w:b/>
          <w:szCs w:val="20"/>
        </w:rPr>
        <w:t>Table 1</w:t>
      </w:r>
      <w:r w:rsidRPr="008449C9">
        <w:rPr>
          <w:rFonts w:eastAsia="GungsuhChe"/>
          <w:b/>
          <w:szCs w:val="20"/>
        </w:rPr>
        <w:t xml:space="preserve">: </w:t>
      </w:r>
      <w:r>
        <w:rPr>
          <w:rFonts w:eastAsia="GungsuhChe"/>
          <w:b/>
          <w:szCs w:val="20"/>
        </w:rPr>
        <w:t>Determinants of US Treasury Findings</w:t>
      </w:r>
    </w:p>
    <w:p w:rsidR="00EA1CAD" w:rsidRDefault="00EA1CAD" w:rsidP="00EA1CAD">
      <w:pPr>
        <w:jc w:val="center"/>
        <w:rPr>
          <w:rFonts w:eastAsia="GungsuhChe"/>
          <w:b/>
          <w:szCs w:val="20"/>
        </w:rPr>
      </w:pPr>
      <w:r>
        <w:rPr>
          <w:rFonts w:eastAsia="GungsuhChe"/>
          <w:b/>
          <w:szCs w:val="20"/>
        </w:rPr>
        <w:t>With Unemployment and Election Dummy</w:t>
      </w:r>
    </w:p>
    <w:p w:rsidR="00EA1CAD" w:rsidRDefault="00EA1CAD" w:rsidP="00EA1CAD">
      <w:pPr>
        <w:jc w:val="center"/>
        <w:rPr>
          <w:rFonts w:eastAsia="GungsuhChe"/>
          <w:b/>
          <w:szCs w:val="20"/>
        </w:rPr>
      </w:pPr>
      <w:r>
        <w:rPr>
          <w:rFonts w:eastAsia="GungsuhChe"/>
          <w:b/>
          <w:szCs w:val="20"/>
        </w:rPr>
        <w:t xml:space="preserve">Ordered </w:t>
      </w:r>
      <w:proofErr w:type="spellStart"/>
      <w:r>
        <w:rPr>
          <w:rFonts w:eastAsia="GungsuhChe"/>
          <w:b/>
          <w:szCs w:val="20"/>
        </w:rPr>
        <w:t>Probit</w:t>
      </w:r>
      <w:proofErr w:type="spellEnd"/>
      <w:r>
        <w:rPr>
          <w:rFonts w:eastAsia="GungsuhChe"/>
          <w:b/>
          <w:szCs w:val="20"/>
        </w:rPr>
        <w:t>, Oct. 1988 ~ Dec. 2006</w:t>
      </w:r>
    </w:p>
    <w:tbl>
      <w:tblPr>
        <w:tblW w:w="12505" w:type="dxa"/>
        <w:jc w:val="center"/>
        <w:tblCellMar>
          <w:left w:w="0" w:type="dxa"/>
          <w:right w:w="0" w:type="dxa"/>
        </w:tblCellMar>
        <w:tblLook w:val="0000" w:firstRow="0" w:lastRow="0" w:firstColumn="0" w:lastColumn="0" w:noHBand="0" w:noVBand="0"/>
      </w:tblPr>
      <w:tblGrid>
        <w:gridCol w:w="2910"/>
        <w:gridCol w:w="1543"/>
        <w:gridCol w:w="1440"/>
        <w:gridCol w:w="1260"/>
        <w:gridCol w:w="1440"/>
        <w:gridCol w:w="1440"/>
        <w:gridCol w:w="2472"/>
      </w:tblGrid>
      <w:tr w:rsidR="00EA1CAD" w:rsidTr="001610EC">
        <w:trPr>
          <w:trHeight w:val="300"/>
          <w:jc w:val="center"/>
        </w:trPr>
        <w:tc>
          <w:tcPr>
            <w:tcW w:w="291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 </w:t>
            </w:r>
          </w:p>
        </w:tc>
        <w:tc>
          <w:tcPr>
            <w:tcW w:w="1543" w:type="dxa"/>
            <w:tcBorders>
              <w:top w:val="single" w:sz="4" w:space="0" w:color="auto"/>
              <w:left w:val="nil"/>
              <w:bottom w:val="nil"/>
              <w:right w:val="nil"/>
            </w:tcBorders>
            <w:vAlign w:val="bottom"/>
          </w:tcPr>
          <w:p w:rsidR="00EA1CAD" w:rsidRDefault="00EA1CAD" w:rsidP="00AE25D9">
            <w:pPr>
              <w:rPr>
                <w:sz w:val="22"/>
                <w:szCs w:val="22"/>
              </w:rPr>
            </w:pPr>
            <w:r>
              <w:rPr>
                <w:sz w:val="22"/>
                <w:szCs w:val="22"/>
              </w:rPr>
              <w:t>(1)</w:t>
            </w:r>
          </w:p>
        </w:tc>
        <w:tc>
          <w:tcPr>
            <w:tcW w:w="1440" w:type="dxa"/>
            <w:tcBorders>
              <w:top w:val="single" w:sz="4" w:space="0" w:color="auto"/>
              <w:left w:val="nil"/>
              <w:bottom w:val="nil"/>
              <w:right w:val="nil"/>
            </w:tcBorders>
            <w:vAlign w:val="bottom"/>
          </w:tcPr>
          <w:p w:rsidR="00EA1CAD" w:rsidRDefault="00EA1CAD" w:rsidP="00AE25D9">
            <w:pPr>
              <w:rPr>
                <w:sz w:val="22"/>
                <w:szCs w:val="22"/>
              </w:rPr>
            </w:pPr>
            <w:r>
              <w:rPr>
                <w:sz w:val="22"/>
                <w:szCs w:val="22"/>
              </w:rPr>
              <w:t>(2)</w:t>
            </w:r>
          </w:p>
        </w:tc>
        <w:tc>
          <w:tcPr>
            <w:tcW w:w="126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(3)</w:t>
            </w:r>
          </w:p>
        </w:tc>
        <w:tc>
          <w:tcPr>
            <w:tcW w:w="144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(4)</w:t>
            </w:r>
          </w:p>
        </w:tc>
        <w:tc>
          <w:tcPr>
            <w:tcW w:w="144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(5)</w:t>
            </w:r>
          </w:p>
        </w:tc>
        <w:tc>
          <w:tcPr>
            <w:tcW w:w="2472"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(6)</w:t>
            </w:r>
          </w:p>
        </w:tc>
      </w:tr>
      <w:tr w:rsidR="00EA1CAD" w:rsidTr="001610EC">
        <w:trPr>
          <w:trHeight w:val="840"/>
          <w:jc w:val="center"/>
        </w:trPr>
        <w:tc>
          <w:tcPr>
            <w:tcW w:w="2910" w:type="dxa"/>
            <w:tcBorders>
              <w:top w:val="nil"/>
              <w:left w:val="nil"/>
              <w:bottom w:val="double" w:sz="6" w:space="0" w:color="auto"/>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Variable</w:t>
            </w:r>
          </w:p>
        </w:tc>
        <w:tc>
          <w:tcPr>
            <w:tcW w:w="1543" w:type="dxa"/>
            <w:tcBorders>
              <w:top w:val="nil"/>
              <w:left w:val="nil"/>
              <w:bottom w:val="double" w:sz="6" w:space="0" w:color="auto"/>
              <w:right w:val="nil"/>
            </w:tcBorders>
            <w:vAlign w:val="center"/>
          </w:tcPr>
          <w:p w:rsidR="00EA1CAD" w:rsidRDefault="00EA1CAD" w:rsidP="00AE25D9">
            <w:pPr>
              <w:rPr>
                <w:sz w:val="22"/>
                <w:szCs w:val="22"/>
              </w:rPr>
            </w:pPr>
            <w:r>
              <w:rPr>
                <w:sz w:val="22"/>
                <w:szCs w:val="22"/>
              </w:rPr>
              <w:t>Full sample</w:t>
            </w:r>
          </w:p>
        </w:tc>
        <w:tc>
          <w:tcPr>
            <w:tcW w:w="1440" w:type="dxa"/>
            <w:tcBorders>
              <w:top w:val="nil"/>
              <w:left w:val="nil"/>
              <w:bottom w:val="double" w:sz="6" w:space="0" w:color="auto"/>
              <w:right w:val="nil"/>
            </w:tcBorders>
            <w:vAlign w:val="center"/>
          </w:tcPr>
          <w:p w:rsidR="00EA1CAD" w:rsidRDefault="00EA1CAD" w:rsidP="00AE25D9">
            <w:pPr>
              <w:rPr>
                <w:sz w:val="22"/>
                <w:szCs w:val="22"/>
              </w:rPr>
            </w:pPr>
            <w:r>
              <w:rPr>
                <w:sz w:val="22"/>
                <w:szCs w:val="22"/>
              </w:rPr>
              <w:t>Excluding oil</w:t>
            </w:r>
          </w:p>
          <w:p w:rsidR="00EA1CAD" w:rsidRDefault="00EA1CAD" w:rsidP="00AE25D9">
            <w:pPr>
              <w:rPr>
                <w:sz w:val="22"/>
                <w:szCs w:val="22"/>
              </w:rPr>
            </w:pPr>
            <w:r>
              <w:rPr>
                <w:sz w:val="22"/>
                <w:szCs w:val="22"/>
              </w:rPr>
              <w:t>exporters</w:t>
            </w:r>
          </w:p>
        </w:tc>
        <w:tc>
          <w:tcPr>
            <w:tcW w:w="1260" w:type="dxa"/>
            <w:tcBorders>
              <w:top w:val="nil"/>
              <w:left w:val="nil"/>
              <w:bottom w:val="double" w:sz="6" w:space="0" w:color="auto"/>
              <w:right w:val="nil"/>
            </w:tcBorders>
            <w:shd w:val="clear" w:color="auto" w:fill="auto"/>
            <w:noWrap/>
            <w:tcMar>
              <w:top w:w="15" w:type="dxa"/>
              <w:left w:w="15" w:type="dxa"/>
              <w:bottom w:w="0" w:type="dxa"/>
              <w:right w:w="15" w:type="dxa"/>
            </w:tcMar>
            <w:vAlign w:val="center"/>
          </w:tcPr>
          <w:p w:rsidR="00EA1CAD" w:rsidRDefault="00EA1CAD" w:rsidP="00AE25D9">
            <w:pPr>
              <w:rPr>
                <w:sz w:val="22"/>
                <w:szCs w:val="22"/>
              </w:rPr>
            </w:pPr>
            <w:r>
              <w:rPr>
                <w:sz w:val="22"/>
                <w:szCs w:val="22"/>
              </w:rPr>
              <w:t>Full sample</w:t>
            </w:r>
          </w:p>
        </w:tc>
        <w:tc>
          <w:tcPr>
            <w:tcW w:w="1440" w:type="dxa"/>
            <w:tcBorders>
              <w:top w:val="nil"/>
              <w:left w:val="nil"/>
              <w:bottom w:val="double" w:sz="6" w:space="0" w:color="auto"/>
              <w:right w:val="nil"/>
            </w:tcBorders>
            <w:shd w:val="clear" w:color="auto" w:fill="auto"/>
            <w:noWrap/>
            <w:tcMar>
              <w:top w:w="15" w:type="dxa"/>
              <w:left w:w="15" w:type="dxa"/>
              <w:bottom w:w="0" w:type="dxa"/>
              <w:right w:w="15" w:type="dxa"/>
            </w:tcMar>
            <w:vAlign w:val="center"/>
          </w:tcPr>
          <w:p w:rsidR="00EA1CAD" w:rsidRDefault="00EA1CAD" w:rsidP="00AE25D9">
            <w:pPr>
              <w:rPr>
                <w:sz w:val="22"/>
                <w:szCs w:val="22"/>
              </w:rPr>
            </w:pPr>
            <w:r>
              <w:rPr>
                <w:sz w:val="22"/>
                <w:szCs w:val="22"/>
              </w:rPr>
              <w:t>Excluding oil</w:t>
            </w:r>
          </w:p>
          <w:p w:rsidR="00EA1CAD" w:rsidRDefault="00EA1CAD" w:rsidP="00AE25D9">
            <w:pPr>
              <w:rPr>
                <w:sz w:val="22"/>
                <w:szCs w:val="22"/>
              </w:rPr>
            </w:pPr>
            <w:r>
              <w:rPr>
                <w:sz w:val="22"/>
                <w:szCs w:val="22"/>
              </w:rPr>
              <w:t>exporters</w:t>
            </w:r>
          </w:p>
        </w:tc>
        <w:tc>
          <w:tcPr>
            <w:tcW w:w="1440" w:type="dxa"/>
            <w:tcBorders>
              <w:top w:val="nil"/>
              <w:left w:val="nil"/>
              <w:bottom w:val="double" w:sz="6" w:space="0" w:color="auto"/>
              <w:right w:val="nil"/>
            </w:tcBorders>
            <w:shd w:val="clear" w:color="auto" w:fill="auto"/>
            <w:noWrap/>
            <w:tcMar>
              <w:top w:w="15" w:type="dxa"/>
              <w:left w:w="15" w:type="dxa"/>
              <w:bottom w:w="0" w:type="dxa"/>
              <w:right w:w="15" w:type="dxa"/>
            </w:tcMar>
            <w:vAlign w:val="center"/>
          </w:tcPr>
          <w:p w:rsidR="00EA1CAD" w:rsidRDefault="00EA1CAD" w:rsidP="00AE25D9">
            <w:pPr>
              <w:rPr>
                <w:sz w:val="22"/>
                <w:szCs w:val="22"/>
              </w:rPr>
            </w:pPr>
            <w:r>
              <w:rPr>
                <w:sz w:val="22"/>
                <w:szCs w:val="22"/>
              </w:rPr>
              <w:t>SD of variable</w:t>
            </w:r>
          </w:p>
        </w:tc>
        <w:tc>
          <w:tcPr>
            <w:tcW w:w="2472" w:type="dxa"/>
            <w:tcBorders>
              <w:top w:val="nil"/>
              <w:left w:val="nil"/>
              <w:bottom w:val="double" w:sz="6" w:space="0" w:color="auto"/>
              <w:right w:val="nil"/>
            </w:tcBorders>
            <w:shd w:val="clear" w:color="auto" w:fill="auto"/>
            <w:noWrap/>
            <w:tcMar>
              <w:top w:w="15" w:type="dxa"/>
              <w:left w:w="15" w:type="dxa"/>
              <w:bottom w:w="0" w:type="dxa"/>
              <w:right w:w="15" w:type="dxa"/>
            </w:tcMar>
            <w:vAlign w:val="center"/>
          </w:tcPr>
          <w:p w:rsidR="00EA1CAD" w:rsidRDefault="00EA1CAD" w:rsidP="00AE25D9">
            <w:pPr>
              <w:rPr>
                <w:sz w:val="20"/>
                <w:szCs w:val="20"/>
              </w:rPr>
            </w:pPr>
            <w:r>
              <w:rPr>
                <w:sz w:val="20"/>
                <w:szCs w:val="20"/>
              </w:rPr>
              <w:t xml:space="preserve">Standardized </w:t>
            </w:r>
          </w:p>
          <w:p w:rsidR="00EA1CAD" w:rsidRDefault="00EA1CAD" w:rsidP="00AE25D9">
            <w:pPr>
              <w:rPr>
                <w:sz w:val="20"/>
                <w:szCs w:val="20"/>
              </w:rPr>
            </w:pPr>
            <w:r>
              <w:rPr>
                <w:sz w:val="20"/>
                <w:szCs w:val="20"/>
              </w:rPr>
              <w:t xml:space="preserve">Response = </w:t>
            </w:r>
          </w:p>
          <w:p w:rsidR="00EA1CAD" w:rsidRDefault="00EA1CAD" w:rsidP="00AE25D9">
            <w:pPr>
              <w:rPr>
                <w:sz w:val="20"/>
                <w:szCs w:val="20"/>
              </w:rPr>
            </w:pPr>
            <w:proofErr w:type="spellStart"/>
            <w:r>
              <w:rPr>
                <w:sz w:val="20"/>
                <w:szCs w:val="20"/>
              </w:rPr>
              <w:t>Coeff.est</w:t>
            </w:r>
            <w:proofErr w:type="spellEnd"/>
            <w:r>
              <w:rPr>
                <w:sz w:val="20"/>
                <w:szCs w:val="20"/>
              </w:rPr>
              <w:t xml:space="preserve">. from (4) </w:t>
            </w:r>
          </w:p>
          <w:p w:rsidR="00EA1CAD" w:rsidRDefault="00EA1CAD" w:rsidP="00AE25D9">
            <w:pPr>
              <w:rPr>
                <w:sz w:val="22"/>
                <w:szCs w:val="22"/>
              </w:rPr>
            </w:pPr>
            <w:r>
              <w:rPr>
                <w:sz w:val="20"/>
                <w:szCs w:val="20"/>
              </w:rPr>
              <w:t>x  SD from (5)</w:t>
            </w:r>
          </w:p>
        </w:tc>
      </w:tr>
      <w:tr w:rsidR="00EA1CAD" w:rsidTr="001610EC">
        <w:trPr>
          <w:trHeight w:val="270"/>
          <w:jc w:val="center"/>
        </w:trPr>
        <w:tc>
          <w:tcPr>
            <w:tcW w:w="2910" w:type="dxa"/>
            <w:vMerge w:val="restart"/>
            <w:tcBorders>
              <w:top w:val="nil"/>
              <w:left w:val="nil"/>
              <w:bottom w:val="nil"/>
              <w:right w:val="nil"/>
            </w:tcBorders>
            <w:shd w:val="clear" w:color="auto" w:fill="auto"/>
            <w:tcMar>
              <w:top w:w="15" w:type="dxa"/>
              <w:left w:w="15" w:type="dxa"/>
              <w:bottom w:w="0" w:type="dxa"/>
              <w:right w:w="15" w:type="dxa"/>
            </w:tcMar>
            <w:vAlign w:val="bottom"/>
          </w:tcPr>
          <w:p w:rsidR="00EA1CAD" w:rsidRDefault="00EA1CAD" w:rsidP="001610EC">
            <w:pPr>
              <w:jc w:val="center"/>
              <w:rPr>
                <w:sz w:val="22"/>
                <w:szCs w:val="22"/>
              </w:rPr>
            </w:pPr>
            <w:r>
              <w:rPr>
                <w:sz w:val="22"/>
                <w:szCs w:val="22"/>
              </w:rPr>
              <w:t>US bilateral goods</w:t>
            </w:r>
          </w:p>
          <w:p w:rsidR="00EA1CAD" w:rsidRDefault="00EA1CAD" w:rsidP="001610EC">
            <w:pPr>
              <w:jc w:val="center"/>
              <w:rPr>
                <w:sz w:val="22"/>
                <w:szCs w:val="22"/>
              </w:rPr>
            </w:pPr>
            <w:r>
              <w:rPr>
                <w:sz w:val="22"/>
                <w:szCs w:val="22"/>
              </w:rPr>
              <w:t>trade balance with</w:t>
            </w:r>
          </w:p>
          <w:p w:rsidR="00EA1CAD" w:rsidRDefault="00EA1CAD" w:rsidP="001610EC">
            <w:pPr>
              <w:jc w:val="center"/>
              <w:rPr>
                <w:sz w:val="22"/>
                <w:szCs w:val="22"/>
              </w:rPr>
            </w:pPr>
            <w:r>
              <w:rPr>
                <w:sz w:val="22"/>
                <w:szCs w:val="22"/>
              </w:rPr>
              <w:t>partner country (</w:t>
            </w:r>
            <w:proofErr w:type="spellStart"/>
            <w:r>
              <w:rPr>
                <w:sz w:val="22"/>
                <w:szCs w:val="22"/>
              </w:rPr>
              <w:t>tb</w:t>
            </w:r>
            <w:proofErr w:type="spellEnd"/>
            <w:r>
              <w:rPr>
                <w:sz w:val="22"/>
                <w:szCs w:val="22"/>
              </w:rPr>
              <w:t>)</w:t>
            </w:r>
          </w:p>
        </w:tc>
        <w:tc>
          <w:tcPr>
            <w:tcW w:w="1543" w:type="dxa"/>
            <w:tcBorders>
              <w:top w:val="nil"/>
              <w:left w:val="nil"/>
              <w:bottom w:val="nil"/>
              <w:right w:val="nil"/>
            </w:tcBorders>
            <w:vAlign w:val="bottom"/>
          </w:tcPr>
          <w:p w:rsidR="00EA1CAD" w:rsidRDefault="00EA1CAD" w:rsidP="00AE25D9">
            <w:pPr>
              <w:jc w:val="center"/>
              <w:rPr>
                <w:sz w:val="22"/>
                <w:szCs w:val="22"/>
              </w:rPr>
            </w:pPr>
            <w:r>
              <w:rPr>
                <w:sz w:val="22"/>
                <w:szCs w:val="22"/>
              </w:rPr>
              <w:t>-2.205***</w:t>
            </w:r>
          </w:p>
        </w:tc>
        <w:tc>
          <w:tcPr>
            <w:tcW w:w="1440" w:type="dxa"/>
            <w:tcBorders>
              <w:top w:val="nil"/>
              <w:left w:val="nil"/>
              <w:bottom w:val="nil"/>
              <w:right w:val="nil"/>
            </w:tcBorders>
            <w:vAlign w:val="bottom"/>
          </w:tcPr>
          <w:p w:rsidR="00EA1CAD" w:rsidRDefault="00EA1CAD" w:rsidP="00AE25D9">
            <w:pPr>
              <w:jc w:val="center"/>
              <w:rPr>
                <w:sz w:val="22"/>
                <w:szCs w:val="22"/>
              </w:rPr>
            </w:pPr>
            <w:r>
              <w:rPr>
                <w:sz w:val="22"/>
                <w:szCs w:val="22"/>
              </w:rPr>
              <w:t>-2.121***</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-2.163***</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-2.047***</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0.157</w:t>
            </w:r>
          </w:p>
        </w:tc>
        <w:tc>
          <w:tcPr>
            <w:tcW w:w="2472"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-0.321</w:t>
            </w:r>
          </w:p>
        </w:tc>
      </w:tr>
      <w:tr w:rsidR="00EA1CAD" w:rsidTr="001610EC">
        <w:trPr>
          <w:trHeight w:val="300"/>
          <w:jc w:val="center"/>
        </w:trPr>
        <w:tc>
          <w:tcPr>
            <w:tcW w:w="2910" w:type="dxa"/>
            <w:vMerge/>
            <w:tcBorders>
              <w:top w:val="nil"/>
              <w:left w:val="nil"/>
              <w:bottom w:val="nil"/>
              <w:right w:val="nil"/>
            </w:tcBorders>
            <w:vAlign w:val="center"/>
          </w:tcPr>
          <w:p w:rsidR="00EA1CAD" w:rsidRDefault="00EA1CAD" w:rsidP="001610EC">
            <w:pPr>
              <w:jc w:val="center"/>
              <w:rPr>
                <w:sz w:val="22"/>
                <w:szCs w:val="22"/>
              </w:rPr>
            </w:pPr>
          </w:p>
        </w:tc>
        <w:tc>
          <w:tcPr>
            <w:tcW w:w="1543" w:type="dxa"/>
            <w:tcBorders>
              <w:top w:val="nil"/>
              <w:left w:val="nil"/>
              <w:bottom w:val="nil"/>
              <w:right w:val="nil"/>
            </w:tcBorders>
            <w:vAlign w:val="bottom"/>
          </w:tcPr>
          <w:p w:rsidR="00EA1CAD" w:rsidRDefault="00EA1CAD" w:rsidP="00AE25D9">
            <w:pPr>
              <w:jc w:val="center"/>
              <w:rPr>
                <w:sz w:val="22"/>
                <w:szCs w:val="22"/>
              </w:rPr>
            </w:pPr>
            <w:r>
              <w:rPr>
                <w:sz w:val="22"/>
                <w:szCs w:val="22"/>
              </w:rPr>
              <w:t>(0.363)</w:t>
            </w:r>
          </w:p>
          <w:p w:rsidR="00EA1CAD" w:rsidRDefault="00EA1CAD" w:rsidP="00AE25D9">
            <w:pPr>
              <w:jc w:val="center"/>
              <w:rPr>
                <w:sz w:val="22"/>
                <w:szCs w:val="22"/>
              </w:rPr>
            </w:pPr>
          </w:p>
        </w:tc>
        <w:tc>
          <w:tcPr>
            <w:tcW w:w="1440" w:type="dxa"/>
            <w:tcBorders>
              <w:top w:val="nil"/>
              <w:left w:val="nil"/>
              <w:bottom w:val="nil"/>
              <w:right w:val="nil"/>
            </w:tcBorders>
            <w:vAlign w:val="bottom"/>
          </w:tcPr>
          <w:p w:rsidR="00EA1CAD" w:rsidRDefault="00EA1CAD" w:rsidP="00AE25D9">
            <w:pPr>
              <w:jc w:val="center"/>
              <w:rPr>
                <w:sz w:val="22"/>
                <w:szCs w:val="22"/>
              </w:rPr>
            </w:pPr>
            <w:r>
              <w:rPr>
                <w:sz w:val="22"/>
                <w:szCs w:val="22"/>
              </w:rPr>
              <w:t>(0.384)</w:t>
            </w:r>
          </w:p>
          <w:p w:rsidR="00EA1CAD" w:rsidRDefault="00EA1CAD" w:rsidP="00AE25D9">
            <w:pPr>
              <w:jc w:val="center"/>
              <w:rPr>
                <w:sz w:val="22"/>
                <w:szCs w:val="22"/>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(0.360)</w:t>
            </w:r>
          </w:p>
          <w:p w:rsidR="00EA1CAD" w:rsidRDefault="00EA1CAD" w:rsidP="00AE25D9">
            <w:pPr>
              <w:jc w:val="center"/>
              <w:rPr>
                <w:sz w:val="22"/>
                <w:szCs w:val="22"/>
              </w:rPr>
            </w:pP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(0.374)</w:t>
            </w:r>
          </w:p>
          <w:p w:rsidR="00EA1CAD" w:rsidRDefault="00EA1CAD" w:rsidP="00AE25D9">
            <w:pPr>
              <w:jc w:val="center"/>
              <w:rPr>
                <w:sz w:val="22"/>
                <w:szCs w:val="22"/>
              </w:rPr>
            </w:pP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2472"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p>
        </w:tc>
      </w:tr>
      <w:tr w:rsidR="00EA1CAD" w:rsidTr="001610EC">
        <w:trPr>
          <w:trHeight w:val="255"/>
          <w:jc w:val="center"/>
        </w:trPr>
        <w:tc>
          <w:tcPr>
            <w:tcW w:w="2910" w:type="dxa"/>
            <w:vMerge w:val="restart"/>
            <w:tcBorders>
              <w:top w:val="nil"/>
              <w:left w:val="nil"/>
              <w:bottom w:val="nil"/>
              <w:right w:val="nil"/>
            </w:tcBorders>
            <w:shd w:val="clear" w:color="auto" w:fill="auto"/>
            <w:tcMar>
              <w:top w:w="15" w:type="dxa"/>
              <w:left w:w="15" w:type="dxa"/>
              <w:bottom w:w="0" w:type="dxa"/>
              <w:right w:w="15" w:type="dxa"/>
            </w:tcMar>
            <w:vAlign w:val="bottom"/>
          </w:tcPr>
          <w:p w:rsidR="00EA1CAD" w:rsidRDefault="00EA1CAD" w:rsidP="001610EC">
            <w:pPr>
              <w:jc w:val="center"/>
              <w:rPr>
                <w:sz w:val="22"/>
                <w:szCs w:val="22"/>
              </w:rPr>
            </w:pPr>
            <w:r>
              <w:rPr>
                <w:sz w:val="22"/>
                <w:szCs w:val="22"/>
              </w:rPr>
              <w:t>Partner country’s</w:t>
            </w:r>
          </w:p>
          <w:p w:rsidR="00EA1CAD" w:rsidRDefault="00EA1CAD" w:rsidP="001610EC">
            <w:pPr>
              <w:jc w:val="center"/>
              <w:rPr>
                <w:sz w:val="22"/>
                <w:szCs w:val="22"/>
              </w:rPr>
            </w:pPr>
            <w:r>
              <w:rPr>
                <w:sz w:val="22"/>
                <w:szCs w:val="22"/>
              </w:rPr>
              <w:t>Current account/</w:t>
            </w:r>
          </w:p>
          <w:p w:rsidR="00EA1CAD" w:rsidRDefault="00EA1CAD" w:rsidP="001610EC">
            <w:pPr>
              <w:jc w:val="center"/>
              <w:rPr>
                <w:sz w:val="22"/>
                <w:szCs w:val="22"/>
              </w:rPr>
            </w:pPr>
            <w:r>
              <w:rPr>
                <w:sz w:val="22"/>
                <w:szCs w:val="22"/>
              </w:rPr>
              <w:t>GDP ratio (ca)</w:t>
            </w:r>
          </w:p>
        </w:tc>
        <w:tc>
          <w:tcPr>
            <w:tcW w:w="1543" w:type="dxa"/>
            <w:tcBorders>
              <w:top w:val="nil"/>
              <w:left w:val="nil"/>
              <w:bottom w:val="nil"/>
              <w:right w:val="nil"/>
            </w:tcBorders>
            <w:vAlign w:val="bottom"/>
          </w:tcPr>
          <w:p w:rsidR="00EA1CAD" w:rsidRDefault="00EA1CAD" w:rsidP="00AE25D9">
            <w:pPr>
              <w:jc w:val="center"/>
              <w:rPr>
                <w:sz w:val="22"/>
                <w:szCs w:val="22"/>
              </w:rPr>
            </w:pPr>
            <w:r>
              <w:rPr>
                <w:sz w:val="22"/>
                <w:szCs w:val="22"/>
              </w:rPr>
              <w:t>0.048***</w:t>
            </w:r>
          </w:p>
        </w:tc>
        <w:tc>
          <w:tcPr>
            <w:tcW w:w="1440" w:type="dxa"/>
            <w:tcBorders>
              <w:top w:val="nil"/>
              <w:left w:val="nil"/>
              <w:bottom w:val="nil"/>
              <w:right w:val="nil"/>
            </w:tcBorders>
            <w:vAlign w:val="bottom"/>
          </w:tcPr>
          <w:p w:rsidR="00EA1CAD" w:rsidRDefault="00EA1CAD" w:rsidP="00AE25D9">
            <w:pPr>
              <w:jc w:val="center"/>
              <w:rPr>
                <w:sz w:val="22"/>
                <w:szCs w:val="22"/>
              </w:rPr>
            </w:pPr>
            <w:r>
              <w:rPr>
                <w:sz w:val="22"/>
                <w:szCs w:val="22"/>
              </w:rPr>
              <w:t>0.090***</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0.045***</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0.083***</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5.159</w:t>
            </w:r>
          </w:p>
        </w:tc>
        <w:tc>
          <w:tcPr>
            <w:tcW w:w="2472"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0.427</w:t>
            </w:r>
          </w:p>
        </w:tc>
      </w:tr>
      <w:tr w:rsidR="00EA1CAD" w:rsidTr="001610EC">
        <w:trPr>
          <w:trHeight w:val="300"/>
          <w:jc w:val="center"/>
        </w:trPr>
        <w:tc>
          <w:tcPr>
            <w:tcW w:w="2910" w:type="dxa"/>
            <w:vMerge/>
            <w:tcBorders>
              <w:top w:val="nil"/>
              <w:left w:val="nil"/>
              <w:bottom w:val="nil"/>
              <w:right w:val="nil"/>
            </w:tcBorders>
            <w:vAlign w:val="center"/>
          </w:tcPr>
          <w:p w:rsidR="00EA1CAD" w:rsidRDefault="00EA1CAD" w:rsidP="001610EC">
            <w:pPr>
              <w:jc w:val="center"/>
              <w:rPr>
                <w:sz w:val="22"/>
                <w:szCs w:val="22"/>
              </w:rPr>
            </w:pPr>
          </w:p>
        </w:tc>
        <w:tc>
          <w:tcPr>
            <w:tcW w:w="1543" w:type="dxa"/>
            <w:tcBorders>
              <w:top w:val="nil"/>
              <w:left w:val="nil"/>
              <w:bottom w:val="nil"/>
              <w:right w:val="nil"/>
            </w:tcBorders>
            <w:vAlign w:val="bottom"/>
          </w:tcPr>
          <w:p w:rsidR="00EA1CAD" w:rsidRDefault="00EA1CAD" w:rsidP="00AE25D9">
            <w:pPr>
              <w:jc w:val="center"/>
              <w:rPr>
                <w:sz w:val="22"/>
                <w:szCs w:val="22"/>
              </w:rPr>
            </w:pPr>
            <w:r>
              <w:rPr>
                <w:sz w:val="22"/>
                <w:szCs w:val="22"/>
              </w:rPr>
              <w:t>(0.016)</w:t>
            </w:r>
          </w:p>
          <w:p w:rsidR="00EA1CAD" w:rsidRDefault="00EA1CAD" w:rsidP="00AE25D9">
            <w:pPr>
              <w:jc w:val="center"/>
              <w:rPr>
                <w:sz w:val="22"/>
                <w:szCs w:val="22"/>
              </w:rPr>
            </w:pPr>
          </w:p>
        </w:tc>
        <w:tc>
          <w:tcPr>
            <w:tcW w:w="1440" w:type="dxa"/>
            <w:tcBorders>
              <w:top w:val="nil"/>
              <w:left w:val="nil"/>
              <w:bottom w:val="nil"/>
              <w:right w:val="nil"/>
            </w:tcBorders>
            <w:vAlign w:val="bottom"/>
          </w:tcPr>
          <w:p w:rsidR="00EA1CAD" w:rsidRDefault="00EA1CAD" w:rsidP="00AE25D9">
            <w:pPr>
              <w:jc w:val="center"/>
              <w:rPr>
                <w:sz w:val="22"/>
                <w:szCs w:val="22"/>
              </w:rPr>
            </w:pPr>
            <w:r>
              <w:rPr>
                <w:sz w:val="22"/>
                <w:szCs w:val="22"/>
              </w:rPr>
              <w:t>(0.022)</w:t>
            </w:r>
          </w:p>
          <w:p w:rsidR="00EA1CAD" w:rsidRDefault="00EA1CAD" w:rsidP="00AE25D9">
            <w:pPr>
              <w:jc w:val="center"/>
              <w:rPr>
                <w:sz w:val="22"/>
                <w:szCs w:val="22"/>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(0.016)</w:t>
            </w:r>
          </w:p>
          <w:p w:rsidR="00EA1CAD" w:rsidRDefault="00EA1CAD" w:rsidP="00AE25D9">
            <w:pPr>
              <w:jc w:val="center"/>
              <w:rPr>
                <w:sz w:val="22"/>
                <w:szCs w:val="22"/>
              </w:rPr>
            </w:pP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(0.020)</w:t>
            </w:r>
          </w:p>
          <w:p w:rsidR="00EA1CAD" w:rsidRDefault="00EA1CAD" w:rsidP="00AE25D9">
            <w:pPr>
              <w:jc w:val="center"/>
              <w:rPr>
                <w:sz w:val="22"/>
                <w:szCs w:val="22"/>
              </w:rPr>
            </w:pP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2472"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p>
        </w:tc>
      </w:tr>
      <w:tr w:rsidR="00EA1CAD" w:rsidTr="001610EC">
        <w:trPr>
          <w:trHeight w:val="255"/>
          <w:jc w:val="center"/>
        </w:trPr>
        <w:tc>
          <w:tcPr>
            <w:tcW w:w="2910" w:type="dxa"/>
            <w:vMerge w:val="restart"/>
            <w:tcBorders>
              <w:top w:val="nil"/>
              <w:left w:val="nil"/>
              <w:bottom w:val="nil"/>
              <w:right w:val="nil"/>
            </w:tcBorders>
            <w:shd w:val="clear" w:color="auto" w:fill="auto"/>
            <w:tcMar>
              <w:top w:w="15" w:type="dxa"/>
              <w:left w:w="15" w:type="dxa"/>
              <w:bottom w:w="0" w:type="dxa"/>
              <w:right w:w="15" w:type="dxa"/>
            </w:tcMar>
            <w:vAlign w:val="bottom"/>
          </w:tcPr>
          <w:p w:rsidR="00EA1CAD" w:rsidRDefault="00EA1CAD" w:rsidP="001610EC">
            <w:pPr>
              <w:jc w:val="center"/>
              <w:rPr>
                <w:sz w:val="22"/>
                <w:szCs w:val="22"/>
              </w:rPr>
            </w:pPr>
            <w:r>
              <w:rPr>
                <w:sz w:val="22"/>
                <w:szCs w:val="22"/>
              </w:rPr>
              <w:t>Partner’s real exchange</w:t>
            </w:r>
          </w:p>
          <w:p w:rsidR="00EA1CAD" w:rsidRDefault="00EA1CAD" w:rsidP="001610EC">
            <w:pPr>
              <w:jc w:val="center"/>
              <w:rPr>
                <w:sz w:val="22"/>
                <w:szCs w:val="22"/>
              </w:rPr>
            </w:pPr>
            <w:r>
              <w:rPr>
                <w:sz w:val="22"/>
                <w:szCs w:val="22"/>
              </w:rPr>
              <w:t>rate relative to PPP</w:t>
            </w:r>
          </w:p>
          <w:p w:rsidR="00EA1CAD" w:rsidRDefault="00EA1CAD" w:rsidP="001610EC">
            <w:pPr>
              <w:jc w:val="center"/>
              <w:rPr>
                <w:sz w:val="22"/>
                <w:szCs w:val="22"/>
              </w:rPr>
            </w:pPr>
            <w:r>
              <w:rPr>
                <w:sz w:val="22"/>
                <w:szCs w:val="22"/>
              </w:rPr>
              <w:t>(</w:t>
            </w:r>
            <w:proofErr w:type="spellStart"/>
            <w:r>
              <w:rPr>
                <w:sz w:val="22"/>
                <w:szCs w:val="22"/>
              </w:rPr>
              <w:t>ppp</w:t>
            </w:r>
            <w:proofErr w:type="spellEnd"/>
            <w:r>
              <w:rPr>
                <w:sz w:val="22"/>
                <w:szCs w:val="22"/>
              </w:rPr>
              <w:t>)</w:t>
            </w:r>
          </w:p>
        </w:tc>
        <w:tc>
          <w:tcPr>
            <w:tcW w:w="1543" w:type="dxa"/>
            <w:tcBorders>
              <w:top w:val="nil"/>
              <w:left w:val="nil"/>
              <w:bottom w:val="nil"/>
              <w:right w:val="nil"/>
            </w:tcBorders>
            <w:vAlign w:val="bottom"/>
          </w:tcPr>
          <w:p w:rsidR="00EA1CAD" w:rsidRDefault="00EA1CAD" w:rsidP="00AE25D9">
            <w:pPr>
              <w:jc w:val="center"/>
              <w:rPr>
                <w:sz w:val="22"/>
                <w:szCs w:val="22"/>
              </w:rPr>
            </w:pPr>
            <w:r>
              <w:rPr>
                <w:sz w:val="22"/>
                <w:szCs w:val="22"/>
              </w:rPr>
              <w:t>-0.616</w:t>
            </w:r>
          </w:p>
        </w:tc>
        <w:tc>
          <w:tcPr>
            <w:tcW w:w="1440" w:type="dxa"/>
            <w:tcBorders>
              <w:top w:val="nil"/>
              <w:left w:val="nil"/>
              <w:bottom w:val="nil"/>
              <w:right w:val="nil"/>
            </w:tcBorders>
            <w:vAlign w:val="bottom"/>
          </w:tcPr>
          <w:p w:rsidR="00EA1CAD" w:rsidRDefault="00EA1CAD" w:rsidP="00AE25D9">
            <w:pPr>
              <w:jc w:val="center"/>
              <w:rPr>
                <w:sz w:val="22"/>
                <w:szCs w:val="22"/>
              </w:rPr>
            </w:pPr>
            <w:r>
              <w:rPr>
                <w:sz w:val="22"/>
                <w:szCs w:val="22"/>
              </w:rPr>
              <w:t>-0.745*</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-0.591</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-0.694*</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0.350</w:t>
            </w:r>
          </w:p>
        </w:tc>
        <w:tc>
          <w:tcPr>
            <w:tcW w:w="2472"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-0.243</w:t>
            </w:r>
          </w:p>
        </w:tc>
      </w:tr>
      <w:tr w:rsidR="00EA1CAD" w:rsidTr="001610EC">
        <w:trPr>
          <w:trHeight w:val="300"/>
          <w:jc w:val="center"/>
        </w:trPr>
        <w:tc>
          <w:tcPr>
            <w:tcW w:w="2910" w:type="dxa"/>
            <w:vMerge/>
            <w:tcBorders>
              <w:top w:val="nil"/>
              <w:left w:val="nil"/>
              <w:bottom w:val="nil"/>
              <w:right w:val="nil"/>
            </w:tcBorders>
            <w:vAlign w:val="center"/>
          </w:tcPr>
          <w:p w:rsidR="00EA1CAD" w:rsidRDefault="00EA1CAD" w:rsidP="001610EC">
            <w:pPr>
              <w:jc w:val="center"/>
              <w:rPr>
                <w:sz w:val="22"/>
                <w:szCs w:val="22"/>
              </w:rPr>
            </w:pPr>
          </w:p>
        </w:tc>
        <w:tc>
          <w:tcPr>
            <w:tcW w:w="1543" w:type="dxa"/>
            <w:tcBorders>
              <w:top w:val="nil"/>
              <w:left w:val="nil"/>
              <w:bottom w:val="nil"/>
              <w:right w:val="nil"/>
            </w:tcBorders>
            <w:vAlign w:val="bottom"/>
          </w:tcPr>
          <w:p w:rsidR="00EA1CAD" w:rsidRDefault="00EA1CAD" w:rsidP="00AE25D9">
            <w:pPr>
              <w:jc w:val="center"/>
              <w:rPr>
                <w:sz w:val="22"/>
                <w:szCs w:val="22"/>
              </w:rPr>
            </w:pPr>
            <w:r>
              <w:rPr>
                <w:sz w:val="22"/>
                <w:szCs w:val="22"/>
              </w:rPr>
              <w:t>(0.415)</w:t>
            </w:r>
          </w:p>
          <w:p w:rsidR="00EA1CAD" w:rsidRDefault="00EA1CAD" w:rsidP="00AE25D9">
            <w:pPr>
              <w:jc w:val="center"/>
              <w:rPr>
                <w:sz w:val="22"/>
                <w:szCs w:val="22"/>
              </w:rPr>
            </w:pPr>
          </w:p>
        </w:tc>
        <w:tc>
          <w:tcPr>
            <w:tcW w:w="1440" w:type="dxa"/>
            <w:tcBorders>
              <w:top w:val="nil"/>
              <w:left w:val="nil"/>
              <w:bottom w:val="nil"/>
              <w:right w:val="nil"/>
            </w:tcBorders>
            <w:vAlign w:val="bottom"/>
          </w:tcPr>
          <w:p w:rsidR="00EA1CAD" w:rsidRDefault="00EA1CAD" w:rsidP="00AE25D9">
            <w:pPr>
              <w:jc w:val="center"/>
              <w:rPr>
                <w:sz w:val="22"/>
                <w:szCs w:val="22"/>
              </w:rPr>
            </w:pPr>
            <w:r>
              <w:rPr>
                <w:sz w:val="22"/>
                <w:szCs w:val="22"/>
              </w:rPr>
              <w:t>(0.424)</w:t>
            </w:r>
          </w:p>
          <w:p w:rsidR="00EA1CAD" w:rsidRDefault="00EA1CAD" w:rsidP="00AE25D9">
            <w:pPr>
              <w:jc w:val="center"/>
              <w:rPr>
                <w:sz w:val="22"/>
                <w:szCs w:val="22"/>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(0.411)</w:t>
            </w:r>
          </w:p>
          <w:p w:rsidR="00EA1CAD" w:rsidRDefault="00EA1CAD" w:rsidP="00AE25D9">
            <w:pPr>
              <w:jc w:val="center"/>
              <w:rPr>
                <w:sz w:val="22"/>
                <w:szCs w:val="22"/>
              </w:rPr>
            </w:pP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(0.413)</w:t>
            </w:r>
          </w:p>
          <w:p w:rsidR="00EA1CAD" w:rsidRDefault="00EA1CAD" w:rsidP="00AE25D9">
            <w:pPr>
              <w:jc w:val="center"/>
              <w:rPr>
                <w:sz w:val="22"/>
                <w:szCs w:val="22"/>
              </w:rPr>
            </w:pP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2472"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p>
        </w:tc>
      </w:tr>
      <w:tr w:rsidR="00EA1CAD" w:rsidTr="001610EC">
        <w:trPr>
          <w:trHeight w:val="255"/>
          <w:jc w:val="center"/>
        </w:trPr>
        <w:tc>
          <w:tcPr>
            <w:tcW w:w="2910" w:type="dxa"/>
            <w:vMerge w:val="restart"/>
            <w:tcBorders>
              <w:top w:val="nil"/>
              <w:left w:val="nil"/>
              <w:bottom w:val="nil"/>
              <w:right w:val="nil"/>
            </w:tcBorders>
            <w:shd w:val="clear" w:color="auto" w:fill="auto"/>
            <w:tcMar>
              <w:top w:w="15" w:type="dxa"/>
              <w:left w:w="15" w:type="dxa"/>
              <w:bottom w:w="0" w:type="dxa"/>
              <w:right w:w="15" w:type="dxa"/>
            </w:tcMar>
            <w:vAlign w:val="bottom"/>
          </w:tcPr>
          <w:p w:rsidR="00EA1CAD" w:rsidRDefault="00EA1CAD" w:rsidP="001610EC">
            <w:pPr>
              <w:jc w:val="center"/>
              <w:rPr>
                <w:sz w:val="22"/>
                <w:szCs w:val="22"/>
              </w:rPr>
            </w:pPr>
            <w:r>
              <w:rPr>
                <w:sz w:val="22"/>
                <w:szCs w:val="22"/>
              </w:rPr>
              <w:t>Partner country’s</w:t>
            </w:r>
          </w:p>
          <w:p w:rsidR="00EA1CAD" w:rsidRDefault="00EA1CAD" w:rsidP="001610EC">
            <w:pPr>
              <w:jc w:val="center"/>
              <w:rPr>
                <w:sz w:val="22"/>
                <w:szCs w:val="22"/>
              </w:rPr>
            </w:pPr>
            <w:r>
              <w:rPr>
                <w:sz w:val="22"/>
                <w:szCs w:val="22"/>
              </w:rPr>
              <w:t>change in reserves/</w:t>
            </w:r>
          </w:p>
          <w:p w:rsidR="00EA1CAD" w:rsidRDefault="00EA1CAD" w:rsidP="001610EC">
            <w:pPr>
              <w:jc w:val="center"/>
              <w:rPr>
                <w:sz w:val="22"/>
                <w:szCs w:val="22"/>
              </w:rPr>
            </w:pPr>
            <w:r>
              <w:rPr>
                <w:sz w:val="22"/>
                <w:szCs w:val="22"/>
              </w:rPr>
              <w:t>GDP ratio (res)</w:t>
            </w:r>
          </w:p>
        </w:tc>
        <w:tc>
          <w:tcPr>
            <w:tcW w:w="1543" w:type="dxa"/>
            <w:tcBorders>
              <w:top w:val="nil"/>
              <w:left w:val="nil"/>
              <w:bottom w:val="nil"/>
              <w:right w:val="nil"/>
            </w:tcBorders>
            <w:vAlign w:val="bottom"/>
          </w:tcPr>
          <w:p w:rsidR="00EA1CAD" w:rsidRDefault="00EA1CAD" w:rsidP="00AE25D9">
            <w:pPr>
              <w:jc w:val="center"/>
              <w:rPr>
                <w:sz w:val="22"/>
                <w:szCs w:val="22"/>
              </w:rPr>
            </w:pPr>
            <w:r>
              <w:rPr>
                <w:sz w:val="22"/>
                <w:szCs w:val="22"/>
              </w:rPr>
              <w:t>0.006</w:t>
            </w:r>
          </w:p>
        </w:tc>
        <w:tc>
          <w:tcPr>
            <w:tcW w:w="1440" w:type="dxa"/>
            <w:tcBorders>
              <w:top w:val="nil"/>
              <w:left w:val="nil"/>
              <w:bottom w:val="nil"/>
              <w:right w:val="nil"/>
            </w:tcBorders>
            <w:vAlign w:val="bottom"/>
          </w:tcPr>
          <w:p w:rsidR="00EA1CAD" w:rsidRDefault="00EA1CAD" w:rsidP="00AE25D9">
            <w:pPr>
              <w:jc w:val="center"/>
              <w:rPr>
                <w:sz w:val="22"/>
                <w:szCs w:val="22"/>
              </w:rPr>
            </w:pPr>
            <w:r>
              <w:rPr>
                <w:sz w:val="22"/>
                <w:szCs w:val="22"/>
              </w:rPr>
              <w:t>-0.015</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0.008</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-0.008</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3.050</w:t>
            </w:r>
          </w:p>
        </w:tc>
        <w:tc>
          <w:tcPr>
            <w:tcW w:w="2472"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-0.025</w:t>
            </w:r>
          </w:p>
        </w:tc>
      </w:tr>
      <w:tr w:rsidR="00EA1CAD" w:rsidTr="001610EC">
        <w:trPr>
          <w:trHeight w:val="300"/>
          <w:jc w:val="center"/>
        </w:trPr>
        <w:tc>
          <w:tcPr>
            <w:tcW w:w="2910" w:type="dxa"/>
            <w:vMerge/>
            <w:tcBorders>
              <w:top w:val="nil"/>
              <w:left w:val="nil"/>
              <w:bottom w:val="nil"/>
              <w:right w:val="nil"/>
            </w:tcBorders>
            <w:vAlign w:val="center"/>
          </w:tcPr>
          <w:p w:rsidR="00EA1CAD" w:rsidRDefault="00EA1CAD" w:rsidP="001610EC">
            <w:pPr>
              <w:jc w:val="center"/>
              <w:rPr>
                <w:sz w:val="22"/>
                <w:szCs w:val="22"/>
              </w:rPr>
            </w:pPr>
          </w:p>
        </w:tc>
        <w:tc>
          <w:tcPr>
            <w:tcW w:w="1543" w:type="dxa"/>
            <w:tcBorders>
              <w:top w:val="nil"/>
              <w:left w:val="nil"/>
              <w:bottom w:val="nil"/>
              <w:right w:val="nil"/>
            </w:tcBorders>
            <w:vAlign w:val="bottom"/>
          </w:tcPr>
          <w:p w:rsidR="00EA1CAD" w:rsidRDefault="00EA1CAD" w:rsidP="00AE25D9">
            <w:pPr>
              <w:jc w:val="center"/>
              <w:rPr>
                <w:sz w:val="22"/>
                <w:szCs w:val="22"/>
              </w:rPr>
            </w:pPr>
            <w:r>
              <w:rPr>
                <w:sz w:val="22"/>
                <w:szCs w:val="22"/>
              </w:rPr>
              <w:t>(0.021)</w:t>
            </w:r>
          </w:p>
          <w:p w:rsidR="00EA1CAD" w:rsidRDefault="00EA1CAD" w:rsidP="00AE25D9">
            <w:pPr>
              <w:jc w:val="center"/>
              <w:rPr>
                <w:sz w:val="22"/>
                <w:szCs w:val="22"/>
              </w:rPr>
            </w:pPr>
          </w:p>
          <w:p w:rsidR="00EA1CAD" w:rsidRDefault="00EA1CAD" w:rsidP="00AE25D9">
            <w:pPr>
              <w:jc w:val="center"/>
              <w:rPr>
                <w:sz w:val="22"/>
                <w:szCs w:val="22"/>
              </w:rPr>
            </w:pPr>
          </w:p>
        </w:tc>
        <w:tc>
          <w:tcPr>
            <w:tcW w:w="1440" w:type="dxa"/>
            <w:tcBorders>
              <w:top w:val="nil"/>
              <w:left w:val="nil"/>
              <w:bottom w:val="nil"/>
              <w:right w:val="nil"/>
            </w:tcBorders>
            <w:vAlign w:val="bottom"/>
          </w:tcPr>
          <w:p w:rsidR="00EA1CAD" w:rsidRDefault="00EA1CAD" w:rsidP="00AE25D9">
            <w:pPr>
              <w:jc w:val="center"/>
              <w:rPr>
                <w:sz w:val="22"/>
                <w:szCs w:val="22"/>
              </w:rPr>
            </w:pPr>
            <w:r>
              <w:rPr>
                <w:sz w:val="22"/>
                <w:szCs w:val="22"/>
              </w:rPr>
              <w:t>(0.025)</w:t>
            </w:r>
          </w:p>
          <w:p w:rsidR="00EA1CAD" w:rsidRDefault="00EA1CAD" w:rsidP="00AE25D9">
            <w:pPr>
              <w:jc w:val="center"/>
              <w:rPr>
                <w:sz w:val="22"/>
                <w:szCs w:val="22"/>
              </w:rPr>
            </w:pPr>
          </w:p>
          <w:p w:rsidR="00EA1CAD" w:rsidRDefault="00EA1CAD" w:rsidP="00AE25D9">
            <w:pPr>
              <w:jc w:val="center"/>
              <w:rPr>
                <w:sz w:val="22"/>
                <w:szCs w:val="22"/>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(0.020)</w:t>
            </w:r>
          </w:p>
          <w:p w:rsidR="00EA1CAD" w:rsidRDefault="00EA1CAD" w:rsidP="00AE25D9">
            <w:pPr>
              <w:jc w:val="center"/>
              <w:rPr>
                <w:sz w:val="22"/>
                <w:szCs w:val="22"/>
              </w:rPr>
            </w:pPr>
          </w:p>
          <w:p w:rsidR="00EA1CAD" w:rsidRDefault="00EA1CAD" w:rsidP="00AE25D9">
            <w:pPr>
              <w:jc w:val="center"/>
              <w:rPr>
                <w:sz w:val="22"/>
                <w:szCs w:val="22"/>
              </w:rPr>
            </w:pP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(0.022)</w:t>
            </w:r>
          </w:p>
          <w:p w:rsidR="00EA1CAD" w:rsidRDefault="00EA1CAD" w:rsidP="00AE25D9">
            <w:pPr>
              <w:jc w:val="center"/>
              <w:rPr>
                <w:sz w:val="22"/>
                <w:szCs w:val="22"/>
              </w:rPr>
            </w:pPr>
          </w:p>
          <w:p w:rsidR="00EA1CAD" w:rsidRDefault="00EA1CAD" w:rsidP="00AE25D9">
            <w:pPr>
              <w:jc w:val="center"/>
              <w:rPr>
                <w:sz w:val="22"/>
                <w:szCs w:val="22"/>
              </w:rPr>
            </w:pP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2472"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r>
      <w:tr w:rsidR="00EA1CAD" w:rsidTr="001610EC">
        <w:trPr>
          <w:trHeight w:val="300"/>
          <w:jc w:val="center"/>
        </w:trPr>
        <w:tc>
          <w:tcPr>
            <w:tcW w:w="2910" w:type="dxa"/>
            <w:tcBorders>
              <w:top w:val="nil"/>
              <w:left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smartTag w:uri="urn:schemas-microsoft-com:office:smarttags" w:element="country-region">
              <w:smartTag w:uri="urn:schemas-microsoft-com:office:smarttags" w:element="place">
                <w:r>
                  <w:rPr>
                    <w:sz w:val="22"/>
                    <w:szCs w:val="22"/>
                  </w:rPr>
                  <w:t>US</w:t>
                </w:r>
              </w:smartTag>
            </w:smartTag>
            <w:r>
              <w:rPr>
                <w:sz w:val="22"/>
                <w:szCs w:val="22"/>
              </w:rPr>
              <w:t xml:space="preserve"> unemployment rate</w:t>
            </w:r>
          </w:p>
        </w:tc>
        <w:tc>
          <w:tcPr>
            <w:tcW w:w="1543" w:type="dxa"/>
            <w:tcBorders>
              <w:top w:val="nil"/>
              <w:left w:val="nil"/>
              <w:right w:val="nil"/>
            </w:tcBorders>
            <w:vAlign w:val="bottom"/>
          </w:tcPr>
          <w:p w:rsidR="00EA1CAD" w:rsidRDefault="00EA1CAD" w:rsidP="00AE25D9">
            <w:pPr>
              <w:jc w:val="center"/>
              <w:rPr>
                <w:sz w:val="22"/>
                <w:szCs w:val="22"/>
              </w:rPr>
            </w:pPr>
            <w:r>
              <w:rPr>
                <w:sz w:val="22"/>
                <w:szCs w:val="22"/>
              </w:rPr>
              <w:t>0.092</w:t>
            </w:r>
          </w:p>
        </w:tc>
        <w:tc>
          <w:tcPr>
            <w:tcW w:w="1440" w:type="dxa"/>
            <w:tcBorders>
              <w:top w:val="nil"/>
              <w:left w:val="nil"/>
              <w:right w:val="nil"/>
            </w:tcBorders>
            <w:vAlign w:val="bottom"/>
          </w:tcPr>
          <w:p w:rsidR="00EA1CAD" w:rsidRDefault="00EA1CAD" w:rsidP="00AE25D9">
            <w:pPr>
              <w:jc w:val="center"/>
              <w:rPr>
                <w:sz w:val="22"/>
                <w:szCs w:val="22"/>
              </w:rPr>
            </w:pPr>
            <w:r>
              <w:rPr>
                <w:sz w:val="22"/>
                <w:szCs w:val="22"/>
              </w:rPr>
              <w:t>0.149*</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2472"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r>
      <w:tr w:rsidR="00EA1CAD" w:rsidTr="001610EC">
        <w:trPr>
          <w:trHeight w:val="300"/>
          <w:jc w:val="center"/>
        </w:trPr>
        <w:tc>
          <w:tcPr>
            <w:tcW w:w="2910" w:type="dxa"/>
            <w:tcBorders>
              <w:top w:val="nil"/>
              <w:left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c>
          <w:tcPr>
            <w:tcW w:w="1543" w:type="dxa"/>
            <w:tcBorders>
              <w:top w:val="nil"/>
              <w:left w:val="nil"/>
              <w:right w:val="nil"/>
            </w:tcBorders>
            <w:vAlign w:val="bottom"/>
          </w:tcPr>
          <w:p w:rsidR="00EA1CAD" w:rsidRDefault="00EA1CAD" w:rsidP="00AE25D9">
            <w:pPr>
              <w:jc w:val="center"/>
              <w:rPr>
                <w:sz w:val="22"/>
                <w:szCs w:val="22"/>
              </w:rPr>
            </w:pPr>
            <w:r>
              <w:rPr>
                <w:sz w:val="22"/>
                <w:szCs w:val="22"/>
              </w:rPr>
              <w:t>(0.078)</w:t>
            </w:r>
          </w:p>
        </w:tc>
        <w:tc>
          <w:tcPr>
            <w:tcW w:w="1440" w:type="dxa"/>
            <w:tcBorders>
              <w:top w:val="nil"/>
              <w:left w:val="nil"/>
              <w:right w:val="nil"/>
            </w:tcBorders>
            <w:vAlign w:val="bottom"/>
          </w:tcPr>
          <w:p w:rsidR="00EA1CAD" w:rsidRDefault="00EA1CAD" w:rsidP="00AE25D9">
            <w:pPr>
              <w:jc w:val="center"/>
              <w:rPr>
                <w:sz w:val="22"/>
                <w:szCs w:val="22"/>
              </w:rPr>
            </w:pPr>
            <w:r>
              <w:rPr>
                <w:sz w:val="22"/>
                <w:szCs w:val="22"/>
              </w:rPr>
              <w:t>(0.082)</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2472"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r>
      <w:tr w:rsidR="00EA1CAD" w:rsidTr="001610EC">
        <w:trPr>
          <w:trHeight w:val="300"/>
          <w:jc w:val="center"/>
        </w:trPr>
        <w:tc>
          <w:tcPr>
            <w:tcW w:w="2910" w:type="dxa"/>
            <w:tcBorders>
              <w:top w:val="nil"/>
              <w:left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Election year dummy</w:t>
            </w:r>
          </w:p>
        </w:tc>
        <w:tc>
          <w:tcPr>
            <w:tcW w:w="1543" w:type="dxa"/>
            <w:tcBorders>
              <w:top w:val="nil"/>
              <w:left w:val="nil"/>
              <w:right w:val="nil"/>
            </w:tcBorders>
            <w:vAlign w:val="bottom"/>
          </w:tcPr>
          <w:p w:rsidR="00EA1CAD" w:rsidRDefault="00EA1CAD" w:rsidP="00AE25D9">
            <w:pPr>
              <w:jc w:val="center"/>
              <w:rPr>
                <w:sz w:val="22"/>
                <w:szCs w:val="22"/>
              </w:rPr>
            </w:pPr>
            <w:r>
              <w:rPr>
                <w:sz w:val="22"/>
                <w:szCs w:val="22"/>
              </w:rPr>
              <w:t>0.107*</w:t>
            </w:r>
          </w:p>
        </w:tc>
        <w:tc>
          <w:tcPr>
            <w:tcW w:w="1440" w:type="dxa"/>
            <w:tcBorders>
              <w:top w:val="nil"/>
              <w:left w:val="nil"/>
              <w:right w:val="nil"/>
            </w:tcBorders>
            <w:vAlign w:val="bottom"/>
          </w:tcPr>
          <w:p w:rsidR="00EA1CAD" w:rsidRDefault="00EA1CAD" w:rsidP="00AE25D9">
            <w:pPr>
              <w:jc w:val="center"/>
              <w:rPr>
                <w:sz w:val="22"/>
                <w:szCs w:val="22"/>
              </w:rPr>
            </w:pPr>
            <w:r>
              <w:rPr>
                <w:sz w:val="22"/>
                <w:szCs w:val="22"/>
              </w:rPr>
              <w:t>0.096</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2472"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r>
      <w:tr w:rsidR="00EA1CAD" w:rsidTr="001610EC">
        <w:trPr>
          <w:trHeight w:val="300"/>
          <w:jc w:val="center"/>
        </w:trPr>
        <w:tc>
          <w:tcPr>
            <w:tcW w:w="2910" w:type="dxa"/>
            <w:tcBorders>
              <w:top w:val="nil"/>
              <w:left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1543" w:type="dxa"/>
            <w:tcBorders>
              <w:top w:val="nil"/>
              <w:left w:val="nil"/>
              <w:right w:val="nil"/>
            </w:tcBorders>
            <w:vAlign w:val="bottom"/>
          </w:tcPr>
          <w:p w:rsidR="00EA1CAD" w:rsidRDefault="00EA1CAD" w:rsidP="00AE25D9">
            <w:pPr>
              <w:jc w:val="center"/>
              <w:rPr>
                <w:sz w:val="22"/>
                <w:szCs w:val="22"/>
              </w:rPr>
            </w:pPr>
            <w:r>
              <w:rPr>
                <w:sz w:val="22"/>
                <w:szCs w:val="22"/>
              </w:rPr>
              <w:t>(0.056)</w:t>
            </w:r>
          </w:p>
        </w:tc>
        <w:tc>
          <w:tcPr>
            <w:tcW w:w="1440" w:type="dxa"/>
            <w:tcBorders>
              <w:top w:val="nil"/>
              <w:left w:val="nil"/>
              <w:right w:val="nil"/>
            </w:tcBorders>
            <w:vAlign w:val="bottom"/>
          </w:tcPr>
          <w:p w:rsidR="00EA1CAD" w:rsidRDefault="00EA1CAD" w:rsidP="00AE25D9">
            <w:pPr>
              <w:jc w:val="center"/>
              <w:rPr>
                <w:sz w:val="22"/>
                <w:szCs w:val="22"/>
              </w:rPr>
            </w:pPr>
            <w:r>
              <w:rPr>
                <w:sz w:val="22"/>
                <w:szCs w:val="22"/>
              </w:rPr>
              <w:t>(0.062)</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2472"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r>
      <w:tr w:rsidR="00EA1CAD" w:rsidTr="001610EC">
        <w:trPr>
          <w:trHeight w:val="300"/>
          <w:jc w:val="center"/>
        </w:trPr>
        <w:tc>
          <w:tcPr>
            <w:tcW w:w="2910" w:type="dxa"/>
            <w:vMerge w:val="restart"/>
            <w:tcBorders>
              <w:top w:val="nil"/>
              <w:left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smartTag w:uri="urn:schemas-microsoft-com:office:smarttags" w:element="country-region">
              <w:smartTag w:uri="urn:schemas-microsoft-com:office:smarttags" w:element="place">
                <w:r>
                  <w:rPr>
                    <w:sz w:val="22"/>
                    <w:szCs w:val="22"/>
                  </w:rPr>
                  <w:t>US</w:t>
                </w:r>
              </w:smartTag>
            </w:smartTag>
            <w:r>
              <w:rPr>
                <w:sz w:val="22"/>
                <w:szCs w:val="22"/>
              </w:rPr>
              <w:t xml:space="preserve"> unemployment rate * Election year dummy</w:t>
            </w:r>
          </w:p>
        </w:tc>
        <w:tc>
          <w:tcPr>
            <w:tcW w:w="1543" w:type="dxa"/>
            <w:tcBorders>
              <w:top w:val="nil"/>
              <w:left w:val="nil"/>
              <w:right w:val="nil"/>
            </w:tcBorders>
            <w:vAlign w:val="bottom"/>
          </w:tcPr>
          <w:p w:rsidR="00EA1CAD" w:rsidRDefault="00EA1CAD" w:rsidP="00AE25D9">
            <w:pPr>
              <w:jc w:val="center"/>
              <w:rPr>
                <w:sz w:val="22"/>
                <w:szCs w:val="22"/>
              </w:rPr>
            </w:pPr>
          </w:p>
        </w:tc>
        <w:tc>
          <w:tcPr>
            <w:tcW w:w="1440" w:type="dxa"/>
            <w:tcBorders>
              <w:top w:val="nil"/>
              <w:left w:val="nil"/>
              <w:right w:val="nil"/>
            </w:tcBorders>
            <w:vAlign w:val="bottom"/>
          </w:tcPr>
          <w:p w:rsidR="00EA1CAD" w:rsidRDefault="00EA1CAD" w:rsidP="00AE25D9">
            <w:pPr>
              <w:jc w:val="center"/>
              <w:rPr>
                <w:sz w:val="22"/>
                <w:szCs w:val="22"/>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0.022**</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0.022**</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2.604</w:t>
            </w:r>
          </w:p>
        </w:tc>
        <w:tc>
          <w:tcPr>
            <w:tcW w:w="2472"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rPr>
                <w:sz w:val="22"/>
                <w:szCs w:val="22"/>
              </w:rPr>
            </w:pPr>
            <w:r>
              <w:rPr>
                <w:sz w:val="22"/>
                <w:szCs w:val="22"/>
              </w:rPr>
              <w:t>0.059</w:t>
            </w:r>
          </w:p>
        </w:tc>
      </w:tr>
      <w:tr w:rsidR="00EA1CAD" w:rsidTr="001610EC">
        <w:trPr>
          <w:trHeight w:val="300"/>
          <w:jc w:val="center"/>
        </w:trPr>
        <w:tc>
          <w:tcPr>
            <w:tcW w:w="2910" w:type="dxa"/>
            <w:vMerge/>
            <w:tcBorders>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c>
          <w:tcPr>
            <w:tcW w:w="1543" w:type="dxa"/>
            <w:tcBorders>
              <w:left w:val="nil"/>
              <w:bottom w:val="nil"/>
              <w:right w:val="nil"/>
            </w:tcBorders>
            <w:vAlign w:val="bottom"/>
          </w:tcPr>
          <w:p w:rsidR="00EA1CAD" w:rsidRDefault="00EA1CAD" w:rsidP="00AE25D9">
            <w:pPr>
              <w:jc w:val="center"/>
              <w:rPr>
                <w:sz w:val="22"/>
                <w:szCs w:val="22"/>
              </w:rPr>
            </w:pPr>
          </w:p>
        </w:tc>
        <w:tc>
          <w:tcPr>
            <w:tcW w:w="1440" w:type="dxa"/>
            <w:tcBorders>
              <w:left w:val="nil"/>
              <w:bottom w:val="nil"/>
              <w:right w:val="nil"/>
            </w:tcBorders>
            <w:vAlign w:val="bottom"/>
          </w:tcPr>
          <w:p w:rsidR="00EA1CAD" w:rsidRDefault="00EA1CAD" w:rsidP="00AE25D9">
            <w:pPr>
              <w:jc w:val="center"/>
              <w:rPr>
                <w:sz w:val="22"/>
                <w:szCs w:val="22"/>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(0.010)</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(0.011)</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2472"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r>
      <w:tr w:rsidR="00EA1CAD" w:rsidTr="001610EC">
        <w:trPr>
          <w:trHeight w:val="300"/>
          <w:jc w:val="center"/>
        </w:trPr>
        <w:tc>
          <w:tcPr>
            <w:tcW w:w="291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Period Dummies</w:t>
            </w:r>
          </w:p>
        </w:tc>
        <w:tc>
          <w:tcPr>
            <w:tcW w:w="1543" w:type="dxa"/>
            <w:tcBorders>
              <w:top w:val="nil"/>
              <w:left w:val="nil"/>
              <w:bottom w:val="nil"/>
              <w:right w:val="nil"/>
            </w:tcBorders>
            <w:vAlign w:val="bottom"/>
          </w:tcPr>
          <w:p w:rsidR="00EA1CAD" w:rsidRDefault="00EA1CAD" w:rsidP="00AE25D9">
            <w:pPr>
              <w:jc w:val="center"/>
              <w:rPr>
                <w:sz w:val="22"/>
                <w:szCs w:val="22"/>
              </w:rPr>
            </w:pPr>
            <w:r>
              <w:rPr>
                <w:sz w:val="22"/>
                <w:szCs w:val="22"/>
              </w:rPr>
              <w:t>no</w:t>
            </w:r>
          </w:p>
        </w:tc>
        <w:tc>
          <w:tcPr>
            <w:tcW w:w="1440" w:type="dxa"/>
            <w:tcBorders>
              <w:top w:val="nil"/>
              <w:left w:val="nil"/>
              <w:bottom w:val="nil"/>
              <w:right w:val="nil"/>
            </w:tcBorders>
            <w:vAlign w:val="bottom"/>
          </w:tcPr>
          <w:p w:rsidR="00EA1CAD" w:rsidRDefault="00EA1CAD" w:rsidP="00AE25D9">
            <w:pPr>
              <w:jc w:val="center"/>
              <w:rPr>
                <w:sz w:val="22"/>
                <w:szCs w:val="22"/>
              </w:rPr>
            </w:pPr>
            <w:r>
              <w:rPr>
                <w:sz w:val="22"/>
                <w:szCs w:val="22"/>
              </w:rPr>
              <w:t>no</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no</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no</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2472"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r>
      <w:tr w:rsidR="00EA1CAD" w:rsidTr="001610EC">
        <w:trPr>
          <w:trHeight w:val="300"/>
          <w:jc w:val="center"/>
        </w:trPr>
        <w:tc>
          <w:tcPr>
            <w:tcW w:w="291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Observations</w:t>
            </w:r>
          </w:p>
        </w:tc>
        <w:tc>
          <w:tcPr>
            <w:tcW w:w="1543" w:type="dxa"/>
            <w:tcBorders>
              <w:top w:val="single" w:sz="4" w:space="0" w:color="auto"/>
              <w:left w:val="nil"/>
              <w:bottom w:val="nil"/>
              <w:right w:val="nil"/>
            </w:tcBorders>
            <w:vAlign w:val="bottom"/>
          </w:tcPr>
          <w:p w:rsidR="00EA1CAD" w:rsidRDefault="00EA1CAD" w:rsidP="00AE25D9">
            <w:pPr>
              <w:jc w:val="center"/>
              <w:rPr>
                <w:sz w:val="22"/>
                <w:szCs w:val="22"/>
              </w:rPr>
            </w:pPr>
            <w:r>
              <w:rPr>
                <w:sz w:val="22"/>
                <w:szCs w:val="22"/>
              </w:rPr>
              <w:t>2009</w:t>
            </w:r>
          </w:p>
        </w:tc>
        <w:tc>
          <w:tcPr>
            <w:tcW w:w="1440" w:type="dxa"/>
            <w:tcBorders>
              <w:top w:val="single" w:sz="4" w:space="0" w:color="auto"/>
              <w:left w:val="nil"/>
              <w:bottom w:val="nil"/>
              <w:right w:val="nil"/>
            </w:tcBorders>
            <w:vAlign w:val="bottom"/>
          </w:tcPr>
          <w:p w:rsidR="00EA1CAD" w:rsidRDefault="00EA1CAD" w:rsidP="00AE25D9">
            <w:pPr>
              <w:jc w:val="center"/>
              <w:rPr>
                <w:sz w:val="22"/>
                <w:szCs w:val="22"/>
              </w:rPr>
            </w:pPr>
            <w:r>
              <w:rPr>
                <w:sz w:val="22"/>
                <w:szCs w:val="22"/>
              </w:rPr>
              <w:t>1721</w:t>
            </w:r>
          </w:p>
        </w:tc>
        <w:tc>
          <w:tcPr>
            <w:tcW w:w="126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2009</w:t>
            </w:r>
          </w:p>
        </w:tc>
        <w:tc>
          <w:tcPr>
            <w:tcW w:w="144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1721</w:t>
            </w:r>
          </w:p>
        </w:tc>
        <w:tc>
          <w:tcPr>
            <w:tcW w:w="144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2472"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r>
      <w:tr w:rsidR="00EA1CAD" w:rsidTr="001610EC">
        <w:trPr>
          <w:trHeight w:val="315"/>
          <w:jc w:val="center"/>
        </w:trPr>
        <w:tc>
          <w:tcPr>
            <w:tcW w:w="2910" w:type="dxa"/>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Pseudo R-squared</w:t>
            </w:r>
          </w:p>
        </w:tc>
        <w:tc>
          <w:tcPr>
            <w:tcW w:w="1543" w:type="dxa"/>
            <w:tcBorders>
              <w:top w:val="nil"/>
              <w:left w:val="nil"/>
              <w:bottom w:val="single" w:sz="8" w:space="0" w:color="auto"/>
              <w:right w:val="nil"/>
            </w:tcBorders>
            <w:vAlign w:val="bottom"/>
          </w:tcPr>
          <w:p w:rsidR="00EA1CAD" w:rsidRDefault="00EA1CAD" w:rsidP="00AE25D9">
            <w:pPr>
              <w:jc w:val="center"/>
              <w:rPr>
                <w:sz w:val="22"/>
                <w:szCs w:val="22"/>
              </w:rPr>
            </w:pPr>
            <w:r>
              <w:rPr>
                <w:sz w:val="22"/>
                <w:szCs w:val="22"/>
              </w:rPr>
              <w:t>0.17</w:t>
            </w:r>
          </w:p>
        </w:tc>
        <w:tc>
          <w:tcPr>
            <w:tcW w:w="1440" w:type="dxa"/>
            <w:tcBorders>
              <w:top w:val="nil"/>
              <w:left w:val="nil"/>
              <w:bottom w:val="single" w:sz="8" w:space="0" w:color="auto"/>
              <w:right w:val="nil"/>
            </w:tcBorders>
            <w:vAlign w:val="bottom"/>
          </w:tcPr>
          <w:p w:rsidR="00EA1CAD" w:rsidRDefault="00EA1CAD" w:rsidP="00AE25D9">
            <w:pPr>
              <w:jc w:val="center"/>
              <w:rPr>
                <w:sz w:val="22"/>
                <w:szCs w:val="22"/>
              </w:rPr>
            </w:pPr>
            <w:r>
              <w:rPr>
                <w:sz w:val="22"/>
                <w:szCs w:val="22"/>
              </w:rPr>
              <w:t>0.21</w:t>
            </w:r>
          </w:p>
        </w:tc>
        <w:tc>
          <w:tcPr>
            <w:tcW w:w="1260" w:type="dxa"/>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0.17</w:t>
            </w:r>
          </w:p>
        </w:tc>
        <w:tc>
          <w:tcPr>
            <w:tcW w:w="1440" w:type="dxa"/>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r>
              <w:rPr>
                <w:sz w:val="22"/>
                <w:szCs w:val="22"/>
              </w:rPr>
              <w:t>0.20</w:t>
            </w:r>
          </w:p>
        </w:tc>
        <w:tc>
          <w:tcPr>
            <w:tcW w:w="1440" w:type="dxa"/>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c>
          <w:tcPr>
            <w:tcW w:w="2472" w:type="dxa"/>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2"/>
                <w:szCs w:val="22"/>
              </w:rPr>
            </w:pPr>
          </w:p>
        </w:tc>
      </w:tr>
    </w:tbl>
    <w:p w:rsidR="00EA1CAD" w:rsidRDefault="00EA1CAD" w:rsidP="00EA1CAD">
      <w:pPr>
        <w:rPr>
          <w:rFonts w:eastAsia="GungsuhChe"/>
          <w:sz w:val="22"/>
          <w:szCs w:val="22"/>
        </w:rPr>
      </w:pPr>
    </w:p>
    <w:p w:rsidR="00EA1CAD" w:rsidRPr="00823ECF" w:rsidRDefault="00EA1CAD" w:rsidP="00EA1CAD">
      <w:pPr>
        <w:rPr>
          <w:rFonts w:eastAsia="GungsuhChe"/>
          <w:sz w:val="22"/>
          <w:szCs w:val="22"/>
        </w:rPr>
      </w:pPr>
      <w:r w:rsidRPr="00823ECF">
        <w:rPr>
          <w:rFonts w:eastAsia="GungsuhChe"/>
          <w:sz w:val="22"/>
          <w:szCs w:val="22"/>
        </w:rPr>
        <w:t>Notes:</w:t>
      </w:r>
    </w:p>
    <w:p w:rsidR="00EA1CAD" w:rsidRPr="00823ECF" w:rsidRDefault="00EA1CAD" w:rsidP="00EA1CAD">
      <w:pPr>
        <w:rPr>
          <w:rFonts w:eastAsia="GungsuhChe"/>
          <w:sz w:val="22"/>
          <w:szCs w:val="22"/>
        </w:rPr>
      </w:pPr>
      <w:r w:rsidRPr="00823ECF">
        <w:rPr>
          <w:rFonts w:eastAsia="GungsuhChe"/>
          <w:sz w:val="22"/>
          <w:szCs w:val="22"/>
        </w:rPr>
        <w:t>a) Robust standard errors in parentheses (clustered by country)</w:t>
      </w:r>
    </w:p>
    <w:p w:rsidR="00EA1CAD" w:rsidRPr="00823ECF" w:rsidRDefault="00EA1CAD" w:rsidP="00EA1CAD">
      <w:pPr>
        <w:rPr>
          <w:rFonts w:eastAsia="GungsuhChe"/>
          <w:sz w:val="22"/>
          <w:szCs w:val="22"/>
        </w:rPr>
      </w:pPr>
      <w:r w:rsidRPr="00823ECF">
        <w:rPr>
          <w:rFonts w:eastAsia="GungsuhChe"/>
          <w:sz w:val="22"/>
          <w:szCs w:val="22"/>
        </w:rPr>
        <w:t>b) * significant at 10%; ** significant at 5%; *** significant at 1%</w:t>
      </w:r>
    </w:p>
    <w:p w:rsidR="00EA1CAD" w:rsidRPr="00823ECF" w:rsidRDefault="00EA1CAD" w:rsidP="00EA1CAD">
      <w:pPr>
        <w:rPr>
          <w:rFonts w:eastAsia="GungsuhChe"/>
          <w:sz w:val="22"/>
          <w:szCs w:val="22"/>
        </w:rPr>
      </w:pPr>
    </w:p>
    <w:p w:rsidR="00EA1CAD" w:rsidRPr="00823ECF" w:rsidRDefault="00EA1CAD" w:rsidP="00EA1CAD">
      <w:pPr>
        <w:rPr>
          <w:rFonts w:eastAsia="GungsuhChe"/>
          <w:sz w:val="22"/>
          <w:szCs w:val="22"/>
        </w:rPr>
      </w:pPr>
      <w:r>
        <w:rPr>
          <w:rFonts w:eastAsia="GungsuhChe"/>
          <w:sz w:val="22"/>
          <w:szCs w:val="22"/>
        </w:rPr>
        <w:t xml:space="preserve">(1) Using all </w:t>
      </w:r>
      <w:r w:rsidRPr="00823ECF">
        <w:rPr>
          <w:rFonts w:eastAsia="GungsuhChe"/>
          <w:sz w:val="22"/>
          <w:szCs w:val="22"/>
        </w:rPr>
        <w:t>63 countries;</w:t>
      </w:r>
    </w:p>
    <w:p w:rsidR="00EA1CAD" w:rsidRPr="00823ECF" w:rsidRDefault="00EA1CAD" w:rsidP="00EA1CAD">
      <w:pPr>
        <w:rPr>
          <w:sz w:val="22"/>
          <w:szCs w:val="22"/>
        </w:rPr>
      </w:pPr>
      <w:r w:rsidRPr="00823ECF">
        <w:rPr>
          <w:rFonts w:eastAsia="GungsuhChe"/>
          <w:sz w:val="22"/>
          <w:szCs w:val="22"/>
        </w:rPr>
        <w:t xml:space="preserve">(2) </w:t>
      </w:r>
      <w:r w:rsidRPr="00823ECF">
        <w:rPr>
          <w:sz w:val="22"/>
          <w:szCs w:val="22"/>
        </w:rPr>
        <w:t xml:space="preserve">Excludes </w:t>
      </w:r>
      <w:smartTag w:uri="urn:schemas-microsoft-com:office:smarttags" w:element="country-region">
        <w:smartTag w:uri="urn:schemas-microsoft-com:office:smarttags" w:element="place">
          <w:r w:rsidRPr="00823ECF">
            <w:rPr>
              <w:sz w:val="22"/>
              <w:szCs w:val="22"/>
            </w:rPr>
            <w:t>Algeria</w:t>
          </w:r>
        </w:smartTag>
      </w:smartTag>
      <w:r w:rsidRPr="00823ECF">
        <w:rPr>
          <w:sz w:val="22"/>
          <w:szCs w:val="22"/>
        </w:rPr>
        <w:t xml:space="preserve">, </w:t>
      </w:r>
      <w:smartTag w:uri="urn:schemas-microsoft-com:office:smarttags" w:element="place">
        <w:smartTag w:uri="urn:schemas-microsoft-com:office:smarttags" w:element="City">
          <w:r w:rsidRPr="00823ECF">
            <w:rPr>
              <w:sz w:val="22"/>
              <w:szCs w:val="22"/>
            </w:rPr>
            <w:t>Kuwait</w:t>
          </w:r>
        </w:smartTag>
        <w:r w:rsidRPr="00823ECF">
          <w:rPr>
            <w:sz w:val="22"/>
            <w:szCs w:val="22"/>
          </w:rPr>
          <w:t xml:space="preserve">, </w:t>
        </w:r>
        <w:smartTag w:uri="urn:schemas-microsoft-com:office:smarttags" w:element="country-region">
          <w:r w:rsidRPr="00823ECF">
            <w:rPr>
              <w:sz w:val="22"/>
              <w:szCs w:val="22"/>
            </w:rPr>
            <w:t>Mexico</w:t>
          </w:r>
        </w:smartTag>
      </w:smartTag>
      <w:r w:rsidRPr="00823ECF">
        <w:rPr>
          <w:sz w:val="22"/>
          <w:szCs w:val="22"/>
        </w:rPr>
        <w:t xml:space="preserve">, </w:t>
      </w:r>
      <w:smartTag w:uri="urn:schemas-microsoft-com:office:smarttags" w:element="country-region">
        <w:smartTag w:uri="urn:schemas-microsoft-com:office:smarttags" w:element="place">
          <w:r w:rsidRPr="00823ECF">
            <w:rPr>
              <w:sz w:val="22"/>
              <w:szCs w:val="22"/>
            </w:rPr>
            <w:t>Nigeria</w:t>
          </w:r>
        </w:smartTag>
      </w:smartTag>
      <w:r w:rsidRPr="00823ECF">
        <w:rPr>
          <w:sz w:val="22"/>
          <w:szCs w:val="22"/>
        </w:rPr>
        <w:t xml:space="preserve">, </w:t>
      </w:r>
      <w:smartTag w:uri="urn:schemas-microsoft-com:office:smarttags" w:element="country-region">
        <w:smartTag w:uri="urn:schemas-microsoft-com:office:smarttags" w:element="place">
          <w:r w:rsidRPr="00823ECF">
            <w:rPr>
              <w:sz w:val="22"/>
              <w:szCs w:val="22"/>
            </w:rPr>
            <w:t>Norway</w:t>
          </w:r>
        </w:smartTag>
      </w:smartTag>
      <w:r w:rsidRPr="00823ECF">
        <w:rPr>
          <w:sz w:val="22"/>
          <w:szCs w:val="22"/>
        </w:rPr>
        <w:t xml:space="preserve">, </w:t>
      </w:r>
      <w:smartTag w:uri="urn:schemas-microsoft-com:office:smarttags" w:element="country-region">
        <w:smartTag w:uri="urn:schemas-microsoft-com:office:smarttags" w:element="place">
          <w:r w:rsidRPr="00823ECF">
            <w:rPr>
              <w:sz w:val="22"/>
              <w:szCs w:val="22"/>
            </w:rPr>
            <w:t>Russia</w:t>
          </w:r>
        </w:smartTag>
      </w:smartTag>
      <w:r w:rsidRPr="00823ECF">
        <w:rPr>
          <w:sz w:val="22"/>
          <w:szCs w:val="22"/>
        </w:rPr>
        <w:t xml:space="preserve">, </w:t>
      </w:r>
      <w:smartTag w:uri="urn:schemas-microsoft-com:office:smarttags" w:element="country-region">
        <w:smartTag w:uri="urn:schemas-microsoft-com:office:smarttags" w:element="place">
          <w:r w:rsidRPr="00823ECF">
            <w:rPr>
              <w:sz w:val="22"/>
              <w:szCs w:val="22"/>
            </w:rPr>
            <w:t>Saudi Arabia</w:t>
          </w:r>
        </w:smartTag>
      </w:smartTag>
      <w:r w:rsidRPr="00823ECF">
        <w:rPr>
          <w:sz w:val="22"/>
          <w:szCs w:val="22"/>
        </w:rPr>
        <w:t xml:space="preserve">, </w:t>
      </w:r>
      <w:smartTag w:uri="urn:schemas-microsoft-com:office:smarttags" w:element="country-region">
        <w:smartTag w:uri="urn:schemas-microsoft-com:office:smarttags" w:element="place">
          <w:r w:rsidRPr="00823ECF">
            <w:rPr>
              <w:sz w:val="22"/>
              <w:szCs w:val="22"/>
            </w:rPr>
            <w:t>United Arab Emirates</w:t>
          </w:r>
        </w:smartTag>
      </w:smartTag>
      <w:r w:rsidRPr="00823ECF">
        <w:rPr>
          <w:sz w:val="22"/>
          <w:szCs w:val="22"/>
        </w:rPr>
        <w:t xml:space="preserve"> and </w:t>
      </w:r>
      <w:smartTag w:uri="urn:schemas-microsoft-com:office:smarttags" w:element="country-region">
        <w:smartTag w:uri="urn:schemas-microsoft-com:office:smarttags" w:element="place">
          <w:r w:rsidRPr="00823ECF">
            <w:rPr>
              <w:sz w:val="22"/>
              <w:szCs w:val="22"/>
            </w:rPr>
            <w:t>Venezuela</w:t>
          </w:r>
        </w:smartTag>
      </w:smartTag>
      <w:r>
        <w:rPr>
          <w:sz w:val="22"/>
          <w:szCs w:val="22"/>
        </w:rPr>
        <w:t>.</w:t>
      </w:r>
    </w:p>
    <w:p w:rsidR="00EA1CAD" w:rsidRDefault="00EA1CAD" w:rsidP="00EA1CAD">
      <w:pPr>
        <w:rPr>
          <w:rFonts w:eastAsia="GungsuhChe"/>
          <w:szCs w:val="20"/>
        </w:rPr>
      </w:pPr>
    </w:p>
    <w:p w:rsidR="00EA1CAD" w:rsidRDefault="00EA1CAD" w:rsidP="00EA1CAD">
      <w:r>
        <w:rPr>
          <w:rFonts w:eastAsia="GungsuhChe"/>
          <w:szCs w:val="20"/>
        </w:rPr>
        <w:br w:type="page"/>
      </w:r>
    </w:p>
    <w:p w:rsidR="00EA1CAD" w:rsidRDefault="00EA1CAD" w:rsidP="00EA1CAD">
      <w:pPr>
        <w:jc w:val="center"/>
        <w:rPr>
          <w:rFonts w:eastAsia="GungsuhChe"/>
          <w:b/>
          <w:szCs w:val="20"/>
        </w:rPr>
      </w:pPr>
      <w:r>
        <w:rPr>
          <w:rFonts w:eastAsia="GungsuhChe"/>
          <w:b/>
          <w:szCs w:val="20"/>
        </w:rPr>
        <w:t>Table 2</w:t>
      </w:r>
      <w:r w:rsidRPr="008449C9">
        <w:rPr>
          <w:rFonts w:eastAsia="GungsuhChe"/>
          <w:b/>
          <w:szCs w:val="20"/>
        </w:rPr>
        <w:t xml:space="preserve">: </w:t>
      </w:r>
      <w:r>
        <w:rPr>
          <w:rFonts w:eastAsia="GungsuhChe"/>
          <w:b/>
          <w:szCs w:val="20"/>
        </w:rPr>
        <w:t xml:space="preserve">Adding Previous Report’s </w:t>
      </w:r>
      <w:proofErr w:type="gramStart"/>
      <w:r>
        <w:rPr>
          <w:rFonts w:eastAsia="GungsuhChe"/>
          <w:b/>
          <w:szCs w:val="20"/>
        </w:rPr>
        <w:t>Finding</w:t>
      </w:r>
      <w:proofErr w:type="gramEnd"/>
    </w:p>
    <w:p w:rsidR="00EA1CAD" w:rsidRDefault="00EA1CAD" w:rsidP="00EA1CAD">
      <w:pPr>
        <w:jc w:val="center"/>
        <w:rPr>
          <w:rFonts w:eastAsia="GungsuhChe"/>
          <w:b/>
          <w:szCs w:val="20"/>
        </w:rPr>
      </w:pPr>
      <w:r>
        <w:rPr>
          <w:rFonts w:eastAsia="GungsuhChe"/>
          <w:b/>
          <w:szCs w:val="20"/>
        </w:rPr>
        <w:t xml:space="preserve">Ordered </w:t>
      </w:r>
      <w:proofErr w:type="spellStart"/>
      <w:r>
        <w:rPr>
          <w:rFonts w:eastAsia="GungsuhChe"/>
          <w:b/>
          <w:szCs w:val="20"/>
        </w:rPr>
        <w:t>Probit</w:t>
      </w:r>
      <w:proofErr w:type="spellEnd"/>
      <w:r>
        <w:rPr>
          <w:rFonts w:eastAsia="GungsuhChe"/>
          <w:b/>
          <w:szCs w:val="20"/>
        </w:rPr>
        <w:t>, Oct. 1988 ~ Dec. 2006</w:t>
      </w:r>
    </w:p>
    <w:p w:rsidR="00EA1CAD" w:rsidRDefault="00EA1CAD" w:rsidP="00EA1CAD">
      <w:pPr>
        <w:rPr>
          <w:rFonts w:eastAsia="GungsuhChe"/>
          <w:b/>
          <w:szCs w:val="20"/>
        </w:rPr>
      </w:pPr>
    </w:p>
    <w:tbl>
      <w:tblPr>
        <w:tblW w:w="8439" w:type="dxa"/>
        <w:jc w:val="center"/>
        <w:tblCellMar>
          <w:left w:w="0" w:type="dxa"/>
          <w:right w:w="0" w:type="dxa"/>
        </w:tblCellMar>
        <w:tblLook w:val="0000" w:firstRow="0" w:lastRow="0" w:firstColumn="0" w:lastColumn="0" w:noHBand="0" w:noVBand="0"/>
      </w:tblPr>
      <w:tblGrid>
        <w:gridCol w:w="2060"/>
        <w:gridCol w:w="1260"/>
        <w:gridCol w:w="1260"/>
        <w:gridCol w:w="1080"/>
        <w:gridCol w:w="1080"/>
        <w:gridCol w:w="1699"/>
      </w:tblGrid>
      <w:tr w:rsidR="00EA1CAD" w:rsidTr="001610EC">
        <w:trPr>
          <w:trHeight w:val="300"/>
          <w:jc w:val="center"/>
        </w:trPr>
        <w:tc>
          <w:tcPr>
            <w:tcW w:w="206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 </w:t>
            </w:r>
          </w:p>
        </w:tc>
        <w:tc>
          <w:tcPr>
            <w:tcW w:w="126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(1)</w:t>
            </w:r>
          </w:p>
        </w:tc>
        <w:tc>
          <w:tcPr>
            <w:tcW w:w="126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(2)</w:t>
            </w:r>
          </w:p>
        </w:tc>
        <w:tc>
          <w:tcPr>
            <w:tcW w:w="108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(3)</w:t>
            </w:r>
          </w:p>
        </w:tc>
        <w:tc>
          <w:tcPr>
            <w:tcW w:w="108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(4)</w:t>
            </w:r>
          </w:p>
        </w:tc>
        <w:tc>
          <w:tcPr>
            <w:tcW w:w="1699"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(5)</w:t>
            </w:r>
          </w:p>
        </w:tc>
      </w:tr>
      <w:tr w:rsidR="00EA1CAD" w:rsidTr="001610EC">
        <w:trPr>
          <w:trHeight w:val="780"/>
          <w:jc w:val="center"/>
        </w:trPr>
        <w:tc>
          <w:tcPr>
            <w:tcW w:w="2060" w:type="dxa"/>
            <w:tcBorders>
              <w:top w:val="nil"/>
              <w:left w:val="nil"/>
              <w:bottom w:val="double" w:sz="6" w:space="0" w:color="auto"/>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 Variable</w:t>
            </w:r>
          </w:p>
        </w:tc>
        <w:tc>
          <w:tcPr>
            <w:tcW w:w="1260" w:type="dxa"/>
            <w:tcBorders>
              <w:top w:val="nil"/>
              <w:left w:val="nil"/>
              <w:bottom w:val="double" w:sz="6" w:space="0" w:color="auto"/>
              <w:right w:val="nil"/>
            </w:tcBorders>
            <w:shd w:val="clear" w:color="auto" w:fill="auto"/>
            <w:noWrap/>
            <w:tcMar>
              <w:top w:w="15" w:type="dxa"/>
              <w:left w:w="15" w:type="dxa"/>
              <w:bottom w:w="0" w:type="dxa"/>
              <w:right w:w="15" w:type="dxa"/>
            </w:tcMar>
            <w:vAlign w:val="center"/>
          </w:tcPr>
          <w:p w:rsidR="00EA1CAD" w:rsidRDefault="00EA1CAD" w:rsidP="001610EC">
            <w:pPr>
              <w:jc w:val="center"/>
              <w:rPr>
                <w:sz w:val="22"/>
                <w:szCs w:val="22"/>
              </w:rPr>
            </w:pPr>
            <w:r>
              <w:rPr>
                <w:sz w:val="22"/>
                <w:szCs w:val="22"/>
              </w:rPr>
              <w:t>Full sample</w:t>
            </w:r>
          </w:p>
        </w:tc>
        <w:tc>
          <w:tcPr>
            <w:tcW w:w="1260" w:type="dxa"/>
            <w:tcBorders>
              <w:top w:val="nil"/>
              <w:left w:val="nil"/>
              <w:bottom w:val="double" w:sz="6" w:space="0" w:color="auto"/>
              <w:right w:val="nil"/>
            </w:tcBorders>
            <w:shd w:val="clear" w:color="auto" w:fill="auto"/>
            <w:noWrap/>
            <w:tcMar>
              <w:top w:w="15" w:type="dxa"/>
              <w:left w:w="15" w:type="dxa"/>
              <w:bottom w:w="0" w:type="dxa"/>
              <w:right w:w="15" w:type="dxa"/>
            </w:tcMar>
            <w:vAlign w:val="center"/>
          </w:tcPr>
          <w:p w:rsidR="00EA1CAD" w:rsidRDefault="00EA1CAD" w:rsidP="001610EC">
            <w:pPr>
              <w:jc w:val="center"/>
              <w:rPr>
                <w:sz w:val="22"/>
                <w:szCs w:val="22"/>
              </w:rPr>
            </w:pPr>
            <w:r>
              <w:rPr>
                <w:sz w:val="22"/>
                <w:szCs w:val="22"/>
              </w:rPr>
              <w:t>Excluding</w:t>
            </w:r>
          </w:p>
          <w:p w:rsidR="00EA1CAD" w:rsidRDefault="00EA1CAD" w:rsidP="001610EC">
            <w:pPr>
              <w:jc w:val="center"/>
              <w:rPr>
                <w:sz w:val="22"/>
                <w:szCs w:val="22"/>
              </w:rPr>
            </w:pPr>
            <w:r>
              <w:rPr>
                <w:sz w:val="22"/>
                <w:szCs w:val="22"/>
              </w:rPr>
              <w:t>oil</w:t>
            </w:r>
          </w:p>
          <w:p w:rsidR="00EA1CAD" w:rsidRDefault="00EA1CAD" w:rsidP="001610EC">
            <w:pPr>
              <w:jc w:val="center"/>
              <w:rPr>
                <w:sz w:val="22"/>
                <w:szCs w:val="22"/>
              </w:rPr>
            </w:pPr>
            <w:r>
              <w:rPr>
                <w:sz w:val="22"/>
                <w:szCs w:val="22"/>
              </w:rPr>
              <w:t>exporters</w:t>
            </w:r>
          </w:p>
        </w:tc>
        <w:tc>
          <w:tcPr>
            <w:tcW w:w="1080" w:type="dxa"/>
            <w:tcBorders>
              <w:top w:val="nil"/>
              <w:left w:val="nil"/>
              <w:bottom w:val="double" w:sz="6" w:space="0" w:color="auto"/>
              <w:right w:val="nil"/>
            </w:tcBorders>
            <w:shd w:val="clear" w:color="auto" w:fill="auto"/>
            <w:noWrap/>
            <w:tcMar>
              <w:top w:w="15" w:type="dxa"/>
              <w:left w:w="15" w:type="dxa"/>
              <w:bottom w:w="0" w:type="dxa"/>
              <w:right w:w="15" w:type="dxa"/>
            </w:tcMar>
            <w:vAlign w:val="center"/>
          </w:tcPr>
          <w:p w:rsidR="00EA1CAD" w:rsidRDefault="00EA1CAD" w:rsidP="001610EC">
            <w:pPr>
              <w:jc w:val="center"/>
              <w:rPr>
                <w:sz w:val="22"/>
                <w:szCs w:val="22"/>
              </w:rPr>
            </w:pPr>
            <w:r>
              <w:rPr>
                <w:sz w:val="22"/>
                <w:szCs w:val="22"/>
              </w:rPr>
              <w:t>Asian 15</w:t>
            </w:r>
          </w:p>
        </w:tc>
        <w:tc>
          <w:tcPr>
            <w:tcW w:w="1080" w:type="dxa"/>
            <w:tcBorders>
              <w:top w:val="nil"/>
              <w:left w:val="nil"/>
              <w:bottom w:val="double" w:sz="6" w:space="0" w:color="auto"/>
              <w:right w:val="nil"/>
            </w:tcBorders>
            <w:shd w:val="clear" w:color="auto" w:fill="auto"/>
            <w:noWrap/>
            <w:tcMar>
              <w:top w:w="15" w:type="dxa"/>
              <w:left w:w="15" w:type="dxa"/>
              <w:bottom w:w="0" w:type="dxa"/>
              <w:right w:w="15" w:type="dxa"/>
            </w:tcMar>
            <w:vAlign w:val="center"/>
          </w:tcPr>
          <w:p w:rsidR="00EA1CAD" w:rsidRDefault="00EA1CAD" w:rsidP="001610EC">
            <w:pPr>
              <w:jc w:val="center"/>
              <w:rPr>
                <w:sz w:val="22"/>
                <w:szCs w:val="22"/>
              </w:rPr>
            </w:pPr>
            <w:r>
              <w:rPr>
                <w:sz w:val="22"/>
                <w:szCs w:val="22"/>
              </w:rPr>
              <w:t>SD of</w:t>
            </w:r>
          </w:p>
          <w:p w:rsidR="00EA1CAD" w:rsidRDefault="00EA1CAD" w:rsidP="001610EC">
            <w:pPr>
              <w:jc w:val="center"/>
              <w:rPr>
                <w:sz w:val="22"/>
                <w:szCs w:val="22"/>
              </w:rPr>
            </w:pPr>
            <w:r>
              <w:rPr>
                <w:sz w:val="22"/>
                <w:szCs w:val="22"/>
              </w:rPr>
              <w:t>variable</w:t>
            </w:r>
          </w:p>
        </w:tc>
        <w:tc>
          <w:tcPr>
            <w:tcW w:w="1699" w:type="dxa"/>
            <w:tcBorders>
              <w:top w:val="nil"/>
              <w:left w:val="nil"/>
              <w:bottom w:val="double" w:sz="6" w:space="0" w:color="auto"/>
              <w:right w:val="nil"/>
            </w:tcBorders>
            <w:shd w:val="clear" w:color="auto" w:fill="auto"/>
            <w:tcMar>
              <w:top w:w="15" w:type="dxa"/>
              <w:left w:w="15" w:type="dxa"/>
              <w:bottom w:w="0" w:type="dxa"/>
              <w:right w:w="15" w:type="dxa"/>
            </w:tcMar>
            <w:vAlign w:val="center"/>
          </w:tcPr>
          <w:p w:rsidR="00EA1CAD" w:rsidRDefault="00EA1CAD" w:rsidP="001610EC">
            <w:pPr>
              <w:jc w:val="center"/>
              <w:rPr>
                <w:sz w:val="20"/>
                <w:szCs w:val="20"/>
              </w:rPr>
            </w:pPr>
            <w:r>
              <w:rPr>
                <w:sz w:val="20"/>
                <w:szCs w:val="20"/>
              </w:rPr>
              <w:t xml:space="preserve">Standardized Response = </w:t>
            </w:r>
            <w:proofErr w:type="spellStart"/>
            <w:r>
              <w:rPr>
                <w:sz w:val="20"/>
                <w:szCs w:val="20"/>
              </w:rPr>
              <w:t>Coeff.est</w:t>
            </w:r>
            <w:proofErr w:type="spellEnd"/>
            <w:r>
              <w:rPr>
                <w:sz w:val="20"/>
                <w:szCs w:val="20"/>
              </w:rPr>
              <w:t>. from (2) x SD from (4)</w:t>
            </w:r>
          </w:p>
        </w:tc>
      </w:tr>
      <w:tr w:rsidR="00EA1CAD" w:rsidTr="001610EC">
        <w:trPr>
          <w:trHeight w:val="315"/>
          <w:jc w:val="center"/>
        </w:trPr>
        <w:tc>
          <w:tcPr>
            <w:tcW w:w="2060" w:type="dxa"/>
            <w:vMerge w:val="restart"/>
            <w:tcBorders>
              <w:top w:val="nil"/>
              <w:left w:val="nil"/>
              <w:bottom w:val="nil"/>
              <w:right w:val="nil"/>
            </w:tcBorders>
            <w:shd w:val="clear" w:color="auto" w:fill="auto"/>
            <w:tcMar>
              <w:top w:w="15" w:type="dxa"/>
              <w:left w:w="15" w:type="dxa"/>
              <w:bottom w:w="0" w:type="dxa"/>
              <w:right w:w="15" w:type="dxa"/>
            </w:tcMar>
            <w:vAlign w:val="bottom"/>
          </w:tcPr>
          <w:p w:rsidR="00EA1CAD" w:rsidRDefault="00EA1CAD" w:rsidP="00AE25D9">
            <w:pPr>
              <w:rPr>
                <w:sz w:val="22"/>
                <w:szCs w:val="22"/>
              </w:rPr>
            </w:pPr>
            <w:r>
              <w:rPr>
                <w:sz w:val="22"/>
                <w:szCs w:val="22"/>
              </w:rPr>
              <w:t>US bilateral goods</w:t>
            </w:r>
          </w:p>
          <w:p w:rsidR="00EA1CAD" w:rsidRDefault="00EA1CAD" w:rsidP="00AE25D9">
            <w:pPr>
              <w:rPr>
                <w:sz w:val="22"/>
                <w:szCs w:val="22"/>
              </w:rPr>
            </w:pPr>
            <w:r>
              <w:rPr>
                <w:sz w:val="22"/>
                <w:szCs w:val="22"/>
              </w:rPr>
              <w:t>trade balance with</w:t>
            </w:r>
          </w:p>
          <w:p w:rsidR="00EA1CAD" w:rsidRDefault="00EA1CAD" w:rsidP="00AE25D9">
            <w:pPr>
              <w:rPr>
                <w:sz w:val="22"/>
                <w:szCs w:val="22"/>
              </w:rPr>
            </w:pPr>
            <w:r>
              <w:rPr>
                <w:sz w:val="22"/>
                <w:szCs w:val="22"/>
              </w:rPr>
              <w:t xml:space="preserve"> partner country (</w:t>
            </w:r>
            <w:proofErr w:type="spellStart"/>
            <w:r>
              <w:rPr>
                <w:sz w:val="22"/>
                <w:szCs w:val="22"/>
              </w:rPr>
              <w:t>tb</w:t>
            </w:r>
            <w:proofErr w:type="spellEnd"/>
            <w:r>
              <w:rPr>
                <w:sz w:val="22"/>
                <w:szCs w:val="22"/>
              </w:rPr>
              <w:t>)</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-0.724**</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-0.719**</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-0.593***</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0.1568</w:t>
            </w:r>
          </w:p>
        </w:tc>
        <w:tc>
          <w:tcPr>
            <w:tcW w:w="1699"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-0.1127</w:t>
            </w:r>
          </w:p>
        </w:tc>
      </w:tr>
      <w:tr w:rsidR="00EA1CAD" w:rsidTr="001610EC">
        <w:trPr>
          <w:trHeight w:val="300"/>
          <w:jc w:val="center"/>
        </w:trPr>
        <w:tc>
          <w:tcPr>
            <w:tcW w:w="2060" w:type="dxa"/>
            <w:vMerge/>
            <w:tcBorders>
              <w:top w:val="nil"/>
              <w:left w:val="nil"/>
              <w:bottom w:val="nil"/>
              <w:right w:val="nil"/>
            </w:tcBorders>
            <w:vAlign w:val="center"/>
          </w:tcPr>
          <w:p w:rsidR="00EA1CAD" w:rsidRDefault="00EA1CAD" w:rsidP="00AE25D9">
            <w:pPr>
              <w:rPr>
                <w:sz w:val="22"/>
                <w:szCs w:val="22"/>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(0.301)</w:t>
            </w:r>
          </w:p>
          <w:p w:rsidR="00EA1CAD" w:rsidRDefault="00EA1CAD" w:rsidP="001610EC">
            <w:pPr>
              <w:jc w:val="center"/>
              <w:rPr>
                <w:sz w:val="22"/>
                <w:szCs w:val="22"/>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(0.307)</w:t>
            </w:r>
          </w:p>
          <w:p w:rsidR="00EA1CAD" w:rsidRDefault="00EA1CAD" w:rsidP="001610EC">
            <w:pPr>
              <w:jc w:val="center"/>
              <w:rPr>
                <w:sz w:val="22"/>
                <w:szCs w:val="22"/>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(0.230)</w:t>
            </w:r>
          </w:p>
          <w:p w:rsidR="00EA1CAD" w:rsidRDefault="00EA1CAD" w:rsidP="001610EC">
            <w:pPr>
              <w:jc w:val="center"/>
              <w:rPr>
                <w:sz w:val="22"/>
                <w:szCs w:val="22"/>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c>
          <w:tcPr>
            <w:tcW w:w="1699"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r>
      <w:tr w:rsidR="00EA1CAD" w:rsidTr="001610EC">
        <w:trPr>
          <w:trHeight w:val="300"/>
          <w:jc w:val="center"/>
        </w:trPr>
        <w:tc>
          <w:tcPr>
            <w:tcW w:w="2060" w:type="dxa"/>
            <w:vMerge w:val="restart"/>
            <w:tcBorders>
              <w:top w:val="nil"/>
              <w:left w:val="nil"/>
              <w:bottom w:val="nil"/>
              <w:right w:val="nil"/>
            </w:tcBorders>
            <w:shd w:val="clear" w:color="auto" w:fill="auto"/>
            <w:tcMar>
              <w:top w:w="15" w:type="dxa"/>
              <w:left w:w="15" w:type="dxa"/>
              <w:bottom w:w="0" w:type="dxa"/>
              <w:right w:w="15" w:type="dxa"/>
            </w:tcMar>
            <w:vAlign w:val="bottom"/>
          </w:tcPr>
          <w:p w:rsidR="00EA1CAD" w:rsidRDefault="00EA1CAD" w:rsidP="00AE25D9">
            <w:pPr>
              <w:rPr>
                <w:sz w:val="22"/>
                <w:szCs w:val="22"/>
              </w:rPr>
            </w:pPr>
            <w:r>
              <w:rPr>
                <w:sz w:val="22"/>
                <w:szCs w:val="22"/>
              </w:rPr>
              <w:t xml:space="preserve">Partner country’s </w:t>
            </w:r>
          </w:p>
          <w:p w:rsidR="00EA1CAD" w:rsidRDefault="00EA1CAD" w:rsidP="00AE25D9">
            <w:pPr>
              <w:rPr>
                <w:sz w:val="22"/>
                <w:szCs w:val="22"/>
              </w:rPr>
            </w:pPr>
            <w:r>
              <w:rPr>
                <w:sz w:val="22"/>
                <w:szCs w:val="22"/>
              </w:rPr>
              <w:t xml:space="preserve">Current account/GDP </w:t>
            </w:r>
          </w:p>
          <w:p w:rsidR="00EA1CAD" w:rsidRDefault="00EA1CAD" w:rsidP="00AE25D9">
            <w:pPr>
              <w:rPr>
                <w:sz w:val="22"/>
                <w:szCs w:val="22"/>
              </w:rPr>
            </w:pPr>
            <w:r>
              <w:rPr>
                <w:sz w:val="22"/>
                <w:szCs w:val="22"/>
              </w:rPr>
              <w:t>ratio (ca)</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0.039***</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0.060***</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0.043**</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5.1593</w:t>
            </w:r>
          </w:p>
        </w:tc>
        <w:tc>
          <w:tcPr>
            <w:tcW w:w="1699"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0.3082</w:t>
            </w:r>
          </w:p>
        </w:tc>
      </w:tr>
      <w:tr w:rsidR="00EA1CAD" w:rsidTr="001610EC">
        <w:trPr>
          <w:trHeight w:val="300"/>
          <w:jc w:val="center"/>
        </w:trPr>
        <w:tc>
          <w:tcPr>
            <w:tcW w:w="2060" w:type="dxa"/>
            <w:vMerge/>
            <w:tcBorders>
              <w:top w:val="nil"/>
              <w:left w:val="nil"/>
              <w:bottom w:val="nil"/>
              <w:right w:val="nil"/>
            </w:tcBorders>
            <w:vAlign w:val="center"/>
          </w:tcPr>
          <w:p w:rsidR="00EA1CAD" w:rsidRDefault="00EA1CAD" w:rsidP="00AE25D9">
            <w:pPr>
              <w:rPr>
                <w:sz w:val="22"/>
                <w:szCs w:val="22"/>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(0.010)</w:t>
            </w:r>
          </w:p>
          <w:p w:rsidR="00EA1CAD" w:rsidRDefault="00EA1CAD" w:rsidP="001610EC">
            <w:pPr>
              <w:jc w:val="center"/>
              <w:rPr>
                <w:sz w:val="22"/>
                <w:szCs w:val="22"/>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(0.017)</w:t>
            </w:r>
          </w:p>
          <w:p w:rsidR="00EA1CAD" w:rsidRDefault="00EA1CAD" w:rsidP="001610EC">
            <w:pPr>
              <w:jc w:val="center"/>
              <w:rPr>
                <w:sz w:val="22"/>
                <w:szCs w:val="22"/>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(0.018)</w:t>
            </w:r>
          </w:p>
          <w:p w:rsidR="00EA1CAD" w:rsidRDefault="00EA1CAD" w:rsidP="001610EC">
            <w:pPr>
              <w:jc w:val="center"/>
              <w:rPr>
                <w:sz w:val="22"/>
                <w:szCs w:val="22"/>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c>
          <w:tcPr>
            <w:tcW w:w="1699"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r>
      <w:tr w:rsidR="00EA1CAD" w:rsidTr="001610EC">
        <w:trPr>
          <w:trHeight w:val="300"/>
          <w:jc w:val="center"/>
        </w:trPr>
        <w:tc>
          <w:tcPr>
            <w:tcW w:w="2060" w:type="dxa"/>
            <w:vMerge w:val="restart"/>
            <w:tcBorders>
              <w:top w:val="nil"/>
              <w:left w:val="nil"/>
              <w:bottom w:val="nil"/>
              <w:right w:val="nil"/>
            </w:tcBorders>
            <w:shd w:val="clear" w:color="auto" w:fill="auto"/>
            <w:tcMar>
              <w:top w:w="15" w:type="dxa"/>
              <w:left w:w="15" w:type="dxa"/>
              <w:bottom w:w="0" w:type="dxa"/>
              <w:right w:w="15" w:type="dxa"/>
            </w:tcMar>
            <w:vAlign w:val="bottom"/>
          </w:tcPr>
          <w:p w:rsidR="00EA1CAD" w:rsidRDefault="00EA1CAD" w:rsidP="00AE25D9">
            <w:pPr>
              <w:rPr>
                <w:sz w:val="22"/>
                <w:szCs w:val="22"/>
              </w:rPr>
            </w:pPr>
            <w:r>
              <w:rPr>
                <w:sz w:val="22"/>
                <w:szCs w:val="22"/>
              </w:rPr>
              <w:t xml:space="preserve">Partner’s Exchange </w:t>
            </w:r>
          </w:p>
          <w:p w:rsidR="00EA1CAD" w:rsidRDefault="00EA1CAD" w:rsidP="00AE25D9">
            <w:pPr>
              <w:rPr>
                <w:sz w:val="22"/>
                <w:szCs w:val="22"/>
              </w:rPr>
            </w:pPr>
            <w:r>
              <w:rPr>
                <w:sz w:val="22"/>
                <w:szCs w:val="22"/>
              </w:rPr>
              <w:t>rate relative to PPP</w:t>
            </w:r>
          </w:p>
          <w:p w:rsidR="00EA1CAD" w:rsidRDefault="00EA1CAD" w:rsidP="00AE25D9">
            <w:pPr>
              <w:rPr>
                <w:sz w:val="22"/>
                <w:szCs w:val="22"/>
              </w:rPr>
            </w:pPr>
            <w:r>
              <w:rPr>
                <w:sz w:val="22"/>
                <w:szCs w:val="22"/>
              </w:rPr>
              <w:t xml:space="preserve"> (</w:t>
            </w:r>
            <w:proofErr w:type="spellStart"/>
            <w:r>
              <w:rPr>
                <w:sz w:val="22"/>
                <w:szCs w:val="22"/>
              </w:rPr>
              <w:t>ppp</w:t>
            </w:r>
            <w:proofErr w:type="spellEnd"/>
            <w:r>
              <w:rPr>
                <w:sz w:val="22"/>
                <w:szCs w:val="22"/>
              </w:rPr>
              <w:t>)</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-0.263</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-0.363</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-0.088</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0.3495</w:t>
            </w:r>
          </w:p>
        </w:tc>
        <w:tc>
          <w:tcPr>
            <w:tcW w:w="1699"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-0.1267</w:t>
            </w:r>
          </w:p>
        </w:tc>
      </w:tr>
      <w:tr w:rsidR="00EA1CAD" w:rsidTr="001610EC">
        <w:trPr>
          <w:trHeight w:val="300"/>
          <w:jc w:val="center"/>
        </w:trPr>
        <w:tc>
          <w:tcPr>
            <w:tcW w:w="2060" w:type="dxa"/>
            <w:vMerge/>
            <w:tcBorders>
              <w:top w:val="nil"/>
              <w:left w:val="nil"/>
              <w:bottom w:val="nil"/>
              <w:right w:val="nil"/>
            </w:tcBorders>
            <w:vAlign w:val="center"/>
          </w:tcPr>
          <w:p w:rsidR="00EA1CAD" w:rsidRDefault="00EA1CAD" w:rsidP="00AE25D9">
            <w:pPr>
              <w:rPr>
                <w:sz w:val="22"/>
                <w:szCs w:val="22"/>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(0.239)</w:t>
            </w:r>
          </w:p>
          <w:p w:rsidR="00EA1CAD" w:rsidRDefault="00EA1CAD" w:rsidP="001610EC">
            <w:pPr>
              <w:jc w:val="center"/>
              <w:rPr>
                <w:sz w:val="22"/>
                <w:szCs w:val="22"/>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(0.246)</w:t>
            </w:r>
          </w:p>
          <w:p w:rsidR="00EA1CAD" w:rsidRDefault="00EA1CAD" w:rsidP="001610EC">
            <w:pPr>
              <w:jc w:val="center"/>
              <w:rPr>
                <w:sz w:val="22"/>
                <w:szCs w:val="22"/>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(0.318)</w:t>
            </w:r>
          </w:p>
          <w:p w:rsidR="00EA1CAD" w:rsidRDefault="00EA1CAD" w:rsidP="001610EC">
            <w:pPr>
              <w:jc w:val="center"/>
              <w:rPr>
                <w:sz w:val="22"/>
                <w:szCs w:val="22"/>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c>
          <w:tcPr>
            <w:tcW w:w="1699"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r>
      <w:tr w:rsidR="00EA1CAD" w:rsidTr="001610EC">
        <w:trPr>
          <w:trHeight w:val="300"/>
          <w:jc w:val="center"/>
        </w:trPr>
        <w:tc>
          <w:tcPr>
            <w:tcW w:w="2060" w:type="dxa"/>
            <w:vMerge w:val="restart"/>
            <w:tcBorders>
              <w:top w:val="nil"/>
              <w:left w:val="nil"/>
              <w:bottom w:val="nil"/>
              <w:right w:val="nil"/>
            </w:tcBorders>
            <w:shd w:val="clear" w:color="auto" w:fill="auto"/>
            <w:tcMar>
              <w:top w:w="15" w:type="dxa"/>
              <w:left w:w="15" w:type="dxa"/>
              <w:bottom w:w="0" w:type="dxa"/>
              <w:right w:w="15" w:type="dxa"/>
            </w:tcMar>
            <w:vAlign w:val="bottom"/>
          </w:tcPr>
          <w:p w:rsidR="00EA1CAD" w:rsidRDefault="00EA1CAD" w:rsidP="00AE25D9">
            <w:pPr>
              <w:rPr>
                <w:sz w:val="22"/>
                <w:szCs w:val="22"/>
              </w:rPr>
            </w:pPr>
            <w:r>
              <w:rPr>
                <w:sz w:val="22"/>
                <w:szCs w:val="22"/>
              </w:rPr>
              <w:t xml:space="preserve">Partner country’s </w:t>
            </w:r>
          </w:p>
          <w:p w:rsidR="00EA1CAD" w:rsidRDefault="00EA1CAD" w:rsidP="00AE25D9">
            <w:pPr>
              <w:rPr>
                <w:sz w:val="22"/>
                <w:szCs w:val="22"/>
              </w:rPr>
            </w:pPr>
            <w:r>
              <w:rPr>
                <w:sz w:val="22"/>
                <w:szCs w:val="22"/>
              </w:rPr>
              <w:t>change in reserves/</w:t>
            </w:r>
          </w:p>
          <w:p w:rsidR="00EA1CAD" w:rsidRDefault="00EA1CAD" w:rsidP="00AE25D9">
            <w:pPr>
              <w:rPr>
                <w:sz w:val="22"/>
                <w:szCs w:val="22"/>
              </w:rPr>
            </w:pPr>
            <w:r>
              <w:rPr>
                <w:sz w:val="22"/>
                <w:szCs w:val="22"/>
              </w:rPr>
              <w:t>GDP ratio (res)</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0.031***</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0.019</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0.007</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3.05</w:t>
            </w:r>
          </w:p>
        </w:tc>
        <w:tc>
          <w:tcPr>
            <w:tcW w:w="1699"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0.059</w:t>
            </w:r>
          </w:p>
        </w:tc>
      </w:tr>
      <w:tr w:rsidR="00EA1CAD" w:rsidTr="001610EC">
        <w:trPr>
          <w:trHeight w:val="300"/>
          <w:jc w:val="center"/>
        </w:trPr>
        <w:tc>
          <w:tcPr>
            <w:tcW w:w="2060" w:type="dxa"/>
            <w:vMerge/>
            <w:tcBorders>
              <w:top w:val="nil"/>
              <w:left w:val="nil"/>
              <w:bottom w:val="nil"/>
              <w:right w:val="nil"/>
            </w:tcBorders>
            <w:vAlign w:val="center"/>
          </w:tcPr>
          <w:p w:rsidR="00EA1CAD" w:rsidRDefault="00EA1CAD" w:rsidP="00AE25D9">
            <w:pPr>
              <w:rPr>
                <w:sz w:val="22"/>
                <w:szCs w:val="22"/>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(0.012)</w:t>
            </w:r>
          </w:p>
          <w:p w:rsidR="00EA1CAD" w:rsidRDefault="00EA1CAD" w:rsidP="001610EC">
            <w:pPr>
              <w:jc w:val="center"/>
              <w:rPr>
                <w:sz w:val="22"/>
                <w:szCs w:val="22"/>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(0.013)</w:t>
            </w:r>
          </w:p>
          <w:p w:rsidR="00EA1CAD" w:rsidRDefault="00EA1CAD" w:rsidP="001610EC">
            <w:pPr>
              <w:jc w:val="center"/>
              <w:rPr>
                <w:sz w:val="22"/>
                <w:szCs w:val="22"/>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(0.012)</w:t>
            </w:r>
          </w:p>
          <w:p w:rsidR="00EA1CAD" w:rsidRDefault="00EA1CAD" w:rsidP="001610EC">
            <w:pPr>
              <w:jc w:val="center"/>
              <w:rPr>
                <w:sz w:val="22"/>
                <w:szCs w:val="22"/>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c>
          <w:tcPr>
            <w:tcW w:w="1699"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r>
      <w:tr w:rsidR="00EA1CAD" w:rsidTr="001610EC">
        <w:trPr>
          <w:trHeight w:val="300"/>
          <w:jc w:val="center"/>
        </w:trPr>
        <w:tc>
          <w:tcPr>
            <w:tcW w:w="2060" w:type="dxa"/>
            <w:vMerge w:val="restart"/>
            <w:tcBorders>
              <w:top w:val="nil"/>
              <w:left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smartTag w:uri="urn:schemas-microsoft-com:office:smarttags" w:element="country-region">
              <w:smartTag w:uri="urn:schemas-microsoft-com:office:smarttags" w:element="place">
                <w:r>
                  <w:rPr>
                    <w:sz w:val="22"/>
                    <w:szCs w:val="22"/>
                  </w:rPr>
                  <w:t>US</w:t>
                </w:r>
              </w:smartTag>
            </w:smartTag>
            <w:r>
              <w:rPr>
                <w:sz w:val="22"/>
                <w:szCs w:val="22"/>
              </w:rPr>
              <w:t xml:space="preserve"> unemployment </w:t>
            </w:r>
          </w:p>
          <w:p w:rsidR="00EA1CAD" w:rsidRDefault="00EA1CAD" w:rsidP="00AE25D9">
            <w:pPr>
              <w:rPr>
                <w:sz w:val="22"/>
                <w:szCs w:val="22"/>
              </w:rPr>
            </w:pPr>
            <w:r>
              <w:rPr>
                <w:sz w:val="22"/>
                <w:szCs w:val="22"/>
              </w:rPr>
              <w:t>rate</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0.219**</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0.280***</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0.262**</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0.9721</w:t>
            </w:r>
          </w:p>
        </w:tc>
        <w:tc>
          <w:tcPr>
            <w:tcW w:w="1699"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0.2718</w:t>
            </w:r>
          </w:p>
        </w:tc>
      </w:tr>
      <w:tr w:rsidR="00EA1CAD" w:rsidTr="001610EC">
        <w:trPr>
          <w:trHeight w:val="300"/>
          <w:jc w:val="center"/>
        </w:trPr>
        <w:tc>
          <w:tcPr>
            <w:tcW w:w="2060" w:type="dxa"/>
            <w:vMerge/>
            <w:tcBorders>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(0.102)</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(0.104)</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(0.133)</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c>
          <w:tcPr>
            <w:tcW w:w="1699"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r>
      <w:tr w:rsidR="00EA1CAD" w:rsidTr="001610EC">
        <w:trPr>
          <w:trHeight w:val="300"/>
          <w:jc w:val="center"/>
        </w:trPr>
        <w:tc>
          <w:tcPr>
            <w:tcW w:w="2060" w:type="dxa"/>
            <w:vMerge w:val="restart"/>
            <w:tcBorders>
              <w:top w:val="nil"/>
              <w:left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 xml:space="preserve">US Election Year </w:t>
            </w:r>
          </w:p>
          <w:p w:rsidR="00EA1CAD" w:rsidRDefault="00EA1CAD" w:rsidP="00AE25D9">
            <w:pPr>
              <w:rPr>
                <w:sz w:val="22"/>
                <w:szCs w:val="22"/>
              </w:rPr>
            </w:pPr>
            <w:r>
              <w:rPr>
                <w:sz w:val="22"/>
                <w:szCs w:val="22"/>
              </w:rPr>
              <w:t>dummy</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0.223</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0.213</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0.212</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0.4497</w:t>
            </w:r>
          </w:p>
        </w:tc>
        <w:tc>
          <w:tcPr>
            <w:tcW w:w="1699"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0.0957</w:t>
            </w:r>
          </w:p>
        </w:tc>
      </w:tr>
      <w:tr w:rsidR="00EA1CAD" w:rsidTr="001610EC">
        <w:trPr>
          <w:trHeight w:val="300"/>
          <w:jc w:val="center"/>
        </w:trPr>
        <w:tc>
          <w:tcPr>
            <w:tcW w:w="2060" w:type="dxa"/>
            <w:vMerge/>
            <w:tcBorders>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(0.139)</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(0.148)</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(0.156)</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c>
          <w:tcPr>
            <w:tcW w:w="1699"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r>
      <w:tr w:rsidR="00EA1CAD" w:rsidTr="001610EC">
        <w:trPr>
          <w:trHeight w:val="300"/>
          <w:jc w:val="center"/>
        </w:trPr>
        <w:tc>
          <w:tcPr>
            <w:tcW w:w="20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Previous finding †</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3.212***</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3.156***</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2.715***</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0.2143</w:t>
            </w:r>
          </w:p>
        </w:tc>
        <w:tc>
          <w:tcPr>
            <w:tcW w:w="1699"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0.6764</w:t>
            </w:r>
          </w:p>
        </w:tc>
      </w:tr>
      <w:tr w:rsidR="00EA1CAD" w:rsidTr="001610EC">
        <w:trPr>
          <w:trHeight w:val="300"/>
          <w:jc w:val="center"/>
        </w:trPr>
        <w:tc>
          <w:tcPr>
            <w:tcW w:w="20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(0.231)</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(0.233)</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(0.194)</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c>
          <w:tcPr>
            <w:tcW w:w="1699"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r>
      <w:tr w:rsidR="00EA1CAD" w:rsidTr="001610EC">
        <w:trPr>
          <w:trHeight w:val="300"/>
          <w:jc w:val="center"/>
        </w:trPr>
        <w:tc>
          <w:tcPr>
            <w:tcW w:w="20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Period Dummies</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no</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no</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no</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c>
          <w:tcPr>
            <w:tcW w:w="1699" w:type="dxa"/>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r>
      <w:tr w:rsidR="00EA1CAD" w:rsidTr="001610EC">
        <w:trPr>
          <w:trHeight w:val="300"/>
          <w:jc w:val="center"/>
        </w:trPr>
        <w:tc>
          <w:tcPr>
            <w:tcW w:w="206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Observations</w:t>
            </w:r>
          </w:p>
        </w:tc>
        <w:tc>
          <w:tcPr>
            <w:tcW w:w="126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2009</w:t>
            </w:r>
          </w:p>
        </w:tc>
        <w:tc>
          <w:tcPr>
            <w:tcW w:w="126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1721</w:t>
            </w:r>
          </w:p>
        </w:tc>
        <w:tc>
          <w:tcPr>
            <w:tcW w:w="108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473</w:t>
            </w:r>
          </w:p>
        </w:tc>
        <w:tc>
          <w:tcPr>
            <w:tcW w:w="108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c>
          <w:tcPr>
            <w:tcW w:w="1699"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r>
      <w:tr w:rsidR="00EA1CAD" w:rsidTr="001610EC">
        <w:trPr>
          <w:trHeight w:val="315"/>
          <w:jc w:val="center"/>
        </w:trPr>
        <w:tc>
          <w:tcPr>
            <w:tcW w:w="2060" w:type="dxa"/>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Pseudo R-square</w:t>
            </w:r>
          </w:p>
        </w:tc>
        <w:tc>
          <w:tcPr>
            <w:tcW w:w="1260" w:type="dxa"/>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0.58</w:t>
            </w:r>
          </w:p>
        </w:tc>
        <w:tc>
          <w:tcPr>
            <w:tcW w:w="1260" w:type="dxa"/>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0.59</w:t>
            </w:r>
          </w:p>
        </w:tc>
        <w:tc>
          <w:tcPr>
            <w:tcW w:w="1080" w:type="dxa"/>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r>
              <w:rPr>
                <w:sz w:val="22"/>
                <w:szCs w:val="22"/>
              </w:rPr>
              <w:t>0.46</w:t>
            </w:r>
          </w:p>
        </w:tc>
        <w:tc>
          <w:tcPr>
            <w:tcW w:w="1080" w:type="dxa"/>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c>
          <w:tcPr>
            <w:tcW w:w="1699" w:type="dxa"/>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1610EC">
            <w:pPr>
              <w:jc w:val="center"/>
              <w:rPr>
                <w:sz w:val="22"/>
                <w:szCs w:val="22"/>
              </w:rPr>
            </w:pPr>
          </w:p>
        </w:tc>
      </w:tr>
    </w:tbl>
    <w:p w:rsidR="00EA1CAD" w:rsidRDefault="00EA1CAD" w:rsidP="00EA1CAD">
      <w:pPr>
        <w:rPr>
          <w:rFonts w:eastAsia="GungsuhChe"/>
          <w:sz w:val="22"/>
          <w:szCs w:val="22"/>
        </w:rPr>
      </w:pPr>
    </w:p>
    <w:p w:rsidR="00EA1CAD" w:rsidRPr="00823ECF" w:rsidRDefault="00EA1CAD" w:rsidP="00EA1CAD">
      <w:pPr>
        <w:rPr>
          <w:rFonts w:eastAsia="GungsuhChe"/>
          <w:sz w:val="22"/>
          <w:szCs w:val="22"/>
        </w:rPr>
      </w:pPr>
      <w:r w:rsidRPr="00823ECF">
        <w:rPr>
          <w:rFonts w:eastAsia="GungsuhChe"/>
          <w:sz w:val="22"/>
          <w:szCs w:val="22"/>
        </w:rPr>
        <w:t>Notes:</w:t>
      </w:r>
    </w:p>
    <w:p w:rsidR="00EA1CAD" w:rsidRPr="00823ECF" w:rsidRDefault="00EA1CAD" w:rsidP="00EA1CAD">
      <w:pPr>
        <w:rPr>
          <w:rFonts w:eastAsia="GungsuhChe"/>
          <w:sz w:val="22"/>
          <w:szCs w:val="22"/>
        </w:rPr>
      </w:pPr>
      <w:r w:rsidRPr="00823ECF">
        <w:rPr>
          <w:rFonts w:eastAsia="GungsuhChe"/>
          <w:sz w:val="22"/>
          <w:szCs w:val="22"/>
        </w:rPr>
        <w:t>a) Robust standard errors in parentheses (clustered by country)</w:t>
      </w:r>
    </w:p>
    <w:p w:rsidR="00EA1CAD" w:rsidRPr="00823ECF" w:rsidRDefault="00EA1CAD" w:rsidP="00EA1CAD">
      <w:pPr>
        <w:rPr>
          <w:rFonts w:eastAsia="GungsuhChe"/>
          <w:sz w:val="22"/>
          <w:szCs w:val="22"/>
        </w:rPr>
      </w:pPr>
      <w:r w:rsidRPr="00823ECF">
        <w:rPr>
          <w:rFonts w:eastAsia="GungsuhChe"/>
          <w:sz w:val="22"/>
          <w:szCs w:val="22"/>
        </w:rPr>
        <w:t>b) * significant at 10%; ** significant at 5%; *** significant at 1%</w:t>
      </w:r>
    </w:p>
    <w:p w:rsidR="00EA1CAD" w:rsidRPr="00823ECF" w:rsidRDefault="00EA1CAD" w:rsidP="00EA1CAD">
      <w:pPr>
        <w:rPr>
          <w:rFonts w:eastAsia="GungsuhChe"/>
          <w:sz w:val="22"/>
          <w:szCs w:val="22"/>
        </w:rPr>
      </w:pPr>
    </w:p>
    <w:p w:rsidR="00EA1CAD" w:rsidRPr="00823ECF" w:rsidRDefault="00EA1CAD" w:rsidP="00EA1CAD">
      <w:pPr>
        <w:rPr>
          <w:rFonts w:eastAsia="GungsuhChe"/>
          <w:sz w:val="22"/>
          <w:szCs w:val="22"/>
        </w:rPr>
      </w:pPr>
      <w:r w:rsidRPr="00823ECF">
        <w:rPr>
          <w:rFonts w:eastAsia="GungsuhChe"/>
          <w:sz w:val="22"/>
          <w:szCs w:val="22"/>
        </w:rPr>
        <w:t>(1) Using all the 63 countries;</w:t>
      </w:r>
    </w:p>
    <w:p w:rsidR="00EA1CAD" w:rsidRPr="00823ECF" w:rsidRDefault="00EA1CAD" w:rsidP="00EA1CAD">
      <w:pPr>
        <w:rPr>
          <w:sz w:val="22"/>
          <w:szCs w:val="22"/>
        </w:rPr>
      </w:pPr>
      <w:r w:rsidRPr="00823ECF">
        <w:rPr>
          <w:rFonts w:eastAsia="GungsuhChe"/>
          <w:sz w:val="22"/>
          <w:szCs w:val="22"/>
        </w:rPr>
        <w:t xml:space="preserve">(2) </w:t>
      </w:r>
      <w:r w:rsidRPr="00823ECF">
        <w:rPr>
          <w:sz w:val="22"/>
          <w:szCs w:val="22"/>
        </w:rPr>
        <w:t xml:space="preserve">Excludes </w:t>
      </w:r>
      <w:smartTag w:uri="urn:schemas-microsoft-com:office:smarttags" w:element="country-region">
        <w:smartTag w:uri="urn:schemas-microsoft-com:office:smarttags" w:element="place">
          <w:r w:rsidRPr="00823ECF">
            <w:rPr>
              <w:sz w:val="22"/>
              <w:szCs w:val="22"/>
            </w:rPr>
            <w:t>Algeria</w:t>
          </w:r>
        </w:smartTag>
      </w:smartTag>
      <w:r w:rsidRPr="00823ECF">
        <w:rPr>
          <w:sz w:val="22"/>
          <w:szCs w:val="22"/>
        </w:rPr>
        <w:t xml:space="preserve">, </w:t>
      </w:r>
      <w:smartTag w:uri="urn:schemas-microsoft-com:office:smarttags" w:element="place">
        <w:smartTag w:uri="urn:schemas-microsoft-com:office:smarttags" w:element="City">
          <w:r w:rsidRPr="00823ECF">
            <w:rPr>
              <w:sz w:val="22"/>
              <w:szCs w:val="22"/>
            </w:rPr>
            <w:t>Kuwait</w:t>
          </w:r>
        </w:smartTag>
        <w:r w:rsidRPr="00823ECF">
          <w:rPr>
            <w:sz w:val="22"/>
            <w:szCs w:val="22"/>
          </w:rPr>
          <w:t xml:space="preserve">, </w:t>
        </w:r>
        <w:smartTag w:uri="urn:schemas-microsoft-com:office:smarttags" w:element="country-region">
          <w:r w:rsidRPr="00823ECF">
            <w:rPr>
              <w:sz w:val="22"/>
              <w:szCs w:val="22"/>
            </w:rPr>
            <w:t>Mexico</w:t>
          </w:r>
        </w:smartTag>
      </w:smartTag>
      <w:r w:rsidRPr="00823ECF">
        <w:rPr>
          <w:sz w:val="22"/>
          <w:szCs w:val="22"/>
        </w:rPr>
        <w:t xml:space="preserve">, </w:t>
      </w:r>
      <w:smartTag w:uri="urn:schemas-microsoft-com:office:smarttags" w:element="country-region">
        <w:smartTag w:uri="urn:schemas-microsoft-com:office:smarttags" w:element="place">
          <w:r w:rsidRPr="00823ECF">
            <w:rPr>
              <w:sz w:val="22"/>
              <w:szCs w:val="22"/>
            </w:rPr>
            <w:t>Nigeria</w:t>
          </w:r>
        </w:smartTag>
      </w:smartTag>
      <w:r w:rsidRPr="00823ECF">
        <w:rPr>
          <w:sz w:val="22"/>
          <w:szCs w:val="22"/>
        </w:rPr>
        <w:t xml:space="preserve">, </w:t>
      </w:r>
      <w:smartTag w:uri="urn:schemas-microsoft-com:office:smarttags" w:element="country-region">
        <w:smartTag w:uri="urn:schemas-microsoft-com:office:smarttags" w:element="place">
          <w:r w:rsidRPr="00823ECF">
            <w:rPr>
              <w:sz w:val="22"/>
              <w:szCs w:val="22"/>
            </w:rPr>
            <w:t>Norway</w:t>
          </w:r>
        </w:smartTag>
      </w:smartTag>
      <w:r w:rsidRPr="00823ECF">
        <w:rPr>
          <w:sz w:val="22"/>
          <w:szCs w:val="22"/>
        </w:rPr>
        <w:t xml:space="preserve">, </w:t>
      </w:r>
      <w:smartTag w:uri="urn:schemas-microsoft-com:office:smarttags" w:element="country-region">
        <w:smartTag w:uri="urn:schemas-microsoft-com:office:smarttags" w:element="place">
          <w:r w:rsidRPr="00823ECF">
            <w:rPr>
              <w:sz w:val="22"/>
              <w:szCs w:val="22"/>
            </w:rPr>
            <w:t>Russia</w:t>
          </w:r>
        </w:smartTag>
      </w:smartTag>
      <w:r w:rsidRPr="00823ECF">
        <w:rPr>
          <w:sz w:val="22"/>
          <w:szCs w:val="22"/>
        </w:rPr>
        <w:t xml:space="preserve">, </w:t>
      </w:r>
      <w:smartTag w:uri="urn:schemas-microsoft-com:office:smarttags" w:element="country-region">
        <w:smartTag w:uri="urn:schemas-microsoft-com:office:smarttags" w:element="place">
          <w:r w:rsidRPr="00823ECF">
            <w:rPr>
              <w:sz w:val="22"/>
              <w:szCs w:val="22"/>
            </w:rPr>
            <w:t>Saudi Arabia</w:t>
          </w:r>
        </w:smartTag>
      </w:smartTag>
      <w:r w:rsidRPr="00823ECF">
        <w:rPr>
          <w:sz w:val="22"/>
          <w:szCs w:val="22"/>
        </w:rPr>
        <w:t xml:space="preserve">, </w:t>
      </w:r>
      <w:smartTag w:uri="urn:schemas-microsoft-com:office:smarttags" w:element="country-region">
        <w:smartTag w:uri="urn:schemas-microsoft-com:office:smarttags" w:element="place">
          <w:r w:rsidRPr="00823ECF">
            <w:rPr>
              <w:sz w:val="22"/>
              <w:szCs w:val="22"/>
            </w:rPr>
            <w:t>United Arab Emirates</w:t>
          </w:r>
        </w:smartTag>
      </w:smartTag>
      <w:r w:rsidRPr="00823ECF">
        <w:rPr>
          <w:sz w:val="22"/>
          <w:szCs w:val="22"/>
        </w:rPr>
        <w:t xml:space="preserve"> and </w:t>
      </w:r>
      <w:smartTag w:uri="urn:schemas-microsoft-com:office:smarttags" w:element="country-region">
        <w:smartTag w:uri="urn:schemas-microsoft-com:office:smarttags" w:element="place">
          <w:r w:rsidRPr="00823ECF">
            <w:rPr>
              <w:sz w:val="22"/>
              <w:szCs w:val="22"/>
            </w:rPr>
            <w:t>Venezuela</w:t>
          </w:r>
        </w:smartTag>
      </w:smartTag>
      <w:r w:rsidRPr="00823ECF">
        <w:rPr>
          <w:sz w:val="22"/>
          <w:szCs w:val="22"/>
        </w:rPr>
        <w:t>;</w:t>
      </w:r>
    </w:p>
    <w:p w:rsidR="00EA1CAD" w:rsidRDefault="00EA1CAD" w:rsidP="00EA1CAD">
      <w:pPr>
        <w:rPr>
          <w:sz w:val="22"/>
          <w:szCs w:val="22"/>
        </w:rPr>
      </w:pPr>
      <w:r w:rsidRPr="00823ECF">
        <w:rPr>
          <w:sz w:val="22"/>
          <w:szCs w:val="22"/>
        </w:rPr>
        <w:t>(3) Includes Bangladesh, China, Hong Kong SAR, India, Indonesia, Japan, South Korea, Malaysia, Pakistan, Philippines, Russia, Singapore, Sri Lanka, Taiwan,</w:t>
      </w:r>
      <w:r>
        <w:rPr>
          <w:sz w:val="22"/>
          <w:szCs w:val="22"/>
        </w:rPr>
        <w:t xml:space="preserve"> Province of China and Thailand.</w:t>
      </w:r>
    </w:p>
    <w:p w:rsidR="00EA1CAD" w:rsidRPr="00823ECF" w:rsidRDefault="00EA1CAD" w:rsidP="00EA1CAD">
      <w:pPr>
        <w:rPr>
          <w:sz w:val="22"/>
          <w:szCs w:val="22"/>
        </w:rPr>
      </w:pPr>
    </w:p>
    <w:p w:rsidR="00EA1CAD" w:rsidRDefault="00EA1CAD" w:rsidP="00EA1CAD">
      <w:pPr>
        <w:rPr>
          <w:sz w:val="22"/>
          <w:szCs w:val="22"/>
        </w:rPr>
      </w:pPr>
      <w:r>
        <w:rPr>
          <w:sz w:val="22"/>
          <w:szCs w:val="22"/>
        </w:rPr>
        <w:t xml:space="preserve"> † Dummy equals </w:t>
      </w:r>
      <w:r w:rsidRPr="00823ECF">
        <w:rPr>
          <w:sz w:val="22"/>
          <w:szCs w:val="22"/>
        </w:rPr>
        <w:t>one if a country was i</w:t>
      </w:r>
      <w:r>
        <w:rPr>
          <w:sz w:val="22"/>
          <w:szCs w:val="22"/>
        </w:rPr>
        <w:t>nvestigated during last report.</w:t>
      </w:r>
    </w:p>
    <w:p w:rsidR="00EA1CAD" w:rsidRDefault="00EA1CAD" w:rsidP="00EA1CAD">
      <w:pPr>
        <w:rPr>
          <w:rFonts w:eastAsia="GungsuhChe"/>
          <w:b/>
          <w:sz w:val="22"/>
          <w:szCs w:val="22"/>
        </w:rPr>
      </w:pPr>
      <w:r>
        <w:rPr>
          <w:sz w:val="22"/>
          <w:szCs w:val="22"/>
        </w:rPr>
        <w:br w:type="page"/>
      </w:r>
    </w:p>
    <w:p w:rsidR="00EA1CAD" w:rsidRDefault="00EA1CAD" w:rsidP="00EA1CAD">
      <w:pPr>
        <w:rPr>
          <w:rFonts w:eastAsia="GungsuhChe"/>
          <w:b/>
          <w:szCs w:val="20"/>
        </w:rPr>
      </w:pPr>
      <w:r>
        <w:rPr>
          <w:rFonts w:eastAsia="GungsuhChe"/>
          <w:b/>
          <w:szCs w:val="20"/>
        </w:rPr>
        <w:t>Table 3</w:t>
      </w:r>
      <w:r w:rsidRPr="008449C9">
        <w:rPr>
          <w:rFonts w:eastAsia="GungsuhChe"/>
          <w:b/>
          <w:szCs w:val="20"/>
        </w:rPr>
        <w:t xml:space="preserve">: </w:t>
      </w:r>
      <w:r>
        <w:rPr>
          <w:rFonts w:eastAsia="GungsuhChe"/>
          <w:b/>
          <w:szCs w:val="20"/>
        </w:rPr>
        <w:t xml:space="preserve">Ordered </w:t>
      </w:r>
      <w:proofErr w:type="spellStart"/>
      <w:r>
        <w:rPr>
          <w:rFonts w:eastAsia="GungsuhChe"/>
          <w:b/>
          <w:szCs w:val="20"/>
        </w:rPr>
        <w:t>Probit</w:t>
      </w:r>
      <w:proofErr w:type="spellEnd"/>
      <w:r>
        <w:rPr>
          <w:rFonts w:eastAsia="GungsuhChe"/>
          <w:b/>
          <w:szCs w:val="20"/>
        </w:rPr>
        <w:t xml:space="preserve"> Regressions with Period Dummies, Oct. 1988 ~ Dec. 2006</w:t>
      </w:r>
    </w:p>
    <w:tbl>
      <w:tblPr>
        <w:tblW w:w="9507" w:type="dxa"/>
        <w:tblCellMar>
          <w:left w:w="0" w:type="dxa"/>
          <w:right w:w="0" w:type="dxa"/>
        </w:tblCellMar>
        <w:tblLook w:val="0000" w:firstRow="0" w:lastRow="0" w:firstColumn="0" w:lastColumn="0" w:noHBand="0" w:noVBand="0"/>
      </w:tblPr>
      <w:tblGrid>
        <w:gridCol w:w="2960"/>
        <w:gridCol w:w="1063"/>
        <w:gridCol w:w="1000"/>
        <w:gridCol w:w="1000"/>
        <w:gridCol w:w="1000"/>
        <w:gridCol w:w="1120"/>
        <w:gridCol w:w="1680"/>
      </w:tblGrid>
      <w:tr w:rsidR="00EA1CAD">
        <w:trPr>
          <w:trHeight w:val="300"/>
        </w:trPr>
        <w:tc>
          <w:tcPr>
            <w:tcW w:w="296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 </w:t>
            </w:r>
          </w:p>
        </w:tc>
        <w:tc>
          <w:tcPr>
            <w:tcW w:w="1063"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(1)</w:t>
            </w:r>
          </w:p>
        </w:tc>
        <w:tc>
          <w:tcPr>
            <w:tcW w:w="100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(2)</w:t>
            </w:r>
          </w:p>
        </w:tc>
        <w:tc>
          <w:tcPr>
            <w:tcW w:w="100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(3)</w:t>
            </w:r>
          </w:p>
        </w:tc>
        <w:tc>
          <w:tcPr>
            <w:tcW w:w="100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(4)</w:t>
            </w:r>
          </w:p>
        </w:tc>
        <w:tc>
          <w:tcPr>
            <w:tcW w:w="112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(5)</w:t>
            </w:r>
          </w:p>
        </w:tc>
        <w:tc>
          <w:tcPr>
            <w:tcW w:w="1364"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(6)</w:t>
            </w:r>
          </w:p>
        </w:tc>
      </w:tr>
      <w:tr w:rsidR="00EA1CAD">
        <w:trPr>
          <w:trHeight w:val="870"/>
        </w:trPr>
        <w:tc>
          <w:tcPr>
            <w:tcW w:w="0" w:type="auto"/>
            <w:tcBorders>
              <w:top w:val="nil"/>
              <w:left w:val="nil"/>
              <w:bottom w:val="double" w:sz="6" w:space="0" w:color="auto"/>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 </w:t>
            </w:r>
          </w:p>
        </w:tc>
        <w:tc>
          <w:tcPr>
            <w:tcW w:w="0" w:type="auto"/>
            <w:tcBorders>
              <w:top w:val="nil"/>
              <w:left w:val="nil"/>
              <w:bottom w:val="double" w:sz="6" w:space="0" w:color="auto"/>
              <w:right w:val="nil"/>
            </w:tcBorders>
            <w:shd w:val="clear" w:color="auto" w:fill="auto"/>
            <w:noWrap/>
            <w:tcMar>
              <w:top w:w="15" w:type="dxa"/>
              <w:left w:w="15" w:type="dxa"/>
              <w:bottom w:w="0" w:type="dxa"/>
              <w:right w:w="15" w:type="dxa"/>
            </w:tcMar>
            <w:vAlign w:val="center"/>
          </w:tcPr>
          <w:p w:rsidR="00EA1CAD" w:rsidRDefault="00EA1CAD" w:rsidP="00AE25D9">
            <w:pPr>
              <w:rPr>
                <w:sz w:val="22"/>
                <w:szCs w:val="22"/>
              </w:rPr>
            </w:pPr>
            <w:r>
              <w:rPr>
                <w:sz w:val="22"/>
                <w:szCs w:val="22"/>
              </w:rPr>
              <w:t>Full sample</w:t>
            </w:r>
          </w:p>
        </w:tc>
        <w:tc>
          <w:tcPr>
            <w:tcW w:w="0" w:type="auto"/>
            <w:tcBorders>
              <w:top w:val="nil"/>
              <w:left w:val="nil"/>
              <w:bottom w:val="double" w:sz="6" w:space="0" w:color="auto"/>
              <w:right w:val="nil"/>
            </w:tcBorders>
            <w:shd w:val="clear" w:color="auto" w:fill="auto"/>
            <w:noWrap/>
            <w:tcMar>
              <w:top w:w="15" w:type="dxa"/>
              <w:left w:w="15" w:type="dxa"/>
              <w:bottom w:w="0" w:type="dxa"/>
              <w:right w:w="15" w:type="dxa"/>
            </w:tcMar>
            <w:vAlign w:val="center"/>
          </w:tcPr>
          <w:p w:rsidR="00EA1CAD" w:rsidRDefault="00EA1CAD" w:rsidP="00AE25D9">
            <w:pPr>
              <w:rPr>
                <w:sz w:val="22"/>
                <w:szCs w:val="22"/>
              </w:rPr>
            </w:pPr>
            <w:r>
              <w:rPr>
                <w:sz w:val="22"/>
                <w:szCs w:val="22"/>
              </w:rPr>
              <w:t xml:space="preserve">Excluding </w:t>
            </w:r>
          </w:p>
          <w:p w:rsidR="00EA1CAD" w:rsidRDefault="00EA1CAD" w:rsidP="00AE25D9">
            <w:pPr>
              <w:rPr>
                <w:sz w:val="22"/>
                <w:szCs w:val="22"/>
              </w:rPr>
            </w:pPr>
            <w:r>
              <w:rPr>
                <w:sz w:val="22"/>
                <w:szCs w:val="22"/>
              </w:rPr>
              <w:t xml:space="preserve">oil </w:t>
            </w:r>
          </w:p>
          <w:p w:rsidR="00EA1CAD" w:rsidRDefault="00EA1CAD" w:rsidP="00AE25D9">
            <w:pPr>
              <w:rPr>
                <w:sz w:val="22"/>
                <w:szCs w:val="22"/>
              </w:rPr>
            </w:pPr>
            <w:r>
              <w:rPr>
                <w:sz w:val="22"/>
                <w:szCs w:val="22"/>
              </w:rPr>
              <w:t>exporters</w:t>
            </w:r>
          </w:p>
        </w:tc>
        <w:tc>
          <w:tcPr>
            <w:tcW w:w="0" w:type="auto"/>
            <w:tcBorders>
              <w:top w:val="nil"/>
              <w:left w:val="nil"/>
              <w:bottom w:val="double" w:sz="6" w:space="0" w:color="auto"/>
              <w:right w:val="nil"/>
            </w:tcBorders>
            <w:shd w:val="clear" w:color="auto" w:fill="auto"/>
            <w:noWrap/>
            <w:tcMar>
              <w:top w:w="15" w:type="dxa"/>
              <w:left w:w="15" w:type="dxa"/>
              <w:bottom w:w="0" w:type="dxa"/>
              <w:right w:w="15" w:type="dxa"/>
            </w:tcMar>
            <w:vAlign w:val="center"/>
          </w:tcPr>
          <w:p w:rsidR="00EA1CAD" w:rsidRDefault="00EA1CAD" w:rsidP="00AE25D9">
            <w:pPr>
              <w:rPr>
                <w:sz w:val="22"/>
                <w:szCs w:val="22"/>
              </w:rPr>
            </w:pPr>
            <w:r>
              <w:rPr>
                <w:sz w:val="22"/>
                <w:szCs w:val="22"/>
              </w:rPr>
              <w:t>Asian 15</w:t>
            </w:r>
          </w:p>
        </w:tc>
        <w:tc>
          <w:tcPr>
            <w:tcW w:w="0" w:type="auto"/>
            <w:tcBorders>
              <w:top w:val="nil"/>
              <w:left w:val="nil"/>
              <w:bottom w:val="double" w:sz="6" w:space="0" w:color="auto"/>
              <w:right w:val="nil"/>
            </w:tcBorders>
            <w:shd w:val="clear" w:color="auto" w:fill="auto"/>
            <w:noWrap/>
            <w:tcMar>
              <w:top w:w="15" w:type="dxa"/>
              <w:left w:w="15" w:type="dxa"/>
              <w:bottom w:w="0" w:type="dxa"/>
              <w:right w:w="15" w:type="dxa"/>
            </w:tcMar>
            <w:vAlign w:val="center"/>
          </w:tcPr>
          <w:p w:rsidR="00EA1CAD" w:rsidRDefault="00EA1CAD" w:rsidP="00AE25D9">
            <w:pPr>
              <w:rPr>
                <w:sz w:val="22"/>
                <w:szCs w:val="22"/>
              </w:rPr>
            </w:pPr>
            <w:r>
              <w:rPr>
                <w:sz w:val="22"/>
                <w:szCs w:val="22"/>
              </w:rPr>
              <w:t>Asian 8</w:t>
            </w:r>
          </w:p>
        </w:tc>
        <w:tc>
          <w:tcPr>
            <w:tcW w:w="1120" w:type="dxa"/>
            <w:tcBorders>
              <w:top w:val="nil"/>
              <w:left w:val="nil"/>
              <w:bottom w:val="double" w:sz="6" w:space="0" w:color="auto"/>
              <w:right w:val="nil"/>
            </w:tcBorders>
            <w:shd w:val="clear" w:color="auto" w:fill="auto"/>
            <w:tcMar>
              <w:top w:w="15" w:type="dxa"/>
              <w:left w:w="15" w:type="dxa"/>
              <w:bottom w:w="0" w:type="dxa"/>
              <w:right w:w="15" w:type="dxa"/>
            </w:tcMar>
            <w:vAlign w:val="center"/>
          </w:tcPr>
          <w:p w:rsidR="00EA1CAD" w:rsidRDefault="00EA1CAD" w:rsidP="00AE25D9">
            <w:pPr>
              <w:rPr>
                <w:sz w:val="20"/>
                <w:szCs w:val="20"/>
              </w:rPr>
            </w:pPr>
            <w:r>
              <w:rPr>
                <w:sz w:val="20"/>
                <w:szCs w:val="20"/>
              </w:rPr>
              <w:t>Standard Deviation of Variable</w:t>
            </w:r>
          </w:p>
        </w:tc>
        <w:tc>
          <w:tcPr>
            <w:tcW w:w="0" w:type="auto"/>
            <w:tcBorders>
              <w:top w:val="nil"/>
              <w:left w:val="nil"/>
              <w:bottom w:val="double" w:sz="6" w:space="0" w:color="auto"/>
              <w:right w:val="nil"/>
            </w:tcBorders>
            <w:shd w:val="clear" w:color="auto" w:fill="auto"/>
            <w:noWrap/>
            <w:tcMar>
              <w:top w:w="15" w:type="dxa"/>
              <w:left w:w="15" w:type="dxa"/>
              <w:bottom w:w="0" w:type="dxa"/>
              <w:right w:w="15" w:type="dxa"/>
            </w:tcMar>
            <w:vAlign w:val="center"/>
          </w:tcPr>
          <w:p w:rsidR="00EA1CAD" w:rsidRDefault="00EA1CAD" w:rsidP="00AE25D9">
            <w:pPr>
              <w:rPr>
                <w:sz w:val="20"/>
                <w:szCs w:val="20"/>
              </w:rPr>
            </w:pPr>
            <w:r>
              <w:rPr>
                <w:sz w:val="20"/>
                <w:szCs w:val="20"/>
              </w:rPr>
              <w:t xml:space="preserve">Standardized </w:t>
            </w:r>
          </w:p>
          <w:p w:rsidR="00EA1CAD" w:rsidRDefault="00EA1CAD" w:rsidP="00AE25D9">
            <w:pPr>
              <w:rPr>
                <w:sz w:val="20"/>
                <w:szCs w:val="20"/>
              </w:rPr>
            </w:pPr>
            <w:r>
              <w:rPr>
                <w:sz w:val="20"/>
                <w:szCs w:val="20"/>
              </w:rPr>
              <w:t xml:space="preserve">Response = </w:t>
            </w:r>
          </w:p>
          <w:p w:rsidR="00EA1CAD" w:rsidRDefault="00EA1CAD" w:rsidP="00AE25D9">
            <w:pPr>
              <w:rPr>
                <w:sz w:val="20"/>
                <w:szCs w:val="20"/>
              </w:rPr>
            </w:pPr>
            <w:proofErr w:type="spellStart"/>
            <w:r>
              <w:rPr>
                <w:sz w:val="20"/>
                <w:szCs w:val="20"/>
              </w:rPr>
              <w:t>Coeff.est</w:t>
            </w:r>
            <w:proofErr w:type="spellEnd"/>
            <w:r>
              <w:rPr>
                <w:sz w:val="20"/>
                <w:szCs w:val="20"/>
              </w:rPr>
              <w:t xml:space="preserve">. from (2) x </w:t>
            </w:r>
          </w:p>
          <w:p w:rsidR="00EA1CAD" w:rsidRDefault="00EA1CAD" w:rsidP="00AE25D9">
            <w:pPr>
              <w:rPr>
                <w:sz w:val="22"/>
                <w:szCs w:val="22"/>
              </w:rPr>
            </w:pPr>
            <w:r>
              <w:rPr>
                <w:sz w:val="20"/>
                <w:szCs w:val="20"/>
              </w:rPr>
              <w:t>SD from (5)</w:t>
            </w:r>
          </w:p>
        </w:tc>
      </w:tr>
      <w:tr w:rsidR="00EA1CAD">
        <w:trPr>
          <w:trHeight w:val="315"/>
        </w:trPr>
        <w:tc>
          <w:tcPr>
            <w:tcW w:w="2960" w:type="dxa"/>
            <w:vMerge w:val="restart"/>
            <w:tcBorders>
              <w:top w:val="nil"/>
              <w:left w:val="nil"/>
              <w:bottom w:val="nil"/>
              <w:right w:val="nil"/>
            </w:tcBorders>
            <w:shd w:val="clear" w:color="auto" w:fill="auto"/>
            <w:tcMar>
              <w:top w:w="15" w:type="dxa"/>
              <w:left w:w="15" w:type="dxa"/>
              <w:bottom w:w="0" w:type="dxa"/>
              <w:right w:w="15" w:type="dxa"/>
            </w:tcMar>
            <w:vAlign w:val="bottom"/>
          </w:tcPr>
          <w:p w:rsidR="00EA1CAD" w:rsidRDefault="00EA1CAD" w:rsidP="00AE25D9">
            <w:pPr>
              <w:rPr>
                <w:sz w:val="22"/>
                <w:szCs w:val="22"/>
              </w:rPr>
            </w:pPr>
            <w:r>
              <w:rPr>
                <w:sz w:val="22"/>
                <w:szCs w:val="22"/>
              </w:rPr>
              <w:t>US bilateral goods trade balance with partner country (</w:t>
            </w:r>
            <w:proofErr w:type="spellStart"/>
            <w:r>
              <w:rPr>
                <w:sz w:val="22"/>
                <w:szCs w:val="22"/>
              </w:rPr>
              <w:t>tb</w:t>
            </w:r>
            <w:proofErr w:type="spellEnd"/>
            <w:r>
              <w:rPr>
                <w:sz w:val="22"/>
                <w:szCs w:val="22"/>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-1.109***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-1.212***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-1.049***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-0.827***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0.177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-0.215</w:t>
            </w:r>
          </w:p>
        </w:tc>
      </w:tr>
      <w:tr w:rsidR="00EA1CAD">
        <w:trPr>
          <w:trHeight w:val="300"/>
        </w:trPr>
        <w:tc>
          <w:tcPr>
            <w:tcW w:w="0" w:type="auto"/>
            <w:vMerge/>
            <w:tcBorders>
              <w:top w:val="nil"/>
              <w:left w:val="nil"/>
              <w:bottom w:val="nil"/>
              <w:right w:val="nil"/>
            </w:tcBorders>
            <w:vAlign w:val="center"/>
          </w:tcPr>
          <w:p w:rsidR="00EA1CAD" w:rsidRDefault="00EA1CAD" w:rsidP="00AE25D9">
            <w:pPr>
              <w:rPr>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(0.234)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(0.192)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(0.274)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(0.307)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p>
        </w:tc>
      </w:tr>
      <w:tr w:rsidR="00EA1CAD">
        <w:trPr>
          <w:trHeight w:val="300"/>
        </w:trPr>
        <w:tc>
          <w:tcPr>
            <w:tcW w:w="2960" w:type="dxa"/>
            <w:vMerge w:val="restart"/>
            <w:tcBorders>
              <w:top w:val="nil"/>
              <w:left w:val="nil"/>
              <w:bottom w:val="nil"/>
              <w:right w:val="nil"/>
            </w:tcBorders>
            <w:shd w:val="clear" w:color="auto" w:fill="auto"/>
            <w:tcMar>
              <w:top w:w="15" w:type="dxa"/>
              <w:left w:w="15" w:type="dxa"/>
              <w:bottom w:w="0" w:type="dxa"/>
              <w:right w:w="15" w:type="dxa"/>
            </w:tcMar>
            <w:vAlign w:val="bottom"/>
          </w:tcPr>
          <w:p w:rsidR="00EA1CAD" w:rsidRDefault="00EA1CAD" w:rsidP="00AE25D9">
            <w:pPr>
              <w:rPr>
                <w:sz w:val="22"/>
                <w:szCs w:val="22"/>
              </w:rPr>
            </w:pPr>
            <w:r>
              <w:rPr>
                <w:sz w:val="22"/>
                <w:szCs w:val="22"/>
              </w:rPr>
              <w:t>Partner country’s Current account/GDP ratio (ca)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0.059***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0.092***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0.078***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0.059**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5.171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0.474</w:t>
            </w:r>
          </w:p>
        </w:tc>
      </w:tr>
      <w:tr w:rsidR="00EA1CAD">
        <w:trPr>
          <w:trHeight w:val="300"/>
        </w:trPr>
        <w:tc>
          <w:tcPr>
            <w:tcW w:w="0" w:type="auto"/>
            <w:vMerge/>
            <w:tcBorders>
              <w:top w:val="nil"/>
              <w:left w:val="nil"/>
              <w:bottom w:val="nil"/>
              <w:right w:val="nil"/>
            </w:tcBorders>
            <w:vAlign w:val="center"/>
          </w:tcPr>
          <w:p w:rsidR="00EA1CAD" w:rsidRDefault="00EA1CAD" w:rsidP="00AE25D9">
            <w:pPr>
              <w:rPr>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(0.028)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(0.030)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(0.027)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p>
        </w:tc>
      </w:tr>
      <w:tr w:rsidR="00EA1CAD">
        <w:trPr>
          <w:trHeight w:val="300"/>
        </w:trPr>
        <w:tc>
          <w:tcPr>
            <w:tcW w:w="2960" w:type="dxa"/>
            <w:vMerge w:val="restart"/>
            <w:tcBorders>
              <w:top w:val="nil"/>
              <w:left w:val="nil"/>
              <w:bottom w:val="nil"/>
              <w:right w:val="nil"/>
            </w:tcBorders>
            <w:shd w:val="clear" w:color="auto" w:fill="auto"/>
            <w:tcMar>
              <w:top w:w="15" w:type="dxa"/>
              <w:left w:w="15" w:type="dxa"/>
              <w:bottom w:w="0" w:type="dxa"/>
              <w:right w:w="15" w:type="dxa"/>
            </w:tcMar>
            <w:vAlign w:val="bottom"/>
          </w:tcPr>
          <w:p w:rsidR="00EA1CAD" w:rsidRDefault="00EA1CAD" w:rsidP="00AE25D9">
            <w:pPr>
              <w:rPr>
                <w:sz w:val="22"/>
                <w:szCs w:val="22"/>
              </w:rPr>
            </w:pPr>
            <w:r>
              <w:rPr>
                <w:sz w:val="22"/>
                <w:szCs w:val="22"/>
              </w:rPr>
              <w:t>Partner’s Exchange rate relative to PPP (</w:t>
            </w:r>
            <w:proofErr w:type="spellStart"/>
            <w:r>
              <w:rPr>
                <w:sz w:val="22"/>
                <w:szCs w:val="22"/>
              </w:rPr>
              <w:t>ppp</w:t>
            </w:r>
            <w:proofErr w:type="spellEnd"/>
            <w:r>
              <w:rPr>
                <w:sz w:val="22"/>
                <w:szCs w:val="22"/>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-0.540**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-0.675***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-0.534*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-0.743**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0.504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-0.340</w:t>
            </w:r>
          </w:p>
        </w:tc>
      </w:tr>
      <w:tr w:rsidR="00EA1CAD">
        <w:trPr>
          <w:trHeight w:val="300"/>
        </w:trPr>
        <w:tc>
          <w:tcPr>
            <w:tcW w:w="0" w:type="auto"/>
            <w:vMerge/>
            <w:tcBorders>
              <w:top w:val="nil"/>
              <w:left w:val="nil"/>
              <w:bottom w:val="nil"/>
              <w:right w:val="nil"/>
            </w:tcBorders>
            <w:vAlign w:val="center"/>
          </w:tcPr>
          <w:p w:rsidR="00EA1CAD" w:rsidRDefault="00EA1CAD" w:rsidP="00AE25D9">
            <w:pPr>
              <w:rPr>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(0.213)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(0.242)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(0.279)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(0.303)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p>
        </w:tc>
      </w:tr>
      <w:tr w:rsidR="00EA1CAD">
        <w:trPr>
          <w:trHeight w:val="300"/>
        </w:trPr>
        <w:tc>
          <w:tcPr>
            <w:tcW w:w="2960" w:type="dxa"/>
            <w:vMerge w:val="restart"/>
            <w:tcBorders>
              <w:top w:val="nil"/>
              <w:left w:val="nil"/>
              <w:bottom w:val="nil"/>
              <w:right w:val="nil"/>
            </w:tcBorders>
            <w:shd w:val="clear" w:color="auto" w:fill="auto"/>
            <w:tcMar>
              <w:top w:w="15" w:type="dxa"/>
              <w:left w:w="15" w:type="dxa"/>
              <w:bottom w:w="0" w:type="dxa"/>
              <w:right w:w="15" w:type="dxa"/>
            </w:tcMar>
            <w:vAlign w:val="bottom"/>
          </w:tcPr>
          <w:p w:rsidR="00EA1CAD" w:rsidRDefault="00EA1CAD" w:rsidP="00AE25D9">
            <w:pPr>
              <w:rPr>
                <w:sz w:val="22"/>
                <w:szCs w:val="22"/>
              </w:rPr>
            </w:pPr>
            <w:r>
              <w:rPr>
                <w:sz w:val="22"/>
                <w:szCs w:val="22"/>
              </w:rPr>
              <w:t>Partner country’s change in reserves/GDP ratio (res)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0.063***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0.047**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0.033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0.025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3.038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0.144</w:t>
            </w:r>
          </w:p>
        </w:tc>
      </w:tr>
      <w:tr w:rsidR="00EA1CAD">
        <w:trPr>
          <w:trHeight w:val="300"/>
        </w:trPr>
        <w:tc>
          <w:tcPr>
            <w:tcW w:w="0" w:type="auto"/>
            <w:vMerge/>
            <w:tcBorders>
              <w:top w:val="nil"/>
              <w:left w:val="nil"/>
              <w:bottom w:val="nil"/>
              <w:right w:val="nil"/>
            </w:tcBorders>
            <w:vAlign w:val="center"/>
          </w:tcPr>
          <w:p w:rsidR="00EA1CAD" w:rsidRDefault="00EA1CAD" w:rsidP="00AE25D9">
            <w:pPr>
              <w:rPr>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(0.022)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(0.023)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p>
        </w:tc>
      </w:tr>
      <w:tr w:rsidR="00EA1CA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Previous finding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4.060***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3.952***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3.666***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3.477***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0.215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0.849</w:t>
            </w:r>
          </w:p>
        </w:tc>
      </w:tr>
      <w:tr w:rsidR="00EA1CA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(0.383)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(0.400)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(0.401)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(0.426)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p>
        </w:tc>
      </w:tr>
      <w:tr w:rsidR="00EA1CA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Period Dummies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yes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yes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yes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yes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p>
        </w:tc>
      </w:tr>
      <w:tr w:rsidR="00EA1CAD">
        <w:trPr>
          <w:trHeight w:val="300"/>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Observations</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2072</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1775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488</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290</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 </w:t>
            </w:r>
          </w:p>
        </w:tc>
      </w:tr>
      <w:tr w:rsidR="00EA1CAD">
        <w:trPr>
          <w:trHeight w:val="315"/>
        </w:trPr>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Pseudo R-square</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0.67</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0.68</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0.58</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0.53</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AE25D9">
            <w:pPr>
              <w:rPr>
                <w:sz w:val="22"/>
                <w:szCs w:val="22"/>
              </w:rPr>
            </w:pPr>
            <w:r>
              <w:rPr>
                <w:sz w:val="22"/>
                <w:szCs w:val="22"/>
              </w:rPr>
              <w:t> </w:t>
            </w:r>
          </w:p>
        </w:tc>
      </w:tr>
    </w:tbl>
    <w:p w:rsidR="00EA1CAD" w:rsidRDefault="00EA1CAD" w:rsidP="00EA1CAD">
      <w:pPr>
        <w:rPr>
          <w:rFonts w:eastAsia="GungsuhChe"/>
          <w:sz w:val="22"/>
          <w:szCs w:val="22"/>
        </w:rPr>
      </w:pPr>
    </w:p>
    <w:p w:rsidR="00EA1CAD" w:rsidRPr="00823ECF" w:rsidRDefault="00EA1CAD" w:rsidP="00EA1CAD">
      <w:pPr>
        <w:rPr>
          <w:rFonts w:eastAsia="GungsuhChe"/>
          <w:sz w:val="22"/>
          <w:szCs w:val="22"/>
        </w:rPr>
      </w:pPr>
      <w:r w:rsidRPr="00823ECF">
        <w:rPr>
          <w:rFonts w:eastAsia="GungsuhChe"/>
          <w:sz w:val="22"/>
          <w:szCs w:val="22"/>
        </w:rPr>
        <w:t>Notes:</w:t>
      </w:r>
    </w:p>
    <w:p w:rsidR="00EA1CAD" w:rsidRPr="00823ECF" w:rsidRDefault="00EA1CAD" w:rsidP="00EA1CAD">
      <w:pPr>
        <w:rPr>
          <w:rFonts w:eastAsia="GungsuhChe"/>
          <w:sz w:val="22"/>
          <w:szCs w:val="22"/>
        </w:rPr>
      </w:pPr>
      <w:r w:rsidRPr="00823ECF">
        <w:rPr>
          <w:rFonts w:eastAsia="GungsuhChe"/>
          <w:sz w:val="22"/>
          <w:szCs w:val="22"/>
        </w:rPr>
        <w:t>a) Robust standard errors in parentheses (clustered by country)</w:t>
      </w:r>
    </w:p>
    <w:p w:rsidR="00EA1CAD" w:rsidRPr="00823ECF" w:rsidRDefault="00EA1CAD" w:rsidP="00EA1CAD">
      <w:pPr>
        <w:rPr>
          <w:rFonts w:eastAsia="GungsuhChe"/>
          <w:sz w:val="22"/>
          <w:szCs w:val="22"/>
        </w:rPr>
      </w:pPr>
      <w:r w:rsidRPr="00823ECF">
        <w:rPr>
          <w:rFonts w:eastAsia="GungsuhChe"/>
          <w:sz w:val="22"/>
          <w:szCs w:val="22"/>
        </w:rPr>
        <w:t>b) * significant at 10%; ** significant at 5%; *** significant at 1%</w:t>
      </w:r>
    </w:p>
    <w:p w:rsidR="00EA1CAD" w:rsidRPr="00823ECF" w:rsidRDefault="00EA1CAD" w:rsidP="00EA1CAD">
      <w:pPr>
        <w:rPr>
          <w:rFonts w:eastAsia="GungsuhChe"/>
          <w:sz w:val="22"/>
          <w:szCs w:val="22"/>
        </w:rPr>
      </w:pPr>
    </w:p>
    <w:p w:rsidR="00EA1CAD" w:rsidRPr="00823ECF" w:rsidRDefault="00EA1CAD" w:rsidP="00EA1CAD">
      <w:pPr>
        <w:rPr>
          <w:rFonts w:eastAsia="GungsuhChe"/>
          <w:sz w:val="22"/>
          <w:szCs w:val="22"/>
        </w:rPr>
      </w:pPr>
      <w:r w:rsidRPr="00823ECF">
        <w:rPr>
          <w:rFonts w:eastAsia="GungsuhChe"/>
          <w:sz w:val="22"/>
          <w:szCs w:val="22"/>
        </w:rPr>
        <w:t>(1) Using all the 63 countries;</w:t>
      </w:r>
    </w:p>
    <w:p w:rsidR="00EA1CAD" w:rsidRPr="00823ECF" w:rsidRDefault="00EA1CAD" w:rsidP="00EA1CAD">
      <w:pPr>
        <w:rPr>
          <w:sz w:val="22"/>
          <w:szCs w:val="22"/>
        </w:rPr>
      </w:pPr>
      <w:r w:rsidRPr="00823ECF">
        <w:rPr>
          <w:rFonts w:eastAsia="GungsuhChe"/>
          <w:sz w:val="22"/>
          <w:szCs w:val="22"/>
        </w:rPr>
        <w:t xml:space="preserve">(2) </w:t>
      </w:r>
      <w:r w:rsidRPr="00823ECF">
        <w:rPr>
          <w:sz w:val="22"/>
          <w:szCs w:val="22"/>
        </w:rPr>
        <w:t xml:space="preserve">Excludes </w:t>
      </w:r>
      <w:smartTag w:uri="urn:schemas-microsoft-com:office:smarttags" w:element="country-region">
        <w:smartTag w:uri="urn:schemas-microsoft-com:office:smarttags" w:element="place">
          <w:r w:rsidRPr="00823ECF">
            <w:rPr>
              <w:sz w:val="22"/>
              <w:szCs w:val="22"/>
            </w:rPr>
            <w:t>Algeria</w:t>
          </w:r>
        </w:smartTag>
      </w:smartTag>
      <w:r w:rsidRPr="00823ECF">
        <w:rPr>
          <w:sz w:val="22"/>
          <w:szCs w:val="22"/>
        </w:rPr>
        <w:t xml:space="preserve">, </w:t>
      </w:r>
      <w:smartTag w:uri="urn:schemas-microsoft-com:office:smarttags" w:element="place">
        <w:smartTag w:uri="urn:schemas-microsoft-com:office:smarttags" w:element="City">
          <w:r w:rsidRPr="00823ECF">
            <w:rPr>
              <w:sz w:val="22"/>
              <w:szCs w:val="22"/>
            </w:rPr>
            <w:t>Kuwait</w:t>
          </w:r>
        </w:smartTag>
        <w:r w:rsidRPr="00823ECF">
          <w:rPr>
            <w:sz w:val="22"/>
            <w:szCs w:val="22"/>
          </w:rPr>
          <w:t xml:space="preserve">, </w:t>
        </w:r>
        <w:smartTag w:uri="urn:schemas-microsoft-com:office:smarttags" w:element="country-region">
          <w:r w:rsidRPr="00823ECF">
            <w:rPr>
              <w:sz w:val="22"/>
              <w:szCs w:val="22"/>
            </w:rPr>
            <w:t>Mexico</w:t>
          </w:r>
        </w:smartTag>
      </w:smartTag>
      <w:r w:rsidRPr="00823ECF">
        <w:rPr>
          <w:sz w:val="22"/>
          <w:szCs w:val="22"/>
        </w:rPr>
        <w:t xml:space="preserve">, </w:t>
      </w:r>
      <w:smartTag w:uri="urn:schemas-microsoft-com:office:smarttags" w:element="country-region">
        <w:smartTag w:uri="urn:schemas-microsoft-com:office:smarttags" w:element="place">
          <w:r w:rsidRPr="00823ECF">
            <w:rPr>
              <w:sz w:val="22"/>
              <w:szCs w:val="22"/>
            </w:rPr>
            <w:t>Nigeria</w:t>
          </w:r>
        </w:smartTag>
      </w:smartTag>
      <w:r w:rsidRPr="00823ECF">
        <w:rPr>
          <w:sz w:val="22"/>
          <w:szCs w:val="22"/>
        </w:rPr>
        <w:t xml:space="preserve">, </w:t>
      </w:r>
      <w:smartTag w:uri="urn:schemas-microsoft-com:office:smarttags" w:element="country-region">
        <w:smartTag w:uri="urn:schemas-microsoft-com:office:smarttags" w:element="place">
          <w:r w:rsidRPr="00823ECF">
            <w:rPr>
              <w:sz w:val="22"/>
              <w:szCs w:val="22"/>
            </w:rPr>
            <w:t>Norway</w:t>
          </w:r>
        </w:smartTag>
      </w:smartTag>
      <w:r w:rsidRPr="00823ECF">
        <w:rPr>
          <w:sz w:val="22"/>
          <w:szCs w:val="22"/>
        </w:rPr>
        <w:t xml:space="preserve">, </w:t>
      </w:r>
      <w:smartTag w:uri="urn:schemas-microsoft-com:office:smarttags" w:element="country-region">
        <w:smartTag w:uri="urn:schemas-microsoft-com:office:smarttags" w:element="place">
          <w:r w:rsidRPr="00823ECF">
            <w:rPr>
              <w:sz w:val="22"/>
              <w:szCs w:val="22"/>
            </w:rPr>
            <w:t>Russia</w:t>
          </w:r>
        </w:smartTag>
      </w:smartTag>
      <w:r w:rsidRPr="00823ECF">
        <w:rPr>
          <w:sz w:val="22"/>
          <w:szCs w:val="22"/>
        </w:rPr>
        <w:t xml:space="preserve">, </w:t>
      </w:r>
      <w:smartTag w:uri="urn:schemas-microsoft-com:office:smarttags" w:element="country-region">
        <w:smartTag w:uri="urn:schemas-microsoft-com:office:smarttags" w:element="place">
          <w:r w:rsidRPr="00823ECF">
            <w:rPr>
              <w:sz w:val="22"/>
              <w:szCs w:val="22"/>
            </w:rPr>
            <w:t>Saudi Arabia</w:t>
          </w:r>
        </w:smartTag>
      </w:smartTag>
      <w:r w:rsidRPr="00823ECF">
        <w:rPr>
          <w:sz w:val="22"/>
          <w:szCs w:val="22"/>
        </w:rPr>
        <w:t xml:space="preserve">, </w:t>
      </w:r>
      <w:smartTag w:uri="urn:schemas-microsoft-com:office:smarttags" w:element="country-region">
        <w:smartTag w:uri="urn:schemas-microsoft-com:office:smarttags" w:element="place">
          <w:r w:rsidRPr="00823ECF">
            <w:rPr>
              <w:sz w:val="22"/>
              <w:szCs w:val="22"/>
            </w:rPr>
            <w:t>United Arab Emirates</w:t>
          </w:r>
        </w:smartTag>
      </w:smartTag>
      <w:r w:rsidRPr="00823ECF">
        <w:rPr>
          <w:sz w:val="22"/>
          <w:szCs w:val="22"/>
        </w:rPr>
        <w:t xml:space="preserve"> and </w:t>
      </w:r>
      <w:smartTag w:uri="urn:schemas-microsoft-com:office:smarttags" w:element="country-region">
        <w:smartTag w:uri="urn:schemas-microsoft-com:office:smarttags" w:element="place">
          <w:r w:rsidRPr="00823ECF">
            <w:rPr>
              <w:sz w:val="22"/>
              <w:szCs w:val="22"/>
            </w:rPr>
            <w:t>Venezuela</w:t>
          </w:r>
        </w:smartTag>
      </w:smartTag>
      <w:r w:rsidRPr="00823ECF">
        <w:rPr>
          <w:sz w:val="22"/>
          <w:szCs w:val="22"/>
        </w:rPr>
        <w:t>;</w:t>
      </w:r>
    </w:p>
    <w:p w:rsidR="00EA1CAD" w:rsidRPr="00823ECF" w:rsidRDefault="00EA1CAD" w:rsidP="00EA1CAD">
      <w:pPr>
        <w:rPr>
          <w:sz w:val="22"/>
          <w:szCs w:val="22"/>
        </w:rPr>
      </w:pPr>
      <w:r w:rsidRPr="00823ECF">
        <w:rPr>
          <w:sz w:val="22"/>
          <w:szCs w:val="22"/>
        </w:rPr>
        <w:t>(3) Includes Bangladesh, China, Hong Kong SAR, India, Indonesia, Japan, South Korea, Malaysia, Pakistan, Philippines, Russia, Singapore, Sri Lanka, Taiwan, Province of China and Thailand;</w:t>
      </w:r>
    </w:p>
    <w:p w:rsidR="00EA1CAD" w:rsidRPr="00823ECF" w:rsidRDefault="00EA1CAD" w:rsidP="00EA1CAD">
      <w:pPr>
        <w:rPr>
          <w:sz w:val="22"/>
          <w:szCs w:val="22"/>
        </w:rPr>
      </w:pPr>
      <w:r w:rsidRPr="00823ECF">
        <w:rPr>
          <w:sz w:val="22"/>
          <w:szCs w:val="22"/>
        </w:rPr>
        <w:t xml:space="preserve">(4) Includes </w:t>
      </w:r>
      <w:smartTag w:uri="urn:schemas-microsoft-com:office:smarttags" w:element="country-region">
        <w:smartTag w:uri="urn:schemas-microsoft-com:office:smarttags" w:element="place">
          <w:r w:rsidRPr="00823ECF">
            <w:rPr>
              <w:sz w:val="22"/>
              <w:szCs w:val="22"/>
            </w:rPr>
            <w:t>China</w:t>
          </w:r>
        </w:smartTag>
      </w:smartTag>
      <w:r w:rsidRPr="00823ECF">
        <w:rPr>
          <w:sz w:val="22"/>
          <w:szCs w:val="22"/>
        </w:rPr>
        <w:t xml:space="preserve">, Hong Kong SAR, </w:t>
      </w:r>
      <w:smartTag w:uri="urn:schemas-microsoft-com:office:smarttags" w:element="country-region">
        <w:smartTag w:uri="urn:schemas-microsoft-com:office:smarttags" w:element="place">
          <w:r w:rsidRPr="00823ECF">
            <w:rPr>
              <w:sz w:val="22"/>
              <w:szCs w:val="22"/>
            </w:rPr>
            <w:t>Japan</w:t>
          </w:r>
        </w:smartTag>
      </w:smartTag>
      <w:r w:rsidRPr="00823ECF">
        <w:rPr>
          <w:sz w:val="22"/>
          <w:szCs w:val="22"/>
        </w:rPr>
        <w:t xml:space="preserve">, </w:t>
      </w:r>
      <w:smartTag w:uri="urn:schemas-microsoft-com:office:smarttags" w:element="country-region">
        <w:smartTag w:uri="urn:schemas-microsoft-com:office:smarttags" w:element="place">
          <w:r w:rsidRPr="00823ECF">
            <w:rPr>
              <w:sz w:val="22"/>
              <w:szCs w:val="22"/>
            </w:rPr>
            <w:t>South Korea</w:t>
          </w:r>
        </w:smartTag>
      </w:smartTag>
      <w:r w:rsidRPr="00823ECF">
        <w:rPr>
          <w:sz w:val="22"/>
          <w:szCs w:val="22"/>
        </w:rPr>
        <w:t xml:space="preserve">, </w:t>
      </w:r>
      <w:smartTag w:uri="urn:schemas-microsoft-com:office:smarttags" w:element="country-region">
        <w:smartTag w:uri="urn:schemas-microsoft-com:office:smarttags" w:element="place">
          <w:r w:rsidRPr="00823ECF">
            <w:rPr>
              <w:sz w:val="22"/>
              <w:szCs w:val="22"/>
            </w:rPr>
            <w:t>Malaysia</w:t>
          </w:r>
        </w:smartTag>
      </w:smartTag>
      <w:r w:rsidRPr="00823ECF">
        <w:rPr>
          <w:sz w:val="22"/>
          <w:szCs w:val="22"/>
        </w:rPr>
        <w:t xml:space="preserve">, </w:t>
      </w:r>
      <w:smartTag w:uri="urn:schemas-microsoft-com:office:smarttags" w:element="country-region">
        <w:smartTag w:uri="urn:schemas-microsoft-com:office:smarttags" w:element="place">
          <w:r w:rsidRPr="00823ECF">
            <w:rPr>
              <w:sz w:val="22"/>
              <w:szCs w:val="22"/>
            </w:rPr>
            <w:t>Russia</w:t>
          </w:r>
        </w:smartTag>
      </w:smartTag>
      <w:r w:rsidRPr="00823ECF">
        <w:rPr>
          <w:sz w:val="22"/>
          <w:szCs w:val="22"/>
        </w:rPr>
        <w:t xml:space="preserve">, </w:t>
      </w:r>
      <w:smartTag w:uri="urn:schemas-microsoft-com:office:smarttags" w:element="country-region">
        <w:smartTag w:uri="urn:schemas-microsoft-com:office:smarttags" w:element="place">
          <w:r w:rsidRPr="00823ECF">
            <w:rPr>
              <w:sz w:val="22"/>
              <w:szCs w:val="22"/>
            </w:rPr>
            <w:t>Singapore</w:t>
          </w:r>
        </w:smartTag>
      </w:smartTag>
      <w:r w:rsidRPr="00823ECF">
        <w:rPr>
          <w:sz w:val="22"/>
          <w:szCs w:val="22"/>
        </w:rPr>
        <w:t xml:space="preserve"> and </w:t>
      </w:r>
      <w:smartTag w:uri="urn:schemas-microsoft-com:office:smarttags" w:element="country-region">
        <w:smartTag w:uri="urn:schemas-microsoft-com:office:smarttags" w:element="place">
          <w:r w:rsidRPr="00823ECF">
            <w:rPr>
              <w:sz w:val="22"/>
              <w:szCs w:val="22"/>
            </w:rPr>
            <w:t>Taiwan</w:t>
          </w:r>
        </w:smartTag>
      </w:smartTag>
      <w:r w:rsidRPr="00823ECF">
        <w:rPr>
          <w:sz w:val="22"/>
          <w:szCs w:val="22"/>
        </w:rPr>
        <w:t xml:space="preserve">, </w:t>
      </w:r>
      <w:smartTag w:uri="urn:schemas-microsoft-com:office:smarttags" w:element="place">
        <w:smartTag w:uri="urn:schemas-microsoft-com:office:smarttags" w:element="PlaceType">
          <w:r w:rsidRPr="00823ECF">
            <w:rPr>
              <w:sz w:val="22"/>
              <w:szCs w:val="22"/>
            </w:rPr>
            <w:t>Province</w:t>
          </w:r>
        </w:smartTag>
        <w:r w:rsidRPr="00823ECF">
          <w:rPr>
            <w:sz w:val="22"/>
            <w:szCs w:val="22"/>
          </w:rPr>
          <w:t xml:space="preserve"> of </w:t>
        </w:r>
        <w:smartTag w:uri="urn:schemas-microsoft-com:office:smarttags" w:element="PlaceName">
          <w:r w:rsidRPr="00823ECF">
            <w:rPr>
              <w:sz w:val="22"/>
              <w:szCs w:val="22"/>
            </w:rPr>
            <w:t>China</w:t>
          </w:r>
        </w:smartTag>
      </w:smartTag>
      <w:r>
        <w:rPr>
          <w:sz w:val="22"/>
          <w:szCs w:val="22"/>
        </w:rPr>
        <w:t>.</w:t>
      </w:r>
    </w:p>
    <w:p w:rsidR="00EA1CAD" w:rsidRDefault="00EA1CAD" w:rsidP="00EA1CAD">
      <w:pPr>
        <w:rPr>
          <w:sz w:val="22"/>
          <w:szCs w:val="22"/>
        </w:rPr>
      </w:pPr>
    </w:p>
    <w:p w:rsidR="00EA1CAD" w:rsidRDefault="00EA1CAD" w:rsidP="00EA1CAD">
      <w:pPr>
        <w:rPr>
          <w:sz w:val="22"/>
          <w:szCs w:val="22"/>
        </w:rPr>
      </w:pPr>
      <w:r>
        <w:rPr>
          <w:sz w:val="22"/>
          <w:szCs w:val="22"/>
        </w:rPr>
        <w:t xml:space="preserve">† Dummy equals </w:t>
      </w:r>
      <w:r w:rsidRPr="00823ECF">
        <w:rPr>
          <w:sz w:val="22"/>
          <w:szCs w:val="22"/>
        </w:rPr>
        <w:t>one if a country was i</w:t>
      </w:r>
      <w:r>
        <w:rPr>
          <w:sz w:val="22"/>
          <w:szCs w:val="22"/>
        </w:rPr>
        <w:t>nvestigated during last report.</w:t>
      </w:r>
    </w:p>
    <w:p w:rsidR="00EA1CAD" w:rsidRPr="00823ECF" w:rsidRDefault="00EA1CAD" w:rsidP="00EA1CAD">
      <w:pPr>
        <w:rPr>
          <w:sz w:val="22"/>
          <w:szCs w:val="22"/>
        </w:rPr>
      </w:pPr>
    </w:p>
    <w:p w:rsidR="00EA1CAD" w:rsidRDefault="00EA1CAD" w:rsidP="00EA1CAD">
      <w:pPr>
        <w:rPr>
          <w:rFonts w:eastAsia="GungsuhChe"/>
          <w:szCs w:val="20"/>
        </w:rPr>
      </w:pPr>
    </w:p>
    <w:p w:rsidR="00EA1CAD" w:rsidRDefault="00EA1CAD" w:rsidP="00EA1CAD">
      <w:pPr>
        <w:jc w:val="center"/>
        <w:rPr>
          <w:b/>
          <w:sz w:val="28"/>
          <w:szCs w:val="28"/>
        </w:rPr>
      </w:pPr>
      <w:r>
        <w:rPr>
          <w:rFonts w:eastAsia="GungsuhChe"/>
          <w:szCs w:val="20"/>
        </w:rPr>
        <w:br w:type="page"/>
      </w:r>
      <w:r w:rsidRPr="00EF34B7">
        <w:rPr>
          <w:b/>
          <w:sz w:val="28"/>
          <w:szCs w:val="28"/>
        </w:rPr>
        <w:t xml:space="preserve"> Figures and Tables </w:t>
      </w:r>
      <w:r>
        <w:rPr>
          <w:b/>
          <w:sz w:val="28"/>
          <w:szCs w:val="28"/>
        </w:rPr>
        <w:t xml:space="preserve">for Part 3: </w:t>
      </w:r>
    </w:p>
    <w:p w:rsidR="00EA1CAD" w:rsidRPr="001532A8" w:rsidRDefault="00EA1CAD" w:rsidP="00EA1CAD">
      <w:pPr>
        <w:jc w:val="center"/>
        <w:rPr>
          <w:b/>
          <w:sz w:val="28"/>
          <w:szCs w:val="28"/>
        </w:rPr>
      </w:pPr>
      <w:r w:rsidRPr="00EF34B7">
        <w:rPr>
          <w:b/>
          <w:sz w:val="28"/>
          <w:szCs w:val="28"/>
        </w:rPr>
        <w:t xml:space="preserve">Estimating the Implicit Weights in the Chinese RMB Basket </w:t>
      </w:r>
    </w:p>
    <w:p w:rsidR="00EA1CAD" w:rsidRDefault="00EA1CAD" w:rsidP="00EA1CAD">
      <w:pPr>
        <w:rPr>
          <w:b/>
          <w:color w:val="0000FF"/>
        </w:rPr>
      </w:pPr>
    </w:p>
    <w:p w:rsidR="00EA1CAD" w:rsidRDefault="00EA1CAD" w:rsidP="00EA1CAD">
      <w:pPr>
        <w:rPr>
          <w:b/>
        </w:rPr>
      </w:pPr>
      <w:r>
        <w:rPr>
          <w:b/>
        </w:rPr>
        <w:t>Figure 3: Fluctuations in CNY/USD exchange rate</w:t>
      </w:r>
    </w:p>
    <w:p w:rsidR="00EA1CAD" w:rsidRDefault="00EA1CAD" w:rsidP="00EA1CAD">
      <w:pPr>
        <w:jc w:val="center"/>
        <w:rPr>
          <w:b/>
        </w:rPr>
      </w:pPr>
      <w:r>
        <w:pict>
          <v:shape id="_x0000_i1027" type="#_x0000_t75" style="width:450pt;height:257pt">
            <v:imagedata r:id="rId15" o:title="cdf_change"/>
          </v:shape>
        </w:pict>
      </w:r>
    </w:p>
    <w:p w:rsidR="00EA1CAD" w:rsidRDefault="00EA1CAD" w:rsidP="00EA1CAD">
      <w:pPr>
        <w:rPr>
          <w:b/>
        </w:rPr>
      </w:pPr>
    </w:p>
    <w:p w:rsidR="00EA1CAD" w:rsidRDefault="00EA1CAD" w:rsidP="00EA1CAD">
      <w:pPr>
        <w:rPr>
          <w:b/>
        </w:rPr>
      </w:pPr>
    </w:p>
    <w:p w:rsidR="00EA1CAD" w:rsidRDefault="00EA1CAD" w:rsidP="00EA1CAD">
      <w:pPr>
        <w:rPr>
          <w:b/>
        </w:rPr>
      </w:pPr>
      <w:r>
        <w:rPr>
          <w:b/>
        </w:rPr>
        <w:t xml:space="preserve">Figure </w:t>
      </w:r>
      <w:proofErr w:type="gramStart"/>
      <w:r>
        <w:rPr>
          <w:b/>
        </w:rPr>
        <w:t>4 Variability in Yuan/Dollar Exchange Rate</w:t>
      </w:r>
      <w:proofErr w:type="gramEnd"/>
    </w:p>
    <w:p w:rsidR="00EA1CAD" w:rsidRDefault="00EA1CAD" w:rsidP="00EA1CAD">
      <w:pPr>
        <w:jc w:val="center"/>
        <w:rPr>
          <w:b/>
        </w:rPr>
      </w:pPr>
      <w:r w:rsidRPr="002659EA">
        <w:pict>
          <v:shape id="_x0000_i1028" type="#_x0000_t75" style="width:450pt;height:258pt">
            <v:imagedata r:id="rId16" o:title="cny_sd"/>
          </v:shape>
        </w:pict>
      </w:r>
    </w:p>
    <w:p w:rsidR="00EA1CAD" w:rsidRDefault="00EA1CAD" w:rsidP="00EA1CAD">
      <w:pPr>
        <w:rPr>
          <w:b/>
        </w:rPr>
      </w:pPr>
    </w:p>
    <w:p w:rsidR="00EA1CAD" w:rsidRDefault="00EA1CAD" w:rsidP="00EA1CAD">
      <w:pPr>
        <w:jc w:val="center"/>
        <w:rPr>
          <w:b/>
        </w:rPr>
      </w:pPr>
    </w:p>
    <w:p w:rsidR="00EA1CAD" w:rsidRDefault="00EA1CAD" w:rsidP="00EA1CAD">
      <w:pPr>
        <w:jc w:val="center"/>
        <w:rPr>
          <w:b/>
        </w:rPr>
      </w:pPr>
      <w:r>
        <w:rPr>
          <w:b/>
        </w:rPr>
        <w:br w:type="page"/>
        <w:t>Table 4: Estimating the Implicit Basket Weights in Determining the Yuan</w:t>
      </w:r>
    </w:p>
    <w:p w:rsidR="00EA1CAD" w:rsidRPr="007454A6" w:rsidRDefault="00EA1CAD" w:rsidP="00EA1CAD">
      <w:pPr>
        <w:pStyle w:val="PlainText"/>
        <w:jc w:val="center"/>
        <w:rPr>
          <w:rFonts w:ascii="Times New Roman" w:hAnsi="Times New Roman" w:cs="Times New Roman"/>
          <w:sz w:val="22"/>
          <w:szCs w:val="22"/>
          <w:lang w:eastAsia="zh-CN"/>
        </w:rPr>
      </w:pPr>
      <w:r w:rsidRPr="007454A6">
        <w:rPr>
          <w:rFonts w:ascii="Times New Roman" w:hAnsi="Times New Roman" w:cs="Times New Roman"/>
          <w:sz w:val="22"/>
          <w:szCs w:val="22"/>
        </w:rPr>
        <w:t xml:space="preserve"> (</w:t>
      </w:r>
      <w:smartTag w:uri="urn:schemas-microsoft-com:office:smarttags" w:element="date">
        <w:smartTagPr>
          <w:attr w:name="Month" w:val="7"/>
          <w:attr w:name="Day" w:val="22"/>
          <w:attr w:name="Year" w:val="2005"/>
        </w:smartTagPr>
        <w:r w:rsidRPr="007454A6">
          <w:rPr>
            <w:rFonts w:ascii="Times New Roman" w:hAnsi="Times New Roman" w:cs="Times New Roman"/>
            <w:sz w:val="22"/>
            <w:szCs w:val="22"/>
          </w:rPr>
          <w:t>07/22/2005</w:t>
        </w:r>
      </w:smartTag>
      <w:r w:rsidRPr="007454A6">
        <w:rPr>
          <w:rFonts w:ascii="Times New Roman" w:hAnsi="Times New Roman" w:cs="Times New Roman"/>
          <w:sz w:val="22"/>
          <w:szCs w:val="22"/>
        </w:rPr>
        <w:t xml:space="preserve"> – 01/08/2007)</w:t>
      </w:r>
    </w:p>
    <w:p w:rsidR="00EA1CAD" w:rsidRDefault="00EA1CAD" w:rsidP="00EA1CAD">
      <w:pPr>
        <w:jc w:val="center"/>
        <w:rPr>
          <w:b/>
        </w:rPr>
      </w:pPr>
      <w:r>
        <w:rPr>
          <w:b/>
        </w:rPr>
        <w:t xml:space="preserve"> (</w:t>
      </w:r>
      <w:proofErr w:type="gramStart"/>
      <w:r w:rsidRPr="00AD336F">
        <w:rPr>
          <w:b/>
        </w:rPr>
        <w:t>numeraire</w:t>
      </w:r>
      <w:proofErr w:type="gramEnd"/>
      <w:r w:rsidRPr="00AD336F">
        <w:rPr>
          <w:b/>
        </w:rPr>
        <w:t xml:space="preserve"> currency = SDR)</w:t>
      </w:r>
    </w:p>
    <w:p w:rsidR="00EA1CAD" w:rsidRDefault="00EA1CAD" w:rsidP="00EA1CAD">
      <w:pPr>
        <w:jc w:val="center"/>
        <w:rPr>
          <w:b/>
        </w:rPr>
      </w:pPr>
    </w:p>
    <w:tbl>
      <w:tblPr>
        <w:tblW w:w="8720" w:type="dxa"/>
        <w:jc w:val="center"/>
        <w:tblCellMar>
          <w:left w:w="0" w:type="dxa"/>
          <w:right w:w="0" w:type="dxa"/>
        </w:tblCellMar>
        <w:tblLook w:val="0000" w:firstRow="0" w:lastRow="0" w:firstColumn="0" w:lastColumn="0" w:noHBand="0" w:noVBand="0"/>
      </w:tblPr>
      <w:tblGrid>
        <w:gridCol w:w="1720"/>
        <w:gridCol w:w="1000"/>
        <w:gridCol w:w="1000"/>
        <w:gridCol w:w="1000"/>
        <w:gridCol w:w="1000"/>
        <w:gridCol w:w="1000"/>
        <w:gridCol w:w="1000"/>
        <w:gridCol w:w="1000"/>
      </w:tblGrid>
      <w:tr w:rsidR="00EA1CAD">
        <w:trPr>
          <w:trHeight w:val="255"/>
          <w:jc w:val="center"/>
        </w:trPr>
        <w:tc>
          <w:tcPr>
            <w:tcW w:w="172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Sub-period</w:t>
            </w:r>
          </w:p>
        </w:tc>
        <w:tc>
          <w:tcPr>
            <w:tcW w:w="100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Whole sample</w:t>
            </w:r>
          </w:p>
        </w:tc>
        <w:tc>
          <w:tcPr>
            <w:tcW w:w="100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(1)</w:t>
            </w:r>
          </w:p>
        </w:tc>
        <w:tc>
          <w:tcPr>
            <w:tcW w:w="100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(2)</w:t>
            </w:r>
          </w:p>
        </w:tc>
        <w:tc>
          <w:tcPr>
            <w:tcW w:w="100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(3)</w:t>
            </w:r>
          </w:p>
        </w:tc>
        <w:tc>
          <w:tcPr>
            <w:tcW w:w="100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(4)</w:t>
            </w:r>
          </w:p>
        </w:tc>
        <w:tc>
          <w:tcPr>
            <w:tcW w:w="1000"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(5)</w:t>
            </w:r>
          </w:p>
        </w:tc>
        <w:tc>
          <w:tcPr>
            <w:tcW w:w="1000" w:type="dxa"/>
            <w:tcBorders>
              <w:top w:val="single" w:sz="4" w:space="0" w:color="auto"/>
              <w:left w:val="nil"/>
              <w:bottom w:val="nil"/>
              <w:right w:val="nil"/>
            </w:tcBorders>
            <w:vAlign w:val="bottom"/>
          </w:tcPr>
          <w:p w:rsidR="00EA1CAD" w:rsidRDefault="00EA1CAD" w:rsidP="00AE25D9">
            <w:pPr>
              <w:jc w:val="center"/>
              <w:rPr>
                <w:sz w:val="20"/>
                <w:szCs w:val="20"/>
              </w:rPr>
            </w:pPr>
            <w:r>
              <w:rPr>
                <w:sz w:val="20"/>
                <w:szCs w:val="20"/>
              </w:rPr>
              <w:t>(6)</w:t>
            </w:r>
          </w:p>
        </w:tc>
      </w:tr>
      <w:tr w:rsidR="00EA1CAD">
        <w:trPr>
          <w:trHeight w:val="270"/>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r>
              <w:rPr>
                <w:sz w:val="20"/>
                <w:szCs w:val="20"/>
              </w:rPr>
              <w:t>US Dollar</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0.904**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0.997**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0.968**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0.695**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0.947**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0.867**</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0.886**</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(0.050)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(0.045)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(0.134)</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(0.087)</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r>
              <w:rPr>
                <w:sz w:val="20"/>
                <w:szCs w:val="20"/>
              </w:rPr>
              <w:t>Euro</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0.005</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0.039</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(0.100)</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(0.064)</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r>
              <w:rPr>
                <w:sz w:val="20"/>
                <w:szCs w:val="20"/>
              </w:rPr>
              <w:t>Japanese Yen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0.052*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0.019</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0.007</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(0.044)</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(0.030)</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r>
              <w:rPr>
                <w:sz w:val="20"/>
                <w:szCs w:val="20"/>
              </w:rPr>
              <w:t>Korean Won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-0.076**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-0.024</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-0.002</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(0.029)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(0.040)</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(0.029)</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smartTag w:uri="urn:schemas-microsoft-com:office:smarttags" w:element="country-region">
              <w:smartTag w:uri="urn:schemas-microsoft-com:office:smarttags" w:element="place">
                <w:r>
                  <w:rPr>
                    <w:sz w:val="20"/>
                    <w:szCs w:val="20"/>
                  </w:rPr>
                  <w:t>Singapore</w:t>
                </w:r>
              </w:smartTag>
            </w:smartTag>
            <w:r>
              <w:rPr>
                <w:sz w:val="20"/>
                <w:szCs w:val="20"/>
              </w:rPr>
              <w:t xml:space="preserve"> Dollar</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-0.054</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-0.108*</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(0.028)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(0.037)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(0.055)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(0.077)</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(0.061)</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r>
              <w:rPr>
                <w:sz w:val="20"/>
                <w:szCs w:val="20"/>
              </w:rPr>
              <w:t>British Pound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0.003</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-0.026</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(0.032)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(0.041)</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(0.041)</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smartTag w:uri="urn:schemas-microsoft-com:office:smarttags" w:element="country-region">
              <w:smartTag w:uri="urn:schemas-microsoft-com:office:smarttags" w:element="place">
                <w:r>
                  <w:rPr>
                    <w:sz w:val="20"/>
                    <w:szCs w:val="20"/>
                  </w:rPr>
                  <w:t>Malaysia</w:t>
                </w:r>
              </w:smartTag>
            </w:smartTag>
            <w:r>
              <w:rPr>
                <w:sz w:val="20"/>
                <w:szCs w:val="20"/>
              </w:rPr>
              <w:t xml:space="preserve"> Ringgit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0.053**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0.032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0.239**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0.076**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0.122</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0.057</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(0.028)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(0.058)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(0.084)</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(0.041)</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smartTag w:uri="urn:schemas-microsoft-com:office:smarttags" w:element="country-region">
              <w:smartTag w:uri="urn:schemas-microsoft-com:office:smarttags" w:element="place">
                <w:r>
                  <w:rPr>
                    <w:sz w:val="20"/>
                    <w:szCs w:val="20"/>
                  </w:rPr>
                  <w:t>Russia</w:t>
                </w:r>
              </w:smartTag>
            </w:smartTag>
            <w:r>
              <w:rPr>
                <w:sz w:val="20"/>
                <w:szCs w:val="20"/>
              </w:rPr>
              <w:t xml:space="preserve"> Ruble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0.126**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-0.030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-0.165</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-0.108</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(0.053)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(0.217)</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(0.124)</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r>
              <w:rPr>
                <w:sz w:val="20"/>
                <w:szCs w:val="20"/>
              </w:rPr>
              <w:t>Australian Dollar</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-0.013</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0.012</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(0.033)</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(0.028)</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smartTag w:uri="urn:schemas-microsoft-com:office:smarttags" w:element="country-region">
              <w:smartTag w:uri="urn:schemas-microsoft-com:office:smarttags" w:element="place">
                <w:r>
                  <w:rPr>
                    <w:sz w:val="20"/>
                    <w:szCs w:val="20"/>
                  </w:rPr>
                  <w:t>Thailand</w:t>
                </w:r>
              </w:smartTag>
            </w:smartTag>
            <w:r>
              <w:rPr>
                <w:sz w:val="20"/>
                <w:szCs w:val="20"/>
              </w:rPr>
              <w:t xml:space="preserve"> Baht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0.047**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0.036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-0.023</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0.017</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(0.040)</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(0.020)</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r>
              <w:rPr>
                <w:sz w:val="20"/>
                <w:szCs w:val="20"/>
              </w:rPr>
              <w:t>Canadian Dollar</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0.014</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0.025</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(0.034)</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(0.028)</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r>
              <w:rPr>
                <w:sz w:val="20"/>
                <w:szCs w:val="20"/>
              </w:rPr>
              <w:t>constant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0.00022**</w:t>
            </w:r>
          </w:p>
        </w:tc>
        <w:tc>
          <w:tcPr>
            <w:tcW w:w="0" w:type="auto"/>
            <w:tcBorders>
              <w:top w:val="nil"/>
              <w:left w:val="nil"/>
              <w:bottom w:val="nil"/>
              <w:right w:val="nil"/>
            </w:tcBorders>
            <w:vAlign w:val="bottom"/>
          </w:tcPr>
          <w:p w:rsidR="00EA1CAD" w:rsidRDefault="00EA1CAD" w:rsidP="00AE25D9">
            <w:pPr>
              <w:rPr>
                <w:sz w:val="20"/>
                <w:szCs w:val="20"/>
              </w:rPr>
            </w:pPr>
            <w:r>
              <w:rPr>
                <w:sz w:val="20"/>
                <w:szCs w:val="20"/>
              </w:rPr>
              <w:t>0.00015*</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(0.00003)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(0.00003)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(0.00003)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(0.00010)</w:t>
            </w:r>
          </w:p>
        </w:tc>
        <w:tc>
          <w:tcPr>
            <w:tcW w:w="0" w:type="auto"/>
            <w:tcBorders>
              <w:top w:val="nil"/>
              <w:left w:val="nil"/>
              <w:bottom w:val="nil"/>
              <w:right w:val="nil"/>
            </w:tcBorders>
            <w:vAlign w:val="bottom"/>
          </w:tcPr>
          <w:p w:rsidR="00EA1CAD" w:rsidRDefault="00EA1CAD" w:rsidP="00AE25D9">
            <w:pPr>
              <w:rPr>
                <w:sz w:val="20"/>
                <w:szCs w:val="20"/>
              </w:rPr>
            </w:pPr>
            <w:r>
              <w:rPr>
                <w:sz w:val="20"/>
                <w:szCs w:val="20"/>
              </w:rPr>
              <w:t>(0.00009)</w:t>
            </w:r>
          </w:p>
        </w:tc>
      </w:tr>
      <w:tr w:rsidR="00EA1CAD">
        <w:trPr>
          <w:trHeight w:val="255"/>
          <w:jc w:val="center"/>
        </w:trPr>
        <w:tc>
          <w:tcPr>
            <w:tcW w:w="1720" w:type="dxa"/>
            <w:tcBorders>
              <w:top w:val="single" w:sz="4" w:space="0" w:color="auto"/>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r>
              <w:rPr>
                <w:sz w:val="20"/>
                <w:szCs w:val="20"/>
              </w:rPr>
              <w:t>Observations</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382</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72</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66</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63</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66</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66</w:t>
            </w:r>
          </w:p>
        </w:tc>
        <w:tc>
          <w:tcPr>
            <w:tcW w:w="0" w:type="auto"/>
            <w:tcBorders>
              <w:top w:val="single" w:sz="4" w:space="0" w:color="auto"/>
              <w:left w:val="nil"/>
              <w:bottom w:val="nil"/>
              <w:right w:val="nil"/>
            </w:tcBorders>
            <w:vAlign w:val="bottom"/>
          </w:tcPr>
          <w:p w:rsidR="00EA1CAD" w:rsidRDefault="00EA1CAD" w:rsidP="00AE25D9">
            <w:pPr>
              <w:jc w:val="center"/>
              <w:rPr>
                <w:sz w:val="20"/>
                <w:szCs w:val="20"/>
              </w:rPr>
            </w:pPr>
            <w:r>
              <w:rPr>
                <w:sz w:val="20"/>
                <w:szCs w:val="20"/>
              </w:rPr>
              <w:t>71</w:t>
            </w:r>
          </w:p>
        </w:tc>
      </w:tr>
      <w:tr w:rsidR="00EA1CAD">
        <w:trPr>
          <w:trHeight w:val="255"/>
          <w:jc w:val="center"/>
        </w:trPr>
        <w:tc>
          <w:tcPr>
            <w:tcW w:w="1720" w:type="dxa"/>
            <w:tcBorders>
              <w:top w:val="nil"/>
              <w:left w:val="nil"/>
              <w:bottom w:val="nil"/>
              <w:right w:val="nil"/>
            </w:tcBorders>
            <w:shd w:val="clear" w:color="auto" w:fill="auto"/>
            <w:tcMar>
              <w:top w:w="15" w:type="dxa"/>
              <w:left w:w="15" w:type="dxa"/>
              <w:bottom w:w="0" w:type="dxa"/>
              <w:right w:w="15" w:type="dxa"/>
            </w:tcMar>
          </w:tcPr>
          <w:p w:rsidR="00EA1CAD" w:rsidRDefault="00EA1CAD" w:rsidP="00AE25D9">
            <w:pPr>
              <w:jc w:val="center"/>
              <w:rPr>
                <w:sz w:val="20"/>
                <w:szCs w:val="20"/>
              </w:rPr>
            </w:pPr>
            <w:r>
              <w:rPr>
                <w:sz w:val="20"/>
                <w:szCs w:val="20"/>
              </w:rPr>
              <w:t>Root MSE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rPr>
                <w:sz w:val="20"/>
                <w:szCs w:val="20"/>
              </w:rPr>
            </w:pPr>
            <w:r>
              <w:rPr>
                <w:sz w:val="20"/>
                <w:szCs w:val="20"/>
              </w:rPr>
              <w:t>0.00055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0.00027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0.00037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0.00061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0.0008</w:t>
            </w:r>
          </w:p>
        </w:tc>
        <w:tc>
          <w:tcPr>
            <w:tcW w:w="0" w:type="auto"/>
            <w:tcBorders>
              <w:top w:val="nil"/>
              <w:left w:val="nil"/>
              <w:bottom w:val="nil"/>
              <w:right w:val="nil"/>
            </w:tcBorders>
            <w:vAlign w:val="bottom"/>
          </w:tcPr>
          <w:p w:rsidR="00EA1CAD" w:rsidRDefault="00EA1CAD" w:rsidP="00AE25D9">
            <w:pPr>
              <w:jc w:val="center"/>
              <w:rPr>
                <w:sz w:val="20"/>
                <w:szCs w:val="20"/>
              </w:rPr>
            </w:pPr>
            <w:r>
              <w:rPr>
                <w:sz w:val="20"/>
                <w:szCs w:val="20"/>
              </w:rPr>
              <w:t>0.00064</w:t>
            </w:r>
          </w:p>
        </w:tc>
      </w:tr>
      <w:tr w:rsidR="00EA1CAD">
        <w:trPr>
          <w:trHeight w:val="270"/>
          <w:jc w:val="center"/>
        </w:trPr>
        <w:tc>
          <w:tcPr>
            <w:tcW w:w="1720" w:type="dxa"/>
            <w:tcBorders>
              <w:top w:val="nil"/>
              <w:left w:val="nil"/>
              <w:bottom w:val="single" w:sz="8" w:space="0" w:color="auto"/>
              <w:right w:val="nil"/>
            </w:tcBorders>
            <w:shd w:val="clear" w:color="auto" w:fill="auto"/>
            <w:tcMar>
              <w:top w:w="15" w:type="dxa"/>
              <w:left w:w="15" w:type="dxa"/>
              <w:bottom w:w="0" w:type="dxa"/>
              <w:right w:w="15" w:type="dxa"/>
            </w:tcMar>
          </w:tcPr>
          <w:p w:rsidR="00EA1CAD" w:rsidRDefault="00EA1CAD" w:rsidP="00AE25D9">
            <w:pPr>
              <w:jc w:val="center"/>
              <w:rPr>
                <w:sz w:val="20"/>
                <w:szCs w:val="20"/>
              </w:rPr>
            </w:pPr>
            <w:r>
              <w:rPr>
                <w:sz w:val="20"/>
                <w:szCs w:val="20"/>
              </w:rPr>
              <w:t>R-squared</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0.95</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0.99</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1.00</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0.98</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0.97</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tcPr>
          <w:p w:rsidR="00EA1CAD" w:rsidRDefault="00EA1CAD" w:rsidP="00AE25D9">
            <w:pPr>
              <w:jc w:val="center"/>
              <w:rPr>
                <w:sz w:val="20"/>
                <w:szCs w:val="20"/>
              </w:rPr>
            </w:pPr>
            <w:r>
              <w:rPr>
                <w:sz w:val="20"/>
                <w:szCs w:val="20"/>
              </w:rPr>
              <w:t>0.81</w:t>
            </w:r>
          </w:p>
        </w:tc>
        <w:tc>
          <w:tcPr>
            <w:tcW w:w="0" w:type="auto"/>
            <w:tcBorders>
              <w:top w:val="nil"/>
              <w:left w:val="nil"/>
              <w:bottom w:val="single" w:sz="8" w:space="0" w:color="auto"/>
              <w:right w:val="nil"/>
            </w:tcBorders>
            <w:vAlign w:val="bottom"/>
          </w:tcPr>
          <w:p w:rsidR="00EA1CAD" w:rsidRDefault="00EA1CAD" w:rsidP="00AE25D9">
            <w:pPr>
              <w:jc w:val="center"/>
              <w:rPr>
                <w:sz w:val="20"/>
                <w:szCs w:val="20"/>
              </w:rPr>
            </w:pPr>
            <w:r>
              <w:rPr>
                <w:sz w:val="20"/>
                <w:szCs w:val="20"/>
              </w:rPr>
              <w:t>0.90</w:t>
            </w:r>
          </w:p>
        </w:tc>
      </w:tr>
    </w:tbl>
    <w:p w:rsidR="00EA1CAD" w:rsidRDefault="00EA1CAD" w:rsidP="00EA1CAD">
      <w:pPr>
        <w:pStyle w:val="PlainText"/>
        <w:rPr>
          <w:rFonts w:ascii="SimSun" w:hAnsi="SimSun" w:cs="SimSun"/>
          <w:lang w:eastAsia="zh-CN"/>
        </w:rPr>
      </w:pPr>
    </w:p>
    <w:p w:rsidR="00EA1CAD" w:rsidRPr="00064ED7" w:rsidRDefault="00EA1CAD" w:rsidP="00EA1CAD">
      <w:pPr>
        <w:pStyle w:val="PlainText"/>
        <w:rPr>
          <w:rFonts w:ascii="SimSun" w:hAnsi="SimSun" w:cs="SimSun"/>
          <w:lang w:eastAsia="zh-CN"/>
        </w:rPr>
      </w:pPr>
      <w:r w:rsidRPr="00064ED7">
        <w:rPr>
          <w:rFonts w:ascii="SimSun" w:hAnsi="SimSun" w:cs="SimSun"/>
          <w:lang w:eastAsia="zh-CN"/>
        </w:rPr>
        <w:t xml:space="preserve">Notes: 1). </w:t>
      </w:r>
      <w:r w:rsidRPr="00064ED7">
        <w:rPr>
          <w:rFonts w:ascii="SimSun" w:hAnsi="SimSun" w:cs="SimSun" w:hint="eastAsia"/>
          <w:lang w:eastAsia="zh-CN"/>
        </w:rPr>
        <w:t>Standard errors in parentheses</w:t>
      </w:r>
      <w:r w:rsidRPr="00064ED7">
        <w:rPr>
          <w:rFonts w:ascii="SimSun" w:hAnsi="SimSun" w:cs="SimSun"/>
          <w:lang w:eastAsia="zh-CN"/>
        </w:rPr>
        <w:t>;</w:t>
      </w:r>
      <w:r>
        <w:rPr>
          <w:rFonts w:ascii="SimSun" w:hAnsi="SimSun" w:cs="SimSun"/>
          <w:lang w:eastAsia="zh-CN"/>
        </w:rPr>
        <w:t xml:space="preserve"> </w:t>
      </w:r>
      <w:r w:rsidRPr="00064ED7">
        <w:rPr>
          <w:rFonts w:ascii="SimSun" w:hAnsi="SimSun" w:cs="SimSun" w:hint="eastAsia"/>
          <w:lang w:eastAsia="zh-CN"/>
        </w:rPr>
        <w:t>* significant at 10%; ** significant at 5%;</w:t>
      </w:r>
    </w:p>
    <w:p w:rsidR="00EA1CAD" w:rsidRPr="00064ED7" w:rsidRDefault="00EA1CAD" w:rsidP="00EA1CAD">
      <w:pPr>
        <w:pStyle w:val="PlainText"/>
        <w:ind w:left="720"/>
        <w:rPr>
          <w:rFonts w:ascii="SimSun" w:hAnsi="SimSun" w:cs="SimSun"/>
          <w:lang w:eastAsia="zh-CN"/>
        </w:rPr>
      </w:pPr>
      <w:r>
        <w:rPr>
          <w:rFonts w:ascii="SimSun" w:hAnsi="SimSun" w:cs="SimSun"/>
          <w:lang w:eastAsia="zh-CN"/>
        </w:rPr>
        <w:t>2)</w:t>
      </w:r>
      <w:r w:rsidRPr="00064ED7">
        <w:rPr>
          <w:rFonts w:ascii="SimSun" w:hAnsi="SimSun" w:cs="SimSun"/>
          <w:lang w:eastAsia="zh-CN"/>
        </w:rPr>
        <w:t xml:space="preserve">. </w:t>
      </w:r>
      <w:r>
        <w:rPr>
          <w:rFonts w:ascii="SimSun" w:hAnsi="SimSun" w:cs="SimSun"/>
          <w:lang w:eastAsia="zh-CN"/>
        </w:rPr>
        <w:t>Change in the log value of</w:t>
      </w:r>
      <w:r w:rsidRPr="00064ED7">
        <w:rPr>
          <w:rFonts w:ascii="SimSun" w:hAnsi="SimSun" w:cs="SimSun"/>
          <w:lang w:eastAsia="zh-CN"/>
        </w:rPr>
        <w:t xml:space="preserve"> the target currency </w:t>
      </w:r>
      <w:r>
        <w:rPr>
          <w:rFonts w:ascii="SimSun" w:hAnsi="SimSun" w:cs="SimSun"/>
          <w:lang w:eastAsia="zh-CN"/>
        </w:rPr>
        <w:t xml:space="preserve">is regressed on changes in the log values of other </w:t>
      </w:r>
      <w:r w:rsidRPr="00064ED7">
        <w:rPr>
          <w:rFonts w:ascii="SimSun" w:hAnsi="SimSun" w:cs="SimSun"/>
          <w:lang w:eastAsia="zh-CN"/>
        </w:rPr>
        <w:t>currencies;</w:t>
      </w:r>
    </w:p>
    <w:p w:rsidR="00EA1CAD" w:rsidRDefault="00EA1CAD" w:rsidP="00EA1CAD">
      <w:pPr>
        <w:ind w:firstLine="720"/>
        <w:rPr>
          <w:rFonts w:ascii="SimSun" w:hAnsi="SimSun" w:cs="SimSun"/>
          <w:sz w:val="20"/>
          <w:szCs w:val="20"/>
        </w:rPr>
      </w:pPr>
      <w:r>
        <w:rPr>
          <w:rFonts w:ascii="SimSun" w:hAnsi="SimSun" w:cs="SimSun"/>
          <w:sz w:val="20"/>
          <w:szCs w:val="20"/>
        </w:rPr>
        <w:t>3</w:t>
      </w:r>
      <w:r w:rsidRPr="00D33019">
        <w:rPr>
          <w:rFonts w:ascii="SimSun" w:hAnsi="SimSun" w:cs="SimSun"/>
          <w:sz w:val="20"/>
          <w:szCs w:val="20"/>
        </w:rPr>
        <w:t xml:space="preserve">). Data Source: Bloomberg daily closing price, </w:t>
      </w:r>
      <w:smartTag w:uri="urn:schemas-microsoft-com:office:smarttags" w:element="State">
        <w:smartTag w:uri="urn:schemas-microsoft-com:office:smarttags" w:element="place">
          <w:r w:rsidRPr="00D33019">
            <w:rPr>
              <w:rFonts w:ascii="SimSun" w:hAnsi="SimSun" w:cs="SimSun"/>
              <w:sz w:val="20"/>
              <w:szCs w:val="20"/>
            </w:rPr>
            <w:t>New York</w:t>
          </w:r>
        </w:smartTag>
      </w:smartTag>
      <w:r w:rsidRPr="00D33019">
        <w:rPr>
          <w:rFonts w:ascii="SimSun" w:hAnsi="SimSun" w:cs="SimSun"/>
          <w:sz w:val="20"/>
          <w:szCs w:val="20"/>
        </w:rPr>
        <w:t>.</w:t>
      </w:r>
    </w:p>
    <w:p w:rsidR="00EA1CAD" w:rsidRDefault="00EA1CAD" w:rsidP="00EA1CAD">
      <w:pPr>
        <w:ind w:firstLine="720"/>
        <w:rPr>
          <w:rFonts w:ascii="SimSun" w:hAnsi="SimSun" w:cs="SimSun"/>
          <w:sz w:val="20"/>
          <w:szCs w:val="20"/>
        </w:rPr>
      </w:pPr>
    </w:p>
    <w:p w:rsidR="00EA1CAD" w:rsidRPr="001610EC" w:rsidRDefault="00EA1CAD" w:rsidP="001610EC">
      <w:r w:rsidRPr="001610EC">
        <w:t xml:space="preserve">(1) First </w:t>
      </w:r>
      <w:proofErr w:type="spellStart"/>
      <w:r w:rsidRPr="001610EC">
        <w:t>Subperiod</w:t>
      </w:r>
      <w:proofErr w:type="spellEnd"/>
      <w:r>
        <w:t xml:space="preserve">:      </w:t>
      </w:r>
      <w:smartTag w:uri="urn:schemas-microsoft-com:office:smarttags" w:element="date">
        <w:smartTagPr>
          <w:attr w:name="Month" w:val="7"/>
          <w:attr w:name="Day" w:val="22"/>
          <w:attr w:name="Year" w:val="2005"/>
        </w:smartTagPr>
        <w:r>
          <w:t>07/22/2005</w:t>
        </w:r>
      </w:smartTag>
      <w:r>
        <w:t xml:space="preserve"> – 10/31/2005</w:t>
      </w:r>
    </w:p>
    <w:p w:rsidR="00EA1CAD" w:rsidRPr="001610EC" w:rsidRDefault="00EA1CAD" w:rsidP="001610EC">
      <w:r w:rsidRPr="001610EC">
        <w:t xml:space="preserve">(2) Second </w:t>
      </w:r>
      <w:proofErr w:type="spellStart"/>
      <w:r w:rsidRPr="001610EC">
        <w:t>Subperiod</w:t>
      </w:r>
      <w:proofErr w:type="spellEnd"/>
      <w:r>
        <w:t xml:space="preserve">:  </w:t>
      </w:r>
      <w:smartTag w:uri="urn:schemas-microsoft-com:office:smarttags" w:element="date">
        <w:smartTagPr>
          <w:attr w:name="Month" w:val="11"/>
          <w:attr w:name="Day" w:val="1"/>
          <w:attr w:name="Year" w:val="2005"/>
        </w:smartTagPr>
        <w:r w:rsidRPr="001610EC">
          <w:t>11/1/2005</w:t>
        </w:r>
      </w:smartTag>
      <w:r w:rsidRPr="001610EC">
        <w:t xml:space="preserve"> – 1/31/2006</w:t>
      </w:r>
    </w:p>
    <w:p w:rsidR="00EA1CAD" w:rsidRPr="001610EC" w:rsidRDefault="00EA1CAD" w:rsidP="001610EC">
      <w:r w:rsidRPr="001610EC">
        <w:t xml:space="preserve">(3) </w:t>
      </w:r>
      <w:r>
        <w:t xml:space="preserve">Third </w:t>
      </w:r>
      <w:proofErr w:type="spellStart"/>
      <w:r>
        <w:t>Subperiod</w:t>
      </w:r>
      <w:proofErr w:type="spellEnd"/>
      <w:r>
        <w:t xml:space="preserve">:    </w:t>
      </w:r>
      <w:smartTag w:uri="urn:schemas-microsoft-com:office:smarttags" w:element="date">
        <w:smartTagPr>
          <w:attr w:name="Month" w:val="2"/>
          <w:attr w:name="Day" w:val="1"/>
          <w:attr w:name="Year" w:val="2006"/>
        </w:smartTagPr>
        <w:r w:rsidRPr="001610EC">
          <w:t>2/1/2006</w:t>
        </w:r>
      </w:smartTag>
      <w:r w:rsidRPr="001610EC">
        <w:t xml:space="preserve"> – 4/28/2006</w:t>
      </w:r>
    </w:p>
    <w:p w:rsidR="00EA1CAD" w:rsidRPr="001610EC" w:rsidRDefault="00EA1CAD" w:rsidP="001610EC">
      <w:r w:rsidRPr="001610EC">
        <w:t xml:space="preserve">(4) Fourth </w:t>
      </w:r>
      <w:proofErr w:type="spellStart"/>
      <w:r w:rsidRPr="001610EC">
        <w:t>Subperiod</w:t>
      </w:r>
      <w:proofErr w:type="spellEnd"/>
      <w:r>
        <w:t xml:space="preserve">:  </w:t>
      </w:r>
      <w:smartTag w:uri="urn:schemas-microsoft-com:office:smarttags" w:element="date">
        <w:smartTagPr>
          <w:attr w:name="Month" w:val="5"/>
          <w:attr w:name="Day" w:val="1"/>
          <w:attr w:name="Year" w:val="2006"/>
        </w:smartTagPr>
        <w:r w:rsidRPr="001610EC">
          <w:t>5/1/2006</w:t>
        </w:r>
      </w:smartTag>
      <w:r w:rsidRPr="001610EC">
        <w:t xml:space="preserve"> – 7/31/2006 </w:t>
      </w:r>
    </w:p>
    <w:p w:rsidR="00EA1CAD" w:rsidRPr="001610EC" w:rsidRDefault="00EA1CAD" w:rsidP="001610EC">
      <w:pPr>
        <w:pStyle w:val="PlainText"/>
        <w:rPr>
          <w:rFonts w:ascii="Times New Roman" w:hAnsi="Times New Roman" w:cs="Times New Roman"/>
          <w:sz w:val="24"/>
          <w:szCs w:val="24"/>
        </w:rPr>
      </w:pPr>
      <w:r w:rsidRPr="001610EC">
        <w:rPr>
          <w:rFonts w:ascii="Times New Roman" w:hAnsi="Times New Roman" w:cs="Times New Roman"/>
          <w:sz w:val="24"/>
          <w:szCs w:val="24"/>
        </w:rPr>
        <w:t xml:space="preserve">(5) Fifth </w:t>
      </w:r>
      <w:proofErr w:type="spellStart"/>
      <w:r w:rsidRPr="001610EC">
        <w:rPr>
          <w:rFonts w:ascii="Times New Roman" w:hAnsi="Times New Roman" w:cs="Times New Roman"/>
          <w:sz w:val="24"/>
          <w:szCs w:val="24"/>
        </w:rPr>
        <w:t>Subperiod</w:t>
      </w:r>
      <w:proofErr w:type="spellEnd"/>
      <w:r>
        <w:rPr>
          <w:rFonts w:ascii="Times New Roman" w:hAnsi="Times New Roman" w:cs="Times New Roman"/>
          <w:sz w:val="24"/>
          <w:szCs w:val="24"/>
        </w:rPr>
        <w:t xml:space="preserve">:     </w:t>
      </w:r>
      <w:smartTag w:uri="urn:schemas-microsoft-com:office:smarttags" w:element="date">
        <w:smartTagPr>
          <w:attr w:name="Month" w:val="8"/>
          <w:attr w:name="Day" w:val="1"/>
          <w:attr w:name="Year" w:val="2006"/>
        </w:smartTagPr>
        <w:r w:rsidRPr="001610EC">
          <w:rPr>
            <w:rFonts w:ascii="Times New Roman" w:hAnsi="Times New Roman" w:cs="Times New Roman"/>
            <w:sz w:val="24"/>
            <w:szCs w:val="24"/>
          </w:rPr>
          <w:t>8/1/2006</w:t>
        </w:r>
      </w:smartTag>
      <w:r w:rsidRPr="001610EC">
        <w:rPr>
          <w:rFonts w:ascii="Times New Roman" w:hAnsi="Times New Roman" w:cs="Times New Roman"/>
          <w:sz w:val="24"/>
          <w:szCs w:val="24"/>
        </w:rPr>
        <w:t xml:space="preserve"> – 10/31/2006</w:t>
      </w:r>
    </w:p>
    <w:p w:rsidR="00EA1CAD" w:rsidRPr="001610EC" w:rsidRDefault="00EA1CAD" w:rsidP="001610EC">
      <w:pPr>
        <w:pStyle w:val="PlainText"/>
        <w:rPr>
          <w:rFonts w:ascii="Times New Roman" w:hAnsi="Times New Roman" w:cs="Times New Roman"/>
          <w:sz w:val="24"/>
          <w:szCs w:val="24"/>
        </w:rPr>
      </w:pPr>
      <w:r w:rsidRPr="001610EC">
        <w:rPr>
          <w:rFonts w:ascii="Times New Roman" w:hAnsi="Times New Roman" w:cs="Times New Roman"/>
          <w:sz w:val="24"/>
          <w:szCs w:val="24"/>
        </w:rPr>
        <w:t xml:space="preserve">(6) </w:t>
      </w:r>
      <w:r>
        <w:rPr>
          <w:rFonts w:ascii="Times New Roman" w:hAnsi="Times New Roman" w:cs="Times New Roman"/>
          <w:sz w:val="24"/>
          <w:szCs w:val="24"/>
        </w:rPr>
        <w:t xml:space="preserve">Sixth </w:t>
      </w:r>
      <w:proofErr w:type="spellStart"/>
      <w:r>
        <w:rPr>
          <w:rFonts w:ascii="Times New Roman" w:hAnsi="Times New Roman" w:cs="Times New Roman"/>
          <w:sz w:val="24"/>
          <w:szCs w:val="24"/>
        </w:rPr>
        <w:t>Subperiod</w:t>
      </w:r>
      <w:proofErr w:type="spellEnd"/>
      <w:r>
        <w:rPr>
          <w:rFonts w:ascii="Times New Roman" w:hAnsi="Times New Roman" w:cs="Times New Roman"/>
          <w:sz w:val="24"/>
          <w:szCs w:val="24"/>
        </w:rPr>
        <w:t xml:space="preserve">:  </w:t>
      </w:r>
      <w:smartTag w:uri="urn:schemas-microsoft-com:office:smarttags" w:element="date">
        <w:smartTagPr>
          <w:attr w:name="Month" w:val="10"/>
          <w:attr w:name="Day" w:val="1"/>
          <w:attr w:name="Year" w:val="2006"/>
        </w:smartTagPr>
        <w:r w:rsidRPr="001610EC">
          <w:rPr>
            <w:rFonts w:ascii="Times New Roman" w:hAnsi="Times New Roman" w:cs="Times New Roman"/>
            <w:sz w:val="24"/>
            <w:szCs w:val="24"/>
          </w:rPr>
          <w:t>10/1/2006</w:t>
        </w:r>
      </w:smartTag>
      <w:r>
        <w:rPr>
          <w:rFonts w:ascii="Times New Roman" w:hAnsi="Times New Roman" w:cs="Times New Roman"/>
          <w:sz w:val="24"/>
          <w:szCs w:val="24"/>
        </w:rPr>
        <w:t xml:space="preserve"> – 01/08/2007</w:t>
      </w:r>
    </w:p>
    <w:p w:rsidR="00EA1CAD" w:rsidRDefault="00EA1CAD" w:rsidP="00EA1CAD">
      <w:pPr>
        <w:jc w:val="center"/>
        <w:rPr>
          <w:rFonts w:ascii="SimSun" w:hAnsi="SimSun" w:cs="SimSun"/>
          <w:sz w:val="20"/>
          <w:szCs w:val="20"/>
        </w:rPr>
      </w:pPr>
    </w:p>
    <w:p w:rsidR="00EA1CAD" w:rsidRDefault="00EA1CAD" w:rsidP="00EA1CAD">
      <w:pPr>
        <w:jc w:val="center"/>
        <w:rPr>
          <w:rFonts w:ascii="SimSun" w:hAnsi="SimSun" w:cs="SimSun"/>
          <w:sz w:val="20"/>
          <w:szCs w:val="20"/>
        </w:rPr>
      </w:pPr>
    </w:p>
    <w:p w:rsidR="00EA1CAD" w:rsidRDefault="00EA1CAD" w:rsidP="00EA1CAD">
      <w:pPr>
        <w:ind w:firstLine="720"/>
        <w:rPr>
          <w:rFonts w:ascii="SimSun" w:hAnsi="SimSun" w:cs="SimSun"/>
          <w:sz w:val="20"/>
          <w:szCs w:val="20"/>
        </w:rPr>
      </w:pPr>
    </w:p>
    <w:p w:rsidR="00EA1CAD" w:rsidRPr="006B6336" w:rsidRDefault="00EA1CAD" w:rsidP="00EA1CAD">
      <w:pPr>
        <w:rPr>
          <w:b/>
        </w:rPr>
      </w:pPr>
      <w:r w:rsidRPr="006B6336">
        <w:rPr>
          <w:b/>
        </w:rPr>
        <w:t>Table</w:t>
      </w:r>
      <w:r>
        <w:rPr>
          <w:b/>
        </w:rPr>
        <w:t xml:space="preserve"> 5: Trend appreciation of the Yuan and trend change in the dollar weight</w:t>
      </w:r>
    </w:p>
    <w:p w:rsidR="00EA1CAD" w:rsidRDefault="00EA1CAD" w:rsidP="00EA1CAD">
      <w:r w:rsidRPr="006B6336">
        <w:t>Whole Sample (</w:t>
      </w:r>
      <w:smartTag w:uri="urn:schemas-microsoft-com:office:smarttags" w:element="date">
        <w:smartTagPr>
          <w:attr w:name="Month" w:val="7"/>
          <w:attr w:name="Day" w:val="22"/>
          <w:attr w:name="Year" w:val="2005"/>
        </w:smartTagPr>
        <w:r w:rsidRPr="006B6336">
          <w:t>07/22/2005</w:t>
        </w:r>
      </w:smartTag>
      <w:r w:rsidRPr="006B6336">
        <w:t xml:space="preserve"> – 01/08/2007, Numeraire currency =SDR)</w:t>
      </w:r>
    </w:p>
    <w:p w:rsidR="00EA1CAD" w:rsidRDefault="00EA1CAD" w:rsidP="00EA1CAD"/>
    <w:tbl>
      <w:tblPr>
        <w:tblW w:w="9126" w:type="dxa"/>
        <w:tblCellMar>
          <w:left w:w="0" w:type="dxa"/>
          <w:right w:w="0" w:type="dxa"/>
        </w:tblCellMar>
        <w:tblLook w:val="0000" w:firstRow="0" w:lastRow="0" w:firstColumn="0" w:lastColumn="0" w:noHBand="0" w:noVBand="0"/>
      </w:tblPr>
      <w:tblGrid>
        <w:gridCol w:w="1592"/>
        <w:gridCol w:w="838"/>
        <w:gridCol w:w="858"/>
        <w:gridCol w:w="838"/>
        <w:gridCol w:w="837"/>
        <w:gridCol w:w="858"/>
        <w:gridCol w:w="837"/>
        <w:gridCol w:w="837"/>
        <w:gridCol w:w="858"/>
        <w:gridCol w:w="853"/>
      </w:tblGrid>
      <w:tr w:rsidR="00EA1CAD" w:rsidTr="001610EC">
        <w:trPr>
          <w:trHeight w:val="255"/>
        </w:trPr>
        <w:tc>
          <w:tcPr>
            <w:tcW w:w="1584" w:type="dxa"/>
            <w:tcBorders>
              <w:top w:val="single" w:sz="4" w:space="0" w:color="auto"/>
              <w:left w:val="nil"/>
              <w:bottom w:val="nil"/>
              <w:right w:val="nil"/>
            </w:tcBorders>
            <w:shd w:val="clear" w:color="auto" w:fill="auto"/>
            <w:noWrap/>
            <w:vAlign w:val="bottom"/>
          </w:tcPr>
          <w:p w:rsidR="00EA1CAD" w:rsidRDefault="00EA1CAD" w:rsidP="00AE25D9">
            <w:pPr>
              <w:rPr>
                <w:sz w:val="20"/>
                <w:szCs w:val="20"/>
              </w:rPr>
            </w:pPr>
            <w:r>
              <w:rPr>
                <w:sz w:val="20"/>
                <w:szCs w:val="20"/>
              </w:rPr>
              <w:t> </w:t>
            </w:r>
          </w:p>
        </w:tc>
        <w:tc>
          <w:tcPr>
            <w:tcW w:w="830" w:type="dxa"/>
            <w:tcBorders>
              <w:top w:val="single" w:sz="4" w:space="0" w:color="auto"/>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(1)</w:t>
            </w:r>
          </w:p>
        </w:tc>
        <w:tc>
          <w:tcPr>
            <w:tcW w:w="850" w:type="dxa"/>
            <w:tcBorders>
              <w:top w:val="single" w:sz="4" w:space="0" w:color="auto"/>
              <w:left w:val="nil"/>
              <w:bottom w:val="nil"/>
              <w:right w:val="nil"/>
            </w:tcBorders>
            <w:shd w:val="clear" w:color="auto" w:fill="auto"/>
            <w:noWrap/>
            <w:vAlign w:val="bottom"/>
          </w:tcPr>
          <w:p w:rsidR="00EA1CAD" w:rsidRDefault="00EA1CAD" w:rsidP="00AE25D9">
            <w:pPr>
              <w:rPr>
                <w:sz w:val="20"/>
                <w:szCs w:val="20"/>
              </w:rPr>
            </w:pPr>
            <w:r>
              <w:rPr>
                <w:sz w:val="20"/>
                <w:szCs w:val="20"/>
              </w:rPr>
              <w:t>(2)</w:t>
            </w:r>
          </w:p>
        </w:tc>
        <w:tc>
          <w:tcPr>
            <w:tcW w:w="830" w:type="dxa"/>
            <w:tcBorders>
              <w:top w:val="single" w:sz="4" w:space="0" w:color="auto"/>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(3)</w:t>
            </w:r>
          </w:p>
        </w:tc>
        <w:tc>
          <w:tcPr>
            <w:tcW w:w="829" w:type="dxa"/>
            <w:tcBorders>
              <w:top w:val="single" w:sz="4" w:space="0" w:color="auto"/>
              <w:left w:val="nil"/>
              <w:bottom w:val="nil"/>
              <w:right w:val="nil"/>
            </w:tcBorders>
            <w:shd w:val="clear" w:color="auto" w:fill="auto"/>
            <w:noWrap/>
            <w:vAlign w:val="bottom"/>
          </w:tcPr>
          <w:p w:rsidR="00EA1CAD" w:rsidRDefault="00EA1CAD" w:rsidP="00AE25D9">
            <w:pPr>
              <w:rPr>
                <w:sz w:val="20"/>
                <w:szCs w:val="20"/>
              </w:rPr>
            </w:pPr>
            <w:r>
              <w:rPr>
                <w:sz w:val="20"/>
                <w:szCs w:val="20"/>
              </w:rPr>
              <w:t>(4)</w:t>
            </w:r>
          </w:p>
        </w:tc>
        <w:tc>
          <w:tcPr>
            <w:tcW w:w="850" w:type="dxa"/>
            <w:tcBorders>
              <w:top w:val="single" w:sz="4" w:space="0" w:color="auto"/>
              <w:left w:val="nil"/>
              <w:bottom w:val="nil"/>
              <w:right w:val="nil"/>
            </w:tcBorders>
            <w:shd w:val="clear" w:color="auto" w:fill="auto"/>
            <w:noWrap/>
            <w:vAlign w:val="bottom"/>
          </w:tcPr>
          <w:p w:rsidR="00EA1CAD" w:rsidRDefault="00EA1CAD" w:rsidP="00AE25D9">
            <w:pPr>
              <w:rPr>
                <w:sz w:val="20"/>
                <w:szCs w:val="20"/>
              </w:rPr>
            </w:pPr>
            <w:r>
              <w:rPr>
                <w:sz w:val="20"/>
                <w:szCs w:val="20"/>
              </w:rPr>
              <w:t>(5)</w:t>
            </w:r>
          </w:p>
        </w:tc>
        <w:tc>
          <w:tcPr>
            <w:tcW w:w="829" w:type="dxa"/>
            <w:tcBorders>
              <w:top w:val="single" w:sz="4" w:space="0" w:color="auto"/>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(6)</w:t>
            </w:r>
          </w:p>
        </w:tc>
        <w:tc>
          <w:tcPr>
            <w:tcW w:w="829" w:type="dxa"/>
            <w:tcBorders>
              <w:top w:val="single" w:sz="4" w:space="0" w:color="auto"/>
              <w:left w:val="nil"/>
              <w:bottom w:val="nil"/>
              <w:right w:val="nil"/>
            </w:tcBorders>
            <w:shd w:val="clear" w:color="auto" w:fill="auto"/>
            <w:noWrap/>
            <w:vAlign w:val="bottom"/>
          </w:tcPr>
          <w:p w:rsidR="00EA1CAD" w:rsidRDefault="00EA1CAD" w:rsidP="00AE25D9">
            <w:pPr>
              <w:rPr>
                <w:sz w:val="20"/>
                <w:szCs w:val="20"/>
              </w:rPr>
            </w:pPr>
            <w:r>
              <w:rPr>
                <w:sz w:val="20"/>
                <w:szCs w:val="20"/>
              </w:rPr>
              <w:t>(7)</w:t>
            </w:r>
          </w:p>
        </w:tc>
        <w:tc>
          <w:tcPr>
            <w:tcW w:w="850" w:type="dxa"/>
            <w:tcBorders>
              <w:top w:val="single" w:sz="4" w:space="0" w:color="auto"/>
              <w:left w:val="nil"/>
              <w:bottom w:val="nil"/>
              <w:right w:val="nil"/>
            </w:tcBorders>
            <w:shd w:val="clear" w:color="auto" w:fill="auto"/>
            <w:noWrap/>
            <w:vAlign w:val="bottom"/>
          </w:tcPr>
          <w:p w:rsidR="00EA1CAD" w:rsidRDefault="00EA1CAD" w:rsidP="00AE25D9">
            <w:pPr>
              <w:rPr>
                <w:sz w:val="20"/>
                <w:szCs w:val="20"/>
              </w:rPr>
            </w:pPr>
            <w:r>
              <w:rPr>
                <w:sz w:val="20"/>
                <w:szCs w:val="20"/>
              </w:rPr>
              <w:t>(8)</w:t>
            </w:r>
          </w:p>
        </w:tc>
        <w:tc>
          <w:tcPr>
            <w:tcW w:w="845" w:type="dxa"/>
            <w:tcBorders>
              <w:top w:val="single" w:sz="4" w:space="0" w:color="auto"/>
              <w:left w:val="nil"/>
              <w:bottom w:val="nil"/>
              <w:right w:val="nil"/>
            </w:tcBorders>
            <w:shd w:val="clear" w:color="auto" w:fill="auto"/>
            <w:noWrap/>
            <w:vAlign w:val="bottom"/>
          </w:tcPr>
          <w:p w:rsidR="00EA1CAD" w:rsidRDefault="00EA1CAD" w:rsidP="00AE25D9">
            <w:pPr>
              <w:rPr>
                <w:sz w:val="20"/>
                <w:szCs w:val="20"/>
              </w:rPr>
            </w:pPr>
            <w:r>
              <w:rPr>
                <w:sz w:val="20"/>
                <w:szCs w:val="20"/>
              </w:rPr>
              <w:t>(9)</w:t>
            </w:r>
          </w:p>
        </w:tc>
      </w:tr>
      <w:tr w:rsidR="00EA1CAD" w:rsidTr="001610EC">
        <w:trPr>
          <w:trHeight w:val="270"/>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r>
              <w:rPr>
                <w:sz w:val="20"/>
                <w:szCs w:val="20"/>
              </w:rPr>
              <w:t>US Dollar</w:t>
            </w: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0.904**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0.990**</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0.991**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0.926**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1.017**</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1.017**</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0.891**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0.979**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0.980**</w:t>
            </w: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(0.021)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(0.029)</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(0.029)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(0.020)</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(0.020)</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(0.015)</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(0.026)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(0.026)</w:t>
            </w: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r>
              <w:rPr>
                <w:sz w:val="20"/>
                <w:szCs w:val="20"/>
              </w:rPr>
              <w:t>Euro</w:t>
            </w: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-0.006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-0.006</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-0.022**</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-0.015**</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-0.015**</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-0.018**</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-0.014**</w:t>
            </w: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(0.014)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(0.013)</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(0.013)</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(0.008)</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(0.006)</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(0.008)</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(0.006)</w:t>
            </w: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r>
              <w:rPr>
                <w:sz w:val="20"/>
                <w:szCs w:val="20"/>
              </w:rPr>
              <w:t>Japanese Yen</w:t>
            </w: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0.009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0.009</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0.005</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(0.009)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(0.008)</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(0.008)</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(0.008)</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(0.008)</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r>
              <w:rPr>
                <w:sz w:val="20"/>
                <w:szCs w:val="20"/>
              </w:rPr>
              <w:t>Korean Won</w:t>
            </w: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0.003</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0.001</w:t>
            </w: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(0.009)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(0.009)</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(0.008)</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(0.008)</w:t>
            </w: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smartTag w:uri="urn:schemas-microsoft-com:office:smarttags" w:element="country-region">
              <w:smartTag w:uri="urn:schemas-microsoft-com:office:smarttags" w:element="place">
                <w:r>
                  <w:rPr>
                    <w:sz w:val="20"/>
                    <w:szCs w:val="20"/>
                  </w:rPr>
                  <w:t>Singapore</w:t>
                </w:r>
              </w:smartTag>
            </w:smartTag>
            <w:r>
              <w:rPr>
                <w:sz w:val="20"/>
                <w:szCs w:val="20"/>
              </w:rPr>
              <w:t xml:space="preserve"> Dollar</w:t>
            </w: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-0.020</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-0.017</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-0.019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(0.020)</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(0.020)</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(0.020)</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r>
              <w:rPr>
                <w:sz w:val="20"/>
                <w:szCs w:val="20"/>
              </w:rPr>
              <w:t>British Pound</w:t>
            </w: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-0.004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-0.008</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-0.008</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(0.011)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(0.011)</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(0.011)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smartTag w:uri="urn:schemas-microsoft-com:office:smarttags" w:element="country-region">
              <w:smartTag w:uri="urn:schemas-microsoft-com:office:smarttags" w:element="place">
                <w:r>
                  <w:rPr>
                    <w:sz w:val="20"/>
                    <w:szCs w:val="20"/>
                  </w:rPr>
                  <w:t>Malaysia</w:t>
                </w:r>
              </w:smartTag>
            </w:smartTag>
            <w:r>
              <w:rPr>
                <w:sz w:val="20"/>
                <w:szCs w:val="20"/>
              </w:rPr>
              <w:t xml:space="preserve"> Ringgit</w:t>
            </w: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0.052**</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0.036**</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0.035**</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0.050**</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0.036**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0.034**</w:t>
            </w: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(0.015)</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(0.015)</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(0.015)</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(0.015)</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(0.015)</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(0.015)</w:t>
            </w: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smartTag w:uri="urn:schemas-microsoft-com:office:smarttags" w:element="country-region">
              <w:smartTag w:uri="urn:schemas-microsoft-com:office:smarttags" w:element="place">
                <w:r>
                  <w:rPr>
                    <w:sz w:val="20"/>
                    <w:szCs w:val="20"/>
                  </w:rPr>
                  <w:t>Russia</w:t>
                </w:r>
              </w:smartTag>
            </w:smartTag>
            <w:r>
              <w:rPr>
                <w:sz w:val="20"/>
                <w:szCs w:val="20"/>
              </w:rPr>
              <w:t xml:space="preserve"> Ruble</w:t>
            </w: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-0.017</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-0.014</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-0.013</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(0.021)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(0.021)</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(0.021)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r>
              <w:rPr>
                <w:sz w:val="20"/>
                <w:szCs w:val="20"/>
              </w:rPr>
              <w:t>Australian Dollar</w:t>
            </w: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-0.004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-0.001</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-0.002</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(0.008)</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(0.008)</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(0.008)</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smartTag w:uri="urn:schemas-microsoft-com:office:smarttags" w:element="country-region">
              <w:smartTag w:uri="urn:schemas-microsoft-com:office:smarttags" w:element="place">
                <w:r>
                  <w:rPr>
                    <w:sz w:val="20"/>
                    <w:szCs w:val="20"/>
                  </w:rPr>
                  <w:t>Thailand</w:t>
                </w:r>
              </w:smartTag>
            </w:smartTag>
            <w:r>
              <w:rPr>
                <w:sz w:val="20"/>
                <w:szCs w:val="20"/>
              </w:rPr>
              <w:t xml:space="preserve"> Baht</w:t>
            </w: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0.006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0.008</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0.008</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(0.010)</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(0.009)</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r>
      <w:tr w:rsidR="00EA1CAD" w:rsidTr="001610EC">
        <w:trPr>
          <w:trHeight w:val="255"/>
        </w:trPr>
        <w:tc>
          <w:tcPr>
            <w:tcW w:w="1584" w:type="dxa"/>
            <w:tcBorders>
              <w:top w:val="nil"/>
              <w:left w:val="nil"/>
              <w:bottom w:val="nil"/>
              <w:right w:val="nil"/>
            </w:tcBorders>
            <w:shd w:val="clear" w:color="auto" w:fill="auto"/>
            <w:tcMar>
              <w:top w:w="15" w:type="dxa"/>
              <w:left w:w="0" w:type="dxa"/>
              <w:bottom w:w="0" w:type="dxa"/>
              <w:right w:w="0" w:type="dxa"/>
            </w:tcMar>
          </w:tcPr>
          <w:p w:rsidR="00EA1CAD" w:rsidRDefault="00EA1CAD" w:rsidP="00AE25D9">
            <w:pPr>
              <w:rPr>
                <w:sz w:val="20"/>
                <w:szCs w:val="20"/>
              </w:rPr>
            </w:pPr>
            <w:r>
              <w:rPr>
                <w:sz w:val="20"/>
                <w:szCs w:val="20"/>
              </w:rPr>
              <w:t>Canadian Dollar</w:t>
            </w: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0.004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0.001</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0.003</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r>
      <w:tr w:rsidR="00EA1CAD" w:rsidTr="001610EC">
        <w:trPr>
          <w:trHeight w:val="255"/>
        </w:trPr>
        <w:tc>
          <w:tcPr>
            <w:tcW w:w="0" w:type="auto"/>
            <w:tcBorders>
              <w:top w:val="nil"/>
              <w:left w:val="nil"/>
              <w:bottom w:val="nil"/>
              <w:right w:val="nil"/>
            </w:tcBorders>
            <w:shd w:val="clear" w:color="auto" w:fill="auto"/>
            <w:noWrap/>
            <w:tcMar>
              <w:top w:w="15" w:type="dxa"/>
              <w:left w:w="0" w:type="dxa"/>
              <w:bottom w:w="0" w:type="dxa"/>
              <w:right w:w="0" w:type="dxa"/>
            </w:tcMar>
            <w:vAlign w:val="bottom"/>
          </w:tcPr>
          <w:p w:rsidR="00EA1CAD" w:rsidRDefault="00EA1CAD" w:rsidP="00AE25D9">
            <w:pPr>
              <w:rPr>
                <w:sz w:val="20"/>
                <w:szCs w:val="20"/>
              </w:rPr>
            </w:pP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(0.008)</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(0.007)</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(0.007)</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r>
      <w:tr w:rsidR="00EA1CAD" w:rsidTr="001610EC">
        <w:trPr>
          <w:trHeight w:val="255"/>
        </w:trPr>
        <w:tc>
          <w:tcPr>
            <w:tcW w:w="0" w:type="auto"/>
            <w:tcBorders>
              <w:top w:val="nil"/>
              <w:left w:val="nil"/>
              <w:bottom w:val="nil"/>
              <w:right w:val="nil"/>
            </w:tcBorders>
            <w:shd w:val="clear" w:color="auto" w:fill="auto"/>
            <w:noWrap/>
            <w:tcMar>
              <w:top w:w="15" w:type="dxa"/>
              <w:left w:w="0" w:type="dxa"/>
              <w:bottom w:w="0" w:type="dxa"/>
              <w:right w:w="0" w:type="dxa"/>
            </w:tcMar>
            <w:vAlign w:val="bottom"/>
          </w:tcPr>
          <w:p w:rsidR="00EA1CAD" w:rsidRDefault="00EA1CAD" w:rsidP="00AE25D9">
            <w:pPr>
              <w:rPr>
                <w:sz w:val="20"/>
                <w:szCs w:val="20"/>
              </w:rPr>
            </w:pPr>
            <w:r>
              <w:rPr>
                <w:sz w:val="20"/>
                <w:szCs w:val="20"/>
              </w:rPr>
              <w:t>Trend</w:t>
            </w: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0.004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0.004</w:t>
            </w:r>
          </w:p>
        </w:tc>
      </w:tr>
      <w:tr w:rsidR="00EA1CAD" w:rsidTr="001610EC">
        <w:trPr>
          <w:trHeight w:val="255"/>
        </w:trPr>
        <w:tc>
          <w:tcPr>
            <w:tcW w:w="0" w:type="auto"/>
            <w:tcBorders>
              <w:top w:val="nil"/>
              <w:left w:val="nil"/>
              <w:bottom w:val="nil"/>
              <w:right w:val="nil"/>
            </w:tcBorders>
            <w:shd w:val="clear" w:color="auto" w:fill="auto"/>
            <w:noWrap/>
            <w:tcMar>
              <w:top w:w="15" w:type="dxa"/>
              <w:left w:w="0" w:type="dxa"/>
              <w:bottom w:w="0" w:type="dxa"/>
              <w:right w:w="0" w:type="dxa"/>
            </w:tcMar>
            <w:vAlign w:val="bottom"/>
          </w:tcPr>
          <w:p w:rsidR="00EA1CAD" w:rsidRDefault="00EA1CAD" w:rsidP="00AE25D9">
            <w:pPr>
              <w:rPr>
                <w:sz w:val="20"/>
                <w:szCs w:val="20"/>
              </w:rPr>
            </w:pP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(0.003)</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(0.003)</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(0.003)</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(0.002)</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(0.003)</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(0.002)</w:t>
            </w:r>
          </w:p>
        </w:tc>
      </w:tr>
      <w:tr w:rsidR="00EA1CAD" w:rsidTr="001610EC">
        <w:trPr>
          <w:trHeight w:val="255"/>
        </w:trPr>
        <w:tc>
          <w:tcPr>
            <w:tcW w:w="0" w:type="auto"/>
            <w:tcBorders>
              <w:top w:val="nil"/>
              <w:left w:val="nil"/>
              <w:bottom w:val="nil"/>
              <w:right w:val="nil"/>
            </w:tcBorders>
            <w:shd w:val="clear" w:color="auto" w:fill="auto"/>
            <w:noWrap/>
            <w:tcMar>
              <w:top w:w="15" w:type="dxa"/>
              <w:left w:w="0" w:type="dxa"/>
              <w:bottom w:w="0" w:type="dxa"/>
              <w:right w:w="0" w:type="dxa"/>
            </w:tcMar>
            <w:vAlign w:val="bottom"/>
          </w:tcPr>
          <w:p w:rsidR="00EA1CAD" w:rsidRDefault="00EA1CAD" w:rsidP="00AE25D9">
            <w:pPr>
              <w:rPr>
                <w:sz w:val="20"/>
                <w:szCs w:val="20"/>
              </w:rPr>
            </w:pPr>
            <w:r>
              <w:rPr>
                <w:sz w:val="20"/>
                <w:szCs w:val="20"/>
              </w:rPr>
              <w:t>dollar * Trend</w:t>
            </w: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-4.473**</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-4.459**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-5.106**</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-5.089**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-4.407**</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-4.409**</w:t>
            </w:r>
          </w:p>
        </w:tc>
      </w:tr>
      <w:tr w:rsidR="00EA1CAD" w:rsidTr="001610EC">
        <w:trPr>
          <w:trHeight w:val="255"/>
        </w:trPr>
        <w:tc>
          <w:tcPr>
            <w:tcW w:w="0" w:type="auto"/>
            <w:tcBorders>
              <w:top w:val="nil"/>
              <w:left w:val="nil"/>
              <w:bottom w:val="nil"/>
              <w:right w:val="nil"/>
            </w:tcBorders>
            <w:shd w:val="clear" w:color="auto" w:fill="auto"/>
            <w:noWrap/>
            <w:tcMar>
              <w:top w:w="15" w:type="dxa"/>
              <w:left w:w="0" w:type="dxa"/>
              <w:bottom w:w="0" w:type="dxa"/>
              <w:right w:w="0" w:type="dxa"/>
            </w:tcMar>
            <w:vAlign w:val="bottom"/>
          </w:tcPr>
          <w:p w:rsidR="00EA1CAD" w:rsidRDefault="00EA1CAD" w:rsidP="00AE25D9">
            <w:pPr>
              <w:rPr>
                <w:sz w:val="20"/>
                <w:szCs w:val="20"/>
              </w:rPr>
            </w:pP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 </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(1.058)</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(1.056)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(1.007)</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(1.005)</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(1.041)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(1.040)</w:t>
            </w:r>
          </w:p>
        </w:tc>
      </w:tr>
      <w:tr w:rsidR="00EA1CAD" w:rsidTr="001610EC">
        <w:trPr>
          <w:trHeight w:val="255"/>
        </w:trPr>
        <w:tc>
          <w:tcPr>
            <w:tcW w:w="0" w:type="auto"/>
            <w:tcBorders>
              <w:top w:val="nil"/>
              <w:left w:val="nil"/>
              <w:bottom w:val="nil"/>
              <w:right w:val="nil"/>
            </w:tcBorders>
            <w:shd w:val="clear" w:color="auto" w:fill="auto"/>
            <w:noWrap/>
            <w:tcMar>
              <w:top w:w="15" w:type="dxa"/>
              <w:left w:w="0" w:type="dxa"/>
              <w:bottom w:w="0" w:type="dxa"/>
              <w:right w:w="0" w:type="dxa"/>
            </w:tcMar>
            <w:vAlign w:val="bottom"/>
          </w:tcPr>
          <w:p w:rsidR="00EA1CAD" w:rsidRDefault="00EA1CAD" w:rsidP="00AE25D9">
            <w:pPr>
              <w:rPr>
                <w:sz w:val="20"/>
                <w:szCs w:val="20"/>
              </w:rPr>
            </w:pPr>
            <w:r>
              <w:rPr>
                <w:sz w:val="20"/>
                <w:szCs w:val="20"/>
              </w:rPr>
              <w:t>Constant</w:t>
            </w: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0.00001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0.00009**</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0.00001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0.00002</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0.00009**</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0.00001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0.00001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0.00008**</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0.00001</w:t>
            </w:r>
          </w:p>
        </w:tc>
      </w:tr>
      <w:tr w:rsidR="00EA1CAD" w:rsidTr="001610EC">
        <w:trPr>
          <w:trHeight w:val="255"/>
        </w:trPr>
        <w:tc>
          <w:tcPr>
            <w:tcW w:w="0" w:type="auto"/>
            <w:tcBorders>
              <w:top w:val="nil"/>
              <w:left w:val="nil"/>
              <w:bottom w:val="nil"/>
              <w:right w:val="nil"/>
            </w:tcBorders>
            <w:shd w:val="clear" w:color="auto" w:fill="auto"/>
            <w:noWrap/>
            <w:tcMar>
              <w:top w:w="15" w:type="dxa"/>
              <w:left w:w="0" w:type="dxa"/>
              <w:bottom w:w="0" w:type="dxa"/>
              <w:right w:w="0" w:type="dxa"/>
            </w:tcMar>
            <w:vAlign w:val="bottom"/>
          </w:tcPr>
          <w:p w:rsidR="00EA1CAD" w:rsidRDefault="00EA1CAD" w:rsidP="00AE25D9">
            <w:pPr>
              <w:rPr>
                <w:sz w:val="20"/>
                <w:szCs w:val="20"/>
              </w:rPr>
            </w:pP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(0.00006)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(0.00003)</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(0.00006)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(0.00006)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(0.00003)</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(0.00006)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(0.00006)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(0.00003)</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(0.00006)</w:t>
            </w:r>
          </w:p>
        </w:tc>
      </w:tr>
      <w:tr w:rsidR="00EA1CAD" w:rsidTr="001610EC">
        <w:trPr>
          <w:trHeight w:val="255"/>
        </w:trPr>
        <w:tc>
          <w:tcPr>
            <w:tcW w:w="0" w:type="auto"/>
            <w:tcBorders>
              <w:top w:val="single" w:sz="4" w:space="0" w:color="auto"/>
              <w:left w:val="nil"/>
              <w:bottom w:val="nil"/>
              <w:right w:val="nil"/>
            </w:tcBorders>
            <w:shd w:val="clear" w:color="auto" w:fill="auto"/>
            <w:noWrap/>
            <w:vAlign w:val="bottom"/>
          </w:tcPr>
          <w:p w:rsidR="00EA1CAD" w:rsidRDefault="00EA1CAD" w:rsidP="00AE25D9">
            <w:pPr>
              <w:rPr>
                <w:sz w:val="20"/>
                <w:szCs w:val="20"/>
              </w:rPr>
            </w:pPr>
            <w:r>
              <w:rPr>
                <w:sz w:val="20"/>
                <w:szCs w:val="20"/>
              </w:rPr>
              <w:t>Observations</w:t>
            </w:r>
          </w:p>
        </w:tc>
        <w:tc>
          <w:tcPr>
            <w:tcW w:w="0" w:type="auto"/>
            <w:tcBorders>
              <w:top w:val="single" w:sz="4" w:space="0" w:color="auto"/>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383</w:t>
            </w:r>
          </w:p>
        </w:tc>
        <w:tc>
          <w:tcPr>
            <w:tcW w:w="0" w:type="auto"/>
            <w:tcBorders>
              <w:top w:val="single" w:sz="4" w:space="0" w:color="auto"/>
              <w:left w:val="nil"/>
              <w:bottom w:val="nil"/>
              <w:right w:val="nil"/>
            </w:tcBorders>
            <w:shd w:val="clear" w:color="auto" w:fill="auto"/>
            <w:noWrap/>
            <w:vAlign w:val="bottom"/>
          </w:tcPr>
          <w:p w:rsidR="00EA1CAD" w:rsidRDefault="00EA1CAD" w:rsidP="00AE25D9">
            <w:pPr>
              <w:rPr>
                <w:sz w:val="20"/>
                <w:szCs w:val="20"/>
              </w:rPr>
            </w:pPr>
            <w:r>
              <w:rPr>
                <w:sz w:val="20"/>
                <w:szCs w:val="20"/>
              </w:rPr>
              <w:t>383</w:t>
            </w:r>
          </w:p>
        </w:tc>
        <w:tc>
          <w:tcPr>
            <w:tcW w:w="0" w:type="auto"/>
            <w:tcBorders>
              <w:top w:val="single" w:sz="4" w:space="0" w:color="auto"/>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383</w:t>
            </w:r>
          </w:p>
        </w:tc>
        <w:tc>
          <w:tcPr>
            <w:tcW w:w="0" w:type="auto"/>
            <w:tcBorders>
              <w:top w:val="single" w:sz="4" w:space="0" w:color="auto"/>
              <w:left w:val="nil"/>
              <w:bottom w:val="nil"/>
              <w:right w:val="nil"/>
            </w:tcBorders>
            <w:shd w:val="clear" w:color="auto" w:fill="auto"/>
            <w:noWrap/>
            <w:vAlign w:val="bottom"/>
          </w:tcPr>
          <w:p w:rsidR="00EA1CAD" w:rsidRDefault="00EA1CAD" w:rsidP="00AE25D9">
            <w:pPr>
              <w:rPr>
                <w:sz w:val="20"/>
                <w:szCs w:val="20"/>
              </w:rPr>
            </w:pPr>
            <w:r>
              <w:rPr>
                <w:sz w:val="20"/>
                <w:szCs w:val="20"/>
              </w:rPr>
              <w:t>383</w:t>
            </w:r>
          </w:p>
        </w:tc>
        <w:tc>
          <w:tcPr>
            <w:tcW w:w="0" w:type="auto"/>
            <w:tcBorders>
              <w:top w:val="single" w:sz="4" w:space="0" w:color="auto"/>
              <w:left w:val="nil"/>
              <w:bottom w:val="nil"/>
              <w:right w:val="nil"/>
            </w:tcBorders>
            <w:shd w:val="clear" w:color="auto" w:fill="auto"/>
            <w:noWrap/>
            <w:vAlign w:val="bottom"/>
          </w:tcPr>
          <w:p w:rsidR="00EA1CAD" w:rsidRDefault="00EA1CAD" w:rsidP="00AE25D9">
            <w:pPr>
              <w:rPr>
                <w:sz w:val="20"/>
                <w:szCs w:val="20"/>
              </w:rPr>
            </w:pPr>
            <w:r>
              <w:rPr>
                <w:sz w:val="20"/>
                <w:szCs w:val="20"/>
              </w:rPr>
              <w:t>383</w:t>
            </w:r>
          </w:p>
        </w:tc>
        <w:tc>
          <w:tcPr>
            <w:tcW w:w="0" w:type="auto"/>
            <w:tcBorders>
              <w:top w:val="single" w:sz="4" w:space="0" w:color="auto"/>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383</w:t>
            </w:r>
          </w:p>
        </w:tc>
        <w:tc>
          <w:tcPr>
            <w:tcW w:w="0" w:type="auto"/>
            <w:tcBorders>
              <w:top w:val="single" w:sz="4" w:space="0" w:color="auto"/>
              <w:left w:val="nil"/>
              <w:bottom w:val="nil"/>
              <w:right w:val="nil"/>
            </w:tcBorders>
            <w:shd w:val="clear" w:color="auto" w:fill="auto"/>
            <w:noWrap/>
            <w:vAlign w:val="bottom"/>
          </w:tcPr>
          <w:p w:rsidR="00EA1CAD" w:rsidRDefault="00EA1CAD" w:rsidP="00AE25D9">
            <w:pPr>
              <w:rPr>
                <w:sz w:val="20"/>
                <w:szCs w:val="20"/>
              </w:rPr>
            </w:pPr>
            <w:r>
              <w:rPr>
                <w:sz w:val="20"/>
                <w:szCs w:val="20"/>
              </w:rPr>
              <w:t>383</w:t>
            </w:r>
          </w:p>
        </w:tc>
        <w:tc>
          <w:tcPr>
            <w:tcW w:w="0" w:type="auto"/>
            <w:tcBorders>
              <w:top w:val="single" w:sz="4" w:space="0" w:color="auto"/>
              <w:left w:val="nil"/>
              <w:bottom w:val="nil"/>
              <w:right w:val="nil"/>
            </w:tcBorders>
            <w:shd w:val="clear" w:color="auto" w:fill="auto"/>
            <w:noWrap/>
            <w:vAlign w:val="bottom"/>
          </w:tcPr>
          <w:p w:rsidR="00EA1CAD" w:rsidRDefault="00EA1CAD" w:rsidP="00AE25D9">
            <w:pPr>
              <w:rPr>
                <w:sz w:val="20"/>
                <w:szCs w:val="20"/>
              </w:rPr>
            </w:pPr>
            <w:r>
              <w:rPr>
                <w:sz w:val="20"/>
                <w:szCs w:val="20"/>
              </w:rPr>
              <w:t>383</w:t>
            </w:r>
          </w:p>
        </w:tc>
        <w:tc>
          <w:tcPr>
            <w:tcW w:w="0" w:type="auto"/>
            <w:tcBorders>
              <w:top w:val="single" w:sz="4" w:space="0" w:color="auto"/>
              <w:left w:val="nil"/>
              <w:bottom w:val="nil"/>
              <w:right w:val="nil"/>
            </w:tcBorders>
            <w:shd w:val="clear" w:color="auto" w:fill="auto"/>
            <w:noWrap/>
            <w:vAlign w:val="bottom"/>
          </w:tcPr>
          <w:p w:rsidR="00EA1CAD" w:rsidRDefault="00EA1CAD" w:rsidP="00AE25D9">
            <w:pPr>
              <w:rPr>
                <w:sz w:val="20"/>
                <w:szCs w:val="20"/>
              </w:rPr>
            </w:pPr>
            <w:r>
              <w:rPr>
                <w:sz w:val="20"/>
                <w:szCs w:val="20"/>
              </w:rPr>
              <w:t>383</w:t>
            </w:r>
          </w:p>
        </w:tc>
      </w:tr>
      <w:tr w:rsidR="00EA1CAD" w:rsidTr="001610EC">
        <w:trPr>
          <w:trHeight w:val="255"/>
        </w:trPr>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Root MSE</w:t>
            </w:r>
          </w:p>
        </w:tc>
        <w:tc>
          <w:tcPr>
            <w:tcW w:w="0" w:type="auto"/>
            <w:tcBorders>
              <w:top w:val="nil"/>
              <w:left w:val="single" w:sz="4" w:space="0" w:color="auto"/>
              <w:bottom w:val="nil"/>
              <w:right w:val="nil"/>
            </w:tcBorders>
            <w:shd w:val="clear" w:color="auto" w:fill="auto"/>
            <w:noWrap/>
            <w:vAlign w:val="bottom"/>
          </w:tcPr>
          <w:p w:rsidR="00EA1CAD" w:rsidRDefault="00EA1CAD" w:rsidP="00AE25D9">
            <w:pPr>
              <w:rPr>
                <w:sz w:val="20"/>
                <w:szCs w:val="20"/>
              </w:rPr>
            </w:pPr>
            <w:r>
              <w:rPr>
                <w:sz w:val="20"/>
                <w:szCs w:val="20"/>
              </w:rPr>
              <w:t> 0.00055</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0.00054</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0.00054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 0.00056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0.00054</w:t>
            </w:r>
          </w:p>
        </w:tc>
        <w:tc>
          <w:tcPr>
            <w:tcW w:w="0" w:type="auto"/>
            <w:tcBorders>
              <w:top w:val="nil"/>
              <w:left w:val="nil"/>
              <w:bottom w:val="nil"/>
              <w:right w:val="single" w:sz="4" w:space="0" w:color="auto"/>
            </w:tcBorders>
            <w:shd w:val="clear" w:color="auto" w:fill="auto"/>
            <w:noWrap/>
            <w:vAlign w:val="bottom"/>
          </w:tcPr>
          <w:p w:rsidR="00EA1CAD" w:rsidRDefault="00EA1CAD" w:rsidP="00AE25D9">
            <w:pPr>
              <w:rPr>
                <w:sz w:val="20"/>
                <w:szCs w:val="20"/>
              </w:rPr>
            </w:pPr>
            <w:r>
              <w:rPr>
                <w:sz w:val="20"/>
                <w:szCs w:val="20"/>
              </w:rPr>
              <w:t> 0.00054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 0.00055</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0.00054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0.00054</w:t>
            </w:r>
          </w:p>
        </w:tc>
      </w:tr>
      <w:tr w:rsidR="00EA1CAD" w:rsidTr="001610EC">
        <w:trPr>
          <w:trHeight w:val="270"/>
        </w:trPr>
        <w:tc>
          <w:tcPr>
            <w:tcW w:w="0" w:type="auto"/>
            <w:tcBorders>
              <w:top w:val="nil"/>
              <w:left w:val="nil"/>
              <w:bottom w:val="single" w:sz="8" w:space="0" w:color="auto"/>
              <w:right w:val="nil"/>
            </w:tcBorders>
            <w:shd w:val="clear" w:color="auto" w:fill="auto"/>
            <w:noWrap/>
            <w:vAlign w:val="bottom"/>
          </w:tcPr>
          <w:p w:rsidR="00EA1CAD" w:rsidRDefault="00EA1CAD" w:rsidP="00AE25D9">
            <w:pPr>
              <w:rPr>
                <w:sz w:val="20"/>
                <w:szCs w:val="20"/>
              </w:rPr>
            </w:pPr>
            <w:r>
              <w:rPr>
                <w:sz w:val="20"/>
                <w:szCs w:val="20"/>
              </w:rPr>
              <w:t>R-squared</w:t>
            </w:r>
          </w:p>
        </w:tc>
        <w:tc>
          <w:tcPr>
            <w:tcW w:w="0" w:type="auto"/>
            <w:tcBorders>
              <w:top w:val="nil"/>
              <w:left w:val="single" w:sz="4" w:space="0" w:color="auto"/>
              <w:bottom w:val="single" w:sz="8" w:space="0" w:color="auto"/>
              <w:right w:val="nil"/>
            </w:tcBorders>
            <w:shd w:val="clear" w:color="auto" w:fill="auto"/>
            <w:noWrap/>
            <w:vAlign w:val="bottom"/>
          </w:tcPr>
          <w:p w:rsidR="00EA1CAD" w:rsidRDefault="00EA1CAD" w:rsidP="00AE25D9">
            <w:pPr>
              <w:rPr>
                <w:sz w:val="20"/>
                <w:szCs w:val="20"/>
              </w:rPr>
            </w:pPr>
            <w:r>
              <w:rPr>
                <w:sz w:val="20"/>
                <w:szCs w:val="20"/>
              </w:rPr>
              <w:t>0.954</w:t>
            </w:r>
          </w:p>
        </w:tc>
        <w:tc>
          <w:tcPr>
            <w:tcW w:w="0" w:type="auto"/>
            <w:tcBorders>
              <w:top w:val="nil"/>
              <w:left w:val="nil"/>
              <w:bottom w:val="single" w:sz="8" w:space="0" w:color="auto"/>
              <w:right w:val="nil"/>
            </w:tcBorders>
            <w:shd w:val="clear" w:color="auto" w:fill="auto"/>
            <w:noWrap/>
            <w:vAlign w:val="bottom"/>
          </w:tcPr>
          <w:p w:rsidR="00EA1CAD" w:rsidRDefault="00EA1CAD" w:rsidP="00AE25D9">
            <w:pPr>
              <w:rPr>
                <w:sz w:val="20"/>
                <w:szCs w:val="20"/>
              </w:rPr>
            </w:pPr>
            <w:r>
              <w:rPr>
                <w:sz w:val="20"/>
                <w:szCs w:val="20"/>
              </w:rPr>
              <w:t>0.955</w:t>
            </w:r>
          </w:p>
        </w:tc>
        <w:tc>
          <w:tcPr>
            <w:tcW w:w="0" w:type="auto"/>
            <w:tcBorders>
              <w:top w:val="nil"/>
              <w:left w:val="nil"/>
              <w:bottom w:val="single" w:sz="8" w:space="0" w:color="auto"/>
              <w:right w:val="single" w:sz="4" w:space="0" w:color="auto"/>
            </w:tcBorders>
            <w:shd w:val="clear" w:color="auto" w:fill="auto"/>
            <w:noWrap/>
            <w:vAlign w:val="bottom"/>
          </w:tcPr>
          <w:p w:rsidR="00EA1CAD" w:rsidRDefault="00EA1CAD" w:rsidP="00AE25D9">
            <w:pPr>
              <w:rPr>
                <w:sz w:val="20"/>
                <w:szCs w:val="20"/>
              </w:rPr>
            </w:pPr>
            <w:r>
              <w:rPr>
                <w:sz w:val="20"/>
                <w:szCs w:val="20"/>
              </w:rPr>
              <w:t>0.956</w:t>
            </w:r>
          </w:p>
        </w:tc>
        <w:tc>
          <w:tcPr>
            <w:tcW w:w="0" w:type="auto"/>
            <w:tcBorders>
              <w:top w:val="nil"/>
              <w:left w:val="nil"/>
              <w:bottom w:val="single" w:sz="8" w:space="0" w:color="auto"/>
              <w:right w:val="nil"/>
            </w:tcBorders>
            <w:shd w:val="clear" w:color="auto" w:fill="auto"/>
            <w:noWrap/>
            <w:vAlign w:val="bottom"/>
          </w:tcPr>
          <w:p w:rsidR="00EA1CAD" w:rsidRDefault="00EA1CAD" w:rsidP="00AE25D9">
            <w:pPr>
              <w:rPr>
                <w:sz w:val="20"/>
                <w:szCs w:val="20"/>
              </w:rPr>
            </w:pPr>
            <w:r>
              <w:rPr>
                <w:sz w:val="20"/>
                <w:szCs w:val="20"/>
              </w:rPr>
              <w:t>0.952</w:t>
            </w:r>
          </w:p>
        </w:tc>
        <w:tc>
          <w:tcPr>
            <w:tcW w:w="0" w:type="auto"/>
            <w:tcBorders>
              <w:top w:val="nil"/>
              <w:left w:val="nil"/>
              <w:bottom w:val="single" w:sz="8" w:space="0" w:color="auto"/>
              <w:right w:val="nil"/>
            </w:tcBorders>
            <w:shd w:val="clear" w:color="auto" w:fill="auto"/>
            <w:noWrap/>
            <w:vAlign w:val="bottom"/>
          </w:tcPr>
          <w:p w:rsidR="00EA1CAD" w:rsidRDefault="00EA1CAD" w:rsidP="00AE25D9">
            <w:pPr>
              <w:rPr>
                <w:sz w:val="20"/>
                <w:szCs w:val="20"/>
              </w:rPr>
            </w:pPr>
            <w:r>
              <w:rPr>
                <w:sz w:val="20"/>
                <w:szCs w:val="20"/>
              </w:rPr>
              <w:t>0.954</w:t>
            </w:r>
          </w:p>
        </w:tc>
        <w:tc>
          <w:tcPr>
            <w:tcW w:w="0" w:type="auto"/>
            <w:tcBorders>
              <w:top w:val="nil"/>
              <w:left w:val="nil"/>
              <w:bottom w:val="single" w:sz="8" w:space="0" w:color="auto"/>
              <w:right w:val="single" w:sz="4" w:space="0" w:color="auto"/>
            </w:tcBorders>
            <w:shd w:val="clear" w:color="auto" w:fill="auto"/>
            <w:noWrap/>
            <w:vAlign w:val="bottom"/>
          </w:tcPr>
          <w:p w:rsidR="00EA1CAD" w:rsidRDefault="00EA1CAD" w:rsidP="00AE25D9">
            <w:pPr>
              <w:rPr>
                <w:sz w:val="20"/>
                <w:szCs w:val="20"/>
              </w:rPr>
            </w:pPr>
            <w:r>
              <w:rPr>
                <w:sz w:val="20"/>
                <w:szCs w:val="20"/>
              </w:rPr>
              <w:t>0.955</w:t>
            </w:r>
          </w:p>
        </w:tc>
        <w:tc>
          <w:tcPr>
            <w:tcW w:w="0" w:type="auto"/>
            <w:tcBorders>
              <w:top w:val="nil"/>
              <w:left w:val="nil"/>
              <w:bottom w:val="single" w:sz="8" w:space="0" w:color="auto"/>
              <w:right w:val="nil"/>
            </w:tcBorders>
            <w:shd w:val="clear" w:color="auto" w:fill="auto"/>
            <w:noWrap/>
            <w:vAlign w:val="bottom"/>
          </w:tcPr>
          <w:p w:rsidR="00EA1CAD" w:rsidRDefault="00EA1CAD" w:rsidP="00AE25D9">
            <w:pPr>
              <w:rPr>
                <w:sz w:val="20"/>
                <w:szCs w:val="20"/>
              </w:rPr>
            </w:pPr>
            <w:r>
              <w:rPr>
                <w:sz w:val="20"/>
                <w:szCs w:val="20"/>
              </w:rPr>
              <w:t>0.953</w:t>
            </w:r>
          </w:p>
        </w:tc>
        <w:tc>
          <w:tcPr>
            <w:tcW w:w="0" w:type="auto"/>
            <w:tcBorders>
              <w:top w:val="nil"/>
              <w:left w:val="nil"/>
              <w:bottom w:val="single" w:sz="8" w:space="0" w:color="auto"/>
              <w:right w:val="nil"/>
            </w:tcBorders>
            <w:shd w:val="clear" w:color="auto" w:fill="auto"/>
            <w:noWrap/>
            <w:vAlign w:val="bottom"/>
          </w:tcPr>
          <w:p w:rsidR="00EA1CAD" w:rsidRDefault="00EA1CAD" w:rsidP="00AE25D9">
            <w:pPr>
              <w:rPr>
                <w:sz w:val="20"/>
                <w:szCs w:val="20"/>
              </w:rPr>
            </w:pPr>
            <w:r>
              <w:rPr>
                <w:sz w:val="20"/>
                <w:szCs w:val="20"/>
              </w:rPr>
              <w:t>0.955</w:t>
            </w:r>
          </w:p>
        </w:tc>
        <w:tc>
          <w:tcPr>
            <w:tcW w:w="0" w:type="auto"/>
            <w:tcBorders>
              <w:top w:val="nil"/>
              <w:left w:val="nil"/>
              <w:bottom w:val="single" w:sz="8" w:space="0" w:color="auto"/>
              <w:right w:val="nil"/>
            </w:tcBorders>
            <w:shd w:val="clear" w:color="auto" w:fill="auto"/>
            <w:noWrap/>
            <w:vAlign w:val="bottom"/>
          </w:tcPr>
          <w:p w:rsidR="00EA1CAD" w:rsidRDefault="00EA1CAD" w:rsidP="00AE25D9">
            <w:pPr>
              <w:rPr>
                <w:sz w:val="20"/>
                <w:szCs w:val="20"/>
              </w:rPr>
            </w:pPr>
            <w:r>
              <w:rPr>
                <w:sz w:val="20"/>
                <w:szCs w:val="20"/>
              </w:rPr>
              <w:t>0.955</w:t>
            </w:r>
          </w:p>
        </w:tc>
      </w:tr>
    </w:tbl>
    <w:p w:rsidR="00EA1CAD" w:rsidRDefault="00EA1CAD" w:rsidP="00EA1CAD">
      <w:pPr>
        <w:ind w:firstLine="720"/>
      </w:pPr>
    </w:p>
    <w:p w:rsidR="00EA1CAD" w:rsidRPr="006B6336" w:rsidRDefault="00EA1CAD" w:rsidP="00EA1CAD">
      <w:pPr>
        <w:ind w:firstLine="720"/>
      </w:pPr>
      <w:r>
        <w:t xml:space="preserve">Note: Trend </w:t>
      </w:r>
      <w:r w:rsidRPr="006B6336">
        <w:t>=observation/10,000</w:t>
      </w:r>
    </w:p>
    <w:p w:rsidR="00EA1CAD" w:rsidRPr="00036997" w:rsidRDefault="00EA1CAD" w:rsidP="00EA1CAD">
      <w:pPr>
        <w:ind w:firstLine="720"/>
        <w:rPr>
          <w:rFonts w:ascii="SimSun" w:hAnsi="SimSun" w:cs="SimSun"/>
          <w:sz w:val="16"/>
          <w:szCs w:val="16"/>
        </w:rPr>
      </w:pPr>
    </w:p>
    <w:p w:rsidR="00EA1CAD" w:rsidRPr="00064ED7" w:rsidRDefault="00EA1CAD" w:rsidP="00EA1CAD">
      <w:pPr>
        <w:pStyle w:val="PlainText"/>
        <w:rPr>
          <w:rFonts w:ascii="SimSun" w:hAnsi="SimSun" w:cs="SimSun"/>
          <w:lang w:eastAsia="zh-CN"/>
        </w:rPr>
      </w:pPr>
      <w:r w:rsidRPr="00064ED7">
        <w:rPr>
          <w:rFonts w:ascii="SimSun" w:hAnsi="SimSun" w:cs="SimSun"/>
          <w:lang w:eastAsia="zh-CN"/>
        </w:rPr>
        <w:t xml:space="preserve">Notes: 1). </w:t>
      </w:r>
      <w:r w:rsidRPr="00064ED7">
        <w:rPr>
          <w:rFonts w:ascii="SimSun" w:hAnsi="SimSun" w:cs="SimSun" w:hint="eastAsia"/>
          <w:lang w:eastAsia="zh-CN"/>
        </w:rPr>
        <w:t>Standard errors in parentheses</w:t>
      </w:r>
      <w:r w:rsidRPr="00064ED7">
        <w:rPr>
          <w:rFonts w:ascii="SimSun" w:hAnsi="SimSun" w:cs="SimSun"/>
          <w:lang w:eastAsia="zh-CN"/>
        </w:rPr>
        <w:t xml:space="preserve">; </w:t>
      </w:r>
      <w:r w:rsidRPr="00064ED7">
        <w:rPr>
          <w:rFonts w:ascii="SimSun" w:hAnsi="SimSun" w:cs="SimSun" w:hint="eastAsia"/>
          <w:lang w:eastAsia="zh-CN"/>
        </w:rPr>
        <w:t>* significant at 10%; ** significant at 5%;</w:t>
      </w:r>
    </w:p>
    <w:p w:rsidR="00EA1CAD" w:rsidRPr="00064ED7" w:rsidRDefault="00EA1CAD" w:rsidP="00EA1CAD">
      <w:pPr>
        <w:pStyle w:val="PlainText"/>
        <w:ind w:left="720"/>
        <w:rPr>
          <w:rFonts w:ascii="SimSun" w:hAnsi="SimSun" w:cs="SimSun"/>
          <w:lang w:eastAsia="zh-CN"/>
        </w:rPr>
      </w:pPr>
      <w:r>
        <w:rPr>
          <w:rFonts w:ascii="SimSun" w:hAnsi="SimSun" w:cs="SimSun"/>
          <w:lang w:eastAsia="zh-CN"/>
        </w:rPr>
        <w:t>2</w:t>
      </w:r>
      <w:r w:rsidRPr="00064ED7">
        <w:rPr>
          <w:rFonts w:ascii="SimSun" w:hAnsi="SimSun" w:cs="SimSun"/>
          <w:lang w:eastAsia="zh-CN"/>
        </w:rPr>
        <w:t xml:space="preserve">). </w:t>
      </w:r>
      <w:r>
        <w:rPr>
          <w:rFonts w:ascii="SimSun" w:hAnsi="SimSun" w:cs="SimSun"/>
          <w:lang w:eastAsia="zh-CN"/>
        </w:rPr>
        <w:t>Change in the log value of</w:t>
      </w:r>
      <w:r w:rsidRPr="00064ED7">
        <w:rPr>
          <w:rFonts w:ascii="SimSun" w:hAnsi="SimSun" w:cs="SimSun"/>
          <w:lang w:eastAsia="zh-CN"/>
        </w:rPr>
        <w:t xml:space="preserve"> the target currency </w:t>
      </w:r>
      <w:r>
        <w:rPr>
          <w:rFonts w:ascii="SimSun" w:hAnsi="SimSun" w:cs="SimSun"/>
          <w:lang w:eastAsia="zh-CN"/>
        </w:rPr>
        <w:t xml:space="preserve">is regressed on changes in the log values of other </w:t>
      </w:r>
      <w:r w:rsidRPr="00064ED7">
        <w:rPr>
          <w:rFonts w:ascii="SimSun" w:hAnsi="SimSun" w:cs="SimSun"/>
          <w:lang w:eastAsia="zh-CN"/>
        </w:rPr>
        <w:t>currencies;</w:t>
      </w:r>
    </w:p>
    <w:p w:rsidR="00EA1CAD" w:rsidRDefault="00EA1CAD" w:rsidP="00EA1CAD">
      <w:pPr>
        <w:ind w:firstLine="720"/>
        <w:rPr>
          <w:rFonts w:ascii="SimSun" w:hAnsi="SimSun" w:cs="SimSun"/>
          <w:sz w:val="20"/>
          <w:szCs w:val="20"/>
        </w:rPr>
      </w:pPr>
      <w:r>
        <w:rPr>
          <w:rFonts w:ascii="SimSun" w:hAnsi="SimSun" w:cs="SimSun"/>
          <w:sz w:val="20"/>
          <w:szCs w:val="20"/>
        </w:rPr>
        <w:t>3</w:t>
      </w:r>
      <w:r w:rsidRPr="00D33019">
        <w:rPr>
          <w:rFonts w:ascii="SimSun" w:hAnsi="SimSun" w:cs="SimSun"/>
          <w:sz w:val="20"/>
          <w:szCs w:val="20"/>
        </w:rPr>
        <w:t xml:space="preserve">). Data Source: Bloomberg daily closing price, </w:t>
      </w:r>
      <w:smartTag w:uri="urn:schemas-microsoft-com:office:smarttags" w:element="State">
        <w:smartTag w:uri="urn:schemas-microsoft-com:office:smarttags" w:element="place">
          <w:r w:rsidRPr="00D33019">
            <w:rPr>
              <w:rFonts w:ascii="SimSun" w:hAnsi="SimSun" w:cs="SimSun"/>
              <w:sz w:val="20"/>
              <w:szCs w:val="20"/>
            </w:rPr>
            <w:t>New York</w:t>
          </w:r>
        </w:smartTag>
      </w:smartTag>
      <w:r w:rsidRPr="00D33019">
        <w:rPr>
          <w:rFonts w:ascii="SimSun" w:hAnsi="SimSun" w:cs="SimSun"/>
          <w:sz w:val="20"/>
          <w:szCs w:val="20"/>
        </w:rPr>
        <w:t>.</w:t>
      </w:r>
    </w:p>
    <w:p w:rsidR="00EA1CAD" w:rsidRDefault="00EA1CAD" w:rsidP="00EA1CAD">
      <w:pPr>
        <w:ind w:firstLine="720"/>
        <w:rPr>
          <w:rFonts w:ascii="SimSun" w:hAnsi="SimSun" w:cs="SimSun"/>
          <w:sz w:val="20"/>
          <w:szCs w:val="20"/>
        </w:rPr>
      </w:pPr>
    </w:p>
    <w:p w:rsidR="00EA1CAD" w:rsidRDefault="00EA1CAD" w:rsidP="00EA1CAD">
      <w:pPr>
        <w:ind w:firstLine="720"/>
        <w:rPr>
          <w:rFonts w:ascii="SimSun" w:hAnsi="SimSun" w:cs="SimSun"/>
          <w:sz w:val="20"/>
          <w:szCs w:val="20"/>
        </w:rPr>
      </w:pPr>
    </w:p>
    <w:p w:rsidR="00EA1CAD" w:rsidRDefault="00EA1CAD" w:rsidP="00EA1CAD">
      <w:pPr>
        <w:ind w:firstLine="720"/>
        <w:rPr>
          <w:rFonts w:ascii="SimSun" w:hAnsi="SimSun" w:cs="SimSun"/>
          <w:sz w:val="20"/>
          <w:szCs w:val="20"/>
        </w:rPr>
      </w:pPr>
    </w:p>
    <w:p w:rsidR="00EA1CAD" w:rsidRDefault="00EA1CAD" w:rsidP="00EA1CAD">
      <w:pPr>
        <w:ind w:firstLine="720"/>
        <w:rPr>
          <w:rFonts w:ascii="SimSun" w:hAnsi="SimSun" w:cs="SimSun"/>
          <w:sz w:val="20"/>
          <w:szCs w:val="20"/>
        </w:rPr>
      </w:pPr>
    </w:p>
    <w:p w:rsidR="00EA1CAD" w:rsidRPr="00C95A2A" w:rsidRDefault="00EA1CAD" w:rsidP="00EA1CAD">
      <w:pPr>
        <w:rPr>
          <w:b/>
        </w:rPr>
      </w:pPr>
      <w:r>
        <w:rPr>
          <w:b/>
        </w:rPr>
        <w:br w:type="page"/>
      </w:r>
      <w:r w:rsidRPr="00C95A2A">
        <w:rPr>
          <w:b/>
        </w:rPr>
        <w:t xml:space="preserve">Table </w:t>
      </w:r>
      <w:r>
        <w:rPr>
          <w:b/>
        </w:rPr>
        <w:t>6</w:t>
      </w:r>
      <w:r w:rsidRPr="00C95A2A">
        <w:rPr>
          <w:b/>
        </w:rPr>
        <w:t xml:space="preserve">: Pressure from the </w:t>
      </w:r>
      <w:smartTag w:uri="urn:schemas-microsoft-com:office:smarttags" w:element="country-region">
        <w:smartTag w:uri="urn:schemas-microsoft-com:office:smarttags" w:element="place">
          <w:r w:rsidRPr="00C95A2A">
            <w:rPr>
              <w:b/>
            </w:rPr>
            <w:t>US</w:t>
          </w:r>
        </w:smartTag>
      </w:smartTag>
      <w:r w:rsidRPr="00C95A2A">
        <w:rPr>
          <w:b/>
        </w:rPr>
        <w:t xml:space="preserve"> a</w:t>
      </w:r>
      <w:r>
        <w:rPr>
          <w:b/>
        </w:rPr>
        <w:t>s a Determinant of the</w:t>
      </w:r>
      <w:r w:rsidRPr="00C95A2A">
        <w:rPr>
          <w:b/>
        </w:rPr>
        <w:t xml:space="preserve"> Chinese Exchange Rate</w:t>
      </w:r>
    </w:p>
    <w:p w:rsidR="00EA1CAD" w:rsidRDefault="00EA1CAD" w:rsidP="00EA1CAD">
      <w:r w:rsidRPr="006B6336">
        <w:t>Whole Sample (</w:t>
      </w:r>
      <w:smartTag w:uri="urn:schemas-microsoft-com:office:smarttags" w:element="date">
        <w:smartTagPr>
          <w:attr w:name="Month" w:val="7"/>
          <w:attr w:name="Day" w:val="22"/>
          <w:attr w:name="Year" w:val="2005"/>
        </w:smartTagPr>
        <w:r w:rsidRPr="006B6336">
          <w:t>07/22/2005</w:t>
        </w:r>
      </w:smartTag>
      <w:r w:rsidRPr="006B6336">
        <w:t xml:space="preserve"> – 01/08/2007, Numeraire currency =</w:t>
      </w:r>
      <w:r>
        <w:t>SDR</w:t>
      </w:r>
      <w:r w:rsidRPr="006B6336">
        <w:t>)</w:t>
      </w:r>
    </w:p>
    <w:p w:rsidR="00EA1CAD" w:rsidRPr="000B5501" w:rsidRDefault="00EA1CAD" w:rsidP="00EA1CAD">
      <w:pPr>
        <w:rPr>
          <w:sz w:val="16"/>
          <w:szCs w:val="16"/>
        </w:rPr>
      </w:pPr>
    </w:p>
    <w:tbl>
      <w:tblPr>
        <w:tblW w:w="5304" w:type="dxa"/>
        <w:tblCellMar>
          <w:left w:w="0" w:type="dxa"/>
          <w:right w:w="0" w:type="dxa"/>
        </w:tblCellMar>
        <w:tblLook w:val="0000" w:firstRow="0" w:lastRow="0" w:firstColumn="0" w:lastColumn="0" w:noHBand="0" w:noVBand="0"/>
      </w:tblPr>
      <w:tblGrid>
        <w:gridCol w:w="1805"/>
        <w:gridCol w:w="1087"/>
        <w:gridCol w:w="1224"/>
        <w:gridCol w:w="1244"/>
      </w:tblGrid>
      <w:tr w:rsidR="00EA1CAD">
        <w:trPr>
          <w:trHeight w:val="255"/>
        </w:trPr>
        <w:tc>
          <w:tcPr>
            <w:tcW w:w="1797" w:type="dxa"/>
            <w:tcBorders>
              <w:top w:val="single" w:sz="4" w:space="0" w:color="auto"/>
              <w:left w:val="nil"/>
              <w:bottom w:val="nil"/>
              <w:right w:val="nil"/>
            </w:tcBorders>
            <w:shd w:val="clear" w:color="auto" w:fill="auto"/>
            <w:noWrap/>
            <w:vAlign w:val="bottom"/>
          </w:tcPr>
          <w:p w:rsidR="00EA1CAD" w:rsidRDefault="00EA1CAD" w:rsidP="00AE25D9">
            <w:pPr>
              <w:rPr>
                <w:sz w:val="20"/>
                <w:szCs w:val="20"/>
              </w:rPr>
            </w:pPr>
            <w:bookmarkStart w:id="3" w:name="OLE_LINK1"/>
          </w:p>
        </w:tc>
        <w:tc>
          <w:tcPr>
            <w:tcW w:w="1071" w:type="dxa"/>
            <w:tcBorders>
              <w:top w:val="single" w:sz="4" w:space="0" w:color="auto"/>
              <w:left w:val="nil"/>
              <w:bottom w:val="nil"/>
              <w:right w:val="nil"/>
            </w:tcBorders>
            <w:shd w:val="clear" w:color="auto" w:fill="auto"/>
            <w:noWrap/>
            <w:vAlign w:val="bottom"/>
          </w:tcPr>
          <w:p w:rsidR="00EA1CAD" w:rsidRDefault="00EA1CAD" w:rsidP="00AE25D9">
            <w:pPr>
              <w:rPr>
                <w:sz w:val="20"/>
                <w:szCs w:val="20"/>
              </w:rPr>
            </w:pPr>
            <w:r>
              <w:rPr>
                <w:sz w:val="20"/>
                <w:szCs w:val="20"/>
              </w:rPr>
              <w:t>(1)</w:t>
            </w:r>
          </w:p>
        </w:tc>
        <w:tc>
          <w:tcPr>
            <w:tcW w:w="1208" w:type="dxa"/>
            <w:tcBorders>
              <w:top w:val="single" w:sz="4" w:space="0" w:color="auto"/>
              <w:left w:val="nil"/>
              <w:bottom w:val="nil"/>
              <w:right w:val="nil"/>
            </w:tcBorders>
            <w:shd w:val="clear" w:color="auto" w:fill="auto"/>
            <w:noWrap/>
            <w:vAlign w:val="bottom"/>
          </w:tcPr>
          <w:p w:rsidR="00EA1CAD" w:rsidRDefault="00EA1CAD" w:rsidP="00AE25D9">
            <w:pPr>
              <w:rPr>
                <w:sz w:val="20"/>
                <w:szCs w:val="20"/>
              </w:rPr>
            </w:pPr>
            <w:r>
              <w:rPr>
                <w:sz w:val="20"/>
                <w:szCs w:val="20"/>
              </w:rPr>
              <w:t>(2)</w:t>
            </w:r>
          </w:p>
        </w:tc>
        <w:tc>
          <w:tcPr>
            <w:tcW w:w="1228" w:type="dxa"/>
            <w:tcBorders>
              <w:top w:val="single" w:sz="4" w:space="0" w:color="auto"/>
              <w:left w:val="nil"/>
              <w:bottom w:val="nil"/>
              <w:right w:val="nil"/>
            </w:tcBorders>
            <w:shd w:val="clear" w:color="auto" w:fill="auto"/>
            <w:noWrap/>
            <w:vAlign w:val="bottom"/>
          </w:tcPr>
          <w:p w:rsidR="00EA1CAD" w:rsidRDefault="00EA1CAD" w:rsidP="00AE25D9">
            <w:pPr>
              <w:rPr>
                <w:sz w:val="20"/>
                <w:szCs w:val="20"/>
              </w:rPr>
            </w:pPr>
            <w:r>
              <w:rPr>
                <w:sz w:val="20"/>
                <w:szCs w:val="20"/>
              </w:rPr>
              <w:t>(3)</w:t>
            </w:r>
          </w:p>
        </w:tc>
      </w:tr>
      <w:tr w:rsidR="00EA1CAD">
        <w:trPr>
          <w:trHeight w:val="270"/>
        </w:trPr>
        <w:tc>
          <w:tcPr>
            <w:tcW w:w="1797" w:type="dxa"/>
            <w:tcBorders>
              <w:top w:val="nil"/>
              <w:left w:val="nil"/>
              <w:bottom w:val="nil"/>
              <w:right w:val="nil"/>
            </w:tcBorders>
            <w:shd w:val="clear" w:color="auto" w:fill="auto"/>
          </w:tcPr>
          <w:p w:rsidR="00EA1CAD" w:rsidRDefault="00EA1CAD" w:rsidP="00AE25D9">
            <w:pPr>
              <w:rPr>
                <w:sz w:val="20"/>
                <w:szCs w:val="20"/>
              </w:rPr>
            </w:pPr>
            <w:r>
              <w:rPr>
                <w:sz w:val="20"/>
                <w:szCs w:val="20"/>
              </w:rPr>
              <w:t>US Dollar</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0.904**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0.983**</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0.983**</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(0.021)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(0.030)</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(0.030)</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r>
              <w:rPr>
                <w:sz w:val="20"/>
                <w:szCs w:val="20"/>
              </w:rPr>
              <w:t>Euro</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-0.006</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(0.014)</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r>
              <w:rPr>
                <w:sz w:val="20"/>
                <w:szCs w:val="20"/>
              </w:rPr>
              <w:t>Japanese Yen</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0.010</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(0.009)</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r>
              <w:rPr>
                <w:sz w:val="20"/>
                <w:szCs w:val="20"/>
              </w:rPr>
              <w:t>Korean Won</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0.003</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0.001</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(0.009)</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smartTag w:uri="urn:schemas-microsoft-com:office:smarttags" w:element="country-region">
              <w:smartTag w:uri="urn:schemas-microsoft-com:office:smarttags" w:element="place">
                <w:r>
                  <w:rPr>
                    <w:sz w:val="20"/>
                    <w:szCs w:val="20"/>
                  </w:rPr>
                  <w:t>Singapore</w:t>
                </w:r>
              </w:smartTag>
            </w:smartTag>
            <w:r>
              <w:rPr>
                <w:sz w:val="20"/>
                <w:szCs w:val="20"/>
              </w:rPr>
              <w:t xml:space="preserve"> Dollar</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-0.020</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-0.018</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-0.019</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(0.020)</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(0.020)</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(0.020)</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r>
              <w:rPr>
                <w:sz w:val="20"/>
                <w:szCs w:val="20"/>
              </w:rPr>
              <w:t>British Pound</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-0.008</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-0.007</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(0.011)</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smartTag w:uri="urn:schemas-microsoft-com:office:smarttags" w:element="country-region">
              <w:smartTag w:uri="urn:schemas-microsoft-com:office:smarttags" w:element="place">
                <w:r>
                  <w:rPr>
                    <w:sz w:val="20"/>
                    <w:szCs w:val="20"/>
                  </w:rPr>
                  <w:t>Malaysia</w:t>
                </w:r>
              </w:smartTag>
            </w:smartTag>
            <w:r>
              <w:rPr>
                <w:sz w:val="20"/>
                <w:szCs w:val="20"/>
              </w:rPr>
              <w:t xml:space="preserve"> Ringgit</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0.053**</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0.037**</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0.037**</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(0.015)</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(0.016)</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smartTag w:uri="urn:schemas-microsoft-com:office:smarttags" w:element="country-region">
              <w:smartTag w:uri="urn:schemas-microsoft-com:office:smarttags" w:element="place">
                <w:r>
                  <w:rPr>
                    <w:sz w:val="20"/>
                    <w:szCs w:val="20"/>
                  </w:rPr>
                  <w:t>Russia</w:t>
                </w:r>
              </w:smartTag>
            </w:smartTag>
            <w:r>
              <w:rPr>
                <w:sz w:val="20"/>
                <w:szCs w:val="20"/>
              </w:rPr>
              <w:t xml:space="preserve"> Ruble</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-0.017</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-0.015</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-0.014</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(0.021)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(0.021)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(0.021)</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r>
              <w:rPr>
                <w:sz w:val="20"/>
                <w:szCs w:val="20"/>
              </w:rPr>
              <w:t>Australian Dollar</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-0.001</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-0.002</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(0.008)</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(0.008)</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(0.008)</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smartTag w:uri="urn:schemas-microsoft-com:office:smarttags" w:element="country-region">
              <w:smartTag w:uri="urn:schemas-microsoft-com:office:smarttags" w:element="place">
                <w:r>
                  <w:rPr>
                    <w:sz w:val="20"/>
                    <w:szCs w:val="20"/>
                  </w:rPr>
                  <w:t>Thailand</w:t>
                </w:r>
              </w:smartTag>
            </w:smartTag>
            <w:r>
              <w:rPr>
                <w:sz w:val="20"/>
                <w:szCs w:val="20"/>
              </w:rPr>
              <w:t xml:space="preserve"> Baht</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0.009</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(0.010)</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(0.010)</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(0.010)</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r>
              <w:rPr>
                <w:sz w:val="20"/>
                <w:szCs w:val="20"/>
              </w:rPr>
              <w:t>Canadian Dollar</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0.002</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0.003</w:t>
            </w:r>
          </w:p>
        </w:tc>
      </w:tr>
      <w:tr w:rsidR="00EA1CAD">
        <w:trPr>
          <w:trHeight w:val="255"/>
        </w:trPr>
        <w:tc>
          <w:tcPr>
            <w:tcW w:w="1797" w:type="dxa"/>
            <w:tcBorders>
              <w:top w:val="nil"/>
              <w:left w:val="nil"/>
              <w:bottom w:val="nil"/>
              <w:right w:val="nil"/>
            </w:tcBorders>
            <w:shd w:val="clear" w:color="auto" w:fill="auto"/>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(0.008)</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(0.007)</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(0.007)</w:t>
            </w:r>
          </w:p>
        </w:tc>
      </w:tr>
      <w:tr w:rsidR="00EA1CAD">
        <w:trPr>
          <w:trHeight w:val="255"/>
        </w:trPr>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US Complaint</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0.004</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0.004</w:t>
            </w:r>
          </w:p>
        </w:tc>
      </w:tr>
      <w:tr w:rsidR="00EA1CAD">
        <w:trPr>
          <w:trHeight w:val="255"/>
        </w:trPr>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(0.003)</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(0.003)</w:t>
            </w:r>
          </w:p>
        </w:tc>
      </w:tr>
      <w:tr w:rsidR="00EA1CAD">
        <w:trPr>
          <w:trHeight w:val="255"/>
        </w:trPr>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US Complaint* USD</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-4.493**</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-4.508**</w:t>
            </w:r>
          </w:p>
        </w:tc>
      </w:tr>
      <w:tr w:rsidR="00EA1CAD">
        <w:trPr>
          <w:trHeight w:val="255"/>
        </w:trPr>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(1.219)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(1.217)</w:t>
            </w:r>
          </w:p>
        </w:tc>
      </w:tr>
      <w:tr w:rsidR="00EA1CAD">
        <w:trPr>
          <w:trHeight w:val="255"/>
        </w:trPr>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Constant</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0.00002</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0.00009**</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0.00001</w:t>
            </w:r>
          </w:p>
        </w:tc>
      </w:tr>
      <w:tr w:rsidR="00EA1CAD">
        <w:trPr>
          <w:trHeight w:val="255"/>
        </w:trPr>
        <w:tc>
          <w:tcPr>
            <w:tcW w:w="0" w:type="auto"/>
            <w:tcBorders>
              <w:top w:val="nil"/>
              <w:left w:val="nil"/>
              <w:bottom w:val="nil"/>
              <w:right w:val="nil"/>
            </w:tcBorders>
            <w:shd w:val="clear" w:color="auto" w:fill="auto"/>
            <w:noWrap/>
            <w:vAlign w:val="bottom"/>
          </w:tcPr>
          <w:p w:rsidR="00EA1CAD" w:rsidRDefault="00EA1CAD" w:rsidP="00AE25D9">
            <w:pPr>
              <w:rPr>
                <w:sz w:val="20"/>
                <w:szCs w:val="20"/>
              </w:rPr>
            </w:pP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(0.00006)</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(0.00003)</w:t>
            </w:r>
          </w:p>
        </w:tc>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(0.00006)</w:t>
            </w:r>
          </w:p>
        </w:tc>
      </w:tr>
      <w:tr w:rsidR="00EA1CAD">
        <w:trPr>
          <w:trHeight w:val="255"/>
        </w:trPr>
        <w:tc>
          <w:tcPr>
            <w:tcW w:w="0" w:type="auto"/>
            <w:tcBorders>
              <w:top w:val="single" w:sz="4" w:space="0" w:color="auto"/>
              <w:left w:val="nil"/>
              <w:right w:val="nil"/>
            </w:tcBorders>
            <w:shd w:val="clear" w:color="auto" w:fill="auto"/>
            <w:noWrap/>
            <w:vAlign w:val="bottom"/>
          </w:tcPr>
          <w:p w:rsidR="00EA1CAD" w:rsidRDefault="00EA1CAD" w:rsidP="00AE25D9">
            <w:pPr>
              <w:rPr>
                <w:sz w:val="20"/>
                <w:szCs w:val="20"/>
              </w:rPr>
            </w:pPr>
            <w:r>
              <w:rPr>
                <w:sz w:val="20"/>
                <w:szCs w:val="20"/>
              </w:rPr>
              <w:t>Observations</w:t>
            </w:r>
          </w:p>
        </w:tc>
        <w:tc>
          <w:tcPr>
            <w:tcW w:w="0" w:type="auto"/>
            <w:tcBorders>
              <w:top w:val="single" w:sz="4" w:space="0" w:color="auto"/>
              <w:left w:val="nil"/>
              <w:right w:val="nil"/>
            </w:tcBorders>
            <w:shd w:val="clear" w:color="auto" w:fill="auto"/>
            <w:noWrap/>
            <w:vAlign w:val="bottom"/>
          </w:tcPr>
          <w:p w:rsidR="00EA1CAD" w:rsidRDefault="00EA1CAD" w:rsidP="00AE25D9">
            <w:pPr>
              <w:rPr>
                <w:sz w:val="20"/>
                <w:szCs w:val="20"/>
              </w:rPr>
            </w:pPr>
            <w:r>
              <w:rPr>
                <w:sz w:val="20"/>
                <w:szCs w:val="20"/>
              </w:rPr>
              <w:t>383</w:t>
            </w:r>
          </w:p>
        </w:tc>
        <w:tc>
          <w:tcPr>
            <w:tcW w:w="0" w:type="auto"/>
            <w:tcBorders>
              <w:top w:val="single" w:sz="4" w:space="0" w:color="auto"/>
              <w:left w:val="nil"/>
              <w:right w:val="nil"/>
            </w:tcBorders>
            <w:shd w:val="clear" w:color="auto" w:fill="auto"/>
            <w:noWrap/>
            <w:vAlign w:val="bottom"/>
          </w:tcPr>
          <w:p w:rsidR="00EA1CAD" w:rsidRDefault="00EA1CAD" w:rsidP="00AE25D9">
            <w:pPr>
              <w:rPr>
                <w:sz w:val="20"/>
                <w:szCs w:val="20"/>
              </w:rPr>
            </w:pPr>
            <w:r>
              <w:rPr>
                <w:sz w:val="20"/>
                <w:szCs w:val="20"/>
              </w:rPr>
              <w:t>383</w:t>
            </w:r>
          </w:p>
        </w:tc>
        <w:tc>
          <w:tcPr>
            <w:tcW w:w="0" w:type="auto"/>
            <w:tcBorders>
              <w:top w:val="single" w:sz="4" w:space="0" w:color="auto"/>
              <w:left w:val="nil"/>
              <w:right w:val="nil"/>
            </w:tcBorders>
            <w:shd w:val="clear" w:color="auto" w:fill="auto"/>
            <w:noWrap/>
            <w:vAlign w:val="bottom"/>
          </w:tcPr>
          <w:p w:rsidR="00EA1CAD" w:rsidRDefault="00EA1CAD" w:rsidP="00AE25D9">
            <w:pPr>
              <w:rPr>
                <w:sz w:val="20"/>
                <w:szCs w:val="20"/>
              </w:rPr>
            </w:pPr>
            <w:r>
              <w:rPr>
                <w:sz w:val="20"/>
                <w:szCs w:val="20"/>
              </w:rPr>
              <w:t>383</w:t>
            </w:r>
          </w:p>
        </w:tc>
      </w:tr>
      <w:tr w:rsidR="00EA1CAD">
        <w:trPr>
          <w:trHeight w:val="270"/>
        </w:trPr>
        <w:tc>
          <w:tcPr>
            <w:tcW w:w="0" w:type="auto"/>
            <w:tcBorders>
              <w:top w:val="nil"/>
              <w:left w:val="nil"/>
              <w:right w:val="single" w:sz="4" w:space="0" w:color="auto"/>
            </w:tcBorders>
            <w:shd w:val="clear" w:color="auto" w:fill="auto"/>
            <w:noWrap/>
            <w:vAlign w:val="bottom"/>
          </w:tcPr>
          <w:p w:rsidR="00EA1CAD" w:rsidRDefault="00EA1CAD" w:rsidP="00AE25D9">
            <w:pPr>
              <w:rPr>
                <w:sz w:val="20"/>
                <w:szCs w:val="20"/>
              </w:rPr>
            </w:pPr>
            <w:r>
              <w:rPr>
                <w:sz w:val="20"/>
                <w:szCs w:val="20"/>
              </w:rPr>
              <w:t>Root MSE</w:t>
            </w:r>
          </w:p>
        </w:tc>
        <w:tc>
          <w:tcPr>
            <w:tcW w:w="0" w:type="auto"/>
            <w:tcBorders>
              <w:top w:val="nil"/>
              <w:left w:val="single" w:sz="4" w:space="0" w:color="auto"/>
            </w:tcBorders>
            <w:shd w:val="clear" w:color="auto" w:fill="auto"/>
            <w:noWrap/>
            <w:vAlign w:val="bottom"/>
          </w:tcPr>
          <w:p w:rsidR="00EA1CAD" w:rsidRDefault="00EA1CAD" w:rsidP="00AE25D9">
            <w:pPr>
              <w:rPr>
                <w:sz w:val="20"/>
                <w:szCs w:val="20"/>
              </w:rPr>
            </w:pPr>
            <w:r>
              <w:rPr>
                <w:sz w:val="20"/>
                <w:szCs w:val="20"/>
              </w:rPr>
              <w:t> 0.00055</w:t>
            </w:r>
          </w:p>
        </w:tc>
        <w:tc>
          <w:tcPr>
            <w:tcW w:w="0" w:type="auto"/>
            <w:tcBorders>
              <w:top w:val="nil"/>
            </w:tcBorders>
            <w:shd w:val="clear" w:color="auto" w:fill="auto"/>
            <w:noWrap/>
            <w:vAlign w:val="bottom"/>
          </w:tcPr>
          <w:p w:rsidR="00EA1CAD" w:rsidRDefault="00EA1CAD" w:rsidP="00AE25D9">
            <w:pPr>
              <w:rPr>
                <w:sz w:val="20"/>
                <w:szCs w:val="20"/>
              </w:rPr>
            </w:pPr>
            <w:r>
              <w:rPr>
                <w:sz w:val="20"/>
                <w:szCs w:val="20"/>
              </w:rPr>
              <w:t> 0.00054</w:t>
            </w:r>
          </w:p>
        </w:tc>
        <w:tc>
          <w:tcPr>
            <w:tcW w:w="0" w:type="auto"/>
            <w:tcBorders>
              <w:top w:val="nil"/>
              <w:right w:val="nil"/>
            </w:tcBorders>
            <w:shd w:val="clear" w:color="auto" w:fill="auto"/>
            <w:noWrap/>
            <w:vAlign w:val="bottom"/>
          </w:tcPr>
          <w:p w:rsidR="00EA1CAD" w:rsidRDefault="00EA1CAD" w:rsidP="00AE25D9">
            <w:pPr>
              <w:rPr>
                <w:sz w:val="20"/>
                <w:szCs w:val="20"/>
              </w:rPr>
            </w:pPr>
            <w:r>
              <w:rPr>
                <w:sz w:val="20"/>
                <w:szCs w:val="20"/>
              </w:rPr>
              <w:t> 0.00054</w:t>
            </w:r>
          </w:p>
        </w:tc>
      </w:tr>
      <w:tr w:rsidR="00EA1CAD">
        <w:trPr>
          <w:trHeight w:val="270"/>
        </w:trPr>
        <w:tc>
          <w:tcPr>
            <w:tcW w:w="0" w:type="auto"/>
            <w:tcBorders>
              <w:left w:val="nil"/>
              <w:bottom w:val="single" w:sz="8" w:space="0" w:color="auto"/>
              <w:right w:val="single" w:sz="4" w:space="0" w:color="auto"/>
            </w:tcBorders>
            <w:shd w:val="clear" w:color="auto" w:fill="auto"/>
            <w:noWrap/>
            <w:vAlign w:val="bottom"/>
          </w:tcPr>
          <w:p w:rsidR="00EA1CAD" w:rsidRDefault="00EA1CAD" w:rsidP="00AE25D9">
            <w:pPr>
              <w:rPr>
                <w:sz w:val="20"/>
                <w:szCs w:val="20"/>
              </w:rPr>
            </w:pPr>
            <w:r>
              <w:rPr>
                <w:sz w:val="20"/>
                <w:szCs w:val="20"/>
              </w:rPr>
              <w:t>R-squared</w:t>
            </w:r>
          </w:p>
        </w:tc>
        <w:tc>
          <w:tcPr>
            <w:tcW w:w="0" w:type="auto"/>
            <w:tcBorders>
              <w:left w:val="single" w:sz="4" w:space="0" w:color="auto"/>
              <w:bottom w:val="single" w:sz="8" w:space="0" w:color="auto"/>
              <w:right w:val="nil"/>
            </w:tcBorders>
            <w:shd w:val="clear" w:color="auto" w:fill="auto"/>
            <w:noWrap/>
            <w:vAlign w:val="bottom"/>
          </w:tcPr>
          <w:p w:rsidR="00EA1CAD" w:rsidRDefault="00EA1CAD" w:rsidP="00AE25D9">
            <w:pPr>
              <w:rPr>
                <w:sz w:val="20"/>
                <w:szCs w:val="20"/>
              </w:rPr>
            </w:pPr>
            <w:r>
              <w:rPr>
                <w:sz w:val="20"/>
                <w:szCs w:val="20"/>
              </w:rPr>
              <w:t>0.95</w:t>
            </w:r>
          </w:p>
        </w:tc>
        <w:tc>
          <w:tcPr>
            <w:tcW w:w="0" w:type="auto"/>
            <w:tcBorders>
              <w:left w:val="nil"/>
              <w:bottom w:val="single" w:sz="8" w:space="0" w:color="auto"/>
              <w:right w:val="nil"/>
            </w:tcBorders>
            <w:shd w:val="clear" w:color="auto" w:fill="auto"/>
            <w:noWrap/>
            <w:vAlign w:val="bottom"/>
          </w:tcPr>
          <w:p w:rsidR="00EA1CAD" w:rsidRDefault="00EA1CAD" w:rsidP="00AE25D9">
            <w:pPr>
              <w:rPr>
                <w:sz w:val="20"/>
                <w:szCs w:val="20"/>
              </w:rPr>
            </w:pPr>
            <w:r>
              <w:rPr>
                <w:sz w:val="20"/>
                <w:szCs w:val="20"/>
              </w:rPr>
              <w:t>0.95</w:t>
            </w:r>
          </w:p>
        </w:tc>
        <w:tc>
          <w:tcPr>
            <w:tcW w:w="0" w:type="auto"/>
            <w:tcBorders>
              <w:left w:val="nil"/>
              <w:bottom w:val="single" w:sz="8" w:space="0" w:color="auto"/>
              <w:right w:val="nil"/>
            </w:tcBorders>
            <w:shd w:val="clear" w:color="auto" w:fill="auto"/>
            <w:noWrap/>
            <w:vAlign w:val="bottom"/>
          </w:tcPr>
          <w:p w:rsidR="00EA1CAD" w:rsidRDefault="00EA1CAD" w:rsidP="00AE25D9">
            <w:pPr>
              <w:rPr>
                <w:sz w:val="20"/>
                <w:szCs w:val="20"/>
              </w:rPr>
            </w:pPr>
            <w:r>
              <w:rPr>
                <w:sz w:val="20"/>
                <w:szCs w:val="20"/>
              </w:rPr>
              <w:t>0.96</w:t>
            </w:r>
          </w:p>
        </w:tc>
      </w:tr>
    </w:tbl>
    <w:p w:rsidR="00EA1CAD" w:rsidRPr="007C6DCC" w:rsidRDefault="00EA1CAD" w:rsidP="00EA1CAD">
      <w:pPr>
        <w:rPr>
          <w:b/>
          <w:sz w:val="16"/>
          <w:szCs w:val="16"/>
        </w:rPr>
      </w:pPr>
    </w:p>
    <w:tbl>
      <w:tblPr>
        <w:tblW w:w="1720" w:type="dxa"/>
        <w:tblCellMar>
          <w:left w:w="0" w:type="dxa"/>
          <w:right w:w="0" w:type="dxa"/>
        </w:tblCellMar>
        <w:tblLook w:val="0000" w:firstRow="0" w:lastRow="0" w:firstColumn="0" w:lastColumn="0" w:noHBand="0" w:noVBand="0"/>
      </w:tblPr>
      <w:tblGrid>
        <w:gridCol w:w="6560"/>
      </w:tblGrid>
      <w:tr w:rsidR="00EA1CAD">
        <w:trPr>
          <w:trHeight w:val="255"/>
        </w:trPr>
        <w:tc>
          <w:tcPr>
            <w:tcW w:w="0" w:type="auto"/>
            <w:tcBorders>
              <w:top w:val="nil"/>
              <w:left w:val="nil"/>
              <w:bottom w:val="nil"/>
              <w:right w:val="nil"/>
            </w:tcBorders>
            <w:shd w:val="clear" w:color="auto" w:fill="auto"/>
            <w:noWrap/>
            <w:vAlign w:val="bottom"/>
          </w:tcPr>
          <w:bookmarkEnd w:id="3"/>
          <w:p w:rsidR="00EA1CAD" w:rsidRDefault="00EA1CAD" w:rsidP="00AE25D9">
            <w:pPr>
              <w:rPr>
                <w:sz w:val="20"/>
                <w:szCs w:val="20"/>
              </w:rPr>
            </w:pPr>
            <w:r>
              <w:rPr>
                <w:sz w:val="20"/>
                <w:szCs w:val="20"/>
              </w:rPr>
              <w:t>Notes: 1. Standard errors in parentheses;* significant at 10%; ** significant at 5%</w:t>
            </w:r>
          </w:p>
        </w:tc>
      </w:tr>
      <w:tr w:rsidR="00EA1CAD">
        <w:trPr>
          <w:trHeight w:val="255"/>
        </w:trPr>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 xml:space="preserve">           2. Treasury in columns (1)-(6) are: Cumulative Treasury report/1000,</w:t>
            </w:r>
          </w:p>
        </w:tc>
      </w:tr>
      <w:tr w:rsidR="00EA1CAD">
        <w:trPr>
          <w:trHeight w:val="255"/>
        </w:trPr>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 xml:space="preserve">           3. Other in Columns (1)-(6) are: Cumulative Other report/1000</w:t>
            </w:r>
          </w:p>
        </w:tc>
      </w:tr>
      <w:tr w:rsidR="00EA1CAD">
        <w:trPr>
          <w:trHeight w:val="255"/>
        </w:trPr>
        <w:tc>
          <w:tcPr>
            <w:tcW w:w="0" w:type="auto"/>
            <w:tcBorders>
              <w:top w:val="nil"/>
              <w:left w:val="nil"/>
              <w:bottom w:val="nil"/>
              <w:right w:val="nil"/>
            </w:tcBorders>
            <w:shd w:val="clear" w:color="auto" w:fill="auto"/>
            <w:noWrap/>
            <w:vAlign w:val="bottom"/>
          </w:tcPr>
          <w:p w:rsidR="00EA1CAD" w:rsidRDefault="00EA1CAD" w:rsidP="00AE25D9">
            <w:pPr>
              <w:rPr>
                <w:sz w:val="20"/>
                <w:szCs w:val="20"/>
              </w:rPr>
            </w:pPr>
            <w:r>
              <w:rPr>
                <w:sz w:val="20"/>
                <w:szCs w:val="20"/>
              </w:rPr>
              <w:t xml:space="preserve">           4. </w:t>
            </w:r>
            <w:smartTag w:uri="urn:schemas-microsoft-com:office:smarttags" w:element="country-region">
              <w:smartTag w:uri="urn:schemas-microsoft-com:office:smarttags" w:element="place">
                <w:r>
                  <w:rPr>
                    <w:sz w:val="20"/>
                    <w:szCs w:val="20"/>
                  </w:rPr>
                  <w:t>US</w:t>
                </w:r>
              </w:smartTag>
            </w:smartTag>
            <w:r>
              <w:rPr>
                <w:sz w:val="20"/>
                <w:szCs w:val="20"/>
              </w:rPr>
              <w:t xml:space="preserve"> Complaint = Treasury Complaint + Other Complaint</w:t>
            </w:r>
          </w:p>
        </w:tc>
      </w:tr>
    </w:tbl>
    <w:p w:rsidR="00EA1CAD" w:rsidRDefault="00EA1CAD" w:rsidP="00EA1CAD">
      <w:pPr>
        <w:sectPr w:rsidR="00EA1CAD" w:rsidSect="00B13CFA">
          <w:headerReference w:type="default" r:id="rId17"/>
          <w:footerReference w:type="default" r:id="rId18"/>
          <w:headerReference w:type="first" r:id="rId19"/>
          <w:footerReference w:type="first" r:id="rId20"/>
          <w:pgSz w:w="12240" w:h="15840" w:code="1"/>
          <w:pgMar w:top="1440" w:right="1440" w:bottom="1440" w:left="1800" w:header="720" w:footer="720" w:gutter="0"/>
          <w:cols w:space="720"/>
          <w:titlePg/>
          <w:docGrid w:linePitch="360"/>
        </w:sectPr>
      </w:pPr>
      <w:r>
        <w:t xml:space="preserve"> </w:t>
      </w:r>
    </w:p>
    <w:p w:rsidR="00EA1CAD" w:rsidRDefault="00EA1CAD" w:rsidP="00EA1CAD">
      <w:pPr>
        <w:rPr>
          <w:b/>
        </w:rPr>
      </w:pPr>
      <w:r>
        <w:rPr>
          <w:b/>
        </w:rPr>
        <w:t>Table 7: Allowing for trends in level and (nonlinearly) in the currency weights,</w:t>
      </w:r>
    </w:p>
    <w:p w:rsidR="00EA1CAD" w:rsidRPr="00E73430" w:rsidRDefault="00EA1CAD" w:rsidP="00EA1CAD">
      <w:pPr>
        <w:rPr>
          <w:b/>
        </w:rPr>
      </w:pPr>
      <w:proofErr w:type="gramStart"/>
      <w:r>
        <w:rPr>
          <w:b/>
        </w:rPr>
        <w:t>while</w:t>
      </w:r>
      <w:proofErr w:type="gramEnd"/>
      <w:r>
        <w:rPr>
          <w:b/>
        </w:rPr>
        <w:t xml:space="preserve"> imposing throughout the constraints that the weights sum to 1</w:t>
      </w:r>
    </w:p>
    <w:tbl>
      <w:tblPr>
        <w:tblW w:w="8000" w:type="dxa"/>
        <w:tblInd w:w="93" w:type="dxa"/>
        <w:tblLook w:val="0000" w:firstRow="0" w:lastRow="0" w:firstColumn="0" w:lastColumn="0" w:noHBand="0" w:noVBand="0"/>
      </w:tblPr>
      <w:tblGrid>
        <w:gridCol w:w="2625"/>
        <w:gridCol w:w="1115"/>
        <w:gridCol w:w="955"/>
        <w:gridCol w:w="1620"/>
        <w:gridCol w:w="265"/>
        <w:gridCol w:w="1420"/>
      </w:tblGrid>
      <w:tr w:rsidR="00EA1CAD">
        <w:trPr>
          <w:trHeight w:val="285"/>
        </w:trPr>
        <w:tc>
          <w:tcPr>
            <w:tcW w:w="2625" w:type="dxa"/>
            <w:tcBorders>
              <w:top w:val="single" w:sz="4" w:space="0" w:color="auto"/>
              <w:left w:val="nil"/>
              <w:right w:val="nil"/>
            </w:tcBorders>
            <w:shd w:val="clear" w:color="auto" w:fill="auto"/>
            <w:noWrap/>
            <w:vAlign w:val="bottom"/>
          </w:tcPr>
          <w:p w:rsidR="00EA1CAD" w:rsidRDefault="00EA1CAD" w:rsidP="00AE25D9">
            <w:pPr>
              <w:rPr>
                <w:b/>
                <w:bCs/>
                <w:sz w:val="22"/>
                <w:szCs w:val="22"/>
              </w:rPr>
            </w:pPr>
            <w:r>
              <w:rPr>
                <w:b/>
                <w:bCs/>
                <w:sz w:val="22"/>
                <w:szCs w:val="22"/>
              </w:rPr>
              <w:t> </w:t>
            </w:r>
          </w:p>
        </w:tc>
        <w:tc>
          <w:tcPr>
            <w:tcW w:w="1115" w:type="dxa"/>
            <w:tcBorders>
              <w:top w:val="single" w:sz="4" w:space="0" w:color="auto"/>
              <w:left w:val="single" w:sz="4" w:space="0" w:color="auto"/>
              <w:right w:val="nil"/>
            </w:tcBorders>
            <w:shd w:val="clear" w:color="auto" w:fill="auto"/>
            <w:noWrap/>
            <w:vAlign w:val="bottom"/>
          </w:tcPr>
          <w:p w:rsidR="00EA1CAD" w:rsidRDefault="00EA1CAD" w:rsidP="00AE25D9">
            <w:pPr>
              <w:rPr>
                <w:b/>
                <w:bCs/>
                <w:sz w:val="22"/>
                <w:szCs w:val="22"/>
              </w:rPr>
            </w:pPr>
            <w:r>
              <w:rPr>
                <w:b/>
                <w:bCs/>
                <w:sz w:val="22"/>
                <w:szCs w:val="22"/>
              </w:rPr>
              <w:t>(1)</w:t>
            </w:r>
          </w:p>
        </w:tc>
        <w:tc>
          <w:tcPr>
            <w:tcW w:w="955" w:type="dxa"/>
            <w:tcBorders>
              <w:top w:val="single" w:sz="4" w:space="0" w:color="auto"/>
              <w:left w:val="nil"/>
              <w:right w:val="single" w:sz="4" w:space="0" w:color="auto"/>
            </w:tcBorders>
            <w:shd w:val="clear" w:color="auto" w:fill="auto"/>
            <w:noWrap/>
            <w:vAlign w:val="bottom"/>
          </w:tcPr>
          <w:p w:rsidR="00EA1CAD" w:rsidRDefault="00EA1CAD" w:rsidP="00AE25D9">
            <w:pPr>
              <w:rPr>
                <w:b/>
                <w:bCs/>
                <w:sz w:val="22"/>
                <w:szCs w:val="22"/>
              </w:rPr>
            </w:pPr>
            <w:r>
              <w:rPr>
                <w:b/>
                <w:bCs/>
                <w:sz w:val="22"/>
                <w:szCs w:val="22"/>
              </w:rPr>
              <w:t>(2)</w:t>
            </w:r>
          </w:p>
        </w:tc>
        <w:tc>
          <w:tcPr>
            <w:tcW w:w="1620" w:type="dxa"/>
            <w:tcBorders>
              <w:top w:val="single" w:sz="4" w:space="0" w:color="auto"/>
              <w:left w:val="nil"/>
              <w:right w:val="nil"/>
            </w:tcBorders>
            <w:shd w:val="clear" w:color="auto" w:fill="auto"/>
            <w:noWrap/>
            <w:vAlign w:val="bottom"/>
          </w:tcPr>
          <w:p w:rsidR="00EA1CAD" w:rsidRDefault="00EA1CAD" w:rsidP="00AE25D9">
            <w:pPr>
              <w:rPr>
                <w:b/>
                <w:bCs/>
                <w:sz w:val="22"/>
                <w:szCs w:val="22"/>
              </w:rPr>
            </w:pPr>
            <w:r>
              <w:rPr>
                <w:b/>
                <w:bCs/>
                <w:sz w:val="22"/>
                <w:szCs w:val="22"/>
              </w:rPr>
              <w:t>(3)</w:t>
            </w:r>
          </w:p>
        </w:tc>
        <w:tc>
          <w:tcPr>
            <w:tcW w:w="1685" w:type="dxa"/>
            <w:gridSpan w:val="2"/>
            <w:tcBorders>
              <w:top w:val="single" w:sz="4" w:space="0" w:color="auto"/>
              <w:left w:val="nil"/>
              <w:right w:val="nil"/>
            </w:tcBorders>
            <w:shd w:val="clear" w:color="auto" w:fill="auto"/>
            <w:noWrap/>
            <w:vAlign w:val="bottom"/>
          </w:tcPr>
          <w:p w:rsidR="00EA1CAD" w:rsidRDefault="00EA1CAD" w:rsidP="00AE25D9">
            <w:pPr>
              <w:rPr>
                <w:b/>
                <w:bCs/>
                <w:sz w:val="22"/>
                <w:szCs w:val="22"/>
              </w:rPr>
            </w:pPr>
            <w:r>
              <w:rPr>
                <w:b/>
                <w:bCs/>
                <w:sz w:val="22"/>
                <w:szCs w:val="22"/>
              </w:rPr>
              <w:t>(4)</w:t>
            </w:r>
          </w:p>
        </w:tc>
      </w:tr>
      <w:tr w:rsidR="00EA1CAD">
        <w:trPr>
          <w:trHeight w:val="285"/>
        </w:trPr>
        <w:tc>
          <w:tcPr>
            <w:tcW w:w="2625" w:type="dxa"/>
            <w:tcBorders>
              <w:top w:val="nil"/>
              <w:left w:val="nil"/>
              <w:bottom w:val="single" w:sz="4" w:space="0" w:color="auto"/>
              <w:right w:val="nil"/>
            </w:tcBorders>
            <w:shd w:val="clear" w:color="auto" w:fill="auto"/>
            <w:noWrap/>
            <w:vAlign w:val="bottom"/>
          </w:tcPr>
          <w:p w:rsidR="00EA1CAD" w:rsidRDefault="00EA1CAD" w:rsidP="00AE25D9">
            <w:pPr>
              <w:rPr>
                <w:b/>
                <w:bCs/>
                <w:sz w:val="22"/>
                <w:szCs w:val="22"/>
              </w:rPr>
            </w:pPr>
          </w:p>
        </w:tc>
        <w:tc>
          <w:tcPr>
            <w:tcW w:w="1115" w:type="dxa"/>
            <w:tcBorders>
              <w:top w:val="nil"/>
              <w:left w:val="single" w:sz="4" w:space="0" w:color="auto"/>
              <w:bottom w:val="single" w:sz="4" w:space="0" w:color="auto"/>
              <w:right w:val="nil"/>
            </w:tcBorders>
            <w:shd w:val="clear" w:color="auto" w:fill="auto"/>
            <w:noWrap/>
            <w:vAlign w:val="bottom"/>
          </w:tcPr>
          <w:p w:rsidR="00EA1CAD" w:rsidRDefault="00EA1CAD" w:rsidP="00AE25D9">
            <w:pPr>
              <w:rPr>
                <w:b/>
                <w:bCs/>
                <w:sz w:val="22"/>
                <w:szCs w:val="22"/>
              </w:rPr>
            </w:pPr>
            <w:r>
              <w:rPr>
                <w:b/>
                <w:bCs/>
                <w:sz w:val="22"/>
                <w:szCs w:val="22"/>
              </w:rPr>
              <w:t>OLS</w:t>
            </w:r>
          </w:p>
        </w:tc>
        <w:tc>
          <w:tcPr>
            <w:tcW w:w="955" w:type="dxa"/>
            <w:tcBorders>
              <w:top w:val="nil"/>
              <w:left w:val="nil"/>
              <w:bottom w:val="single" w:sz="4" w:space="0" w:color="auto"/>
              <w:right w:val="single" w:sz="4" w:space="0" w:color="auto"/>
            </w:tcBorders>
            <w:shd w:val="clear" w:color="auto" w:fill="auto"/>
            <w:noWrap/>
            <w:vAlign w:val="bottom"/>
          </w:tcPr>
          <w:p w:rsidR="00EA1CAD" w:rsidRDefault="00EA1CAD" w:rsidP="00AE25D9">
            <w:pPr>
              <w:rPr>
                <w:b/>
                <w:bCs/>
                <w:sz w:val="22"/>
                <w:szCs w:val="22"/>
              </w:rPr>
            </w:pPr>
            <w:r>
              <w:rPr>
                <w:b/>
                <w:bCs/>
                <w:sz w:val="22"/>
                <w:szCs w:val="22"/>
              </w:rPr>
              <w:t>OLS</w:t>
            </w:r>
          </w:p>
        </w:tc>
        <w:tc>
          <w:tcPr>
            <w:tcW w:w="1620" w:type="dxa"/>
            <w:tcBorders>
              <w:top w:val="nil"/>
              <w:left w:val="nil"/>
              <w:bottom w:val="single" w:sz="4" w:space="0" w:color="auto"/>
              <w:right w:val="nil"/>
            </w:tcBorders>
            <w:shd w:val="clear" w:color="auto" w:fill="auto"/>
            <w:noWrap/>
            <w:vAlign w:val="bottom"/>
          </w:tcPr>
          <w:p w:rsidR="00EA1CAD" w:rsidRDefault="00EA1CAD" w:rsidP="00AE25D9">
            <w:pPr>
              <w:rPr>
                <w:b/>
                <w:bCs/>
                <w:sz w:val="22"/>
                <w:szCs w:val="22"/>
              </w:rPr>
            </w:pPr>
            <w:r>
              <w:rPr>
                <w:b/>
                <w:bCs/>
                <w:sz w:val="22"/>
                <w:szCs w:val="22"/>
              </w:rPr>
              <w:t>Non-linear LS</w:t>
            </w:r>
          </w:p>
        </w:tc>
        <w:tc>
          <w:tcPr>
            <w:tcW w:w="1685" w:type="dxa"/>
            <w:gridSpan w:val="2"/>
            <w:tcBorders>
              <w:top w:val="nil"/>
              <w:left w:val="nil"/>
              <w:bottom w:val="single" w:sz="4" w:space="0" w:color="auto"/>
              <w:right w:val="nil"/>
            </w:tcBorders>
            <w:shd w:val="clear" w:color="auto" w:fill="auto"/>
            <w:noWrap/>
            <w:vAlign w:val="bottom"/>
          </w:tcPr>
          <w:p w:rsidR="00EA1CAD" w:rsidRDefault="00EA1CAD" w:rsidP="00AE25D9">
            <w:pPr>
              <w:rPr>
                <w:b/>
                <w:bCs/>
                <w:sz w:val="22"/>
                <w:szCs w:val="22"/>
              </w:rPr>
            </w:pPr>
            <w:r>
              <w:rPr>
                <w:b/>
                <w:bCs/>
                <w:sz w:val="22"/>
                <w:szCs w:val="22"/>
              </w:rPr>
              <w:t>Non-linear LS</w:t>
            </w:r>
          </w:p>
        </w:tc>
      </w:tr>
      <w:tr w:rsidR="00EA1CAD">
        <w:trPr>
          <w:trHeight w:val="315"/>
        </w:trPr>
        <w:tc>
          <w:tcPr>
            <w:tcW w:w="2625" w:type="dxa"/>
            <w:tcBorders>
              <w:top w:val="single" w:sz="4" w:space="0" w:color="auto"/>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USD</w:t>
            </w:r>
          </w:p>
        </w:tc>
        <w:tc>
          <w:tcPr>
            <w:tcW w:w="1115" w:type="dxa"/>
            <w:tcBorders>
              <w:top w:val="single" w:sz="4" w:space="0" w:color="auto"/>
              <w:left w:val="single" w:sz="4" w:space="0" w:color="auto"/>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0.982**</w:t>
            </w:r>
          </w:p>
        </w:tc>
        <w:tc>
          <w:tcPr>
            <w:tcW w:w="955" w:type="dxa"/>
            <w:tcBorders>
              <w:top w:val="single" w:sz="4" w:space="0" w:color="auto"/>
              <w:left w:val="nil"/>
              <w:bottom w:val="nil"/>
              <w:right w:val="single" w:sz="4" w:space="0" w:color="auto"/>
            </w:tcBorders>
            <w:shd w:val="clear" w:color="auto" w:fill="auto"/>
            <w:noWrap/>
            <w:vAlign w:val="bottom"/>
          </w:tcPr>
          <w:p w:rsidR="00EA1CAD" w:rsidRPr="00E73430" w:rsidRDefault="00EA1CAD" w:rsidP="00AE25D9">
            <w:pPr>
              <w:rPr>
                <w:sz w:val="20"/>
                <w:szCs w:val="20"/>
              </w:rPr>
            </w:pPr>
            <w:r w:rsidRPr="00E73430">
              <w:rPr>
                <w:sz w:val="20"/>
                <w:szCs w:val="20"/>
              </w:rPr>
              <w:t>0.982**</w:t>
            </w:r>
          </w:p>
        </w:tc>
        <w:tc>
          <w:tcPr>
            <w:tcW w:w="1620" w:type="dxa"/>
            <w:tcBorders>
              <w:top w:val="single" w:sz="4" w:space="0" w:color="auto"/>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0.982***</w:t>
            </w:r>
          </w:p>
        </w:tc>
        <w:tc>
          <w:tcPr>
            <w:tcW w:w="1685" w:type="dxa"/>
            <w:gridSpan w:val="2"/>
            <w:tcBorders>
              <w:top w:val="single" w:sz="4" w:space="0" w:color="auto"/>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0.982***</w:t>
            </w:r>
          </w:p>
        </w:tc>
      </w:tr>
      <w:tr w:rsidR="00EA1CAD">
        <w:trPr>
          <w:cantSplit/>
          <w:trHeight w:val="144"/>
        </w:trPr>
        <w:tc>
          <w:tcPr>
            <w:tcW w:w="2625" w:type="dxa"/>
            <w:tcBorders>
              <w:top w:val="nil"/>
              <w:left w:val="nil"/>
              <w:bottom w:val="nil"/>
              <w:right w:val="nil"/>
            </w:tcBorders>
            <w:shd w:val="clear" w:color="auto" w:fill="auto"/>
            <w:noWrap/>
            <w:vAlign w:val="bottom"/>
          </w:tcPr>
          <w:p w:rsidR="00EA1CAD" w:rsidRPr="00E73430" w:rsidRDefault="00EA1CAD" w:rsidP="00AE25D9">
            <w:pPr>
              <w:rPr>
                <w:sz w:val="16"/>
                <w:szCs w:val="16"/>
              </w:rPr>
            </w:pP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(0.042)</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16"/>
                <w:szCs w:val="16"/>
              </w:rPr>
            </w:pPr>
            <w:r w:rsidRPr="00E73430">
              <w:rPr>
                <w:sz w:val="16"/>
                <w:szCs w:val="16"/>
              </w:rPr>
              <w:t>(0.042)</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(0.042)</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(0.042)</w:t>
            </w:r>
          </w:p>
        </w:tc>
      </w:tr>
      <w:tr w:rsidR="00EA1CAD">
        <w:trPr>
          <w:trHeight w:val="300"/>
        </w:trPr>
        <w:tc>
          <w:tcPr>
            <w:tcW w:w="2625" w:type="dxa"/>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Japanese Yen</w:t>
            </w: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0.0004</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20"/>
                <w:szCs w:val="20"/>
              </w:rPr>
            </w:pPr>
            <w:r w:rsidRPr="00E73430">
              <w:rPr>
                <w:sz w:val="20"/>
                <w:szCs w:val="20"/>
              </w:rPr>
              <w:t>0.0004</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0.0004</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0.0004</w:t>
            </w:r>
          </w:p>
        </w:tc>
      </w:tr>
      <w:tr w:rsidR="00EA1CAD">
        <w:trPr>
          <w:trHeight w:val="144"/>
        </w:trPr>
        <w:tc>
          <w:tcPr>
            <w:tcW w:w="2625" w:type="dxa"/>
            <w:tcBorders>
              <w:top w:val="nil"/>
              <w:left w:val="nil"/>
              <w:bottom w:val="nil"/>
              <w:right w:val="nil"/>
            </w:tcBorders>
            <w:shd w:val="clear" w:color="auto" w:fill="auto"/>
            <w:noWrap/>
            <w:vAlign w:val="bottom"/>
          </w:tcPr>
          <w:p w:rsidR="00EA1CAD" w:rsidRPr="00E73430" w:rsidRDefault="00EA1CAD" w:rsidP="00AE25D9">
            <w:pPr>
              <w:rPr>
                <w:sz w:val="16"/>
                <w:szCs w:val="16"/>
              </w:rPr>
            </w:pP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(0.0165)</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16"/>
                <w:szCs w:val="16"/>
              </w:rPr>
            </w:pPr>
            <w:r w:rsidRPr="00E73430">
              <w:rPr>
                <w:sz w:val="16"/>
                <w:szCs w:val="16"/>
              </w:rPr>
              <w:t>(0.0165)</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(0.0165)</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(0.0165)</w:t>
            </w:r>
          </w:p>
        </w:tc>
      </w:tr>
      <w:tr w:rsidR="00EA1CAD">
        <w:trPr>
          <w:trHeight w:val="300"/>
        </w:trPr>
        <w:tc>
          <w:tcPr>
            <w:tcW w:w="2625" w:type="dxa"/>
            <w:tcBorders>
              <w:top w:val="nil"/>
              <w:left w:val="nil"/>
              <w:bottom w:val="nil"/>
              <w:right w:val="nil"/>
            </w:tcBorders>
            <w:shd w:val="clear" w:color="auto" w:fill="auto"/>
            <w:noWrap/>
            <w:vAlign w:val="bottom"/>
          </w:tcPr>
          <w:p w:rsidR="00EA1CAD" w:rsidRPr="00E73430" w:rsidRDefault="00EA1CAD" w:rsidP="00AE25D9">
            <w:pPr>
              <w:rPr>
                <w:sz w:val="20"/>
                <w:szCs w:val="20"/>
              </w:rPr>
            </w:pPr>
            <w:smartTag w:uri="urn:schemas-microsoft-com:office:smarttags" w:element="country-region">
              <w:smartTag w:uri="urn:schemas-microsoft-com:office:smarttags" w:element="place">
                <w:r w:rsidRPr="00E73430">
                  <w:rPr>
                    <w:sz w:val="20"/>
                    <w:szCs w:val="20"/>
                  </w:rPr>
                  <w:t>Korea</w:t>
                </w:r>
              </w:smartTag>
            </w:smartTag>
            <w:r w:rsidRPr="00E73430">
              <w:rPr>
                <w:sz w:val="20"/>
                <w:szCs w:val="20"/>
              </w:rPr>
              <w:t xml:space="preserve"> Won</w:t>
            </w: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0.0114</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20"/>
                <w:szCs w:val="20"/>
              </w:rPr>
            </w:pPr>
            <w:r w:rsidRPr="00E73430">
              <w:rPr>
                <w:sz w:val="20"/>
                <w:szCs w:val="20"/>
              </w:rPr>
              <w:t>0.0114</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0.0114</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0.0114</w:t>
            </w:r>
          </w:p>
        </w:tc>
      </w:tr>
      <w:tr w:rsidR="00EA1CAD">
        <w:trPr>
          <w:trHeight w:val="144"/>
        </w:trPr>
        <w:tc>
          <w:tcPr>
            <w:tcW w:w="2625" w:type="dxa"/>
            <w:tcBorders>
              <w:top w:val="nil"/>
              <w:left w:val="nil"/>
              <w:bottom w:val="nil"/>
              <w:right w:val="nil"/>
            </w:tcBorders>
            <w:shd w:val="clear" w:color="auto" w:fill="auto"/>
            <w:noWrap/>
            <w:vAlign w:val="bottom"/>
          </w:tcPr>
          <w:p w:rsidR="00EA1CAD" w:rsidRPr="00E73430" w:rsidRDefault="00EA1CAD" w:rsidP="00AE25D9">
            <w:pPr>
              <w:rPr>
                <w:sz w:val="16"/>
                <w:szCs w:val="16"/>
              </w:rPr>
            </w:pP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(0.0179)</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16"/>
                <w:szCs w:val="16"/>
              </w:rPr>
            </w:pPr>
            <w:r w:rsidRPr="00E73430">
              <w:rPr>
                <w:sz w:val="16"/>
                <w:szCs w:val="16"/>
              </w:rPr>
              <w:t>(0.0179</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(0.0179)</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(0.0179)</w:t>
            </w:r>
          </w:p>
        </w:tc>
      </w:tr>
      <w:tr w:rsidR="00EA1CAD">
        <w:trPr>
          <w:trHeight w:val="144"/>
        </w:trPr>
        <w:tc>
          <w:tcPr>
            <w:tcW w:w="2625" w:type="dxa"/>
            <w:tcBorders>
              <w:top w:val="nil"/>
              <w:left w:val="nil"/>
              <w:bottom w:val="nil"/>
              <w:right w:val="nil"/>
            </w:tcBorders>
            <w:shd w:val="clear" w:color="auto" w:fill="auto"/>
            <w:noWrap/>
            <w:vAlign w:val="bottom"/>
          </w:tcPr>
          <w:p w:rsidR="00EA1CAD" w:rsidRPr="00E73430" w:rsidRDefault="00EA1CAD" w:rsidP="00AE25D9">
            <w:pPr>
              <w:rPr>
                <w:sz w:val="20"/>
                <w:szCs w:val="20"/>
              </w:rPr>
            </w:pPr>
            <w:smartTag w:uri="urn:schemas-microsoft-com:office:smarttags" w:element="country-region">
              <w:smartTag w:uri="urn:schemas-microsoft-com:office:smarttags" w:element="place">
                <w:r w:rsidRPr="00E73430">
                  <w:rPr>
                    <w:sz w:val="20"/>
                    <w:szCs w:val="20"/>
                  </w:rPr>
                  <w:t>Malaysia</w:t>
                </w:r>
              </w:smartTag>
            </w:smartTag>
            <w:r w:rsidRPr="00E73430">
              <w:rPr>
                <w:sz w:val="20"/>
                <w:szCs w:val="20"/>
              </w:rPr>
              <w:t xml:space="preserve"> Ringgit</w:t>
            </w: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0.0155</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20"/>
                <w:szCs w:val="20"/>
              </w:rPr>
            </w:pPr>
            <w:r w:rsidRPr="00E73430">
              <w:rPr>
                <w:sz w:val="20"/>
                <w:szCs w:val="20"/>
              </w:rPr>
              <w:t>0.0154</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0.0155</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0.0154</w:t>
            </w:r>
          </w:p>
        </w:tc>
      </w:tr>
      <w:tr w:rsidR="00EA1CAD">
        <w:trPr>
          <w:trHeight w:val="144"/>
        </w:trPr>
        <w:tc>
          <w:tcPr>
            <w:tcW w:w="2625" w:type="dxa"/>
            <w:tcBorders>
              <w:top w:val="nil"/>
              <w:left w:val="nil"/>
              <w:bottom w:val="nil"/>
              <w:right w:val="nil"/>
            </w:tcBorders>
            <w:shd w:val="clear" w:color="auto" w:fill="auto"/>
            <w:noWrap/>
            <w:vAlign w:val="bottom"/>
          </w:tcPr>
          <w:p w:rsidR="00EA1CAD" w:rsidRPr="00E73430" w:rsidRDefault="00EA1CAD" w:rsidP="00AE25D9">
            <w:pPr>
              <w:rPr>
                <w:sz w:val="16"/>
                <w:szCs w:val="16"/>
              </w:rPr>
            </w:pP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(0.039)</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16"/>
                <w:szCs w:val="16"/>
              </w:rPr>
            </w:pPr>
            <w:r w:rsidRPr="00E73430">
              <w:rPr>
                <w:sz w:val="16"/>
                <w:szCs w:val="16"/>
              </w:rPr>
              <w:t>(0.039)</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(0.039)</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(0.039)</w:t>
            </w:r>
          </w:p>
        </w:tc>
      </w:tr>
      <w:tr w:rsidR="00EA1CAD">
        <w:trPr>
          <w:trHeight w:val="300"/>
        </w:trPr>
        <w:tc>
          <w:tcPr>
            <w:tcW w:w="2625" w:type="dxa"/>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USD*Trend</w:t>
            </w: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-0.00029*</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20"/>
                <w:szCs w:val="20"/>
              </w:rPr>
            </w:pPr>
            <w:r w:rsidRPr="00E73430">
              <w:rPr>
                <w:sz w:val="20"/>
                <w:szCs w:val="20"/>
              </w:rPr>
              <w:t>-28.91*</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Not identified</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-28.9</w:t>
            </w:r>
          </w:p>
        </w:tc>
      </w:tr>
      <w:tr w:rsidR="00EA1CAD">
        <w:trPr>
          <w:trHeight w:val="144"/>
        </w:trPr>
        <w:tc>
          <w:tcPr>
            <w:tcW w:w="2625" w:type="dxa"/>
            <w:tcBorders>
              <w:top w:val="nil"/>
              <w:left w:val="nil"/>
              <w:bottom w:val="nil"/>
              <w:right w:val="nil"/>
            </w:tcBorders>
            <w:shd w:val="clear" w:color="auto" w:fill="auto"/>
            <w:noWrap/>
            <w:vAlign w:val="bottom"/>
          </w:tcPr>
          <w:p w:rsidR="00EA1CAD" w:rsidRPr="00E73430" w:rsidRDefault="00EA1CAD" w:rsidP="00AE25D9">
            <w:pPr>
              <w:rPr>
                <w:sz w:val="16"/>
                <w:szCs w:val="16"/>
              </w:rPr>
            </w:pP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(0.00017)</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16"/>
                <w:szCs w:val="16"/>
              </w:rPr>
            </w:pPr>
            <w:r w:rsidRPr="00E73430">
              <w:rPr>
                <w:sz w:val="16"/>
                <w:szCs w:val="16"/>
              </w:rPr>
              <w:t>(16.79)</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16"/>
                <w:szCs w:val="16"/>
              </w:rPr>
            </w:pPr>
          </w:p>
        </w:tc>
        <w:tc>
          <w:tcPr>
            <w:tcW w:w="1685" w:type="dxa"/>
            <w:gridSpan w:val="2"/>
            <w:tcBorders>
              <w:top w:val="nil"/>
              <w:left w:val="nil"/>
              <w:bottom w:val="nil"/>
              <w:right w:val="nil"/>
            </w:tcBorders>
            <w:shd w:val="clear" w:color="auto" w:fill="auto"/>
            <w:noWrap/>
            <w:vAlign w:val="bottom"/>
          </w:tcPr>
          <w:p w:rsidR="00EA1CAD" w:rsidRPr="004C2053" w:rsidRDefault="00EA1CAD" w:rsidP="00AE25D9">
            <w:pPr>
              <w:rPr>
                <w:sz w:val="16"/>
                <w:szCs w:val="16"/>
              </w:rPr>
            </w:pPr>
            <w:r w:rsidRPr="004C2053">
              <w:rPr>
                <w:sz w:val="16"/>
                <w:szCs w:val="16"/>
              </w:rPr>
              <w:t>(imposed)</w:t>
            </w:r>
          </w:p>
        </w:tc>
      </w:tr>
      <w:tr w:rsidR="00EA1CAD">
        <w:trPr>
          <w:trHeight w:val="300"/>
        </w:trPr>
        <w:tc>
          <w:tcPr>
            <w:tcW w:w="2625" w:type="dxa"/>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Japanese Yen*Trend</w:t>
            </w: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0.00002</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20"/>
                <w:szCs w:val="20"/>
              </w:rPr>
            </w:pPr>
            <w:r w:rsidRPr="00E73430">
              <w:rPr>
                <w:sz w:val="20"/>
                <w:szCs w:val="20"/>
              </w:rPr>
              <w:t>1.946</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6.874</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1.945</w:t>
            </w:r>
          </w:p>
        </w:tc>
      </w:tr>
      <w:tr w:rsidR="00EA1CAD">
        <w:trPr>
          <w:trHeight w:val="144"/>
        </w:trPr>
        <w:tc>
          <w:tcPr>
            <w:tcW w:w="2625" w:type="dxa"/>
            <w:tcBorders>
              <w:top w:val="nil"/>
              <w:left w:val="nil"/>
              <w:bottom w:val="nil"/>
              <w:right w:val="nil"/>
            </w:tcBorders>
            <w:shd w:val="clear" w:color="auto" w:fill="auto"/>
            <w:noWrap/>
            <w:vAlign w:val="bottom"/>
          </w:tcPr>
          <w:p w:rsidR="00EA1CAD" w:rsidRPr="00E73430" w:rsidRDefault="00EA1CAD" w:rsidP="00AE25D9">
            <w:pPr>
              <w:rPr>
                <w:sz w:val="16"/>
                <w:szCs w:val="16"/>
              </w:rPr>
            </w:pP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(0.00008)</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16"/>
                <w:szCs w:val="16"/>
              </w:rPr>
            </w:pPr>
            <w:r w:rsidRPr="00E73430">
              <w:rPr>
                <w:sz w:val="16"/>
                <w:szCs w:val="16"/>
              </w:rPr>
              <w:t>(8.284)</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16"/>
                <w:szCs w:val="16"/>
              </w:rPr>
            </w:pPr>
            <w:r>
              <w:rPr>
                <w:sz w:val="16"/>
                <w:szCs w:val="16"/>
              </w:rPr>
              <w:t>(29.5)</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(8.341)</w:t>
            </w:r>
          </w:p>
        </w:tc>
      </w:tr>
      <w:tr w:rsidR="00EA1CAD">
        <w:trPr>
          <w:trHeight w:val="300"/>
        </w:trPr>
        <w:tc>
          <w:tcPr>
            <w:tcW w:w="2625" w:type="dxa"/>
            <w:tcBorders>
              <w:top w:val="nil"/>
              <w:left w:val="nil"/>
              <w:bottom w:val="nil"/>
              <w:right w:val="nil"/>
            </w:tcBorders>
            <w:shd w:val="clear" w:color="auto" w:fill="auto"/>
            <w:noWrap/>
            <w:vAlign w:val="bottom"/>
          </w:tcPr>
          <w:p w:rsidR="00EA1CAD" w:rsidRPr="00E73430" w:rsidRDefault="00EA1CAD" w:rsidP="00AE25D9">
            <w:pPr>
              <w:rPr>
                <w:sz w:val="20"/>
                <w:szCs w:val="20"/>
              </w:rPr>
            </w:pPr>
            <w:smartTag w:uri="urn:schemas-microsoft-com:office:smarttags" w:element="country-region">
              <w:smartTag w:uri="urn:schemas-microsoft-com:office:smarttags" w:element="place">
                <w:r w:rsidRPr="00E73430">
                  <w:rPr>
                    <w:sz w:val="20"/>
                    <w:szCs w:val="20"/>
                  </w:rPr>
                  <w:t>Korea</w:t>
                </w:r>
              </w:smartTag>
            </w:smartTag>
            <w:r w:rsidRPr="00E73430">
              <w:rPr>
                <w:sz w:val="20"/>
                <w:szCs w:val="20"/>
              </w:rPr>
              <w:t xml:space="preserve"> Won*Trend</w:t>
            </w: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0.00004</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20"/>
                <w:szCs w:val="20"/>
              </w:rPr>
            </w:pPr>
            <w:r>
              <w:rPr>
                <w:sz w:val="20"/>
                <w:szCs w:val="20"/>
              </w:rPr>
              <w:t>4.005</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20"/>
                <w:szCs w:val="20"/>
              </w:rPr>
            </w:pPr>
            <w:r>
              <w:rPr>
                <w:sz w:val="20"/>
                <w:szCs w:val="20"/>
              </w:rPr>
              <w:t>1</w:t>
            </w:r>
            <w:r w:rsidRPr="00E73430">
              <w:rPr>
                <w:sz w:val="20"/>
                <w:szCs w:val="20"/>
              </w:rPr>
              <w:t>4</w:t>
            </w:r>
            <w:r>
              <w:rPr>
                <w:sz w:val="20"/>
                <w:szCs w:val="20"/>
              </w:rPr>
              <w:t>.2</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4.003</w:t>
            </w:r>
          </w:p>
        </w:tc>
      </w:tr>
      <w:tr w:rsidR="00EA1CAD">
        <w:trPr>
          <w:trHeight w:val="144"/>
        </w:trPr>
        <w:tc>
          <w:tcPr>
            <w:tcW w:w="2625" w:type="dxa"/>
            <w:tcBorders>
              <w:top w:val="nil"/>
              <w:left w:val="nil"/>
              <w:bottom w:val="nil"/>
              <w:right w:val="nil"/>
            </w:tcBorders>
            <w:shd w:val="clear" w:color="auto" w:fill="auto"/>
            <w:noWrap/>
            <w:vAlign w:val="bottom"/>
          </w:tcPr>
          <w:p w:rsidR="00EA1CAD" w:rsidRPr="00E73430" w:rsidRDefault="00EA1CAD" w:rsidP="00AE25D9">
            <w:pPr>
              <w:rPr>
                <w:sz w:val="16"/>
                <w:szCs w:val="16"/>
              </w:rPr>
            </w:pP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(0.00009)</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16"/>
                <w:szCs w:val="16"/>
              </w:rPr>
            </w:pPr>
            <w:r>
              <w:rPr>
                <w:sz w:val="16"/>
                <w:szCs w:val="16"/>
              </w:rPr>
              <w:t>(8.750</w:t>
            </w:r>
            <w:r w:rsidRPr="00E73430">
              <w:rPr>
                <w:sz w:val="16"/>
                <w:szCs w:val="16"/>
              </w:rPr>
              <w:t>)</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16"/>
                <w:szCs w:val="16"/>
              </w:rPr>
            </w:pPr>
            <w:r>
              <w:rPr>
                <w:sz w:val="16"/>
                <w:szCs w:val="16"/>
              </w:rPr>
              <w:t>(2</w:t>
            </w:r>
            <w:r w:rsidRPr="00E73430">
              <w:rPr>
                <w:sz w:val="16"/>
                <w:szCs w:val="16"/>
              </w:rPr>
              <w:t>9</w:t>
            </w:r>
            <w:r>
              <w:rPr>
                <w:sz w:val="16"/>
                <w:szCs w:val="16"/>
              </w:rPr>
              <w:t>.7</w:t>
            </w:r>
            <w:r w:rsidRPr="00E73430">
              <w:rPr>
                <w:sz w:val="16"/>
                <w:szCs w:val="16"/>
              </w:rPr>
              <w:t>)</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(8.409)</w:t>
            </w:r>
          </w:p>
        </w:tc>
      </w:tr>
      <w:tr w:rsidR="00EA1CAD">
        <w:trPr>
          <w:trHeight w:val="300"/>
        </w:trPr>
        <w:tc>
          <w:tcPr>
            <w:tcW w:w="2625" w:type="dxa"/>
            <w:tcBorders>
              <w:top w:val="nil"/>
              <w:left w:val="nil"/>
              <w:bottom w:val="nil"/>
              <w:right w:val="nil"/>
            </w:tcBorders>
            <w:shd w:val="clear" w:color="auto" w:fill="auto"/>
            <w:noWrap/>
            <w:vAlign w:val="bottom"/>
          </w:tcPr>
          <w:p w:rsidR="00EA1CAD" w:rsidRPr="00E73430" w:rsidRDefault="00EA1CAD" w:rsidP="00AE25D9">
            <w:pPr>
              <w:rPr>
                <w:sz w:val="20"/>
                <w:szCs w:val="20"/>
              </w:rPr>
            </w:pPr>
            <w:smartTag w:uri="urn:schemas-microsoft-com:office:smarttags" w:element="country-region">
              <w:smartTag w:uri="urn:schemas-microsoft-com:office:smarttags" w:element="place">
                <w:r w:rsidRPr="00E73430">
                  <w:rPr>
                    <w:sz w:val="20"/>
                    <w:szCs w:val="20"/>
                  </w:rPr>
                  <w:t>Malaysia</w:t>
                </w:r>
              </w:smartTag>
            </w:smartTag>
            <w:r w:rsidRPr="00E73430">
              <w:rPr>
                <w:sz w:val="20"/>
                <w:szCs w:val="20"/>
              </w:rPr>
              <w:t xml:space="preserve"> Ringgit*Trend</w:t>
            </w: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0.0002</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20"/>
                <w:szCs w:val="20"/>
              </w:rPr>
            </w:pPr>
            <w:r w:rsidRPr="00E73430">
              <w:rPr>
                <w:sz w:val="20"/>
                <w:szCs w:val="20"/>
              </w:rPr>
              <w:t>20.2</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71.5*</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20.2*</w:t>
            </w:r>
          </w:p>
        </w:tc>
      </w:tr>
      <w:tr w:rsidR="00EA1CAD">
        <w:trPr>
          <w:trHeight w:val="144"/>
        </w:trPr>
        <w:tc>
          <w:tcPr>
            <w:tcW w:w="2625" w:type="dxa"/>
            <w:tcBorders>
              <w:top w:val="nil"/>
              <w:left w:val="nil"/>
              <w:bottom w:val="nil"/>
              <w:right w:val="nil"/>
            </w:tcBorders>
            <w:shd w:val="clear" w:color="auto" w:fill="auto"/>
            <w:noWrap/>
            <w:vAlign w:val="bottom"/>
          </w:tcPr>
          <w:p w:rsidR="00EA1CAD" w:rsidRPr="00E73430" w:rsidRDefault="00EA1CAD" w:rsidP="00AE25D9">
            <w:pPr>
              <w:rPr>
                <w:sz w:val="16"/>
                <w:szCs w:val="16"/>
              </w:rPr>
            </w:pP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(0.0001)</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16"/>
                <w:szCs w:val="16"/>
              </w:rPr>
            </w:pPr>
            <w:r w:rsidRPr="00E73430">
              <w:rPr>
                <w:sz w:val="16"/>
                <w:szCs w:val="16"/>
              </w:rPr>
              <w:t>(15.0)</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(29.7)</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(8.4)</w:t>
            </w:r>
          </w:p>
        </w:tc>
      </w:tr>
      <w:tr w:rsidR="00EA1CAD">
        <w:trPr>
          <w:trHeight w:val="300"/>
        </w:trPr>
        <w:tc>
          <w:tcPr>
            <w:tcW w:w="2625" w:type="dxa"/>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Trend2*10E+6</w:t>
            </w: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0.3</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20"/>
                <w:szCs w:val="20"/>
              </w:rPr>
            </w:pPr>
            <w:r w:rsidRPr="00E73430">
              <w:rPr>
                <w:sz w:val="20"/>
                <w:szCs w:val="20"/>
              </w:rPr>
              <w:t>0.3</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0.3</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0.3</w:t>
            </w:r>
          </w:p>
        </w:tc>
      </w:tr>
      <w:tr w:rsidR="00EA1CAD">
        <w:trPr>
          <w:trHeight w:val="144"/>
        </w:trPr>
        <w:tc>
          <w:tcPr>
            <w:tcW w:w="2625" w:type="dxa"/>
            <w:tcBorders>
              <w:top w:val="nil"/>
              <w:left w:val="nil"/>
              <w:bottom w:val="nil"/>
              <w:right w:val="nil"/>
            </w:tcBorders>
            <w:shd w:val="clear" w:color="auto" w:fill="auto"/>
            <w:noWrap/>
            <w:vAlign w:val="bottom"/>
          </w:tcPr>
          <w:p w:rsidR="00EA1CAD" w:rsidRPr="00E73430" w:rsidRDefault="00EA1CAD" w:rsidP="00AE25D9">
            <w:pPr>
              <w:rPr>
                <w:sz w:val="16"/>
                <w:szCs w:val="16"/>
              </w:rPr>
            </w:pP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(0.3)</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16"/>
                <w:szCs w:val="16"/>
              </w:rPr>
            </w:pPr>
            <w:r w:rsidRPr="00E73430">
              <w:rPr>
                <w:sz w:val="16"/>
                <w:szCs w:val="16"/>
              </w:rPr>
              <w:t>(0.3)</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(0.3)</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(0.3)</w:t>
            </w:r>
          </w:p>
        </w:tc>
      </w:tr>
      <w:tr w:rsidR="00EA1CAD">
        <w:trPr>
          <w:trHeight w:val="300"/>
        </w:trPr>
        <w:tc>
          <w:tcPr>
            <w:tcW w:w="2625" w:type="dxa"/>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Constant*10E+4</w:t>
            </w: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0.167</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20"/>
                <w:szCs w:val="20"/>
              </w:rPr>
            </w:pPr>
            <w:r w:rsidRPr="00E73430">
              <w:rPr>
                <w:sz w:val="20"/>
                <w:szCs w:val="20"/>
              </w:rPr>
              <w:t>0.167</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0.167</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0.167</w:t>
            </w:r>
          </w:p>
        </w:tc>
      </w:tr>
      <w:tr w:rsidR="00EA1CAD">
        <w:trPr>
          <w:trHeight w:val="144"/>
        </w:trPr>
        <w:tc>
          <w:tcPr>
            <w:tcW w:w="2625" w:type="dxa"/>
            <w:tcBorders>
              <w:top w:val="nil"/>
              <w:left w:val="nil"/>
              <w:bottom w:val="nil"/>
              <w:right w:val="nil"/>
            </w:tcBorders>
            <w:shd w:val="clear" w:color="auto" w:fill="auto"/>
            <w:noWrap/>
            <w:vAlign w:val="bottom"/>
          </w:tcPr>
          <w:p w:rsidR="00EA1CAD" w:rsidRPr="00E73430" w:rsidRDefault="00EA1CAD" w:rsidP="00AE25D9">
            <w:pPr>
              <w:rPr>
                <w:sz w:val="16"/>
                <w:szCs w:val="16"/>
              </w:rPr>
            </w:pP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(0.592)</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16"/>
                <w:szCs w:val="16"/>
              </w:rPr>
            </w:pPr>
            <w:r w:rsidRPr="00E73430">
              <w:rPr>
                <w:sz w:val="16"/>
                <w:szCs w:val="16"/>
              </w:rPr>
              <w:t>(0.592)</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(0.592)</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(0.592)</w:t>
            </w:r>
          </w:p>
        </w:tc>
      </w:tr>
      <w:tr w:rsidR="00EA1CAD">
        <w:trPr>
          <w:trHeight w:val="300"/>
        </w:trPr>
        <w:tc>
          <w:tcPr>
            <w:tcW w:w="2625" w:type="dxa"/>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d*10E+4</w:t>
            </w: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 </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20"/>
                <w:szCs w:val="20"/>
              </w:rPr>
            </w:pPr>
            <w:r w:rsidRPr="00E73430">
              <w:rPr>
                <w:sz w:val="20"/>
                <w:szCs w:val="20"/>
              </w:rPr>
              <w:t> </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0.028</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0.100 **</w:t>
            </w:r>
          </w:p>
        </w:tc>
      </w:tr>
      <w:tr w:rsidR="00EA1CAD">
        <w:trPr>
          <w:trHeight w:val="144"/>
        </w:trPr>
        <w:tc>
          <w:tcPr>
            <w:tcW w:w="2625" w:type="dxa"/>
            <w:tcBorders>
              <w:top w:val="nil"/>
              <w:left w:val="nil"/>
              <w:bottom w:val="nil"/>
              <w:right w:val="nil"/>
            </w:tcBorders>
            <w:shd w:val="clear" w:color="auto" w:fill="auto"/>
            <w:noWrap/>
            <w:vAlign w:val="bottom"/>
          </w:tcPr>
          <w:p w:rsidR="00EA1CAD" w:rsidRPr="00E73430" w:rsidRDefault="00EA1CAD" w:rsidP="00AE25D9">
            <w:pPr>
              <w:rPr>
                <w:sz w:val="16"/>
                <w:szCs w:val="16"/>
              </w:rPr>
            </w:pPr>
          </w:p>
        </w:tc>
        <w:tc>
          <w:tcPr>
            <w:tcW w:w="1115" w:type="dxa"/>
            <w:tcBorders>
              <w:top w:val="nil"/>
              <w:left w:val="single" w:sz="4" w:space="0" w:color="auto"/>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 </w:t>
            </w:r>
          </w:p>
        </w:tc>
        <w:tc>
          <w:tcPr>
            <w:tcW w:w="955" w:type="dxa"/>
            <w:tcBorders>
              <w:top w:val="nil"/>
              <w:left w:val="nil"/>
              <w:bottom w:val="nil"/>
              <w:right w:val="single" w:sz="4" w:space="0" w:color="auto"/>
            </w:tcBorders>
            <w:shd w:val="clear" w:color="auto" w:fill="auto"/>
            <w:noWrap/>
            <w:vAlign w:val="bottom"/>
          </w:tcPr>
          <w:p w:rsidR="00EA1CAD" w:rsidRPr="00E73430" w:rsidRDefault="00EA1CAD" w:rsidP="00AE25D9">
            <w:pPr>
              <w:rPr>
                <w:sz w:val="16"/>
                <w:szCs w:val="16"/>
              </w:rPr>
            </w:pPr>
            <w:r w:rsidRPr="00E73430">
              <w:rPr>
                <w:sz w:val="16"/>
                <w:szCs w:val="16"/>
              </w:rPr>
              <w:t> </w:t>
            </w:r>
          </w:p>
        </w:tc>
        <w:tc>
          <w:tcPr>
            <w:tcW w:w="1620" w:type="dxa"/>
            <w:tcBorders>
              <w:top w:val="nil"/>
              <w:left w:val="nil"/>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(0.016)</w:t>
            </w:r>
          </w:p>
        </w:tc>
        <w:tc>
          <w:tcPr>
            <w:tcW w:w="1685" w:type="dxa"/>
            <w:gridSpan w:val="2"/>
            <w:tcBorders>
              <w:top w:val="nil"/>
              <w:left w:val="nil"/>
              <w:bottom w:val="nil"/>
              <w:right w:val="nil"/>
            </w:tcBorders>
            <w:shd w:val="clear" w:color="auto" w:fill="auto"/>
            <w:noWrap/>
            <w:vAlign w:val="bottom"/>
          </w:tcPr>
          <w:p w:rsidR="00EA1CAD" w:rsidRPr="00E73430" w:rsidRDefault="00EA1CAD" w:rsidP="00AE25D9">
            <w:pPr>
              <w:rPr>
                <w:sz w:val="16"/>
                <w:szCs w:val="16"/>
              </w:rPr>
            </w:pPr>
            <w:r w:rsidRPr="00E73430">
              <w:rPr>
                <w:sz w:val="16"/>
                <w:szCs w:val="16"/>
              </w:rPr>
              <w:t>(0.058)</w:t>
            </w:r>
          </w:p>
        </w:tc>
      </w:tr>
      <w:tr w:rsidR="00EA1CAD">
        <w:trPr>
          <w:trHeight w:val="300"/>
        </w:trPr>
        <w:tc>
          <w:tcPr>
            <w:tcW w:w="2625" w:type="dxa"/>
            <w:tcBorders>
              <w:top w:val="single" w:sz="4" w:space="0" w:color="auto"/>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Observations</w:t>
            </w:r>
          </w:p>
        </w:tc>
        <w:tc>
          <w:tcPr>
            <w:tcW w:w="1115" w:type="dxa"/>
            <w:tcBorders>
              <w:top w:val="single" w:sz="4" w:space="0" w:color="auto"/>
              <w:left w:val="single" w:sz="4" w:space="0" w:color="auto"/>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383</w:t>
            </w:r>
          </w:p>
        </w:tc>
        <w:tc>
          <w:tcPr>
            <w:tcW w:w="955" w:type="dxa"/>
            <w:tcBorders>
              <w:top w:val="single" w:sz="4" w:space="0" w:color="auto"/>
              <w:left w:val="nil"/>
              <w:bottom w:val="nil"/>
              <w:right w:val="single" w:sz="4" w:space="0" w:color="auto"/>
            </w:tcBorders>
            <w:shd w:val="clear" w:color="auto" w:fill="auto"/>
            <w:noWrap/>
            <w:vAlign w:val="bottom"/>
          </w:tcPr>
          <w:p w:rsidR="00EA1CAD" w:rsidRPr="00E73430" w:rsidRDefault="00EA1CAD" w:rsidP="00AE25D9">
            <w:pPr>
              <w:rPr>
                <w:sz w:val="20"/>
                <w:szCs w:val="20"/>
              </w:rPr>
            </w:pPr>
            <w:r w:rsidRPr="00E73430">
              <w:rPr>
                <w:sz w:val="20"/>
                <w:szCs w:val="20"/>
              </w:rPr>
              <w:t>383</w:t>
            </w:r>
          </w:p>
        </w:tc>
        <w:tc>
          <w:tcPr>
            <w:tcW w:w="1620" w:type="dxa"/>
            <w:tcBorders>
              <w:top w:val="single" w:sz="4" w:space="0" w:color="auto"/>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383</w:t>
            </w:r>
          </w:p>
        </w:tc>
        <w:tc>
          <w:tcPr>
            <w:tcW w:w="1685" w:type="dxa"/>
            <w:gridSpan w:val="2"/>
            <w:tcBorders>
              <w:top w:val="single" w:sz="4" w:space="0" w:color="auto"/>
              <w:left w:val="nil"/>
              <w:bottom w:val="nil"/>
              <w:right w:val="nil"/>
            </w:tcBorders>
            <w:shd w:val="clear" w:color="auto" w:fill="auto"/>
            <w:noWrap/>
            <w:vAlign w:val="bottom"/>
          </w:tcPr>
          <w:p w:rsidR="00EA1CAD" w:rsidRPr="00E73430" w:rsidRDefault="00EA1CAD" w:rsidP="00AE25D9">
            <w:pPr>
              <w:rPr>
                <w:sz w:val="20"/>
                <w:szCs w:val="20"/>
              </w:rPr>
            </w:pPr>
            <w:r w:rsidRPr="00E73430">
              <w:rPr>
                <w:sz w:val="20"/>
                <w:szCs w:val="20"/>
              </w:rPr>
              <w:t>383</w:t>
            </w:r>
          </w:p>
        </w:tc>
      </w:tr>
      <w:tr w:rsidR="00EA1CAD">
        <w:trPr>
          <w:trHeight w:val="288"/>
        </w:trPr>
        <w:tc>
          <w:tcPr>
            <w:tcW w:w="2625" w:type="dxa"/>
            <w:tcBorders>
              <w:top w:val="nil"/>
              <w:left w:val="nil"/>
              <w:bottom w:val="single" w:sz="8" w:space="0" w:color="auto"/>
              <w:right w:val="nil"/>
            </w:tcBorders>
            <w:shd w:val="clear" w:color="auto" w:fill="auto"/>
            <w:noWrap/>
            <w:vAlign w:val="bottom"/>
          </w:tcPr>
          <w:p w:rsidR="00EA1CAD" w:rsidRPr="00E73430" w:rsidRDefault="00EA1CAD" w:rsidP="00AE25D9">
            <w:pPr>
              <w:rPr>
                <w:sz w:val="20"/>
                <w:szCs w:val="20"/>
              </w:rPr>
            </w:pPr>
            <w:r w:rsidRPr="00E73430">
              <w:rPr>
                <w:sz w:val="20"/>
                <w:szCs w:val="20"/>
              </w:rPr>
              <w:t>R-squared</w:t>
            </w:r>
          </w:p>
        </w:tc>
        <w:tc>
          <w:tcPr>
            <w:tcW w:w="1115" w:type="dxa"/>
            <w:tcBorders>
              <w:top w:val="nil"/>
              <w:left w:val="single" w:sz="4" w:space="0" w:color="auto"/>
              <w:bottom w:val="single" w:sz="8" w:space="0" w:color="auto"/>
              <w:right w:val="nil"/>
            </w:tcBorders>
            <w:shd w:val="clear" w:color="auto" w:fill="auto"/>
            <w:noWrap/>
            <w:vAlign w:val="bottom"/>
          </w:tcPr>
          <w:p w:rsidR="00EA1CAD" w:rsidRPr="00E73430" w:rsidRDefault="00EA1CAD" w:rsidP="00AE25D9">
            <w:pPr>
              <w:rPr>
                <w:sz w:val="20"/>
                <w:szCs w:val="20"/>
              </w:rPr>
            </w:pPr>
            <w:r w:rsidRPr="00E73430">
              <w:rPr>
                <w:sz w:val="20"/>
                <w:szCs w:val="20"/>
              </w:rPr>
              <w:t>0.987</w:t>
            </w:r>
          </w:p>
        </w:tc>
        <w:tc>
          <w:tcPr>
            <w:tcW w:w="955" w:type="dxa"/>
            <w:tcBorders>
              <w:top w:val="nil"/>
              <w:left w:val="nil"/>
              <w:bottom w:val="single" w:sz="8" w:space="0" w:color="auto"/>
              <w:right w:val="single" w:sz="4" w:space="0" w:color="auto"/>
            </w:tcBorders>
            <w:shd w:val="clear" w:color="auto" w:fill="auto"/>
            <w:noWrap/>
            <w:vAlign w:val="bottom"/>
          </w:tcPr>
          <w:p w:rsidR="00EA1CAD" w:rsidRPr="00E73430" w:rsidRDefault="00EA1CAD" w:rsidP="00AE25D9">
            <w:pPr>
              <w:rPr>
                <w:sz w:val="20"/>
                <w:szCs w:val="20"/>
              </w:rPr>
            </w:pPr>
            <w:r w:rsidRPr="00E73430">
              <w:rPr>
                <w:sz w:val="20"/>
                <w:szCs w:val="20"/>
              </w:rPr>
              <w:t>0.987</w:t>
            </w:r>
          </w:p>
        </w:tc>
        <w:tc>
          <w:tcPr>
            <w:tcW w:w="1620" w:type="dxa"/>
            <w:tcBorders>
              <w:top w:val="nil"/>
              <w:left w:val="nil"/>
              <w:bottom w:val="single" w:sz="8" w:space="0" w:color="auto"/>
              <w:right w:val="nil"/>
            </w:tcBorders>
            <w:shd w:val="clear" w:color="auto" w:fill="auto"/>
            <w:noWrap/>
            <w:vAlign w:val="bottom"/>
          </w:tcPr>
          <w:p w:rsidR="00EA1CAD" w:rsidRPr="00E73430" w:rsidRDefault="00EA1CAD" w:rsidP="00AE25D9">
            <w:pPr>
              <w:rPr>
                <w:sz w:val="20"/>
                <w:szCs w:val="20"/>
              </w:rPr>
            </w:pPr>
            <w:r w:rsidRPr="00E73430">
              <w:rPr>
                <w:sz w:val="20"/>
                <w:szCs w:val="20"/>
              </w:rPr>
              <w:t>0.987</w:t>
            </w:r>
          </w:p>
        </w:tc>
        <w:tc>
          <w:tcPr>
            <w:tcW w:w="1685" w:type="dxa"/>
            <w:gridSpan w:val="2"/>
            <w:tcBorders>
              <w:top w:val="nil"/>
              <w:left w:val="nil"/>
              <w:bottom w:val="single" w:sz="8" w:space="0" w:color="auto"/>
              <w:right w:val="nil"/>
            </w:tcBorders>
            <w:shd w:val="clear" w:color="auto" w:fill="auto"/>
            <w:noWrap/>
            <w:vAlign w:val="bottom"/>
          </w:tcPr>
          <w:p w:rsidR="00EA1CAD" w:rsidRPr="00E73430" w:rsidRDefault="00EA1CAD" w:rsidP="00AE25D9">
            <w:pPr>
              <w:rPr>
                <w:sz w:val="20"/>
                <w:szCs w:val="20"/>
              </w:rPr>
            </w:pPr>
            <w:r w:rsidRPr="00E73430">
              <w:rPr>
                <w:sz w:val="20"/>
                <w:szCs w:val="20"/>
              </w:rPr>
              <w:t>0.987</w:t>
            </w:r>
          </w:p>
        </w:tc>
      </w:tr>
      <w:tr w:rsidR="00EA1CAD">
        <w:trPr>
          <w:trHeight w:val="144"/>
        </w:trPr>
        <w:tc>
          <w:tcPr>
            <w:tcW w:w="8000" w:type="dxa"/>
            <w:gridSpan w:val="6"/>
            <w:tcBorders>
              <w:top w:val="nil"/>
              <w:left w:val="nil"/>
              <w:bottom w:val="nil"/>
              <w:right w:val="nil"/>
            </w:tcBorders>
            <w:shd w:val="clear" w:color="auto" w:fill="auto"/>
            <w:noWrap/>
            <w:vAlign w:val="bottom"/>
          </w:tcPr>
          <w:p w:rsidR="00EA1CAD" w:rsidRPr="00E73430" w:rsidRDefault="00EA1CAD" w:rsidP="00AE25D9">
            <w:pPr>
              <w:rPr>
                <w:sz w:val="20"/>
                <w:szCs w:val="20"/>
              </w:rPr>
            </w:pPr>
            <w:r w:rsidRPr="00C008B9">
              <w:rPr>
                <w:b/>
                <w:sz w:val="18"/>
                <w:szCs w:val="18"/>
              </w:rPr>
              <w:t>Notes:</w:t>
            </w:r>
            <w:r w:rsidRPr="00E73430">
              <w:rPr>
                <w:sz w:val="20"/>
                <w:szCs w:val="20"/>
              </w:rPr>
              <w:t xml:space="preserve"> </w:t>
            </w:r>
            <w:r>
              <w:rPr>
                <w:sz w:val="20"/>
                <w:szCs w:val="20"/>
              </w:rPr>
              <w:t xml:space="preserve">     </w:t>
            </w:r>
            <w:r w:rsidRPr="00E73430">
              <w:rPr>
                <w:sz w:val="20"/>
                <w:szCs w:val="20"/>
              </w:rPr>
              <w:t>* sig</w:t>
            </w:r>
            <w:r>
              <w:rPr>
                <w:sz w:val="20"/>
                <w:szCs w:val="20"/>
              </w:rPr>
              <w:t>nificant at 10%; ** at 5%; *</w:t>
            </w:r>
            <w:proofErr w:type="gramStart"/>
            <w:r>
              <w:rPr>
                <w:sz w:val="20"/>
                <w:szCs w:val="20"/>
              </w:rPr>
              <w:t xml:space="preserve">* </w:t>
            </w:r>
            <w:r w:rsidRPr="00E73430">
              <w:rPr>
                <w:sz w:val="20"/>
                <w:szCs w:val="20"/>
              </w:rPr>
              <w:t xml:space="preserve"> at</w:t>
            </w:r>
            <w:proofErr w:type="gramEnd"/>
            <w:r w:rsidRPr="00E73430">
              <w:rPr>
                <w:sz w:val="20"/>
                <w:szCs w:val="20"/>
              </w:rPr>
              <w:t xml:space="preserve"> 1%</w:t>
            </w:r>
            <w:r>
              <w:rPr>
                <w:sz w:val="20"/>
                <w:szCs w:val="20"/>
              </w:rPr>
              <w:t xml:space="preserve">      </w:t>
            </w:r>
            <w:r w:rsidRPr="00E73430">
              <w:rPr>
                <w:sz w:val="20"/>
                <w:szCs w:val="20"/>
              </w:rPr>
              <w:t>(Standard errors</w:t>
            </w:r>
            <w:r>
              <w:rPr>
                <w:sz w:val="20"/>
                <w:szCs w:val="20"/>
              </w:rPr>
              <w:t xml:space="preserve"> reported</w:t>
            </w:r>
            <w:r w:rsidRPr="00E73430">
              <w:rPr>
                <w:sz w:val="20"/>
                <w:szCs w:val="20"/>
              </w:rPr>
              <w:t xml:space="preserve"> in parentheses</w:t>
            </w:r>
            <w:r>
              <w:rPr>
                <w:sz w:val="20"/>
                <w:szCs w:val="20"/>
              </w:rPr>
              <w:t>.</w:t>
            </w:r>
            <w:r w:rsidRPr="00E73430">
              <w:rPr>
                <w:sz w:val="20"/>
                <w:szCs w:val="20"/>
              </w:rPr>
              <w:t xml:space="preserve">)  </w:t>
            </w:r>
          </w:p>
        </w:tc>
      </w:tr>
      <w:tr w:rsidR="00EA1CAD">
        <w:trPr>
          <w:trHeight w:val="202"/>
        </w:trPr>
        <w:tc>
          <w:tcPr>
            <w:tcW w:w="8000" w:type="dxa"/>
            <w:gridSpan w:val="6"/>
            <w:tcBorders>
              <w:top w:val="nil"/>
              <w:left w:val="nil"/>
              <w:bottom w:val="nil"/>
              <w:right w:val="nil"/>
            </w:tcBorders>
            <w:shd w:val="clear" w:color="auto" w:fill="auto"/>
            <w:noWrap/>
            <w:vAlign w:val="bottom"/>
          </w:tcPr>
          <w:p w:rsidR="00EA1CAD" w:rsidRPr="00C008B9" w:rsidRDefault="00EA1CAD" w:rsidP="00AE25D9">
            <w:pPr>
              <w:rPr>
                <w:sz w:val="18"/>
                <w:szCs w:val="18"/>
              </w:rPr>
            </w:pPr>
            <w:r w:rsidRPr="00C008B9">
              <w:rPr>
                <w:sz w:val="18"/>
                <w:szCs w:val="18"/>
              </w:rPr>
              <w:t>The constraint that the weights sum to 1 is imposed by sub</w:t>
            </w:r>
            <w:r>
              <w:rPr>
                <w:sz w:val="18"/>
                <w:szCs w:val="18"/>
              </w:rPr>
              <w:t xml:space="preserve">tracting </w:t>
            </w:r>
            <w:r w:rsidRPr="00C008B9">
              <w:rPr>
                <w:sz w:val="18"/>
                <w:szCs w:val="18"/>
              </w:rPr>
              <w:t>the</w:t>
            </w:r>
            <w:r>
              <w:rPr>
                <w:sz w:val="18"/>
                <w:szCs w:val="18"/>
              </w:rPr>
              <w:t xml:space="preserve"> change in €</w:t>
            </w:r>
            <w:r w:rsidRPr="00C008B9">
              <w:rPr>
                <w:sz w:val="18"/>
                <w:szCs w:val="18"/>
              </w:rPr>
              <w:t xml:space="preserve"> from all exchange rate</w:t>
            </w:r>
            <w:r>
              <w:rPr>
                <w:sz w:val="18"/>
                <w:szCs w:val="18"/>
              </w:rPr>
              <w:t>s</w:t>
            </w:r>
            <w:r w:rsidRPr="00C008B9">
              <w:rPr>
                <w:sz w:val="18"/>
                <w:szCs w:val="18"/>
              </w:rPr>
              <w:t>.</w:t>
            </w:r>
          </w:p>
        </w:tc>
      </w:tr>
      <w:tr w:rsidR="00EA1CAD">
        <w:trPr>
          <w:trHeight w:val="202"/>
        </w:trPr>
        <w:tc>
          <w:tcPr>
            <w:tcW w:w="6580" w:type="dxa"/>
            <w:gridSpan w:val="5"/>
            <w:tcBorders>
              <w:top w:val="nil"/>
              <w:left w:val="nil"/>
              <w:bottom w:val="nil"/>
              <w:right w:val="nil"/>
            </w:tcBorders>
            <w:shd w:val="clear" w:color="auto" w:fill="auto"/>
            <w:noWrap/>
            <w:vAlign w:val="bottom"/>
          </w:tcPr>
          <w:p w:rsidR="00EA1CAD" w:rsidRPr="00C008B9" w:rsidRDefault="00EA1CAD" w:rsidP="00AE25D9">
            <w:pPr>
              <w:rPr>
                <w:sz w:val="18"/>
                <w:szCs w:val="18"/>
              </w:rPr>
            </w:pPr>
            <w:proofErr w:type="spellStart"/>
            <w:r w:rsidRPr="00C008B9">
              <w:rPr>
                <w:sz w:val="18"/>
                <w:szCs w:val="18"/>
              </w:rPr>
              <w:t>Eqn</w:t>
            </w:r>
            <w:proofErr w:type="spellEnd"/>
            <w:r w:rsidRPr="00C008B9">
              <w:rPr>
                <w:sz w:val="18"/>
                <w:szCs w:val="18"/>
              </w:rPr>
              <w:t xml:space="preserve"> (1). OLS, Trend = Trend2 =t(j), t= 0 (for </w:t>
            </w:r>
            <w:smartTag w:uri="urn:schemas-microsoft-com:office:smarttags" w:element="date">
              <w:smartTagPr>
                <w:attr w:name="Month" w:val="7"/>
                <w:attr w:name="Day" w:val="22"/>
                <w:attr w:name="Year" w:val="2005"/>
              </w:smartTagPr>
              <w:r w:rsidRPr="00C008B9">
                <w:rPr>
                  <w:sz w:val="18"/>
                  <w:szCs w:val="18"/>
                </w:rPr>
                <w:t>July 22, 2005</w:t>
              </w:r>
            </w:smartTag>
            <w:r w:rsidRPr="00C008B9">
              <w:rPr>
                <w:sz w:val="18"/>
                <w:szCs w:val="18"/>
              </w:rPr>
              <w:t xml:space="preserve">), 1, 2, </w:t>
            </w:r>
            <w:proofErr w:type="spellStart"/>
            <w:r w:rsidRPr="00C008B9">
              <w:rPr>
                <w:sz w:val="18"/>
                <w:szCs w:val="18"/>
              </w:rPr>
              <w:t>etc</w:t>
            </w:r>
            <w:proofErr w:type="spellEnd"/>
          </w:p>
        </w:tc>
        <w:tc>
          <w:tcPr>
            <w:tcW w:w="1420" w:type="dxa"/>
            <w:tcBorders>
              <w:top w:val="nil"/>
              <w:left w:val="nil"/>
              <w:bottom w:val="nil"/>
              <w:right w:val="nil"/>
            </w:tcBorders>
            <w:shd w:val="clear" w:color="auto" w:fill="auto"/>
            <w:noWrap/>
            <w:vAlign w:val="bottom"/>
          </w:tcPr>
          <w:p w:rsidR="00EA1CAD" w:rsidRDefault="00EA1CAD" w:rsidP="00AE25D9">
            <w:pPr>
              <w:rPr>
                <w:sz w:val="22"/>
                <w:szCs w:val="22"/>
              </w:rPr>
            </w:pPr>
          </w:p>
        </w:tc>
      </w:tr>
      <w:tr w:rsidR="00EA1CAD" w:rsidRPr="007F4005">
        <w:trPr>
          <w:trHeight w:val="202"/>
        </w:trPr>
        <w:tc>
          <w:tcPr>
            <w:tcW w:w="8000" w:type="dxa"/>
            <w:gridSpan w:val="6"/>
            <w:tcBorders>
              <w:top w:val="nil"/>
              <w:left w:val="nil"/>
              <w:bottom w:val="nil"/>
              <w:right w:val="nil"/>
            </w:tcBorders>
            <w:shd w:val="clear" w:color="auto" w:fill="auto"/>
            <w:noWrap/>
            <w:vAlign w:val="bottom"/>
          </w:tcPr>
          <w:p w:rsidR="00EA1CAD" w:rsidRPr="00C008B9" w:rsidRDefault="00EA1CAD" w:rsidP="00AE25D9">
            <w:pPr>
              <w:rPr>
                <w:sz w:val="18"/>
                <w:szCs w:val="18"/>
              </w:rPr>
            </w:pPr>
            <w:r w:rsidRPr="00C008B9">
              <w:rPr>
                <w:sz w:val="18"/>
                <w:szCs w:val="18"/>
              </w:rPr>
              <w:t>Eqn</w:t>
            </w:r>
            <w:proofErr w:type="gramStart"/>
            <w:r w:rsidRPr="00C008B9">
              <w:rPr>
                <w:sz w:val="18"/>
                <w:szCs w:val="18"/>
              </w:rPr>
              <w:t>.(</w:t>
            </w:r>
            <w:proofErr w:type="gramEnd"/>
            <w:r w:rsidRPr="00C008B9">
              <w:rPr>
                <w:sz w:val="18"/>
                <w:szCs w:val="18"/>
              </w:rPr>
              <w:t>2). OLS, Trend=1-exp(-d *t), where d is set to be 0.00001, Trend2=t</w:t>
            </w:r>
          </w:p>
        </w:tc>
      </w:tr>
      <w:tr w:rsidR="00EA1CAD">
        <w:trPr>
          <w:trHeight w:val="202"/>
        </w:trPr>
        <w:tc>
          <w:tcPr>
            <w:tcW w:w="8000" w:type="dxa"/>
            <w:gridSpan w:val="6"/>
            <w:tcBorders>
              <w:top w:val="nil"/>
              <w:left w:val="nil"/>
              <w:bottom w:val="nil"/>
              <w:right w:val="nil"/>
            </w:tcBorders>
            <w:shd w:val="clear" w:color="auto" w:fill="auto"/>
            <w:noWrap/>
            <w:vAlign w:val="bottom"/>
          </w:tcPr>
          <w:p w:rsidR="00EA1CAD" w:rsidRPr="00C008B9" w:rsidRDefault="00EA1CAD" w:rsidP="00AE25D9">
            <w:pPr>
              <w:rPr>
                <w:sz w:val="18"/>
                <w:szCs w:val="18"/>
              </w:rPr>
            </w:pPr>
            <w:r w:rsidRPr="00C008B9">
              <w:rPr>
                <w:sz w:val="18"/>
                <w:szCs w:val="18"/>
              </w:rPr>
              <w:t>Eqn. (3) Non-linear least squared estimation</w:t>
            </w:r>
          </w:p>
        </w:tc>
      </w:tr>
      <w:tr w:rsidR="00EA1CAD">
        <w:trPr>
          <w:trHeight w:val="202"/>
        </w:trPr>
        <w:tc>
          <w:tcPr>
            <w:tcW w:w="8000" w:type="dxa"/>
            <w:gridSpan w:val="6"/>
            <w:tcBorders>
              <w:top w:val="nil"/>
              <w:left w:val="nil"/>
              <w:bottom w:val="nil"/>
              <w:right w:val="nil"/>
            </w:tcBorders>
            <w:shd w:val="clear" w:color="auto" w:fill="auto"/>
            <w:noWrap/>
            <w:vAlign w:val="bottom"/>
          </w:tcPr>
          <w:p w:rsidR="00EA1CAD" w:rsidRDefault="00EA1CAD" w:rsidP="00AE25D9">
            <w:pPr>
              <w:rPr>
                <w:sz w:val="22"/>
                <w:szCs w:val="22"/>
              </w:rPr>
            </w:pPr>
            <w:r w:rsidRPr="00C008B9">
              <w:rPr>
                <w:sz w:val="18"/>
                <w:szCs w:val="18"/>
              </w:rPr>
              <w:t>Eqn. (4) Non-linear LS. Set the coefficient on USD*trend =-28.9 (which is the point estimate in Column 2)</w:t>
            </w:r>
          </w:p>
        </w:tc>
      </w:tr>
    </w:tbl>
    <w:p w:rsidR="00EA1CAD" w:rsidRDefault="00EA1CAD" w:rsidP="00EA1CAD"/>
    <w:p w:rsidR="00EA1CAD" w:rsidRDefault="00EA1CAD" w:rsidP="00EA1CAD">
      <w:pPr>
        <w:rPr>
          <w:b/>
        </w:rPr>
      </w:pPr>
    </w:p>
    <w:p w:rsidR="00EA1CAD" w:rsidRPr="00DD02ED" w:rsidRDefault="00EA1CAD" w:rsidP="00EA1CAD">
      <w:pPr>
        <w:rPr>
          <w:b/>
        </w:rPr>
      </w:pPr>
      <w:r>
        <w:rPr>
          <w:b/>
        </w:rPr>
        <w:t xml:space="preserve">Table 8: Intra-day Regressions for RMB (15 minute intervals, numeraire currency = SDR) </w:t>
      </w:r>
    </w:p>
    <w:p w:rsidR="00EA1CAD" w:rsidRPr="00064ED7" w:rsidRDefault="00EA1CAD" w:rsidP="00EA1CAD">
      <w:pPr>
        <w:rPr>
          <w:sz w:val="20"/>
          <w:szCs w:val="20"/>
        </w:rPr>
      </w:pPr>
    </w:p>
    <w:tbl>
      <w:tblPr>
        <w:tblStyle w:val="TableSimple1"/>
        <w:tblW w:w="13769" w:type="dxa"/>
        <w:tblInd w:w="-108" w:type="dxa"/>
        <w:tblLook w:val="01E0" w:firstRow="1" w:lastRow="1" w:firstColumn="1" w:lastColumn="1" w:noHBand="0" w:noVBand="0"/>
      </w:tblPr>
      <w:tblGrid>
        <w:gridCol w:w="1977"/>
        <w:gridCol w:w="1183"/>
        <w:gridCol w:w="1196"/>
        <w:gridCol w:w="1186"/>
        <w:gridCol w:w="1116"/>
        <w:gridCol w:w="1196"/>
        <w:gridCol w:w="1183"/>
        <w:gridCol w:w="1183"/>
        <w:gridCol w:w="1183"/>
        <w:gridCol w:w="1183"/>
        <w:gridCol w:w="1183"/>
      </w:tblGrid>
      <w:tr w:rsidR="00EA1CAD" w:rsidRPr="00BE7DFF">
        <w:trPr>
          <w:cnfStyle w:val="100000000000" w:firstRow="1" w:lastRow="0" w:firstColumn="0" w:lastColumn="0" w:oddVBand="0" w:evenVBand="0" w:oddHBand="0" w:evenHBand="0" w:firstRowFirstColumn="0" w:firstRowLastColumn="0" w:lastRowFirstColumn="0" w:lastRowLastColumn="0"/>
        </w:trPr>
        <w:tc>
          <w:tcPr>
            <w:tcW w:w="1977"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(1)</w:t>
            </w:r>
          </w:p>
        </w:tc>
        <w:tc>
          <w:tcPr>
            <w:tcW w:w="1196" w:type="dxa"/>
          </w:tcPr>
          <w:p w:rsidR="00EA1CAD" w:rsidRPr="00985B59" w:rsidRDefault="00EA1CAD" w:rsidP="00AE25D9">
            <w:pPr>
              <w:rPr>
                <w:sz w:val="20"/>
                <w:szCs w:val="20"/>
              </w:rPr>
            </w:pPr>
            <w:r w:rsidRPr="00985B59">
              <w:rPr>
                <w:sz w:val="20"/>
                <w:szCs w:val="20"/>
              </w:rPr>
              <w:t>(2)</w:t>
            </w:r>
          </w:p>
        </w:tc>
        <w:tc>
          <w:tcPr>
            <w:tcW w:w="1186" w:type="dxa"/>
          </w:tcPr>
          <w:p w:rsidR="00EA1CAD" w:rsidRPr="00985B59" w:rsidRDefault="00EA1CAD" w:rsidP="00AE25D9">
            <w:pPr>
              <w:rPr>
                <w:sz w:val="20"/>
                <w:szCs w:val="20"/>
              </w:rPr>
            </w:pPr>
            <w:r w:rsidRPr="00985B59">
              <w:rPr>
                <w:sz w:val="20"/>
                <w:szCs w:val="20"/>
              </w:rPr>
              <w:t>(3)</w:t>
            </w:r>
          </w:p>
        </w:tc>
        <w:tc>
          <w:tcPr>
            <w:tcW w:w="1116" w:type="dxa"/>
          </w:tcPr>
          <w:p w:rsidR="00EA1CAD" w:rsidRPr="00985B59" w:rsidRDefault="00EA1CAD" w:rsidP="00AE25D9">
            <w:pPr>
              <w:rPr>
                <w:sz w:val="20"/>
                <w:szCs w:val="20"/>
              </w:rPr>
            </w:pPr>
            <w:r w:rsidRPr="00985B59">
              <w:rPr>
                <w:sz w:val="20"/>
                <w:szCs w:val="20"/>
              </w:rPr>
              <w:t>(4)</w:t>
            </w:r>
          </w:p>
        </w:tc>
        <w:tc>
          <w:tcPr>
            <w:tcW w:w="1196" w:type="dxa"/>
          </w:tcPr>
          <w:p w:rsidR="00EA1CAD" w:rsidRPr="00985B59" w:rsidRDefault="00EA1CAD" w:rsidP="00AE25D9">
            <w:pPr>
              <w:rPr>
                <w:sz w:val="20"/>
                <w:szCs w:val="20"/>
              </w:rPr>
            </w:pPr>
            <w:r w:rsidRPr="00985B59">
              <w:rPr>
                <w:sz w:val="20"/>
                <w:szCs w:val="20"/>
              </w:rPr>
              <w:t>(5)</w:t>
            </w:r>
          </w:p>
        </w:tc>
        <w:tc>
          <w:tcPr>
            <w:tcW w:w="1183" w:type="dxa"/>
          </w:tcPr>
          <w:p w:rsidR="00EA1CAD" w:rsidRPr="00985B59" w:rsidRDefault="00EA1CAD" w:rsidP="00AE25D9">
            <w:pPr>
              <w:rPr>
                <w:sz w:val="20"/>
                <w:szCs w:val="20"/>
              </w:rPr>
            </w:pPr>
            <w:r w:rsidRPr="00985B59">
              <w:rPr>
                <w:sz w:val="20"/>
                <w:szCs w:val="20"/>
              </w:rPr>
              <w:t>(6)</w:t>
            </w:r>
          </w:p>
        </w:tc>
        <w:tc>
          <w:tcPr>
            <w:tcW w:w="1183" w:type="dxa"/>
          </w:tcPr>
          <w:p w:rsidR="00EA1CAD" w:rsidRPr="00985B59" w:rsidRDefault="00EA1CAD" w:rsidP="00AE25D9">
            <w:pPr>
              <w:rPr>
                <w:sz w:val="20"/>
                <w:szCs w:val="20"/>
              </w:rPr>
            </w:pPr>
            <w:r w:rsidRPr="00985B59">
              <w:rPr>
                <w:sz w:val="20"/>
                <w:szCs w:val="20"/>
              </w:rPr>
              <w:t>(7)</w:t>
            </w:r>
          </w:p>
        </w:tc>
        <w:tc>
          <w:tcPr>
            <w:tcW w:w="1183" w:type="dxa"/>
          </w:tcPr>
          <w:p w:rsidR="00EA1CAD" w:rsidRPr="00985B59" w:rsidRDefault="00EA1CAD" w:rsidP="00AE25D9">
            <w:pPr>
              <w:rPr>
                <w:sz w:val="20"/>
                <w:szCs w:val="20"/>
              </w:rPr>
            </w:pPr>
            <w:r w:rsidRPr="00985B59">
              <w:rPr>
                <w:sz w:val="20"/>
                <w:szCs w:val="20"/>
              </w:rPr>
              <w:t>(8)</w:t>
            </w:r>
          </w:p>
        </w:tc>
        <w:tc>
          <w:tcPr>
            <w:tcW w:w="1183" w:type="dxa"/>
          </w:tcPr>
          <w:p w:rsidR="00EA1CAD" w:rsidRPr="00985B59" w:rsidRDefault="00EA1CAD" w:rsidP="00AE25D9">
            <w:pPr>
              <w:rPr>
                <w:sz w:val="20"/>
                <w:szCs w:val="20"/>
              </w:rPr>
            </w:pPr>
            <w:r w:rsidRPr="00985B59">
              <w:rPr>
                <w:sz w:val="20"/>
                <w:szCs w:val="20"/>
              </w:rPr>
              <w:t>(9)</w:t>
            </w:r>
          </w:p>
        </w:tc>
        <w:tc>
          <w:tcPr>
            <w:tcW w:w="1183" w:type="dxa"/>
          </w:tcPr>
          <w:p w:rsidR="00EA1CAD" w:rsidRPr="00985B59" w:rsidRDefault="00EA1CAD" w:rsidP="00AE25D9">
            <w:pPr>
              <w:rPr>
                <w:sz w:val="20"/>
                <w:szCs w:val="20"/>
              </w:rPr>
            </w:pPr>
            <w:r w:rsidRPr="00985B59">
              <w:rPr>
                <w:sz w:val="20"/>
                <w:szCs w:val="20"/>
              </w:rPr>
              <w:t>(10)</w:t>
            </w:r>
          </w:p>
        </w:tc>
      </w:tr>
      <w:tr w:rsidR="00EA1CAD" w:rsidRPr="00BE7DFF">
        <w:tc>
          <w:tcPr>
            <w:tcW w:w="1977" w:type="dxa"/>
          </w:tcPr>
          <w:p w:rsidR="00EA1CAD" w:rsidRPr="00985B59" w:rsidRDefault="00EA1CAD" w:rsidP="00AE25D9">
            <w:pPr>
              <w:rPr>
                <w:sz w:val="20"/>
                <w:szCs w:val="20"/>
              </w:rPr>
            </w:pPr>
          </w:p>
        </w:tc>
        <w:tc>
          <w:tcPr>
            <w:tcW w:w="2379" w:type="dxa"/>
            <w:gridSpan w:val="2"/>
          </w:tcPr>
          <w:p w:rsidR="00EA1CAD" w:rsidRPr="00985B59" w:rsidRDefault="00EA1CAD" w:rsidP="00AE25D9">
            <w:pPr>
              <w:rPr>
                <w:sz w:val="20"/>
                <w:szCs w:val="20"/>
              </w:rPr>
            </w:pPr>
            <w:r w:rsidRPr="00985B59">
              <w:rPr>
                <w:sz w:val="20"/>
                <w:szCs w:val="20"/>
              </w:rPr>
              <w:t>All data</w:t>
            </w:r>
          </w:p>
        </w:tc>
        <w:tc>
          <w:tcPr>
            <w:tcW w:w="2302" w:type="dxa"/>
            <w:gridSpan w:val="2"/>
          </w:tcPr>
          <w:p w:rsidR="00EA1CAD" w:rsidRPr="00985B59" w:rsidRDefault="00EA1CAD" w:rsidP="00AE25D9">
            <w:pPr>
              <w:rPr>
                <w:sz w:val="20"/>
                <w:szCs w:val="20"/>
              </w:rPr>
            </w:pPr>
            <w:r w:rsidRPr="00985B59">
              <w:rPr>
                <w:sz w:val="20"/>
                <w:szCs w:val="20"/>
              </w:rPr>
              <w:t>7/21-8/25/2005</w:t>
            </w:r>
          </w:p>
        </w:tc>
        <w:tc>
          <w:tcPr>
            <w:tcW w:w="2379" w:type="dxa"/>
            <w:gridSpan w:val="2"/>
          </w:tcPr>
          <w:p w:rsidR="00EA1CAD" w:rsidRPr="00985B59" w:rsidRDefault="00EA1CAD" w:rsidP="00AE25D9">
            <w:pPr>
              <w:rPr>
                <w:sz w:val="20"/>
                <w:szCs w:val="20"/>
              </w:rPr>
            </w:pPr>
            <w:r w:rsidRPr="00985B59">
              <w:rPr>
                <w:sz w:val="20"/>
                <w:szCs w:val="20"/>
              </w:rPr>
              <w:t xml:space="preserve"> </w:t>
            </w:r>
            <w:r w:rsidRPr="00985B59">
              <w:rPr>
                <w:rFonts w:ascii="SimSun" w:hAnsi="SimSun" w:cs="SimSun"/>
                <w:sz w:val="20"/>
                <w:szCs w:val="20"/>
              </w:rPr>
              <w:t>2/16-3/16/2006</w:t>
            </w:r>
          </w:p>
        </w:tc>
        <w:tc>
          <w:tcPr>
            <w:tcW w:w="2366" w:type="dxa"/>
            <w:gridSpan w:val="2"/>
          </w:tcPr>
          <w:p w:rsidR="00EA1CAD" w:rsidRPr="00985B59" w:rsidRDefault="00EA1CAD" w:rsidP="00AE25D9">
            <w:pPr>
              <w:rPr>
                <w:sz w:val="20"/>
                <w:szCs w:val="20"/>
              </w:rPr>
            </w:pPr>
            <w:r w:rsidRPr="00985B59">
              <w:rPr>
                <w:sz w:val="20"/>
                <w:szCs w:val="20"/>
              </w:rPr>
              <w:t xml:space="preserve"> </w:t>
            </w:r>
            <w:r w:rsidRPr="00985B59">
              <w:rPr>
                <w:rFonts w:ascii="SimSun" w:hAnsi="SimSun" w:cs="SimSun"/>
                <w:sz w:val="20"/>
                <w:szCs w:val="20"/>
              </w:rPr>
              <w:t>3/17-4/17/2006</w:t>
            </w:r>
          </w:p>
        </w:tc>
        <w:tc>
          <w:tcPr>
            <w:tcW w:w="2366" w:type="dxa"/>
            <w:gridSpan w:val="2"/>
          </w:tcPr>
          <w:p w:rsidR="00EA1CAD" w:rsidRPr="00985B59" w:rsidRDefault="00EA1CAD" w:rsidP="00AE25D9">
            <w:pPr>
              <w:rPr>
                <w:sz w:val="20"/>
                <w:szCs w:val="20"/>
              </w:rPr>
            </w:pPr>
            <w:r w:rsidRPr="00985B59">
              <w:rPr>
                <w:rFonts w:ascii="SimSun" w:hAnsi="SimSun" w:cs="SimSun"/>
                <w:sz w:val="20"/>
                <w:szCs w:val="20"/>
              </w:rPr>
              <w:t>4/18-5/17/2006</w:t>
            </w:r>
          </w:p>
        </w:tc>
      </w:tr>
      <w:tr w:rsidR="00EA1CAD" w:rsidRPr="00BE7DFF">
        <w:tc>
          <w:tcPr>
            <w:tcW w:w="1977" w:type="dxa"/>
          </w:tcPr>
          <w:p w:rsidR="00EA1CAD" w:rsidRPr="00985B59" w:rsidRDefault="00EA1CAD" w:rsidP="00AE25D9">
            <w:pPr>
              <w:rPr>
                <w:sz w:val="20"/>
                <w:szCs w:val="20"/>
              </w:rPr>
            </w:pPr>
            <w:r w:rsidRPr="00985B59">
              <w:rPr>
                <w:sz w:val="20"/>
                <w:szCs w:val="20"/>
              </w:rPr>
              <w:t>US Dollar</w:t>
            </w:r>
          </w:p>
        </w:tc>
        <w:tc>
          <w:tcPr>
            <w:tcW w:w="1183" w:type="dxa"/>
          </w:tcPr>
          <w:p w:rsidR="00EA1CAD" w:rsidRPr="00985B59" w:rsidRDefault="00EA1CAD" w:rsidP="00AE25D9">
            <w:pPr>
              <w:rPr>
                <w:sz w:val="20"/>
                <w:szCs w:val="20"/>
              </w:rPr>
            </w:pPr>
            <w:r w:rsidRPr="00985B59">
              <w:rPr>
                <w:sz w:val="20"/>
                <w:szCs w:val="20"/>
              </w:rPr>
              <w:t>0.867**</w:t>
            </w:r>
          </w:p>
        </w:tc>
        <w:tc>
          <w:tcPr>
            <w:tcW w:w="1196" w:type="dxa"/>
          </w:tcPr>
          <w:p w:rsidR="00EA1CAD" w:rsidRPr="00985B59" w:rsidRDefault="00EA1CAD" w:rsidP="00AE25D9">
            <w:pPr>
              <w:rPr>
                <w:sz w:val="20"/>
                <w:szCs w:val="20"/>
              </w:rPr>
            </w:pPr>
            <w:r w:rsidRPr="00985B59">
              <w:rPr>
                <w:sz w:val="20"/>
                <w:szCs w:val="20"/>
              </w:rPr>
              <w:t>0.921**</w:t>
            </w:r>
          </w:p>
        </w:tc>
        <w:tc>
          <w:tcPr>
            <w:tcW w:w="1186" w:type="dxa"/>
          </w:tcPr>
          <w:p w:rsidR="00EA1CAD" w:rsidRPr="00985B59" w:rsidRDefault="00EA1CAD" w:rsidP="00AE25D9">
            <w:pPr>
              <w:rPr>
                <w:sz w:val="20"/>
                <w:szCs w:val="20"/>
              </w:rPr>
            </w:pPr>
            <w:r w:rsidRPr="00985B59">
              <w:rPr>
                <w:sz w:val="20"/>
                <w:szCs w:val="20"/>
              </w:rPr>
              <w:t>0.702**</w:t>
            </w:r>
          </w:p>
        </w:tc>
        <w:tc>
          <w:tcPr>
            <w:tcW w:w="1116" w:type="dxa"/>
          </w:tcPr>
          <w:p w:rsidR="00EA1CAD" w:rsidRPr="00985B59" w:rsidRDefault="00EA1CAD" w:rsidP="00AE25D9">
            <w:pPr>
              <w:rPr>
                <w:sz w:val="20"/>
                <w:szCs w:val="20"/>
              </w:rPr>
            </w:pPr>
            <w:r w:rsidRPr="00985B59">
              <w:rPr>
                <w:sz w:val="20"/>
                <w:szCs w:val="20"/>
              </w:rPr>
              <w:t>1.000**</w:t>
            </w:r>
          </w:p>
        </w:tc>
        <w:tc>
          <w:tcPr>
            <w:tcW w:w="1196" w:type="dxa"/>
          </w:tcPr>
          <w:p w:rsidR="00EA1CAD" w:rsidRPr="00985B59" w:rsidRDefault="00EA1CAD" w:rsidP="00AE25D9">
            <w:pPr>
              <w:rPr>
                <w:sz w:val="20"/>
                <w:szCs w:val="20"/>
              </w:rPr>
            </w:pPr>
            <w:r w:rsidRPr="00985B59">
              <w:rPr>
                <w:sz w:val="20"/>
                <w:szCs w:val="20"/>
              </w:rPr>
              <w:t>0.754**</w:t>
            </w:r>
          </w:p>
        </w:tc>
        <w:tc>
          <w:tcPr>
            <w:tcW w:w="1183" w:type="dxa"/>
          </w:tcPr>
          <w:p w:rsidR="00EA1CAD" w:rsidRPr="00985B59" w:rsidRDefault="00EA1CAD" w:rsidP="00AE25D9">
            <w:pPr>
              <w:rPr>
                <w:sz w:val="20"/>
                <w:szCs w:val="20"/>
              </w:rPr>
            </w:pPr>
            <w:r w:rsidRPr="00985B59">
              <w:rPr>
                <w:sz w:val="20"/>
                <w:szCs w:val="20"/>
              </w:rPr>
              <w:t>0.842**</w:t>
            </w:r>
          </w:p>
        </w:tc>
        <w:tc>
          <w:tcPr>
            <w:tcW w:w="1183" w:type="dxa"/>
          </w:tcPr>
          <w:p w:rsidR="00EA1CAD" w:rsidRPr="00985B59" w:rsidRDefault="00EA1CAD" w:rsidP="00AE25D9">
            <w:pPr>
              <w:rPr>
                <w:sz w:val="20"/>
                <w:szCs w:val="20"/>
              </w:rPr>
            </w:pPr>
            <w:r w:rsidRPr="00985B59">
              <w:rPr>
                <w:sz w:val="20"/>
                <w:szCs w:val="20"/>
              </w:rPr>
              <w:t>1.012</w:t>
            </w:r>
          </w:p>
        </w:tc>
        <w:tc>
          <w:tcPr>
            <w:tcW w:w="1183" w:type="dxa"/>
          </w:tcPr>
          <w:p w:rsidR="00EA1CAD" w:rsidRPr="00985B59" w:rsidRDefault="00EA1CAD" w:rsidP="00AE25D9">
            <w:pPr>
              <w:rPr>
                <w:sz w:val="20"/>
                <w:szCs w:val="20"/>
              </w:rPr>
            </w:pPr>
            <w:r w:rsidRPr="00985B59">
              <w:rPr>
                <w:sz w:val="20"/>
                <w:szCs w:val="20"/>
              </w:rPr>
              <w:t>0.954**</w:t>
            </w:r>
          </w:p>
        </w:tc>
        <w:tc>
          <w:tcPr>
            <w:tcW w:w="1183" w:type="dxa"/>
          </w:tcPr>
          <w:p w:rsidR="00EA1CAD" w:rsidRPr="00985B59" w:rsidRDefault="00EA1CAD" w:rsidP="00AE25D9">
            <w:pPr>
              <w:rPr>
                <w:sz w:val="20"/>
                <w:szCs w:val="20"/>
              </w:rPr>
            </w:pPr>
            <w:r w:rsidRPr="00985B59">
              <w:rPr>
                <w:sz w:val="20"/>
                <w:szCs w:val="20"/>
              </w:rPr>
              <w:t>0.507*</w:t>
            </w:r>
          </w:p>
        </w:tc>
        <w:tc>
          <w:tcPr>
            <w:tcW w:w="1183" w:type="dxa"/>
          </w:tcPr>
          <w:p w:rsidR="00EA1CAD" w:rsidRPr="00985B59" w:rsidRDefault="00EA1CAD" w:rsidP="00AE25D9">
            <w:pPr>
              <w:rPr>
                <w:sz w:val="20"/>
                <w:szCs w:val="20"/>
              </w:rPr>
            </w:pPr>
            <w:r w:rsidRPr="00985B59">
              <w:rPr>
                <w:sz w:val="20"/>
                <w:szCs w:val="20"/>
              </w:rPr>
              <w:t>0.968**</w:t>
            </w:r>
          </w:p>
        </w:tc>
      </w:tr>
      <w:tr w:rsidR="00EA1CAD" w:rsidRPr="00BE7DFF">
        <w:tc>
          <w:tcPr>
            <w:tcW w:w="1977"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(0.033)</w:t>
            </w:r>
          </w:p>
        </w:tc>
        <w:tc>
          <w:tcPr>
            <w:tcW w:w="1196" w:type="dxa"/>
          </w:tcPr>
          <w:p w:rsidR="00EA1CAD" w:rsidRPr="00985B59" w:rsidRDefault="00EA1CAD" w:rsidP="00AE25D9">
            <w:pPr>
              <w:rPr>
                <w:sz w:val="20"/>
                <w:szCs w:val="20"/>
              </w:rPr>
            </w:pPr>
            <w:r w:rsidRPr="00985B59">
              <w:rPr>
                <w:sz w:val="20"/>
                <w:szCs w:val="20"/>
              </w:rPr>
              <w:t>(0.009)</w:t>
            </w:r>
          </w:p>
        </w:tc>
        <w:tc>
          <w:tcPr>
            <w:tcW w:w="1186" w:type="dxa"/>
          </w:tcPr>
          <w:p w:rsidR="00EA1CAD" w:rsidRPr="00985B59" w:rsidRDefault="00EA1CAD" w:rsidP="00AE25D9">
            <w:pPr>
              <w:rPr>
                <w:sz w:val="20"/>
                <w:szCs w:val="20"/>
              </w:rPr>
            </w:pPr>
            <w:r w:rsidRPr="00985B59">
              <w:rPr>
                <w:sz w:val="20"/>
                <w:szCs w:val="20"/>
              </w:rPr>
              <w:t>(0.186)</w:t>
            </w:r>
          </w:p>
        </w:tc>
        <w:tc>
          <w:tcPr>
            <w:tcW w:w="1116" w:type="dxa"/>
          </w:tcPr>
          <w:p w:rsidR="00EA1CAD" w:rsidRPr="00985B59" w:rsidRDefault="00EA1CAD" w:rsidP="00AE25D9">
            <w:pPr>
              <w:rPr>
                <w:sz w:val="20"/>
                <w:szCs w:val="20"/>
              </w:rPr>
            </w:pPr>
            <w:r w:rsidRPr="00985B59">
              <w:rPr>
                <w:sz w:val="20"/>
                <w:szCs w:val="20"/>
              </w:rPr>
              <w:t>(0.007)</w:t>
            </w:r>
          </w:p>
        </w:tc>
        <w:tc>
          <w:tcPr>
            <w:tcW w:w="1196" w:type="dxa"/>
          </w:tcPr>
          <w:p w:rsidR="00EA1CAD" w:rsidRPr="00985B59" w:rsidRDefault="00EA1CAD" w:rsidP="00AE25D9">
            <w:pPr>
              <w:rPr>
                <w:sz w:val="20"/>
                <w:szCs w:val="20"/>
              </w:rPr>
            </w:pPr>
            <w:r w:rsidRPr="00985B59">
              <w:rPr>
                <w:sz w:val="20"/>
                <w:szCs w:val="20"/>
              </w:rPr>
              <w:t>(0.072)</w:t>
            </w:r>
          </w:p>
        </w:tc>
        <w:tc>
          <w:tcPr>
            <w:tcW w:w="1183" w:type="dxa"/>
          </w:tcPr>
          <w:p w:rsidR="00EA1CAD" w:rsidRPr="00985B59" w:rsidRDefault="00EA1CAD" w:rsidP="00AE25D9">
            <w:pPr>
              <w:rPr>
                <w:sz w:val="20"/>
                <w:szCs w:val="20"/>
              </w:rPr>
            </w:pPr>
            <w:r w:rsidRPr="00985B59">
              <w:rPr>
                <w:sz w:val="20"/>
                <w:szCs w:val="20"/>
              </w:rPr>
              <w:t>(0.013)</w:t>
            </w:r>
          </w:p>
        </w:tc>
        <w:tc>
          <w:tcPr>
            <w:tcW w:w="1183" w:type="dxa"/>
          </w:tcPr>
          <w:p w:rsidR="00EA1CAD" w:rsidRPr="00985B59" w:rsidRDefault="00EA1CAD" w:rsidP="00AE25D9">
            <w:pPr>
              <w:rPr>
                <w:sz w:val="20"/>
                <w:szCs w:val="20"/>
              </w:rPr>
            </w:pPr>
            <w:r w:rsidRPr="00985B59">
              <w:rPr>
                <w:sz w:val="20"/>
                <w:szCs w:val="20"/>
              </w:rPr>
              <w:t>(1.085)</w:t>
            </w:r>
          </w:p>
        </w:tc>
        <w:tc>
          <w:tcPr>
            <w:tcW w:w="1183" w:type="dxa"/>
          </w:tcPr>
          <w:p w:rsidR="00EA1CAD" w:rsidRPr="00985B59" w:rsidRDefault="00EA1CAD" w:rsidP="00AE25D9">
            <w:pPr>
              <w:rPr>
                <w:sz w:val="20"/>
                <w:szCs w:val="20"/>
              </w:rPr>
            </w:pPr>
            <w:r w:rsidRPr="00985B59">
              <w:rPr>
                <w:sz w:val="20"/>
                <w:szCs w:val="20"/>
              </w:rPr>
              <w:t>(0.027)</w:t>
            </w:r>
          </w:p>
        </w:tc>
        <w:tc>
          <w:tcPr>
            <w:tcW w:w="1183" w:type="dxa"/>
          </w:tcPr>
          <w:p w:rsidR="00EA1CAD" w:rsidRPr="00985B59" w:rsidRDefault="00EA1CAD" w:rsidP="00AE25D9">
            <w:pPr>
              <w:rPr>
                <w:sz w:val="20"/>
                <w:szCs w:val="20"/>
              </w:rPr>
            </w:pPr>
            <w:r w:rsidRPr="00985B59">
              <w:rPr>
                <w:sz w:val="20"/>
                <w:szCs w:val="20"/>
              </w:rPr>
              <w:t>(0.282)</w:t>
            </w:r>
          </w:p>
        </w:tc>
        <w:tc>
          <w:tcPr>
            <w:tcW w:w="1183" w:type="dxa"/>
          </w:tcPr>
          <w:p w:rsidR="00EA1CAD" w:rsidRPr="00985B59" w:rsidRDefault="00EA1CAD" w:rsidP="00AE25D9">
            <w:pPr>
              <w:rPr>
                <w:sz w:val="20"/>
                <w:szCs w:val="20"/>
              </w:rPr>
            </w:pPr>
            <w:r w:rsidRPr="00985B59">
              <w:rPr>
                <w:sz w:val="20"/>
                <w:szCs w:val="20"/>
              </w:rPr>
              <w:t>(0.021)</w:t>
            </w:r>
          </w:p>
        </w:tc>
      </w:tr>
      <w:tr w:rsidR="00EA1CAD" w:rsidRPr="00BE7DFF">
        <w:tc>
          <w:tcPr>
            <w:tcW w:w="1977" w:type="dxa"/>
          </w:tcPr>
          <w:p w:rsidR="00EA1CAD" w:rsidRPr="00985B59" w:rsidRDefault="00EA1CAD" w:rsidP="00AE25D9">
            <w:pPr>
              <w:rPr>
                <w:sz w:val="20"/>
                <w:szCs w:val="20"/>
              </w:rPr>
            </w:pPr>
            <w:r w:rsidRPr="00985B59">
              <w:rPr>
                <w:sz w:val="20"/>
                <w:szCs w:val="20"/>
              </w:rPr>
              <w:t>Euro</w:t>
            </w:r>
          </w:p>
        </w:tc>
        <w:tc>
          <w:tcPr>
            <w:tcW w:w="1183" w:type="dxa"/>
          </w:tcPr>
          <w:p w:rsidR="00EA1CAD" w:rsidRPr="00985B59" w:rsidRDefault="00EA1CAD" w:rsidP="00AE25D9">
            <w:pPr>
              <w:rPr>
                <w:sz w:val="20"/>
                <w:szCs w:val="20"/>
              </w:rPr>
            </w:pPr>
            <w:r w:rsidRPr="00985B59">
              <w:rPr>
                <w:sz w:val="20"/>
                <w:szCs w:val="20"/>
              </w:rPr>
              <w:t>-0.048*</w:t>
            </w:r>
          </w:p>
        </w:tc>
        <w:tc>
          <w:tcPr>
            <w:tcW w:w="1196" w:type="dxa"/>
          </w:tcPr>
          <w:p w:rsidR="00EA1CAD" w:rsidRPr="00985B59" w:rsidRDefault="00EA1CAD" w:rsidP="00AE25D9">
            <w:pPr>
              <w:rPr>
                <w:sz w:val="20"/>
                <w:szCs w:val="20"/>
              </w:rPr>
            </w:pPr>
            <w:r w:rsidRPr="00985B59">
              <w:rPr>
                <w:sz w:val="20"/>
                <w:szCs w:val="20"/>
              </w:rPr>
              <w:t>-0.010</w:t>
            </w:r>
          </w:p>
        </w:tc>
        <w:tc>
          <w:tcPr>
            <w:tcW w:w="1186" w:type="dxa"/>
          </w:tcPr>
          <w:p w:rsidR="00EA1CAD" w:rsidRPr="00985B59" w:rsidRDefault="00EA1CAD" w:rsidP="00AE25D9">
            <w:pPr>
              <w:rPr>
                <w:sz w:val="20"/>
                <w:szCs w:val="20"/>
              </w:rPr>
            </w:pPr>
            <w:r w:rsidRPr="00985B59">
              <w:rPr>
                <w:sz w:val="20"/>
                <w:szCs w:val="20"/>
              </w:rPr>
              <w:t>-0.270</w:t>
            </w:r>
          </w:p>
        </w:tc>
        <w:tc>
          <w:tcPr>
            <w:tcW w:w="1116" w:type="dxa"/>
          </w:tcPr>
          <w:p w:rsidR="00EA1CAD" w:rsidRPr="00985B59" w:rsidRDefault="00EA1CAD" w:rsidP="00AE25D9">
            <w:pPr>
              <w:rPr>
                <w:sz w:val="20"/>
                <w:szCs w:val="20"/>
              </w:rPr>
            </w:pPr>
            <w:r w:rsidRPr="00985B59">
              <w:rPr>
                <w:sz w:val="20"/>
                <w:szCs w:val="20"/>
              </w:rPr>
              <w:t>0.004</w:t>
            </w:r>
          </w:p>
        </w:tc>
        <w:tc>
          <w:tcPr>
            <w:tcW w:w="1196" w:type="dxa"/>
          </w:tcPr>
          <w:p w:rsidR="00EA1CAD" w:rsidRPr="00985B59" w:rsidRDefault="00EA1CAD" w:rsidP="00AE25D9">
            <w:pPr>
              <w:rPr>
                <w:sz w:val="20"/>
                <w:szCs w:val="20"/>
              </w:rPr>
            </w:pPr>
            <w:r w:rsidRPr="00985B59">
              <w:rPr>
                <w:sz w:val="20"/>
                <w:szCs w:val="20"/>
              </w:rPr>
              <w:t>-0.096*</w:t>
            </w:r>
          </w:p>
        </w:tc>
        <w:tc>
          <w:tcPr>
            <w:tcW w:w="1183" w:type="dxa"/>
          </w:tcPr>
          <w:p w:rsidR="00EA1CAD" w:rsidRPr="00985B59" w:rsidRDefault="00EA1CAD" w:rsidP="00AE25D9">
            <w:pPr>
              <w:rPr>
                <w:sz w:val="20"/>
                <w:szCs w:val="20"/>
              </w:rPr>
            </w:pPr>
            <w:r w:rsidRPr="00985B59">
              <w:rPr>
                <w:sz w:val="20"/>
                <w:szCs w:val="20"/>
              </w:rPr>
              <w:t>-0.035**</w:t>
            </w:r>
          </w:p>
        </w:tc>
        <w:tc>
          <w:tcPr>
            <w:tcW w:w="1183" w:type="dxa"/>
          </w:tcPr>
          <w:p w:rsidR="00EA1CAD" w:rsidRPr="00985B59" w:rsidRDefault="00EA1CAD" w:rsidP="00AE25D9">
            <w:pPr>
              <w:rPr>
                <w:sz w:val="20"/>
                <w:szCs w:val="20"/>
              </w:rPr>
            </w:pPr>
            <w:r w:rsidRPr="00985B59">
              <w:rPr>
                <w:sz w:val="20"/>
                <w:szCs w:val="20"/>
              </w:rPr>
              <w:t>0.068</w:t>
            </w:r>
          </w:p>
        </w:tc>
        <w:tc>
          <w:tcPr>
            <w:tcW w:w="1183" w:type="dxa"/>
          </w:tcPr>
          <w:p w:rsidR="00EA1CAD" w:rsidRPr="00985B59" w:rsidRDefault="00EA1CAD" w:rsidP="00AE25D9">
            <w:pPr>
              <w:rPr>
                <w:sz w:val="20"/>
                <w:szCs w:val="20"/>
              </w:rPr>
            </w:pPr>
            <w:r w:rsidRPr="00985B59">
              <w:rPr>
                <w:sz w:val="20"/>
                <w:szCs w:val="20"/>
              </w:rPr>
              <w:t>-0.026</w:t>
            </w:r>
          </w:p>
        </w:tc>
        <w:tc>
          <w:tcPr>
            <w:tcW w:w="1183" w:type="dxa"/>
          </w:tcPr>
          <w:p w:rsidR="00EA1CAD" w:rsidRPr="00985B59" w:rsidRDefault="00EA1CAD" w:rsidP="00AE25D9">
            <w:pPr>
              <w:rPr>
                <w:sz w:val="20"/>
                <w:szCs w:val="20"/>
              </w:rPr>
            </w:pPr>
            <w:r w:rsidRPr="00985B59">
              <w:rPr>
                <w:sz w:val="20"/>
                <w:szCs w:val="20"/>
              </w:rPr>
              <w:t>-0.361</w:t>
            </w:r>
          </w:p>
        </w:tc>
        <w:tc>
          <w:tcPr>
            <w:tcW w:w="1183" w:type="dxa"/>
          </w:tcPr>
          <w:p w:rsidR="00EA1CAD" w:rsidRPr="00985B59" w:rsidRDefault="00EA1CAD" w:rsidP="00AE25D9">
            <w:pPr>
              <w:rPr>
                <w:sz w:val="20"/>
                <w:szCs w:val="20"/>
              </w:rPr>
            </w:pPr>
            <w:r w:rsidRPr="00985B59">
              <w:rPr>
                <w:sz w:val="20"/>
                <w:szCs w:val="20"/>
              </w:rPr>
              <w:t>-0.024</w:t>
            </w:r>
          </w:p>
        </w:tc>
      </w:tr>
      <w:tr w:rsidR="00EA1CAD" w:rsidRPr="00BE7DFF">
        <w:tc>
          <w:tcPr>
            <w:tcW w:w="1977"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(0.026)</w:t>
            </w:r>
          </w:p>
        </w:tc>
        <w:tc>
          <w:tcPr>
            <w:tcW w:w="1196" w:type="dxa"/>
          </w:tcPr>
          <w:p w:rsidR="00EA1CAD" w:rsidRPr="00985B59" w:rsidRDefault="00EA1CAD" w:rsidP="00AE25D9">
            <w:pPr>
              <w:rPr>
                <w:sz w:val="20"/>
                <w:szCs w:val="20"/>
              </w:rPr>
            </w:pPr>
            <w:r w:rsidRPr="00985B59">
              <w:rPr>
                <w:sz w:val="20"/>
                <w:szCs w:val="20"/>
              </w:rPr>
              <w:t>(0.008)</w:t>
            </w:r>
          </w:p>
        </w:tc>
        <w:tc>
          <w:tcPr>
            <w:tcW w:w="1186" w:type="dxa"/>
          </w:tcPr>
          <w:p w:rsidR="00EA1CAD" w:rsidRPr="00985B59" w:rsidRDefault="00EA1CAD" w:rsidP="00AE25D9">
            <w:pPr>
              <w:rPr>
                <w:sz w:val="20"/>
                <w:szCs w:val="20"/>
              </w:rPr>
            </w:pPr>
            <w:r w:rsidRPr="00985B59">
              <w:rPr>
                <w:sz w:val="20"/>
                <w:szCs w:val="20"/>
              </w:rPr>
              <w:t>(0.168)</w:t>
            </w:r>
          </w:p>
        </w:tc>
        <w:tc>
          <w:tcPr>
            <w:tcW w:w="1116" w:type="dxa"/>
          </w:tcPr>
          <w:p w:rsidR="00EA1CAD" w:rsidRPr="00985B59" w:rsidRDefault="00EA1CAD" w:rsidP="00AE25D9">
            <w:pPr>
              <w:rPr>
                <w:sz w:val="20"/>
                <w:szCs w:val="20"/>
              </w:rPr>
            </w:pPr>
            <w:r w:rsidRPr="00985B59">
              <w:rPr>
                <w:sz w:val="20"/>
                <w:szCs w:val="20"/>
              </w:rPr>
              <w:t>(0.007)</w:t>
            </w:r>
          </w:p>
        </w:tc>
        <w:tc>
          <w:tcPr>
            <w:tcW w:w="1196" w:type="dxa"/>
          </w:tcPr>
          <w:p w:rsidR="00EA1CAD" w:rsidRPr="00985B59" w:rsidRDefault="00EA1CAD" w:rsidP="00AE25D9">
            <w:pPr>
              <w:rPr>
                <w:sz w:val="20"/>
                <w:szCs w:val="20"/>
              </w:rPr>
            </w:pPr>
            <w:r w:rsidRPr="00985B59">
              <w:rPr>
                <w:sz w:val="20"/>
                <w:szCs w:val="20"/>
              </w:rPr>
              <w:t>(0.052)</w:t>
            </w:r>
          </w:p>
        </w:tc>
        <w:tc>
          <w:tcPr>
            <w:tcW w:w="1183" w:type="dxa"/>
          </w:tcPr>
          <w:p w:rsidR="00EA1CAD" w:rsidRPr="00985B59" w:rsidRDefault="00EA1CAD" w:rsidP="00AE25D9">
            <w:pPr>
              <w:rPr>
                <w:sz w:val="20"/>
                <w:szCs w:val="20"/>
              </w:rPr>
            </w:pPr>
            <w:r w:rsidRPr="00985B59">
              <w:rPr>
                <w:sz w:val="20"/>
                <w:szCs w:val="20"/>
              </w:rPr>
              <w:t>(0.013)</w:t>
            </w:r>
          </w:p>
        </w:tc>
        <w:tc>
          <w:tcPr>
            <w:tcW w:w="1183" w:type="dxa"/>
          </w:tcPr>
          <w:p w:rsidR="00EA1CAD" w:rsidRPr="00985B59" w:rsidRDefault="00EA1CAD" w:rsidP="00AE25D9">
            <w:pPr>
              <w:rPr>
                <w:sz w:val="20"/>
                <w:szCs w:val="20"/>
              </w:rPr>
            </w:pPr>
            <w:r w:rsidRPr="00985B59">
              <w:rPr>
                <w:sz w:val="20"/>
                <w:szCs w:val="20"/>
              </w:rPr>
              <w:t>(0.853)</w:t>
            </w:r>
          </w:p>
        </w:tc>
        <w:tc>
          <w:tcPr>
            <w:tcW w:w="1183" w:type="dxa"/>
          </w:tcPr>
          <w:p w:rsidR="00EA1CAD" w:rsidRPr="00985B59" w:rsidRDefault="00EA1CAD" w:rsidP="00AE25D9">
            <w:pPr>
              <w:rPr>
                <w:sz w:val="20"/>
                <w:szCs w:val="20"/>
              </w:rPr>
            </w:pPr>
            <w:r w:rsidRPr="00985B59">
              <w:rPr>
                <w:sz w:val="20"/>
                <w:szCs w:val="20"/>
              </w:rPr>
              <w:t>(0.023)</w:t>
            </w:r>
          </w:p>
        </w:tc>
        <w:tc>
          <w:tcPr>
            <w:tcW w:w="1183" w:type="dxa"/>
          </w:tcPr>
          <w:p w:rsidR="00EA1CAD" w:rsidRPr="00985B59" w:rsidRDefault="00EA1CAD" w:rsidP="00AE25D9">
            <w:pPr>
              <w:rPr>
                <w:sz w:val="20"/>
                <w:szCs w:val="20"/>
              </w:rPr>
            </w:pPr>
            <w:r w:rsidRPr="00985B59">
              <w:rPr>
                <w:sz w:val="20"/>
                <w:szCs w:val="20"/>
              </w:rPr>
              <w:t>(0.232)</w:t>
            </w:r>
          </w:p>
        </w:tc>
        <w:tc>
          <w:tcPr>
            <w:tcW w:w="1183" w:type="dxa"/>
          </w:tcPr>
          <w:p w:rsidR="00EA1CAD" w:rsidRPr="00985B59" w:rsidRDefault="00EA1CAD" w:rsidP="00AE25D9">
            <w:pPr>
              <w:rPr>
                <w:sz w:val="20"/>
                <w:szCs w:val="20"/>
              </w:rPr>
            </w:pPr>
            <w:r w:rsidRPr="00985B59">
              <w:rPr>
                <w:sz w:val="20"/>
                <w:szCs w:val="20"/>
              </w:rPr>
              <w:t>(0.020)</w:t>
            </w:r>
          </w:p>
        </w:tc>
      </w:tr>
      <w:tr w:rsidR="00EA1CAD" w:rsidRPr="00BE7DFF">
        <w:tc>
          <w:tcPr>
            <w:tcW w:w="1977" w:type="dxa"/>
          </w:tcPr>
          <w:p w:rsidR="00EA1CAD" w:rsidRPr="00985B59" w:rsidRDefault="00EA1CAD" w:rsidP="00AE25D9">
            <w:pPr>
              <w:rPr>
                <w:sz w:val="20"/>
                <w:szCs w:val="20"/>
              </w:rPr>
            </w:pPr>
            <w:r w:rsidRPr="00985B59">
              <w:rPr>
                <w:sz w:val="20"/>
                <w:szCs w:val="20"/>
              </w:rPr>
              <w:t>Japanese Yen</w:t>
            </w:r>
          </w:p>
        </w:tc>
        <w:tc>
          <w:tcPr>
            <w:tcW w:w="1183" w:type="dxa"/>
          </w:tcPr>
          <w:p w:rsidR="00EA1CAD" w:rsidRPr="00985B59" w:rsidRDefault="00EA1CAD" w:rsidP="00AE25D9">
            <w:pPr>
              <w:rPr>
                <w:sz w:val="20"/>
                <w:szCs w:val="20"/>
              </w:rPr>
            </w:pPr>
            <w:r w:rsidRPr="00985B59">
              <w:rPr>
                <w:sz w:val="20"/>
                <w:szCs w:val="20"/>
              </w:rPr>
              <w:t>-0.024**</w:t>
            </w:r>
          </w:p>
        </w:tc>
        <w:tc>
          <w:tcPr>
            <w:tcW w:w="1196" w:type="dxa"/>
          </w:tcPr>
          <w:p w:rsidR="00EA1CAD" w:rsidRPr="00985B59" w:rsidRDefault="00EA1CAD" w:rsidP="00AE25D9">
            <w:pPr>
              <w:rPr>
                <w:sz w:val="20"/>
                <w:szCs w:val="20"/>
              </w:rPr>
            </w:pPr>
            <w:r w:rsidRPr="00985B59">
              <w:rPr>
                <w:sz w:val="20"/>
                <w:szCs w:val="20"/>
              </w:rPr>
              <w:t>-0.010**</w:t>
            </w:r>
          </w:p>
        </w:tc>
        <w:tc>
          <w:tcPr>
            <w:tcW w:w="1186" w:type="dxa"/>
          </w:tcPr>
          <w:p w:rsidR="00EA1CAD" w:rsidRPr="00985B59" w:rsidRDefault="00EA1CAD" w:rsidP="00AE25D9">
            <w:pPr>
              <w:rPr>
                <w:sz w:val="20"/>
                <w:szCs w:val="20"/>
              </w:rPr>
            </w:pPr>
            <w:r w:rsidRPr="00985B59">
              <w:rPr>
                <w:sz w:val="20"/>
                <w:szCs w:val="20"/>
              </w:rPr>
              <w:t>-0.102*</w:t>
            </w:r>
          </w:p>
        </w:tc>
        <w:tc>
          <w:tcPr>
            <w:tcW w:w="1116" w:type="dxa"/>
          </w:tcPr>
          <w:p w:rsidR="00EA1CAD" w:rsidRPr="00985B59" w:rsidRDefault="00EA1CAD" w:rsidP="00AE25D9">
            <w:pPr>
              <w:rPr>
                <w:sz w:val="20"/>
                <w:szCs w:val="20"/>
              </w:rPr>
            </w:pPr>
            <w:r w:rsidRPr="00985B59">
              <w:rPr>
                <w:sz w:val="20"/>
                <w:szCs w:val="20"/>
              </w:rPr>
              <w:t>-0.002</w:t>
            </w:r>
          </w:p>
        </w:tc>
        <w:tc>
          <w:tcPr>
            <w:tcW w:w="1196" w:type="dxa"/>
          </w:tcPr>
          <w:p w:rsidR="00EA1CAD" w:rsidRPr="00985B59" w:rsidRDefault="00EA1CAD" w:rsidP="00AE25D9">
            <w:pPr>
              <w:rPr>
                <w:sz w:val="20"/>
                <w:szCs w:val="20"/>
              </w:rPr>
            </w:pPr>
            <w:r w:rsidRPr="00985B59">
              <w:rPr>
                <w:sz w:val="20"/>
                <w:szCs w:val="20"/>
              </w:rPr>
              <w:t>-0.046**</w:t>
            </w:r>
          </w:p>
        </w:tc>
        <w:tc>
          <w:tcPr>
            <w:tcW w:w="1183" w:type="dxa"/>
          </w:tcPr>
          <w:p w:rsidR="00EA1CAD" w:rsidRPr="00985B59" w:rsidRDefault="00EA1CAD" w:rsidP="00AE25D9">
            <w:pPr>
              <w:rPr>
                <w:sz w:val="20"/>
                <w:szCs w:val="20"/>
              </w:rPr>
            </w:pPr>
            <w:r w:rsidRPr="00985B59">
              <w:rPr>
                <w:sz w:val="20"/>
                <w:szCs w:val="20"/>
              </w:rPr>
              <w:t>-0.022**</w:t>
            </w:r>
          </w:p>
        </w:tc>
        <w:tc>
          <w:tcPr>
            <w:tcW w:w="1183" w:type="dxa"/>
          </w:tcPr>
          <w:p w:rsidR="00EA1CAD" w:rsidRPr="00985B59" w:rsidRDefault="00EA1CAD" w:rsidP="00AE25D9">
            <w:pPr>
              <w:rPr>
                <w:sz w:val="20"/>
                <w:szCs w:val="20"/>
              </w:rPr>
            </w:pPr>
            <w:r w:rsidRPr="00985B59">
              <w:rPr>
                <w:sz w:val="20"/>
                <w:szCs w:val="20"/>
              </w:rPr>
              <w:t>0.020</w:t>
            </w:r>
          </w:p>
        </w:tc>
        <w:tc>
          <w:tcPr>
            <w:tcW w:w="1183" w:type="dxa"/>
          </w:tcPr>
          <w:p w:rsidR="00EA1CAD" w:rsidRPr="00985B59" w:rsidRDefault="00EA1CAD" w:rsidP="00AE25D9">
            <w:pPr>
              <w:rPr>
                <w:sz w:val="20"/>
                <w:szCs w:val="20"/>
              </w:rPr>
            </w:pPr>
            <w:r w:rsidRPr="00985B59">
              <w:rPr>
                <w:sz w:val="20"/>
                <w:szCs w:val="20"/>
              </w:rPr>
              <w:t>-0.011</w:t>
            </w:r>
          </w:p>
        </w:tc>
        <w:tc>
          <w:tcPr>
            <w:tcW w:w="1183" w:type="dxa"/>
          </w:tcPr>
          <w:p w:rsidR="00EA1CAD" w:rsidRPr="00985B59" w:rsidRDefault="00EA1CAD" w:rsidP="00AE25D9">
            <w:pPr>
              <w:rPr>
                <w:sz w:val="20"/>
                <w:szCs w:val="20"/>
              </w:rPr>
            </w:pPr>
            <w:r w:rsidRPr="00985B59">
              <w:rPr>
                <w:sz w:val="20"/>
                <w:szCs w:val="20"/>
              </w:rPr>
              <w:t>-0.123*</w:t>
            </w:r>
          </w:p>
        </w:tc>
        <w:tc>
          <w:tcPr>
            <w:tcW w:w="1183" w:type="dxa"/>
          </w:tcPr>
          <w:p w:rsidR="00EA1CAD" w:rsidRPr="00985B59" w:rsidRDefault="00EA1CAD" w:rsidP="00AE25D9">
            <w:pPr>
              <w:rPr>
                <w:sz w:val="20"/>
                <w:szCs w:val="20"/>
              </w:rPr>
            </w:pPr>
            <w:r w:rsidRPr="00985B59">
              <w:rPr>
                <w:sz w:val="20"/>
                <w:szCs w:val="20"/>
              </w:rPr>
              <w:t>-0.011*</w:t>
            </w:r>
          </w:p>
        </w:tc>
      </w:tr>
      <w:tr w:rsidR="00EA1CAD" w:rsidRPr="00BE7DFF">
        <w:tc>
          <w:tcPr>
            <w:tcW w:w="1977"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(0.009)</w:t>
            </w:r>
          </w:p>
        </w:tc>
        <w:tc>
          <w:tcPr>
            <w:tcW w:w="1196" w:type="dxa"/>
          </w:tcPr>
          <w:p w:rsidR="00EA1CAD" w:rsidRPr="00985B59" w:rsidRDefault="00EA1CAD" w:rsidP="00AE25D9">
            <w:pPr>
              <w:rPr>
                <w:sz w:val="20"/>
                <w:szCs w:val="20"/>
              </w:rPr>
            </w:pPr>
            <w:r w:rsidRPr="00985B59">
              <w:rPr>
                <w:sz w:val="20"/>
                <w:szCs w:val="20"/>
              </w:rPr>
              <w:t>(0.003)</w:t>
            </w:r>
          </w:p>
        </w:tc>
        <w:tc>
          <w:tcPr>
            <w:tcW w:w="1186" w:type="dxa"/>
          </w:tcPr>
          <w:p w:rsidR="00EA1CAD" w:rsidRPr="00985B59" w:rsidRDefault="00EA1CAD" w:rsidP="00AE25D9">
            <w:pPr>
              <w:rPr>
                <w:sz w:val="20"/>
                <w:szCs w:val="20"/>
              </w:rPr>
            </w:pPr>
            <w:r w:rsidRPr="00985B59">
              <w:rPr>
                <w:sz w:val="20"/>
                <w:szCs w:val="20"/>
              </w:rPr>
              <w:t>(0.061)</w:t>
            </w:r>
          </w:p>
        </w:tc>
        <w:tc>
          <w:tcPr>
            <w:tcW w:w="1116" w:type="dxa"/>
          </w:tcPr>
          <w:p w:rsidR="00EA1CAD" w:rsidRPr="00985B59" w:rsidRDefault="00EA1CAD" w:rsidP="00AE25D9">
            <w:pPr>
              <w:rPr>
                <w:sz w:val="20"/>
                <w:szCs w:val="20"/>
              </w:rPr>
            </w:pPr>
            <w:r w:rsidRPr="00985B59">
              <w:rPr>
                <w:sz w:val="20"/>
                <w:szCs w:val="20"/>
              </w:rPr>
              <w:t>(0.003)</w:t>
            </w:r>
          </w:p>
        </w:tc>
        <w:tc>
          <w:tcPr>
            <w:tcW w:w="1196" w:type="dxa"/>
          </w:tcPr>
          <w:p w:rsidR="00EA1CAD" w:rsidRPr="00985B59" w:rsidRDefault="00EA1CAD" w:rsidP="00AE25D9">
            <w:pPr>
              <w:rPr>
                <w:sz w:val="20"/>
                <w:szCs w:val="20"/>
              </w:rPr>
            </w:pPr>
            <w:r w:rsidRPr="00985B59">
              <w:rPr>
                <w:sz w:val="20"/>
                <w:szCs w:val="20"/>
              </w:rPr>
              <w:t>(0.018)</w:t>
            </w:r>
          </w:p>
        </w:tc>
        <w:tc>
          <w:tcPr>
            <w:tcW w:w="1183" w:type="dxa"/>
          </w:tcPr>
          <w:p w:rsidR="00EA1CAD" w:rsidRPr="00985B59" w:rsidRDefault="00EA1CAD" w:rsidP="00AE25D9">
            <w:pPr>
              <w:rPr>
                <w:sz w:val="20"/>
                <w:szCs w:val="20"/>
              </w:rPr>
            </w:pPr>
            <w:r w:rsidRPr="00985B59">
              <w:rPr>
                <w:sz w:val="20"/>
                <w:szCs w:val="20"/>
              </w:rPr>
              <w:t>(0.005)</w:t>
            </w:r>
          </w:p>
        </w:tc>
        <w:tc>
          <w:tcPr>
            <w:tcW w:w="1183" w:type="dxa"/>
          </w:tcPr>
          <w:p w:rsidR="00EA1CAD" w:rsidRPr="00985B59" w:rsidRDefault="00EA1CAD" w:rsidP="00AE25D9">
            <w:pPr>
              <w:rPr>
                <w:sz w:val="20"/>
                <w:szCs w:val="20"/>
              </w:rPr>
            </w:pPr>
            <w:r w:rsidRPr="00985B59">
              <w:rPr>
                <w:sz w:val="20"/>
                <w:szCs w:val="20"/>
              </w:rPr>
              <w:t>(0.268)</w:t>
            </w:r>
          </w:p>
        </w:tc>
        <w:tc>
          <w:tcPr>
            <w:tcW w:w="1183" w:type="dxa"/>
          </w:tcPr>
          <w:p w:rsidR="00EA1CAD" w:rsidRPr="00985B59" w:rsidRDefault="00EA1CAD" w:rsidP="00AE25D9">
            <w:pPr>
              <w:rPr>
                <w:sz w:val="20"/>
                <w:szCs w:val="20"/>
              </w:rPr>
            </w:pPr>
            <w:r w:rsidRPr="00985B59">
              <w:rPr>
                <w:sz w:val="20"/>
                <w:szCs w:val="20"/>
              </w:rPr>
              <w:t>(0.007)</w:t>
            </w:r>
          </w:p>
        </w:tc>
        <w:tc>
          <w:tcPr>
            <w:tcW w:w="1183" w:type="dxa"/>
          </w:tcPr>
          <w:p w:rsidR="00EA1CAD" w:rsidRPr="00985B59" w:rsidRDefault="00EA1CAD" w:rsidP="00AE25D9">
            <w:pPr>
              <w:rPr>
                <w:sz w:val="20"/>
                <w:szCs w:val="20"/>
              </w:rPr>
            </w:pPr>
            <w:r w:rsidRPr="00985B59">
              <w:rPr>
                <w:sz w:val="20"/>
                <w:szCs w:val="20"/>
              </w:rPr>
              <w:t>(0.073)</w:t>
            </w:r>
          </w:p>
        </w:tc>
        <w:tc>
          <w:tcPr>
            <w:tcW w:w="1183" w:type="dxa"/>
          </w:tcPr>
          <w:p w:rsidR="00EA1CAD" w:rsidRPr="00985B59" w:rsidRDefault="00EA1CAD" w:rsidP="00AE25D9">
            <w:pPr>
              <w:rPr>
                <w:sz w:val="20"/>
                <w:szCs w:val="20"/>
              </w:rPr>
            </w:pPr>
            <w:r w:rsidRPr="00985B59">
              <w:rPr>
                <w:sz w:val="20"/>
                <w:szCs w:val="20"/>
              </w:rPr>
              <w:t>(0.006)</w:t>
            </w:r>
          </w:p>
        </w:tc>
      </w:tr>
      <w:tr w:rsidR="00EA1CAD" w:rsidRPr="00BE7DFF">
        <w:tc>
          <w:tcPr>
            <w:tcW w:w="1977" w:type="dxa"/>
          </w:tcPr>
          <w:p w:rsidR="00EA1CAD" w:rsidRPr="00985B59" w:rsidRDefault="00EA1CAD" w:rsidP="00AE25D9">
            <w:pPr>
              <w:rPr>
                <w:sz w:val="20"/>
                <w:szCs w:val="20"/>
              </w:rPr>
            </w:pPr>
            <w:r w:rsidRPr="00985B59">
              <w:rPr>
                <w:sz w:val="20"/>
                <w:szCs w:val="20"/>
              </w:rPr>
              <w:t>Korean Won</w:t>
            </w:r>
          </w:p>
        </w:tc>
        <w:tc>
          <w:tcPr>
            <w:tcW w:w="1183" w:type="dxa"/>
          </w:tcPr>
          <w:p w:rsidR="00EA1CAD" w:rsidRPr="00985B59" w:rsidRDefault="00EA1CAD" w:rsidP="00AE25D9">
            <w:pPr>
              <w:rPr>
                <w:sz w:val="20"/>
                <w:szCs w:val="20"/>
              </w:rPr>
            </w:pPr>
            <w:r w:rsidRPr="00985B59">
              <w:rPr>
                <w:sz w:val="20"/>
                <w:szCs w:val="20"/>
              </w:rPr>
              <w:t>0.063**</w:t>
            </w:r>
          </w:p>
        </w:tc>
        <w:tc>
          <w:tcPr>
            <w:tcW w:w="1196" w:type="dxa"/>
          </w:tcPr>
          <w:p w:rsidR="00EA1CAD" w:rsidRPr="00985B59" w:rsidRDefault="00EA1CAD" w:rsidP="00AE25D9">
            <w:pPr>
              <w:rPr>
                <w:sz w:val="20"/>
                <w:szCs w:val="20"/>
              </w:rPr>
            </w:pPr>
            <w:r w:rsidRPr="00985B59">
              <w:rPr>
                <w:sz w:val="20"/>
                <w:szCs w:val="20"/>
              </w:rPr>
              <w:t>0.063**</w:t>
            </w:r>
          </w:p>
        </w:tc>
        <w:tc>
          <w:tcPr>
            <w:tcW w:w="1186" w:type="dxa"/>
          </w:tcPr>
          <w:p w:rsidR="00EA1CAD" w:rsidRPr="00985B59" w:rsidRDefault="00EA1CAD" w:rsidP="00AE25D9">
            <w:pPr>
              <w:rPr>
                <w:sz w:val="20"/>
                <w:szCs w:val="20"/>
              </w:rPr>
            </w:pPr>
            <w:r w:rsidRPr="00985B59">
              <w:rPr>
                <w:sz w:val="20"/>
                <w:szCs w:val="20"/>
              </w:rPr>
              <w:t>-0.000</w:t>
            </w:r>
          </w:p>
        </w:tc>
        <w:tc>
          <w:tcPr>
            <w:tcW w:w="1116" w:type="dxa"/>
          </w:tcPr>
          <w:p w:rsidR="00EA1CAD" w:rsidRPr="00985B59" w:rsidRDefault="00EA1CAD" w:rsidP="00AE25D9">
            <w:pPr>
              <w:rPr>
                <w:sz w:val="20"/>
                <w:szCs w:val="20"/>
              </w:rPr>
            </w:pPr>
            <w:r w:rsidRPr="00985B59">
              <w:rPr>
                <w:sz w:val="20"/>
                <w:szCs w:val="20"/>
              </w:rPr>
              <w:t>-0.000</w:t>
            </w:r>
          </w:p>
        </w:tc>
        <w:tc>
          <w:tcPr>
            <w:tcW w:w="1196" w:type="dxa"/>
          </w:tcPr>
          <w:p w:rsidR="00EA1CAD" w:rsidRPr="00985B59" w:rsidRDefault="00EA1CAD" w:rsidP="00AE25D9">
            <w:pPr>
              <w:rPr>
                <w:sz w:val="20"/>
                <w:szCs w:val="20"/>
              </w:rPr>
            </w:pPr>
            <w:r w:rsidRPr="00985B59">
              <w:rPr>
                <w:sz w:val="20"/>
                <w:szCs w:val="20"/>
              </w:rPr>
              <w:t>0.110**</w:t>
            </w:r>
          </w:p>
        </w:tc>
        <w:tc>
          <w:tcPr>
            <w:tcW w:w="1183" w:type="dxa"/>
          </w:tcPr>
          <w:p w:rsidR="00EA1CAD" w:rsidRPr="00985B59" w:rsidRDefault="00EA1CAD" w:rsidP="00AE25D9">
            <w:pPr>
              <w:rPr>
                <w:sz w:val="20"/>
                <w:szCs w:val="20"/>
              </w:rPr>
            </w:pPr>
            <w:r w:rsidRPr="00985B59">
              <w:rPr>
                <w:sz w:val="20"/>
                <w:szCs w:val="20"/>
              </w:rPr>
              <w:t>0.110**</w:t>
            </w:r>
          </w:p>
        </w:tc>
        <w:tc>
          <w:tcPr>
            <w:tcW w:w="1183" w:type="dxa"/>
          </w:tcPr>
          <w:p w:rsidR="00EA1CAD" w:rsidRPr="00985B59" w:rsidRDefault="00EA1CAD" w:rsidP="00AE25D9">
            <w:pPr>
              <w:rPr>
                <w:sz w:val="20"/>
                <w:szCs w:val="20"/>
              </w:rPr>
            </w:pPr>
            <w:r w:rsidRPr="00985B59">
              <w:rPr>
                <w:sz w:val="20"/>
                <w:szCs w:val="20"/>
              </w:rPr>
              <w:t>0.013**</w:t>
            </w:r>
          </w:p>
        </w:tc>
        <w:tc>
          <w:tcPr>
            <w:tcW w:w="1183" w:type="dxa"/>
          </w:tcPr>
          <w:p w:rsidR="00EA1CAD" w:rsidRPr="00985B59" w:rsidRDefault="00EA1CAD" w:rsidP="00AE25D9">
            <w:pPr>
              <w:rPr>
                <w:sz w:val="20"/>
                <w:szCs w:val="20"/>
              </w:rPr>
            </w:pPr>
            <w:r w:rsidRPr="00985B59">
              <w:rPr>
                <w:sz w:val="20"/>
                <w:szCs w:val="20"/>
              </w:rPr>
              <w:t>0.012**</w:t>
            </w:r>
          </w:p>
        </w:tc>
        <w:tc>
          <w:tcPr>
            <w:tcW w:w="1183" w:type="dxa"/>
          </w:tcPr>
          <w:p w:rsidR="00EA1CAD" w:rsidRPr="00985B59" w:rsidRDefault="00EA1CAD" w:rsidP="00AE25D9">
            <w:pPr>
              <w:rPr>
                <w:sz w:val="20"/>
                <w:szCs w:val="20"/>
              </w:rPr>
            </w:pPr>
            <w:r w:rsidRPr="00985B59">
              <w:rPr>
                <w:sz w:val="20"/>
                <w:szCs w:val="20"/>
              </w:rPr>
              <w:t>-0.001</w:t>
            </w:r>
          </w:p>
        </w:tc>
        <w:tc>
          <w:tcPr>
            <w:tcW w:w="1183" w:type="dxa"/>
          </w:tcPr>
          <w:p w:rsidR="00EA1CAD" w:rsidRPr="00985B59" w:rsidRDefault="00EA1CAD" w:rsidP="00AE25D9">
            <w:pPr>
              <w:rPr>
                <w:sz w:val="20"/>
                <w:szCs w:val="20"/>
              </w:rPr>
            </w:pPr>
            <w:r w:rsidRPr="00985B59">
              <w:rPr>
                <w:sz w:val="20"/>
                <w:szCs w:val="20"/>
              </w:rPr>
              <w:t>0.004</w:t>
            </w:r>
          </w:p>
        </w:tc>
      </w:tr>
      <w:tr w:rsidR="00EA1CAD" w:rsidRPr="00BE7DFF">
        <w:tc>
          <w:tcPr>
            <w:tcW w:w="1977"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(0.001)</w:t>
            </w:r>
          </w:p>
        </w:tc>
        <w:tc>
          <w:tcPr>
            <w:tcW w:w="1196" w:type="dxa"/>
          </w:tcPr>
          <w:p w:rsidR="00EA1CAD" w:rsidRPr="00985B59" w:rsidRDefault="00EA1CAD" w:rsidP="00AE25D9">
            <w:pPr>
              <w:rPr>
                <w:sz w:val="20"/>
                <w:szCs w:val="20"/>
              </w:rPr>
            </w:pPr>
            <w:r w:rsidRPr="00985B59">
              <w:rPr>
                <w:sz w:val="20"/>
                <w:szCs w:val="20"/>
              </w:rPr>
              <w:t>(0.001)</w:t>
            </w:r>
          </w:p>
        </w:tc>
        <w:tc>
          <w:tcPr>
            <w:tcW w:w="1186" w:type="dxa"/>
          </w:tcPr>
          <w:p w:rsidR="00EA1CAD" w:rsidRPr="00985B59" w:rsidRDefault="00EA1CAD" w:rsidP="00AE25D9">
            <w:pPr>
              <w:rPr>
                <w:sz w:val="20"/>
                <w:szCs w:val="20"/>
              </w:rPr>
            </w:pPr>
            <w:r w:rsidRPr="00985B59">
              <w:rPr>
                <w:sz w:val="20"/>
                <w:szCs w:val="20"/>
              </w:rPr>
              <w:t>(0.001)</w:t>
            </w:r>
          </w:p>
        </w:tc>
        <w:tc>
          <w:tcPr>
            <w:tcW w:w="1116" w:type="dxa"/>
          </w:tcPr>
          <w:p w:rsidR="00EA1CAD" w:rsidRPr="00985B59" w:rsidRDefault="00EA1CAD" w:rsidP="00AE25D9">
            <w:pPr>
              <w:rPr>
                <w:sz w:val="20"/>
                <w:szCs w:val="20"/>
              </w:rPr>
            </w:pPr>
            <w:r w:rsidRPr="00985B59">
              <w:rPr>
                <w:sz w:val="20"/>
                <w:szCs w:val="20"/>
              </w:rPr>
              <w:t>(0.001)</w:t>
            </w:r>
          </w:p>
        </w:tc>
        <w:tc>
          <w:tcPr>
            <w:tcW w:w="1196" w:type="dxa"/>
          </w:tcPr>
          <w:p w:rsidR="00EA1CAD" w:rsidRPr="00985B59" w:rsidRDefault="00EA1CAD" w:rsidP="00AE25D9">
            <w:pPr>
              <w:rPr>
                <w:sz w:val="20"/>
                <w:szCs w:val="20"/>
              </w:rPr>
            </w:pPr>
            <w:r w:rsidRPr="00985B59">
              <w:rPr>
                <w:sz w:val="20"/>
                <w:szCs w:val="20"/>
              </w:rPr>
              <w:t>(0.001)</w:t>
            </w:r>
          </w:p>
        </w:tc>
        <w:tc>
          <w:tcPr>
            <w:tcW w:w="1183" w:type="dxa"/>
          </w:tcPr>
          <w:p w:rsidR="00EA1CAD" w:rsidRPr="00985B59" w:rsidRDefault="00EA1CAD" w:rsidP="00AE25D9">
            <w:pPr>
              <w:rPr>
                <w:sz w:val="20"/>
                <w:szCs w:val="20"/>
              </w:rPr>
            </w:pPr>
            <w:r w:rsidRPr="00985B59">
              <w:rPr>
                <w:sz w:val="20"/>
                <w:szCs w:val="20"/>
              </w:rPr>
              <w:t>(0.001)</w:t>
            </w:r>
          </w:p>
        </w:tc>
        <w:tc>
          <w:tcPr>
            <w:tcW w:w="1183" w:type="dxa"/>
          </w:tcPr>
          <w:p w:rsidR="00EA1CAD" w:rsidRPr="00985B59" w:rsidRDefault="00EA1CAD" w:rsidP="00AE25D9">
            <w:pPr>
              <w:rPr>
                <w:sz w:val="20"/>
                <w:szCs w:val="20"/>
              </w:rPr>
            </w:pPr>
            <w:r w:rsidRPr="00985B59">
              <w:rPr>
                <w:sz w:val="20"/>
                <w:szCs w:val="20"/>
              </w:rPr>
              <w:t>(0.005)</w:t>
            </w:r>
          </w:p>
        </w:tc>
        <w:tc>
          <w:tcPr>
            <w:tcW w:w="1183" w:type="dxa"/>
          </w:tcPr>
          <w:p w:rsidR="00EA1CAD" w:rsidRPr="00985B59" w:rsidRDefault="00EA1CAD" w:rsidP="00AE25D9">
            <w:pPr>
              <w:rPr>
                <w:sz w:val="20"/>
                <w:szCs w:val="20"/>
              </w:rPr>
            </w:pPr>
            <w:r w:rsidRPr="00985B59">
              <w:rPr>
                <w:sz w:val="20"/>
                <w:szCs w:val="20"/>
              </w:rPr>
              <w:t>(0.005)</w:t>
            </w:r>
          </w:p>
        </w:tc>
        <w:tc>
          <w:tcPr>
            <w:tcW w:w="1183" w:type="dxa"/>
          </w:tcPr>
          <w:p w:rsidR="00EA1CAD" w:rsidRPr="00985B59" w:rsidRDefault="00EA1CAD" w:rsidP="00AE25D9">
            <w:pPr>
              <w:rPr>
                <w:sz w:val="20"/>
                <w:szCs w:val="20"/>
              </w:rPr>
            </w:pPr>
            <w:r w:rsidRPr="00985B59">
              <w:rPr>
                <w:sz w:val="20"/>
                <w:szCs w:val="20"/>
              </w:rPr>
              <w:t>(0.003)</w:t>
            </w:r>
          </w:p>
        </w:tc>
        <w:tc>
          <w:tcPr>
            <w:tcW w:w="1183" w:type="dxa"/>
          </w:tcPr>
          <w:p w:rsidR="00EA1CAD" w:rsidRPr="00985B59" w:rsidRDefault="00EA1CAD" w:rsidP="00AE25D9">
            <w:pPr>
              <w:rPr>
                <w:sz w:val="20"/>
                <w:szCs w:val="20"/>
              </w:rPr>
            </w:pPr>
            <w:r w:rsidRPr="00985B59">
              <w:rPr>
                <w:sz w:val="20"/>
                <w:szCs w:val="20"/>
              </w:rPr>
              <w:t>(0.003)</w:t>
            </w:r>
          </w:p>
        </w:tc>
      </w:tr>
      <w:tr w:rsidR="00EA1CAD" w:rsidRPr="00BE7DFF">
        <w:tc>
          <w:tcPr>
            <w:tcW w:w="1977" w:type="dxa"/>
          </w:tcPr>
          <w:p w:rsidR="00EA1CAD" w:rsidRPr="00985B59" w:rsidRDefault="00EA1CAD" w:rsidP="00AE25D9">
            <w:pPr>
              <w:rPr>
                <w:sz w:val="20"/>
                <w:szCs w:val="20"/>
              </w:rPr>
            </w:pPr>
            <w:smartTag w:uri="urn:schemas-microsoft-com:office:smarttags" w:element="country-region">
              <w:smartTag w:uri="urn:schemas-microsoft-com:office:smarttags" w:element="place">
                <w:r w:rsidRPr="00985B59">
                  <w:rPr>
                    <w:sz w:val="20"/>
                    <w:szCs w:val="20"/>
                  </w:rPr>
                  <w:t>Singapore</w:t>
                </w:r>
              </w:smartTag>
            </w:smartTag>
            <w:r w:rsidRPr="00985B59">
              <w:rPr>
                <w:sz w:val="20"/>
                <w:szCs w:val="20"/>
              </w:rPr>
              <w:t xml:space="preserve"> Dollar</w:t>
            </w:r>
          </w:p>
        </w:tc>
        <w:tc>
          <w:tcPr>
            <w:tcW w:w="1183" w:type="dxa"/>
          </w:tcPr>
          <w:p w:rsidR="00EA1CAD" w:rsidRPr="00985B59" w:rsidRDefault="00EA1CAD" w:rsidP="00AE25D9">
            <w:pPr>
              <w:rPr>
                <w:sz w:val="20"/>
                <w:szCs w:val="20"/>
              </w:rPr>
            </w:pPr>
            <w:r w:rsidRPr="00985B59">
              <w:rPr>
                <w:sz w:val="20"/>
                <w:szCs w:val="20"/>
              </w:rPr>
              <w:t>-0.000</w:t>
            </w:r>
          </w:p>
        </w:tc>
        <w:tc>
          <w:tcPr>
            <w:tcW w:w="1196" w:type="dxa"/>
          </w:tcPr>
          <w:p w:rsidR="00EA1CAD" w:rsidRPr="00985B59" w:rsidRDefault="00EA1CAD" w:rsidP="00AE25D9">
            <w:pPr>
              <w:rPr>
                <w:sz w:val="20"/>
                <w:szCs w:val="20"/>
              </w:rPr>
            </w:pPr>
          </w:p>
        </w:tc>
        <w:tc>
          <w:tcPr>
            <w:tcW w:w="1186" w:type="dxa"/>
          </w:tcPr>
          <w:p w:rsidR="00EA1CAD" w:rsidRPr="00985B59" w:rsidRDefault="00EA1CAD" w:rsidP="00AE25D9">
            <w:pPr>
              <w:rPr>
                <w:sz w:val="20"/>
                <w:szCs w:val="20"/>
              </w:rPr>
            </w:pPr>
            <w:r w:rsidRPr="00985B59">
              <w:rPr>
                <w:sz w:val="20"/>
                <w:szCs w:val="20"/>
              </w:rPr>
              <w:t>0.000</w:t>
            </w:r>
          </w:p>
        </w:tc>
        <w:tc>
          <w:tcPr>
            <w:tcW w:w="1116" w:type="dxa"/>
          </w:tcPr>
          <w:p w:rsidR="00EA1CAD" w:rsidRPr="00985B59" w:rsidRDefault="00EA1CAD" w:rsidP="00AE25D9">
            <w:pPr>
              <w:rPr>
                <w:sz w:val="20"/>
                <w:szCs w:val="20"/>
              </w:rPr>
            </w:pPr>
          </w:p>
        </w:tc>
        <w:tc>
          <w:tcPr>
            <w:tcW w:w="1196" w:type="dxa"/>
          </w:tcPr>
          <w:p w:rsidR="00EA1CAD" w:rsidRPr="00985B59" w:rsidRDefault="00EA1CAD" w:rsidP="00AE25D9">
            <w:pPr>
              <w:rPr>
                <w:sz w:val="20"/>
                <w:szCs w:val="20"/>
              </w:rPr>
            </w:pPr>
            <w:r w:rsidRPr="00985B59">
              <w:rPr>
                <w:sz w:val="20"/>
                <w:szCs w:val="20"/>
              </w:rPr>
              <w:t>-0.014**</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-0.006</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0.016**</w:t>
            </w:r>
          </w:p>
        </w:tc>
        <w:tc>
          <w:tcPr>
            <w:tcW w:w="1183" w:type="dxa"/>
          </w:tcPr>
          <w:p w:rsidR="00EA1CAD" w:rsidRPr="00985B59" w:rsidRDefault="00EA1CAD" w:rsidP="00AE25D9">
            <w:pPr>
              <w:rPr>
                <w:sz w:val="20"/>
                <w:szCs w:val="20"/>
              </w:rPr>
            </w:pPr>
          </w:p>
        </w:tc>
      </w:tr>
      <w:tr w:rsidR="00EA1CAD" w:rsidRPr="00BE7DFF">
        <w:tc>
          <w:tcPr>
            <w:tcW w:w="1977"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(0.003)</w:t>
            </w:r>
          </w:p>
        </w:tc>
        <w:tc>
          <w:tcPr>
            <w:tcW w:w="1196" w:type="dxa"/>
          </w:tcPr>
          <w:p w:rsidR="00EA1CAD" w:rsidRPr="00985B59" w:rsidRDefault="00EA1CAD" w:rsidP="00AE25D9">
            <w:pPr>
              <w:rPr>
                <w:sz w:val="20"/>
                <w:szCs w:val="20"/>
              </w:rPr>
            </w:pPr>
          </w:p>
        </w:tc>
        <w:tc>
          <w:tcPr>
            <w:tcW w:w="1186" w:type="dxa"/>
          </w:tcPr>
          <w:p w:rsidR="00EA1CAD" w:rsidRPr="00985B59" w:rsidRDefault="00EA1CAD" w:rsidP="00AE25D9">
            <w:pPr>
              <w:rPr>
                <w:sz w:val="20"/>
                <w:szCs w:val="20"/>
              </w:rPr>
            </w:pPr>
            <w:r w:rsidRPr="00985B59">
              <w:rPr>
                <w:sz w:val="20"/>
                <w:szCs w:val="20"/>
              </w:rPr>
              <w:t>(0.002)</w:t>
            </w:r>
          </w:p>
        </w:tc>
        <w:tc>
          <w:tcPr>
            <w:tcW w:w="1116" w:type="dxa"/>
          </w:tcPr>
          <w:p w:rsidR="00EA1CAD" w:rsidRPr="00985B59" w:rsidRDefault="00EA1CAD" w:rsidP="00AE25D9">
            <w:pPr>
              <w:rPr>
                <w:sz w:val="20"/>
                <w:szCs w:val="20"/>
              </w:rPr>
            </w:pPr>
          </w:p>
        </w:tc>
        <w:tc>
          <w:tcPr>
            <w:tcW w:w="1196" w:type="dxa"/>
          </w:tcPr>
          <w:p w:rsidR="00EA1CAD" w:rsidRPr="00985B59" w:rsidRDefault="00EA1CAD" w:rsidP="00AE25D9">
            <w:pPr>
              <w:rPr>
                <w:sz w:val="20"/>
                <w:szCs w:val="20"/>
              </w:rPr>
            </w:pPr>
            <w:r w:rsidRPr="00985B59">
              <w:rPr>
                <w:sz w:val="20"/>
                <w:szCs w:val="20"/>
              </w:rPr>
              <w:t>(0.005)</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(0.007)</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(0.005)</w:t>
            </w:r>
          </w:p>
        </w:tc>
        <w:tc>
          <w:tcPr>
            <w:tcW w:w="1183" w:type="dxa"/>
          </w:tcPr>
          <w:p w:rsidR="00EA1CAD" w:rsidRPr="00985B59" w:rsidRDefault="00EA1CAD" w:rsidP="00AE25D9">
            <w:pPr>
              <w:rPr>
                <w:sz w:val="20"/>
                <w:szCs w:val="20"/>
              </w:rPr>
            </w:pPr>
          </w:p>
        </w:tc>
      </w:tr>
      <w:tr w:rsidR="00EA1CAD" w:rsidRPr="00BE7DFF">
        <w:tc>
          <w:tcPr>
            <w:tcW w:w="1977" w:type="dxa"/>
          </w:tcPr>
          <w:p w:rsidR="00EA1CAD" w:rsidRPr="00985B59" w:rsidRDefault="00EA1CAD" w:rsidP="00AE25D9">
            <w:pPr>
              <w:rPr>
                <w:sz w:val="20"/>
                <w:szCs w:val="20"/>
              </w:rPr>
            </w:pPr>
            <w:r w:rsidRPr="00985B59">
              <w:rPr>
                <w:sz w:val="20"/>
                <w:szCs w:val="20"/>
              </w:rPr>
              <w:t>British Pound</w:t>
            </w:r>
          </w:p>
        </w:tc>
        <w:tc>
          <w:tcPr>
            <w:tcW w:w="1183" w:type="dxa"/>
          </w:tcPr>
          <w:p w:rsidR="00EA1CAD" w:rsidRPr="00985B59" w:rsidRDefault="00EA1CAD" w:rsidP="00AE25D9">
            <w:pPr>
              <w:rPr>
                <w:sz w:val="20"/>
                <w:szCs w:val="20"/>
              </w:rPr>
            </w:pPr>
            <w:r w:rsidRPr="00985B59">
              <w:rPr>
                <w:sz w:val="20"/>
                <w:szCs w:val="20"/>
              </w:rPr>
              <w:t>-0.015*</w:t>
            </w:r>
          </w:p>
        </w:tc>
        <w:tc>
          <w:tcPr>
            <w:tcW w:w="1196" w:type="dxa"/>
          </w:tcPr>
          <w:p w:rsidR="00EA1CAD" w:rsidRPr="00985B59" w:rsidRDefault="00EA1CAD" w:rsidP="00AE25D9">
            <w:pPr>
              <w:rPr>
                <w:sz w:val="20"/>
                <w:szCs w:val="20"/>
              </w:rPr>
            </w:pPr>
          </w:p>
        </w:tc>
        <w:tc>
          <w:tcPr>
            <w:tcW w:w="1186" w:type="dxa"/>
          </w:tcPr>
          <w:p w:rsidR="00EA1CAD" w:rsidRPr="00985B59" w:rsidRDefault="00EA1CAD" w:rsidP="00AE25D9">
            <w:pPr>
              <w:rPr>
                <w:sz w:val="20"/>
                <w:szCs w:val="20"/>
              </w:rPr>
            </w:pPr>
            <w:r w:rsidRPr="00985B59">
              <w:rPr>
                <w:sz w:val="20"/>
                <w:szCs w:val="20"/>
              </w:rPr>
              <w:t>-0.092</w:t>
            </w:r>
          </w:p>
        </w:tc>
        <w:tc>
          <w:tcPr>
            <w:tcW w:w="1116" w:type="dxa"/>
          </w:tcPr>
          <w:p w:rsidR="00EA1CAD" w:rsidRPr="00985B59" w:rsidRDefault="00EA1CAD" w:rsidP="00AE25D9">
            <w:pPr>
              <w:rPr>
                <w:sz w:val="20"/>
                <w:szCs w:val="20"/>
              </w:rPr>
            </w:pPr>
          </w:p>
        </w:tc>
        <w:tc>
          <w:tcPr>
            <w:tcW w:w="1196" w:type="dxa"/>
          </w:tcPr>
          <w:p w:rsidR="00EA1CAD" w:rsidRPr="00985B59" w:rsidRDefault="00EA1CAD" w:rsidP="00AE25D9">
            <w:pPr>
              <w:rPr>
                <w:sz w:val="20"/>
                <w:szCs w:val="20"/>
              </w:rPr>
            </w:pPr>
            <w:r w:rsidRPr="00985B59">
              <w:rPr>
                <w:sz w:val="20"/>
                <w:szCs w:val="20"/>
              </w:rPr>
              <w:t>-0.032*</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0.031</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-0.113</w:t>
            </w:r>
          </w:p>
        </w:tc>
        <w:tc>
          <w:tcPr>
            <w:tcW w:w="1183" w:type="dxa"/>
          </w:tcPr>
          <w:p w:rsidR="00EA1CAD" w:rsidRPr="00985B59" w:rsidRDefault="00EA1CAD" w:rsidP="00AE25D9">
            <w:pPr>
              <w:rPr>
                <w:sz w:val="20"/>
                <w:szCs w:val="20"/>
              </w:rPr>
            </w:pPr>
          </w:p>
        </w:tc>
      </w:tr>
      <w:tr w:rsidR="00EA1CAD" w:rsidRPr="00BE7DFF">
        <w:tc>
          <w:tcPr>
            <w:tcW w:w="1977"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(0.009)</w:t>
            </w:r>
          </w:p>
        </w:tc>
        <w:tc>
          <w:tcPr>
            <w:tcW w:w="1196" w:type="dxa"/>
          </w:tcPr>
          <w:p w:rsidR="00EA1CAD" w:rsidRPr="00985B59" w:rsidRDefault="00EA1CAD" w:rsidP="00AE25D9">
            <w:pPr>
              <w:rPr>
                <w:sz w:val="20"/>
                <w:szCs w:val="20"/>
              </w:rPr>
            </w:pPr>
          </w:p>
        </w:tc>
        <w:tc>
          <w:tcPr>
            <w:tcW w:w="1186" w:type="dxa"/>
          </w:tcPr>
          <w:p w:rsidR="00EA1CAD" w:rsidRPr="00985B59" w:rsidRDefault="00EA1CAD" w:rsidP="00AE25D9">
            <w:pPr>
              <w:rPr>
                <w:sz w:val="20"/>
                <w:szCs w:val="20"/>
              </w:rPr>
            </w:pPr>
            <w:r w:rsidRPr="00985B59">
              <w:rPr>
                <w:sz w:val="20"/>
                <w:szCs w:val="20"/>
              </w:rPr>
              <w:t>(0.056)</w:t>
            </w:r>
          </w:p>
        </w:tc>
        <w:tc>
          <w:tcPr>
            <w:tcW w:w="1116" w:type="dxa"/>
          </w:tcPr>
          <w:p w:rsidR="00EA1CAD" w:rsidRPr="00985B59" w:rsidRDefault="00EA1CAD" w:rsidP="00AE25D9">
            <w:pPr>
              <w:rPr>
                <w:sz w:val="20"/>
                <w:szCs w:val="20"/>
              </w:rPr>
            </w:pPr>
          </w:p>
        </w:tc>
        <w:tc>
          <w:tcPr>
            <w:tcW w:w="1196" w:type="dxa"/>
          </w:tcPr>
          <w:p w:rsidR="00EA1CAD" w:rsidRPr="00985B59" w:rsidRDefault="00EA1CAD" w:rsidP="00AE25D9">
            <w:pPr>
              <w:rPr>
                <w:sz w:val="20"/>
                <w:szCs w:val="20"/>
              </w:rPr>
            </w:pPr>
            <w:r w:rsidRPr="00985B59">
              <w:rPr>
                <w:sz w:val="20"/>
                <w:szCs w:val="20"/>
              </w:rPr>
              <w:t>(0.018)</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(0.270)</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(0.075)</w:t>
            </w:r>
          </w:p>
        </w:tc>
        <w:tc>
          <w:tcPr>
            <w:tcW w:w="1183" w:type="dxa"/>
          </w:tcPr>
          <w:p w:rsidR="00EA1CAD" w:rsidRPr="00985B59" w:rsidRDefault="00EA1CAD" w:rsidP="00AE25D9">
            <w:pPr>
              <w:rPr>
                <w:sz w:val="20"/>
                <w:szCs w:val="20"/>
              </w:rPr>
            </w:pPr>
          </w:p>
        </w:tc>
      </w:tr>
      <w:tr w:rsidR="00EA1CAD" w:rsidRPr="00BE7DFF">
        <w:tc>
          <w:tcPr>
            <w:tcW w:w="1977" w:type="dxa"/>
          </w:tcPr>
          <w:p w:rsidR="00EA1CAD" w:rsidRPr="00985B59" w:rsidRDefault="00EA1CAD" w:rsidP="00AE25D9">
            <w:pPr>
              <w:rPr>
                <w:sz w:val="20"/>
                <w:szCs w:val="20"/>
              </w:rPr>
            </w:pPr>
            <w:smartTag w:uri="urn:schemas-microsoft-com:office:smarttags" w:element="country-region">
              <w:smartTag w:uri="urn:schemas-microsoft-com:office:smarttags" w:element="place">
                <w:r w:rsidRPr="00985B59">
                  <w:rPr>
                    <w:sz w:val="20"/>
                    <w:szCs w:val="20"/>
                  </w:rPr>
                  <w:t>Malaysia</w:t>
                </w:r>
              </w:smartTag>
            </w:smartTag>
            <w:r w:rsidRPr="00985B59">
              <w:rPr>
                <w:sz w:val="20"/>
                <w:szCs w:val="20"/>
              </w:rPr>
              <w:t xml:space="preserve"> Ringgit</w:t>
            </w:r>
          </w:p>
        </w:tc>
        <w:tc>
          <w:tcPr>
            <w:tcW w:w="1183" w:type="dxa"/>
          </w:tcPr>
          <w:p w:rsidR="00EA1CAD" w:rsidRPr="00985B59" w:rsidRDefault="00EA1CAD" w:rsidP="00AE25D9">
            <w:pPr>
              <w:rPr>
                <w:sz w:val="20"/>
                <w:szCs w:val="20"/>
              </w:rPr>
            </w:pPr>
            <w:r w:rsidRPr="00985B59">
              <w:rPr>
                <w:sz w:val="20"/>
                <w:szCs w:val="20"/>
              </w:rPr>
              <w:t>0.010**</w:t>
            </w:r>
          </w:p>
        </w:tc>
        <w:tc>
          <w:tcPr>
            <w:tcW w:w="1196" w:type="dxa"/>
          </w:tcPr>
          <w:p w:rsidR="00EA1CAD" w:rsidRPr="00985B59" w:rsidRDefault="00EA1CAD" w:rsidP="00AE25D9">
            <w:pPr>
              <w:rPr>
                <w:sz w:val="20"/>
                <w:szCs w:val="20"/>
              </w:rPr>
            </w:pPr>
          </w:p>
        </w:tc>
        <w:tc>
          <w:tcPr>
            <w:tcW w:w="1186" w:type="dxa"/>
          </w:tcPr>
          <w:p w:rsidR="00EA1CAD" w:rsidRPr="00985B59" w:rsidRDefault="00EA1CAD" w:rsidP="00AE25D9">
            <w:pPr>
              <w:rPr>
                <w:sz w:val="20"/>
                <w:szCs w:val="20"/>
              </w:rPr>
            </w:pPr>
            <w:r w:rsidRPr="00985B59">
              <w:rPr>
                <w:sz w:val="20"/>
                <w:szCs w:val="20"/>
              </w:rPr>
              <w:t>-0.008**</w:t>
            </w:r>
          </w:p>
        </w:tc>
        <w:tc>
          <w:tcPr>
            <w:tcW w:w="1116" w:type="dxa"/>
          </w:tcPr>
          <w:p w:rsidR="00EA1CAD" w:rsidRPr="00985B59" w:rsidRDefault="00EA1CAD" w:rsidP="00AE25D9">
            <w:pPr>
              <w:rPr>
                <w:sz w:val="20"/>
                <w:szCs w:val="20"/>
              </w:rPr>
            </w:pPr>
          </w:p>
        </w:tc>
        <w:tc>
          <w:tcPr>
            <w:tcW w:w="1196" w:type="dxa"/>
          </w:tcPr>
          <w:p w:rsidR="00EA1CAD" w:rsidRPr="00985B59" w:rsidRDefault="00EA1CAD" w:rsidP="00AE25D9">
            <w:pPr>
              <w:rPr>
                <w:sz w:val="20"/>
                <w:szCs w:val="20"/>
              </w:rPr>
            </w:pPr>
            <w:r w:rsidRPr="00985B59">
              <w:rPr>
                <w:sz w:val="20"/>
                <w:szCs w:val="20"/>
              </w:rPr>
              <w:t>0.019**</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0.063**</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0.036**</w:t>
            </w:r>
          </w:p>
        </w:tc>
        <w:tc>
          <w:tcPr>
            <w:tcW w:w="1183" w:type="dxa"/>
          </w:tcPr>
          <w:p w:rsidR="00EA1CAD" w:rsidRPr="00985B59" w:rsidRDefault="00EA1CAD" w:rsidP="00AE25D9">
            <w:pPr>
              <w:rPr>
                <w:sz w:val="20"/>
                <w:szCs w:val="20"/>
              </w:rPr>
            </w:pPr>
          </w:p>
        </w:tc>
      </w:tr>
      <w:tr w:rsidR="00EA1CAD" w:rsidRPr="00BE7DFF">
        <w:tc>
          <w:tcPr>
            <w:tcW w:w="1977"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(0.004)</w:t>
            </w:r>
          </w:p>
        </w:tc>
        <w:tc>
          <w:tcPr>
            <w:tcW w:w="1196" w:type="dxa"/>
          </w:tcPr>
          <w:p w:rsidR="00EA1CAD" w:rsidRPr="00985B59" w:rsidRDefault="00EA1CAD" w:rsidP="00AE25D9">
            <w:pPr>
              <w:rPr>
                <w:sz w:val="20"/>
                <w:szCs w:val="20"/>
              </w:rPr>
            </w:pPr>
          </w:p>
        </w:tc>
        <w:tc>
          <w:tcPr>
            <w:tcW w:w="1186" w:type="dxa"/>
          </w:tcPr>
          <w:p w:rsidR="00EA1CAD" w:rsidRPr="00985B59" w:rsidRDefault="00EA1CAD" w:rsidP="00AE25D9">
            <w:pPr>
              <w:rPr>
                <w:sz w:val="20"/>
                <w:szCs w:val="20"/>
              </w:rPr>
            </w:pPr>
            <w:r w:rsidRPr="00985B59">
              <w:rPr>
                <w:sz w:val="20"/>
                <w:szCs w:val="20"/>
              </w:rPr>
              <w:t>(0.003)</w:t>
            </w:r>
          </w:p>
        </w:tc>
        <w:tc>
          <w:tcPr>
            <w:tcW w:w="1116" w:type="dxa"/>
          </w:tcPr>
          <w:p w:rsidR="00EA1CAD" w:rsidRPr="00985B59" w:rsidRDefault="00EA1CAD" w:rsidP="00AE25D9">
            <w:pPr>
              <w:rPr>
                <w:sz w:val="20"/>
                <w:szCs w:val="20"/>
              </w:rPr>
            </w:pPr>
          </w:p>
        </w:tc>
        <w:tc>
          <w:tcPr>
            <w:tcW w:w="1196" w:type="dxa"/>
          </w:tcPr>
          <w:p w:rsidR="00EA1CAD" w:rsidRPr="00985B59" w:rsidRDefault="00EA1CAD" w:rsidP="00AE25D9">
            <w:pPr>
              <w:rPr>
                <w:sz w:val="20"/>
                <w:szCs w:val="20"/>
              </w:rPr>
            </w:pPr>
            <w:r w:rsidRPr="00985B59">
              <w:rPr>
                <w:sz w:val="20"/>
                <w:szCs w:val="20"/>
              </w:rPr>
              <w:t>(0.008)</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(0.011)</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(0.007)</w:t>
            </w:r>
          </w:p>
        </w:tc>
        <w:tc>
          <w:tcPr>
            <w:tcW w:w="1183" w:type="dxa"/>
          </w:tcPr>
          <w:p w:rsidR="00EA1CAD" w:rsidRPr="00985B59" w:rsidRDefault="00EA1CAD" w:rsidP="00AE25D9">
            <w:pPr>
              <w:rPr>
                <w:sz w:val="20"/>
                <w:szCs w:val="20"/>
              </w:rPr>
            </w:pPr>
          </w:p>
        </w:tc>
      </w:tr>
      <w:tr w:rsidR="00EA1CAD" w:rsidRPr="00BE7DFF">
        <w:tc>
          <w:tcPr>
            <w:tcW w:w="1977" w:type="dxa"/>
          </w:tcPr>
          <w:p w:rsidR="00EA1CAD" w:rsidRPr="00985B59" w:rsidRDefault="00EA1CAD" w:rsidP="00AE25D9">
            <w:pPr>
              <w:rPr>
                <w:sz w:val="20"/>
                <w:szCs w:val="20"/>
              </w:rPr>
            </w:pPr>
            <w:smartTag w:uri="urn:schemas-microsoft-com:office:smarttags" w:element="country-region">
              <w:smartTag w:uri="urn:schemas-microsoft-com:office:smarttags" w:element="place">
                <w:r w:rsidRPr="00985B59">
                  <w:rPr>
                    <w:sz w:val="20"/>
                    <w:szCs w:val="20"/>
                  </w:rPr>
                  <w:t>Russia</w:t>
                </w:r>
              </w:smartTag>
            </w:smartTag>
            <w:r w:rsidRPr="00985B59">
              <w:rPr>
                <w:sz w:val="20"/>
                <w:szCs w:val="20"/>
              </w:rPr>
              <w:t xml:space="preserve"> Ruble</w:t>
            </w:r>
          </w:p>
        </w:tc>
        <w:tc>
          <w:tcPr>
            <w:tcW w:w="1183" w:type="dxa"/>
          </w:tcPr>
          <w:p w:rsidR="00EA1CAD" w:rsidRPr="00985B59" w:rsidRDefault="00EA1CAD" w:rsidP="00AE25D9">
            <w:pPr>
              <w:rPr>
                <w:sz w:val="20"/>
                <w:szCs w:val="20"/>
              </w:rPr>
            </w:pPr>
            <w:r w:rsidRPr="00985B59">
              <w:rPr>
                <w:sz w:val="20"/>
                <w:szCs w:val="20"/>
              </w:rPr>
              <w:t>0.005</w:t>
            </w:r>
          </w:p>
        </w:tc>
        <w:tc>
          <w:tcPr>
            <w:tcW w:w="1196" w:type="dxa"/>
          </w:tcPr>
          <w:p w:rsidR="00EA1CAD" w:rsidRPr="00985B59" w:rsidRDefault="00EA1CAD" w:rsidP="00AE25D9">
            <w:pPr>
              <w:rPr>
                <w:sz w:val="20"/>
                <w:szCs w:val="20"/>
              </w:rPr>
            </w:pPr>
          </w:p>
        </w:tc>
        <w:tc>
          <w:tcPr>
            <w:tcW w:w="1186" w:type="dxa"/>
          </w:tcPr>
          <w:p w:rsidR="00EA1CAD" w:rsidRPr="00985B59" w:rsidRDefault="00EA1CAD" w:rsidP="00AE25D9">
            <w:pPr>
              <w:rPr>
                <w:sz w:val="20"/>
                <w:szCs w:val="20"/>
              </w:rPr>
            </w:pPr>
            <w:r w:rsidRPr="00985B59">
              <w:rPr>
                <w:sz w:val="20"/>
                <w:szCs w:val="20"/>
              </w:rPr>
              <w:t>0.002</w:t>
            </w:r>
          </w:p>
        </w:tc>
        <w:tc>
          <w:tcPr>
            <w:tcW w:w="1116" w:type="dxa"/>
          </w:tcPr>
          <w:p w:rsidR="00EA1CAD" w:rsidRPr="00985B59" w:rsidRDefault="00EA1CAD" w:rsidP="00AE25D9">
            <w:pPr>
              <w:rPr>
                <w:sz w:val="20"/>
                <w:szCs w:val="20"/>
              </w:rPr>
            </w:pPr>
          </w:p>
        </w:tc>
        <w:tc>
          <w:tcPr>
            <w:tcW w:w="1196" w:type="dxa"/>
          </w:tcPr>
          <w:p w:rsidR="00EA1CAD" w:rsidRPr="00985B59" w:rsidRDefault="00EA1CAD" w:rsidP="00AE25D9">
            <w:pPr>
              <w:rPr>
                <w:sz w:val="20"/>
                <w:szCs w:val="20"/>
              </w:rPr>
            </w:pPr>
            <w:r w:rsidRPr="00985B59">
              <w:rPr>
                <w:sz w:val="20"/>
                <w:szCs w:val="20"/>
              </w:rPr>
              <w:t>0.011**</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0.007</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-0.001</w:t>
            </w:r>
          </w:p>
        </w:tc>
        <w:tc>
          <w:tcPr>
            <w:tcW w:w="1183" w:type="dxa"/>
          </w:tcPr>
          <w:p w:rsidR="00EA1CAD" w:rsidRPr="00985B59" w:rsidRDefault="00EA1CAD" w:rsidP="00AE25D9">
            <w:pPr>
              <w:rPr>
                <w:sz w:val="20"/>
                <w:szCs w:val="20"/>
              </w:rPr>
            </w:pPr>
          </w:p>
        </w:tc>
      </w:tr>
      <w:tr w:rsidR="00EA1CAD" w:rsidRPr="00BE7DFF">
        <w:tc>
          <w:tcPr>
            <w:tcW w:w="1977"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(0.003)</w:t>
            </w:r>
          </w:p>
        </w:tc>
        <w:tc>
          <w:tcPr>
            <w:tcW w:w="1196" w:type="dxa"/>
          </w:tcPr>
          <w:p w:rsidR="00EA1CAD" w:rsidRPr="00985B59" w:rsidRDefault="00EA1CAD" w:rsidP="00AE25D9">
            <w:pPr>
              <w:rPr>
                <w:sz w:val="20"/>
                <w:szCs w:val="20"/>
              </w:rPr>
            </w:pPr>
          </w:p>
        </w:tc>
        <w:tc>
          <w:tcPr>
            <w:tcW w:w="1186" w:type="dxa"/>
          </w:tcPr>
          <w:p w:rsidR="00EA1CAD" w:rsidRPr="00985B59" w:rsidRDefault="00EA1CAD" w:rsidP="00AE25D9">
            <w:pPr>
              <w:rPr>
                <w:sz w:val="20"/>
                <w:szCs w:val="20"/>
              </w:rPr>
            </w:pPr>
            <w:r w:rsidRPr="00985B59">
              <w:rPr>
                <w:sz w:val="20"/>
                <w:szCs w:val="20"/>
              </w:rPr>
              <w:t>(0.002)</w:t>
            </w:r>
          </w:p>
        </w:tc>
        <w:tc>
          <w:tcPr>
            <w:tcW w:w="1116" w:type="dxa"/>
          </w:tcPr>
          <w:p w:rsidR="00EA1CAD" w:rsidRPr="00985B59" w:rsidRDefault="00EA1CAD" w:rsidP="00AE25D9">
            <w:pPr>
              <w:rPr>
                <w:sz w:val="20"/>
                <w:szCs w:val="20"/>
              </w:rPr>
            </w:pPr>
          </w:p>
        </w:tc>
        <w:tc>
          <w:tcPr>
            <w:tcW w:w="1196" w:type="dxa"/>
          </w:tcPr>
          <w:p w:rsidR="00EA1CAD" w:rsidRPr="00985B59" w:rsidRDefault="00EA1CAD" w:rsidP="00AE25D9">
            <w:pPr>
              <w:rPr>
                <w:sz w:val="20"/>
                <w:szCs w:val="20"/>
              </w:rPr>
            </w:pPr>
            <w:r w:rsidRPr="00985B59">
              <w:rPr>
                <w:sz w:val="20"/>
                <w:szCs w:val="20"/>
              </w:rPr>
              <w:t>(0.005)</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(0.009)</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(0.007)</w:t>
            </w:r>
          </w:p>
        </w:tc>
        <w:tc>
          <w:tcPr>
            <w:tcW w:w="1183" w:type="dxa"/>
          </w:tcPr>
          <w:p w:rsidR="00EA1CAD" w:rsidRPr="00985B59" w:rsidRDefault="00EA1CAD" w:rsidP="00AE25D9">
            <w:pPr>
              <w:rPr>
                <w:sz w:val="20"/>
                <w:szCs w:val="20"/>
              </w:rPr>
            </w:pPr>
          </w:p>
        </w:tc>
      </w:tr>
      <w:tr w:rsidR="00EA1CAD" w:rsidRPr="00BE7DFF">
        <w:tc>
          <w:tcPr>
            <w:tcW w:w="1977" w:type="dxa"/>
          </w:tcPr>
          <w:p w:rsidR="00EA1CAD" w:rsidRPr="00985B59" w:rsidRDefault="00EA1CAD" w:rsidP="00AE25D9">
            <w:pPr>
              <w:rPr>
                <w:sz w:val="20"/>
                <w:szCs w:val="20"/>
              </w:rPr>
            </w:pPr>
            <w:r w:rsidRPr="00985B59">
              <w:rPr>
                <w:sz w:val="20"/>
                <w:szCs w:val="20"/>
              </w:rPr>
              <w:t>Australian Dollar</w:t>
            </w:r>
          </w:p>
        </w:tc>
        <w:tc>
          <w:tcPr>
            <w:tcW w:w="1183" w:type="dxa"/>
          </w:tcPr>
          <w:p w:rsidR="00EA1CAD" w:rsidRPr="00985B59" w:rsidRDefault="00EA1CAD" w:rsidP="00AE25D9">
            <w:pPr>
              <w:rPr>
                <w:sz w:val="20"/>
                <w:szCs w:val="20"/>
              </w:rPr>
            </w:pPr>
            <w:r w:rsidRPr="00985B59">
              <w:rPr>
                <w:sz w:val="20"/>
                <w:szCs w:val="20"/>
              </w:rPr>
              <w:t>0.003**</w:t>
            </w:r>
          </w:p>
        </w:tc>
        <w:tc>
          <w:tcPr>
            <w:tcW w:w="1196" w:type="dxa"/>
          </w:tcPr>
          <w:p w:rsidR="00EA1CAD" w:rsidRPr="00985B59" w:rsidRDefault="00EA1CAD" w:rsidP="00AE25D9">
            <w:pPr>
              <w:rPr>
                <w:sz w:val="20"/>
                <w:szCs w:val="20"/>
              </w:rPr>
            </w:pPr>
          </w:p>
        </w:tc>
        <w:tc>
          <w:tcPr>
            <w:tcW w:w="1186" w:type="dxa"/>
          </w:tcPr>
          <w:p w:rsidR="00EA1CAD" w:rsidRPr="00985B59" w:rsidRDefault="00EA1CAD" w:rsidP="00AE25D9">
            <w:pPr>
              <w:rPr>
                <w:sz w:val="20"/>
                <w:szCs w:val="20"/>
              </w:rPr>
            </w:pPr>
            <w:r w:rsidRPr="00985B59">
              <w:rPr>
                <w:sz w:val="20"/>
                <w:szCs w:val="20"/>
              </w:rPr>
              <w:t>0.001</w:t>
            </w:r>
          </w:p>
        </w:tc>
        <w:tc>
          <w:tcPr>
            <w:tcW w:w="1116" w:type="dxa"/>
          </w:tcPr>
          <w:p w:rsidR="00EA1CAD" w:rsidRPr="00985B59" w:rsidRDefault="00EA1CAD" w:rsidP="00AE25D9">
            <w:pPr>
              <w:rPr>
                <w:sz w:val="20"/>
                <w:szCs w:val="20"/>
              </w:rPr>
            </w:pPr>
          </w:p>
        </w:tc>
        <w:tc>
          <w:tcPr>
            <w:tcW w:w="1196" w:type="dxa"/>
          </w:tcPr>
          <w:p w:rsidR="00EA1CAD" w:rsidRPr="00985B59" w:rsidRDefault="00EA1CAD" w:rsidP="00AE25D9">
            <w:pPr>
              <w:rPr>
                <w:sz w:val="20"/>
                <w:szCs w:val="20"/>
              </w:rPr>
            </w:pPr>
            <w:r w:rsidRPr="00985B59">
              <w:rPr>
                <w:sz w:val="20"/>
                <w:szCs w:val="20"/>
              </w:rPr>
              <w:t>0.002</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0.005*</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-0.001</w:t>
            </w:r>
          </w:p>
        </w:tc>
        <w:tc>
          <w:tcPr>
            <w:tcW w:w="1183" w:type="dxa"/>
          </w:tcPr>
          <w:p w:rsidR="00EA1CAD" w:rsidRPr="00985B59" w:rsidRDefault="00EA1CAD" w:rsidP="00AE25D9">
            <w:pPr>
              <w:rPr>
                <w:sz w:val="20"/>
                <w:szCs w:val="20"/>
              </w:rPr>
            </w:pPr>
          </w:p>
        </w:tc>
      </w:tr>
      <w:tr w:rsidR="00EA1CAD" w:rsidRPr="00BE7DFF">
        <w:tc>
          <w:tcPr>
            <w:tcW w:w="1977"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(0.001)</w:t>
            </w:r>
          </w:p>
        </w:tc>
        <w:tc>
          <w:tcPr>
            <w:tcW w:w="1196" w:type="dxa"/>
          </w:tcPr>
          <w:p w:rsidR="00EA1CAD" w:rsidRPr="00985B59" w:rsidRDefault="00EA1CAD" w:rsidP="00AE25D9">
            <w:pPr>
              <w:rPr>
                <w:sz w:val="20"/>
                <w:szCs w:val="20"/>
              </w:rPr>
            </w:pPr>
          </w:p>
        </w:tc>
        <w:tc>
          <w:tcPr>
            <w:tcW w:w="1186" w:type="dxa"/>
          </w:tcPr>
          <w:p w:rsidR="00EA1CAD" w:rsidRPr="00985B59" w:rsidRDefault="00EA1CAD" w:rsidP="00AE25D9">
            <w:pPr>
              <w:rPr>
                <w:sz w:val="20"/>
                <w:szCs w:val="20"/>
              </w:rPr>
            </w:pPr>
            <w:r w:rsidRPr="00985B59">
              <w:rPr>
                <w:sz w:val="20"/>
                <w:szCs w:val="20"/>
              </w:rPr>
              <w:t>(0.001)</w:t>
            </w:r>
          </w:p>
        </w:tc>
        <w:tc>
          <w:tcPr>
            <w:tcW w:w="1116" w:type="dxa"/>
          </w:tcPr>
          <w:p w:rsidR="00EA1CAD" w:rsidRPr="00985B59" w:rsidRDefault="00EA1CAD" w:rsidP="00AE25D9">
            <w:pPr>
              <w:rPr>
                <w:sz w:val="20"/>
                <w:szCs w:val="20"/>
              </w:rPr>
            </w:pPr>
          </w:p>
        </w:tc>
        <w:tc>
          <w:tcPr>
            <w:tcW w:w="1196" w:type="dxa"/>
          </w:tcPr>
          <w:p w:rsidR="00EA1CAD" w:rsidRPr="00985B59" w:rsidRDefault="00EA1CAD" w:rsidP="00AE25D9">
            <w:pPr>
              <w:rPr>
                <w:sz w:val="20"/>
                <w:szCs w:val="20"/>
              </w:rPr>
            </w:pPr>
            <w:r w:rsidRPr="00985B59">
              <w:rPr>
                <w:sz w:val="20"/>
                <w:szCs w:val="20"/>
              </w:rPr>
              <w:t>(0.003)</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(0.003)</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(0.003)</w:t>
            </w:r>
          </w:p>
        </w:tc>
        <w:tc>
          <w:tcPr>
            <w:tcW w:w="1183" w:type="dxa"/>
          </w:tcPr>
          <w:p w:rsidR="00EA1CAD" w:rsidRPr="00985B59" w:rsidRDefault="00EA1CAD" w:rsidP="00AE25D9">
            <w:pPr>
              <w:rPr>
                <w:sz w:val="20"/>
                <w:szCs w:val="20"/>
              </w:rPr>
            </w:pPr>
          </w:p>
        </w:tc>
      </w:tr>
      <w:tr w:rsidR="00EA1CAD" w:rsidRPr="00BE7DFF">
        <w:tc>
          <w:tcPr>
            <w:tcW w:w="1977" w:type="dxa"/>
          </w:tcPr>
          <w:p w:rsidR="00EA1CAD" w:rsidRPr="00985B59" w:rsidRDefault="00EA1CAD" w:rsidP="00AE25D9">
            <w:pPr>
              <w:rPr>
                <w:sz w:val="20"/>
                <w:szCs w:val="20"/>
              </w:rPr>
            </w:pPr>
            <w:smartTag w:uri="urn:schemas-microsoft-com:office:smarttags" w:element="country-region">
              <w:smartTag w:uri="urn:schemas-microsoft-com:office:smarttags" w:element="place">
                <w:r w:rsidRPr="00985B59">
                  <w:rPr>
                    <w:sz w:val="20"/>
                    <w:szCs w:val="20"/>
                  </w:rPr>
                  <w:t>Thailand</w:t>
                </w:r>
              </w:smartTag>
            </w:smartTag>
            <w:r w:rsidRPr="00985B59">
              <w:rPr>
                <w:sz w:val="20"/>
                <w:szCs w:val="20"/>
              </w:rPr>
              <w:t xml:space="preserve"> Baht</w:t>
            </w:r>
          </w:p>
        </w:tc>
        <w:tc>
          <w:tcPr>
            <w:tcW w:w="1183" w:type="dxa"/>
          </w:tcPr>
          <w:p w:rsidR="00EA1CAD" w:rsidRPr="00985B59" w:rsidRDefault="00EA1CAD" w:rsidP="00AE25D9">
            <w:pPr>
              <w:rPr>
                <w:sz w:val="20"/>
                <w:szCs w:val="20"/>
              </w:rPr>
            </w:pPr>
            <w:r w:rsidRPr="00985B59">
              <w:rPr>
                <w:sz w:val="20"/>
                <w:szCs w:val="20"/>
              </w:rPr>
              <w:t>-0.003*</w:t>
            </w:r>
          </w:p>
        </w:tc>
        <w:tc>
          <w:tcPr>
            <w:tcW w:w="1196" w:type="dxa"/>
          </w:tcPr>
          <w:p w:rsidR="00EA1CAD" w:rsidRPr="00985B59" w:rsidRDefault="00EA1CAD" w:rsidP="00AE25D9">
            <w:pPr>
              <w:rPr>
                <w:sz w:val="20"/>
                <w:szCs w:val="20"/>
              </w:rPr>
            </w:pPr>
          </w:p>
        </w:tc>
        <w:tc>
          <w:tcPr>
            <w:tcW w:w="1186" w:type="dxa"/>
          </w:tcPr>
          <w:p w:rsidR="00EA1CAD" w:rsidRPr="00985B59" w:rsidRDefault="00EA1CAD" w:rsidP="00AE25D9">
            <w:pPr>
              <w:rPr>
                <w:sz w:val="20"/>
                <w:szCs w:val="20"/>
              </w:rPr>
            </w:pPr>
            <w:r w:rsidRPr="00985B59">
              <w:rPr>
                <w:sz w:val="20"/>
                <w:szCs w:val="20"/>
              </w:rPr>
              <w:t>-0.000</w:t>
            </w:r>
          </w:p>
        </w:tc>
        <w:tc>
          <w:tcPr>
            <w:tcW w:w="1116" w:type="dxa"/>
          </w:tcPr>
          <w:p w:rsidR="00EA1CAD" w:rsidRPr="00985B59" w:rsidRDefault="00EA1CAD" w:rsidP="00AE25D9">
            <w:pPr>
              <w:rPr>
                <w:sz w:val="20"/>
                <w:szCs w:val="20"/>
              </w:rPr>
            </w:pPr>
          </w:p>
        </w:tc>
        <w:tc>
          <w:tcPr>
            <w:tcW w:w="1196" w:type="dxa"/>
          </w:tcPr>
          <w:p w:rsidR="00EA1CAD" w:rsidRPr="00985B59" w:rsidRDefault="00EA1CAD" w:rsidP="00AE25D9">
            <w:pPr>
              <w:rPr>
                <w:sz w:val="20"/>
                <w:szCs w:val="20"/>
              </w:rPr>
            </w:pPr>
            <w:r w:rsidRPr="00985B59">
              <w:rPr>
                <w:sz w:val="20"/>
                <w:szCs w:val="20"/>
              </w:rPr>
              <w:t>-0.003</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0.001</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0.005</w:t>
            </w:r>
          </w:p>
        </w:tc>
        <w:tc>
          <w:tcPr>
            <w:tcW w:w="1183" w:type="dxa"/>
          </w:tcPr>
          <w:p w:rsidR="00EA1CAD" w:rsidRPr="00985B59" w:rsidRDefault="00EA1CAD" w:rsidP="00AE25D9">
            <w:pPr>
              <w:rPr>
                <w:sz w:val="20"/>
                <w:szCs w:val="20"/>
              </w:rPr>
            </w:pPr>
          </w:p>
        </w:tc>
      </w:tr>
      <w:tr w:rsidR="00EA1CAD" w:rsidRPr="00BE7DFF">
        <w:tc>
          <w:tcPr>
            <w:tcW w:w="1977"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(0.002)</w:t>
            </w:r>
          </w:p>
        </w:tc>
        <w:tc>
          <w:tcPr>
            <w:tcW w:w="1196" w:type="dxa"/>
          </w:tcPr>
          <w:p w:rsidR="00EA1CAD" w:rsidRPr="00985B59" w:rsidRDefault="00EA1CAD" w:rsidP="00AE25D9">
            <w:pPr>
              <w:rPr>
                <w:sz w:val="20"/>
                <w:szCs w:val="20"/>
              </w:rPr>
            </w:pPr>
          </w:p>
        </w:tc>
        <w:tc>
          <w:tcPr>
            <w:tcW w:w="1186" w:type="dxa"/>
          </w:tcPr>
          <w:p w:rsidR="00EA1CAD" w:rsidRPr="00985B59" w:rsidRDefault="00EA1CAD" w:rsidP="00AE25D9">
            <w:pPr>
              <w:rPr>
                <w:sz w:val="20"/>
                <w:szCs w:val="20"/>
              </w:rPr>
            </w:pPr>
            <w:r w:rsidRPr="00985B59">
              <w:rPr>
                <w:sz w:val="20"/>
                <w:szCs w:val="20"/>
              </w:rPr>
              <w:t>(0.002)</w:t>
            </w:r>
          </w:p>
        </w:tc>
        <w:tc>
          <w:tcPr>
            <w:tcW w:w="1116" w:type="dxa"/>
          </w:tcPr>
          <w:p w:rsidR="00EA1CAD" w:rsidRPr="00985B59" w:rsidRDefault="00EA1CAD" w:rsidP="00AE25D9">
            <w:pPr>
              <w:rPr>
                <w:sz w:val="20"/>
                <w:szCs w:val="20"/>
              </w:rPr>
            </w:pPr>
          </w:p>
        </w:tc>
        <w:tc>
          <w:tcPr>
            <w:tcW w:w="1196" w:type="dxa"/>
          </w:tcPr>
          <w:p w:rsidR="00EA1CAD" w:rsidRPr="00985B59" w:rsidRDefault="00EA1CAD" w:rsidP="00AE25D9">
            <w:pPr>
              <w:rPr>
                <w:sz w:val="20"/>
                <w:szCs w:val="20"/>
              </w:rPr>
            </w:pPr>
            <w:r w:rsidRPr="00985B59">
              <w:rPr>
                <w:sz w:val="20"/>
                <w:szCs w:val="20"/>
              </w:rPr>
              <w:t>(0.002)</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(0.004)</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(0.004)</w:t>
            </w:r>
          </w:p>
        </w:tc>
        <w:tc>
          <w:tcPr>
            <w:tcW w:w="1183" w:type="dxa"/>
          </w:tcPr>
          <w:p w:rsidR="00EA1CAD" w:rsidRPr="00985B59" w:rsidRDefault="00EA1CAD" w:rsidP="00AE25D9">
            <w:pPr>
              <w:rPr>
                <w:sz w:val="20"/>
                <w:szCs w:val="20"/>
              </w:rPr>
            </w:pPr>
          </w:p>
        </w:tc>
      </w:tr>
      <w:tr w:rsidR="00EA1CAD" w:rsidRPr="00BE7DFF">
        <w:tc>
          <w:tcPr>
            <w:tcW w:w="1977" w:type="dxa"/>
          </w:tcPr>
          <w:p w:rsidR="00EA1CAD" w:rsidRPr="00985B59" w:rsidRDefault="00EA1CAD" w:rsidP="00AE25D9">
            <w:pPr>
              <w:rPr>
                <w:sz w:val="20"/>
                <w:szCs w:val="20"/>
              </w:rPr>
            </w:pPr>
            <w:r w:rsidRPr="00985B59">
              <w:rPr>
                <w:sz w:val="20"/>
                <w:szCs w:val="20"/>
              </w:rPr>
              <w:t>Canadian Dollar</w:t>
            </w:r>
          </w:p>
        </w:tc>
        <w:tc>
          <w:tcPr>
            <w:tcW w:w="1183" w:type="dxa"/>
          </w:tcPr>
          <w:p w:rsidR="00EA1CAD" w:rsidRPr="00985B59" w:rsidRDefault="00EA1CAD" w:rsidP="00AE25D9">
            <w:pPr>
              <w:rPr>
                <w:sz w:val="20"/>
                <w:szCs w:val="20"/>
              </w:rPr>
            </w:pPr>
            <w:r w:rsidRPr="00985B59">
              <w:rPr>
                <w:sz w:val="20"/>
                <w:szCs w:val="20"/>
              </w:rPr>
              <w:t>-0.002</w:t>
            </w:r>
          </w:p>
        </w:tc>
        <w:tc>
          <w:tcPr>
            <w:tcW w:w="1196" w:type="dxa"/>
          </w:tcPr>
          <w:p w:rsidR="00EA1CAD" w:rsidRPr="00985B59" w:rsidRDefault="00EA1CAD" w:rsidP="00AE25D9">
            <w:pPr>
              <w:rPr>
                <w:sz w:val="20"/>
                <w:szCs w:val="20"/>
              </w:rPr>
            </w:pPr>
          </w:p>
        </w:tc>
        <w:tc>
          <w:tcPr>
            <w:tcW w:w="1186" w:type="dxa"/>
          </w:tcPr>
          <w:p w:rsidR="00EA1CAD" w:rsidRPr="00985B59" w:rsidRDefault="00EA1CAD" w:rsidP="00AE25D9">
            <w:pPr>
              <w:rPr>
                <w:sz w:val="20"/>
                <w:szCs w:val="20"/>
              </w:rPr>
            </w:pPr>
            <w:r w:rsidRPr="00985B59">
              <w:rPr>
                <w:sz w:val="20"/>
                <w:szCs w:val="20"/>
              </w:rPr>
              <w:t>-0.001</w:t>
            </w:r>
          </w:p>
        </w:tc>
        <w:tc>
          <w:tcPr>
            <w:tcW w:w="1116" w:type="dxa"/>
          </w:tcPr>
          <w:p w:rsidR="00EA1CAD" w:rsidRPr="00985B59" w:rsidRDefault="00EA1CAD" w:rsidP="00AE25D9">
            <w:pPr>
              <w:rPr>
                <w:sz w:val="20"/>
                <w:szCs w:val="20"/>
              </w:rPr>
            </w:pPr>
          </w:p>
        </w:tc>
        <w:tc>
          <w:tcPr>
            <w:tcW w:w="1196" w:type="dxa"/>
          </w:tcPr>
          <w:p w:rsidR="00EA1CAD" w:rsidRPr="00985B59" w:rsidRDefault="00EA1CAD" w:rsidP="00AE25D9">
            <w:pPr>
              <w:rPr>
                <w:sz w:val="20"/>
                <w:szCs w:val="20"/>
              </w:rPr>
            </w:pPr>
            <w:r w:rsidRPr="00985B59">
              <w:rPr>
                <w:sz w:val="20"/>
                <w:szCs w:val="20"/>
              </w:rPr>
              <w:t>0.001</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0.000</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-0.001</w:t>
            </w:r>
          </w:p>
        </w:tc>
        <w:tc>
          <w:tcPr>
            <w:tcW w:w="1183" w:type="dxa"/>
          </w:tcPr>
          <w:p w:rsidR="00EA1CAD" w:rsidRPr="00985B59" w:rsidRDefault="00EA1CAD" w:rsidP="00AE25D9">
            <w:pPr>
              <w:rPr>
                <w:sz w:val="20"/>
                <w:szCs w:val="20"/>
              </w:rPr>
            </w:pPr>
          </w:p>
        </w:tc>
      </w:tr>
      <w:tr w:rsidR="00EA1CAD" w:rsidRPr="00BE7DFF">
        <w:tc>
          <w:tcPr>
            <w:tcW w:w="1977"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(0.002)</w:t>
            </w:r>
          </w:p>
        </w:tc>
        <w:tc>
          <w:tcPr>
            <w:tcW w:w="1196" w:type="dxa"/>
          </w:tcPr>
          <w:p w:rsidR="00EA1CAD" w:rsidRPr="00985B59" w:rsidRDefault="00EA1CAD" w:rsidP="00AE25D9">
            <w:pPr>
              <w:rPr>
                <w:sz w:val="20"/>
                <w:szCs w:val="20"/>
              </w:rPr>
            </w:pPr>
          </w:p>
        </w:tc>
        <w:tc>
          <w:tcPr>
            <w:tcW w:w="1186" w:type="dxa"/>
          </w:tcPr>
          <w:p w:rsidR="00EA1CAD" w:rsidRPr="00985B59" w:rsidRDefault="00EA1CAD" w:rsidP="00AE25D9">
            <w:pPr>
              <w:rPr>
                <w:sz w:val="20"/>
                <w:szCs w:val="20"/>
              </w:rPr>
            </w:pPr>
            <w:r w:rsidRPr="00985B59">
              <w:rPr>
                <w:sz w:val="20"/>
                <w:szCs w:val="20"/>
              </w:rPr>
              <w:t>(0.001)</w:t>
            </w:r>
          </w:p>
        </w:tc>
        <w:tc>
          <w:tcPr>
            <w:tcW w:w="1116" w:type="dxa"/>
          </w:tcPr>
          <w:p w:rsidR="00EA1CAD" w:rsidRPr="00985B59" w:rsidRDefault="00EA1CAD" w:rsidP="00AE25D9">
            <w:pPr>
              <w:rPr>
                <w:sz w:val="20"/>
                <w:szCs w:val="20"/>
              </w:rPr>
            </w:pPr>
          </w:p>
        </w:tc>
        <w:tc>
          <w:tcPr>
            <w:tcW w:w="1196" w:type="dxa"/>
          </w:tcPr>
          <w:p w:rsidR="00EA1CAD" w:rsidRPr="00985B59" w:rsidRDefault="00EA1CAD" w:rsidP="00AE25D9">
            <w:pPr>
              <w:rPr>
                <w:sz w:val="20"/>
                <w:szCs w:val="20"/>
              </w:rPr>
            </w:pPr>
            <w:r w:rsidRPr="00985B59">
              <w:rPr>
                <w:sz w:val="20"/>
                <w:szCs w:val="20"/>
              </w:rPr>
              <w:t>(0.003)</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(0.004)</w:t>
            </w:r>
          </w:p>
        </w:tc>
        <w:tc>
          <w:tcPr>
            <w:tcW w:w="1183" w:type="dxa"/>
          </w:tcPr>
          <w:p w:rsidR="00EA1CAD" w:rsidRPr="00985B59" w:rsidRDefault="00EA1CAD" w:rsidP="00AE25D9">
            <w:pPr>
              <w:rPr>
                <w:sz w:val="20"/>
                <w:szCs w:val="20"/>
              </w:rPr>
            </w:pPr>
          </w:p>
        </w:tc>
        <w:tc>
          <w:tcPr>
            <w:tcW w:w="1183" w:type="dxa"/>
          </w:tcPr>
          <w:p w:rsidR="00EA1CAD" w:rsidRPr="00985B59" w:rsidRDefault="00EA1CAD" w:rsidP="00AE25D9">
            <w:pPr>
              <w:rPr>
                <w:sz w:val="20"/>
                <w:szCs w:val="20"/>
              </w:rPr>
            </w:pPr>
            <w:r w:rsidRPr="00985B59">
              <w:rPr>
                <w:sz w:val="20"/>
                <w:szCs w:val="20"/>
              </w:rPr>
              <w:t>(0.004)</w:t>
            </w:r>
          </w:p>
        </w:tc>
        <w:tc>
          <w:tcPr>
            <w:tcW w:w="1183" w:type="dxa"/>
          </w:tcPr>
          <w:p w:rsidR="00EA1CAD" w:rsidRPr="00985B59" w:rsidRDefault="00EA1CAD" w:rsidP="00AE25D9">
            <w:pPr>
              <w:rPr>
                <w:sz w:val="20"/>
                <w:szCs w:val="20"/>
              </w:rPr>
            </w:pPr>
          </w:p>
        </w:tc>
      </w:tr>
      <w:tr w:rsidR="00EA1CAD" w:rsidRPr="00BE7DFF">
        <w:tc>
          <w:tcPr>
            <w:tcW w:w="1977" w:type="dxa"/>
          </w:tcPr>
          <w:p w:rsidR="00EA1CAD" w:rsidRPr="00985B59" w:rsidRDefault="00EA1CAD" w:rsidP="00AE25D9">
            <w:pPr>
              <w:rPr>
                <w:sz w:val="20"/>
                <w:szCs w:val="20"/>
              </w:rPr>
            </w:pPr>
            <w:r w:rsidRPr="00985B59">
              <w:rPr>
                <w:sz w:val="20"/>
                <w:szCs w:val="20"/>
              </w:rPr>
              <w:t>Observations</w:t>
            </w:r>
          </w:p>
        </w:tc>
        <w:tc>
          <w:tcPr>
            <w:tcW w:w="1183" w:type="dxa"/>
          </w:tcPr>
          <w:p w:rsidR="00EA1CAD" w:rsidRPr="00985B59" w:rsidRDefault="00EA1CAD" w:rsidP="00AE25D9">
            <w:pPr>
              <w:rPr>
                <w:sz w:val="20"/>
                <w:szCs w:val="20"/>
              </w:rPr>
            </w:pPr>
            <w:r w:rsidRPr="00985B59">
              <w:rPr>
                <w:sz w:val="20"/>
                <w:szCs w:val="20"/>
              </w:rPr>
              <w:t>12087</w:t>
            </w:r>
          </w:p>
        </w:tc>
        <w:tc>
          <w:tcPr>
            <w:tcW w:w="1196" w:type="dxa"/>
          </w:tcPr>
          <w:p w:rsidR="00EA1CAD" w:rsidRPr="00985B59" w:rsidRDefault="00EA1CAD" w:rsidP="00AE25D9">
            <w:pPr>
              <w:rPr>
                <w:sz w:val="20"/>
                <w:szCs w:val="20"/>
              </w:rPr>
            </w:pPr>
            <w:r w:rsidRPr="00985B59">
              <w:rPr>
                <w:sz w:val="20"/>
                <w:szCs w:val="20"/>
              </w:rPr>
              <w:t>12087</w:t>
            </w:r>
          </w:p>
        </w:tc>
        <w:tc>
          <w:tcPr>
            <w:tcW w:w="1186" w:type="dxa"/>
          </w:tcPr>
          <w:p w:rsidR="00EA1CAD" w:rsidRPr="00985B59" w:rsidRDefault="00EA1CAD" w:rsidP="00AE25D9">
            <w:pPr>
              <w:rPr>
                <w:sz w:val="20"/>
                <w:szCs w:val="20"/>
              </w:rPr>
            </w:pPr>
            <w:r w:rsidRPr="00985B59">
              <w:rPr>
                <w:sz w:val="20"/>
                <w:szCs w:val="20"/>
              </w:rPr>
              <w:t>3428</w:t>
            </w:r>
          </w:p>
        </w:tc>
        <w:tc>
          <w:tcPr>
            <w:tcW w:w="1116" w:type="dxa"/>
          </w:tcPr>
          <w:p w:rsidR="00EA1CAD" w:rsidRPr="00985B59" w:rsidRDefault="00EA1CAD" w:rsidP="00AE25D9">
            <w:pPr>
              <w:rPr>
                <w:sz w:val="20"/>
                <w:szCs w:val="20"/>
              </w:rPr>
            </w:pPr>
            <w:r w:rsidRPr="00985B59">
              <w:rPr>
                <w:sz w:val="20"/>
                <w:szCs w:val="20"/>
              </w:rPr>
              <w:t>3428</w:t>
            </w:r>
          </w:p>
        </w:tc>
        <w:tc>
          <w:tcPr>
            <w:tcW w:w="1196" w:type="dxa"/>
          </w:tcPr>
          <w:p w:rsidR="00EA1CAD" w:rsidRPr="00985B59" w:rsidRDefault="00EA1CAD" w:rsidP="00AE25D9">
            <w:pPr>
              <w:rPr>
                <w:sz w:val="20"/>
                <w:szCs w:val="20"/>
              </w:rPr>
            </w:pPr>
            <w:r w:rsidRPr="00985B59">
              <w:rPr>
                <w:sz w:val="20"/>
                <w:szCs w:val="20"/>
              </w:rPr>
              <w:t>2748</w:t>
            </w:r>
          </w:p>
        </w:tc>
        <w:tc>
          <w:tcPr>
            <w:tcW w:w="1183" w:type="dxa"/>
          </w:tcPr>
          <w:p w:rsidR="00EA1CAD" w:rsidRPr="00985B59" w:rsidRDefault="00EA1CAD" w:rsidP="00AE25D9">
            <w:pPr>
              <w:rPr>
                <w:sz w:val="20"/>
                <w:szCs w:val="20"/>
              </w:rPr>
            </w:pPr>
            <w:r w:rsidRPr="00985B59">
              <w:rPr>
                <w:sz w:val="20"/>
                <w:szCs w:val="20"/>
              </w:rPr>
              <w:t>2748</w:t>
            </w:r>
          </w:p>
        </w:tc>
        <w:tc>
          <w:tcPr>
            <w:tcW w:w="1183" w:type="dxa"/>
          </w:tcPr>
          <w:p w:rsidR="00EA1CAD" w:rsidRPr="00985B59" w:rsidRDefault="00EA1CAD" w:rsidP="00AE25D9">
            <w:pPr>
              <w:rPr>
                <w:sz w:val="20"/>
                <w:szCs w:val="20"/>
              </w:rPr>
            </w:pPr>
            <w:r w:rsidRPr="00985B59">
              <w:rPr>
                <w:sz w:val="20"/>
                <w:szCs w:val="20"/>
              </w:rPr>
              <w:t>2976</w:t>
            </w:r>
          </w:p>
        </w:tc>
        <w:tc>
          <w:tcPr>
            <w:tcW w:w="1183" w:type="dxa"/>
          </w:tcPr>
          <w:p w:rsidR="00EA1CAD" w:rsidRPr="00985B59" w:rsidRDefault="00EA1CAD" w:rsidP="00AE25D9">
            <w:pPr>
              <w:rPr>
                <w:sz w:val="20"/>
                <w:szCs w:val="20"/>
              </w:rPr>
            </w:pPr>
            <w:r w:rsidRPr="00985B59">
              <w:rPr>
                <w:sz w:val="20"/>
                <w:szCs w:val="20"/>
              </w:rPr>
              <w:t>2976</w:t>
            </w:r>
          </w:p>
        </w:tc>
        <w:tc>
          <w:tcPr>
            <w:tcW w:w="1183" w:type="dxa"/>
          </w:tcPr>
          <w:p w:rsidR="00EA1CAD" w:rsidRPr="00985B59" w:rsidRDefault="00EA1CAD" w:rsidP="00AE25D9">
            <w:pPr>
              <w:rPr>
                <w:sz w:val="20"/>
                <w:szCs w:val="20"/>
              </w:rPr>
            </w:pPr>
            <w:r w:rsidRPr="00985B59">
              <w:rPr>
                <w:sz w:val="20"/>
                <w:szCs w:val="20"/>
              </w:rPr>
              <w:t>2935</w:t>
            </w:r>
          </w:p>
        </w:tc>
        <w:tc>
          <w:tcPr>
            <w:tcW w:w="1183" w:type="dxa"/>
          </w:tcPr>
          <w:p w:rsidR="00EA1CAD" w:rsidRPr="00985B59" w:rsidRDefault="00EA1CAD" w:rsidP="00AE25D9">
            <w:pPr>
              <w:rPr>
                <w:sz w:val="20"/>
                <w:szCs w:val="20"/>
              </w:rPr>
            </w:pPr>
            <w:r w:rsidRPr="00985B59">
              <w:rPr>
                <w:sz w:val="20"/>
                <w:szCs w:val="20"/>
              </w:rPr>
              <w:t>2935</w:t>
            </w:r>
          </w:p>
        </w:tc>
      </w:tr>
      <w:tr w:rsidR="00EA1CAD" w:rsidRPr="00BE7DFF">
        <w:trPr>
          <w:cnfStyle w:val="010000000000" w:firstRow="0" w:lastRow="1" w:firstColumn="0" w:lastColumn="0" w:oddVBand="0" w:evenVBand="0" w:oddHBand="0" w:evenHBand="0" w:firstRowFirstColumn="0" w:firstRowLastColumn="0" w:lastRowFirstColumn="0" w:lastRowLastColumn="0"/>
        </w:trPr>
        <w:tc>
          <w:tcPr>
            <w:tcW w:w="1977" w:type="dxa"/>
          </w:tcPr>
          <w:p w:rsidR="00EA1CAD" w:rsidRPr="00985B59" w:rsidRDefault="00EA1CAD" w:rsidP="00AE25D9">
            <w:pPr>
              <w:rPr>
                <w:sz w:val="20"/>
                <w:szCs w:val="20"/>
              </w:rPr>
            </w:pPr>
            <w:r w:rsidRPr="00985B59">
              <w:rPr>
                <w:sz w:val="20"/>
                <w:szCs w:val="20"/>
              </w:rPr>
              <w:t>R-squared</w:t>
            </w:r>
          </w:p>
        </w:tc>
        <w:tc>
          <w:tcPr>
            <w:tcW w:w="1183" w:type="dxa"/>
          </w:tcPr>
          <w:p w:rsidR="00EA1CAD" w:rsidRPr="00985B59" w:rsidRDefault="00EA1CAD" w:rsidP="00AE25D9">
            <w:pPr>
              <w:rPr>
                <w:sz w:val="20"/>
                <w:szCs w:val="20"/>
              </w:rPr>
            </w:pPr>
            <w:r w:rsidRPr="00985B59">
              <w:rPr>
                <w:sz w:val="20"/>
                <w:szCs w:val="20"/>
              </w:rPr>
              <w:t>0.96</w:t>
            </w:r>
          </w:p>
        </w:tc>
        <w:tc>
          <w:tcPr>
            <w:tcW w:w="1196" w:type="dxa"/>
          </w:tcPr>
          <w:p w:rsidR="00EA1CAD" w:rsidRPr="00985B59" w:rsidRDefault="00EA1CAD" w:rsidP="00AE25D9">
            <w:pPr>
              <w:rPr>
                <w:sz w:val="20"/>
                <w:szCs w:val="20"/>
              </w:rPr>
            </w:pPr>
            <w:r w:rsidRPr="00985B59">
              <w:rPr>
                <w:sz w:val="20"/>
                <w:szCs w:val="20"/>
              </w:rPr>
              <w:t>0.96</w:t>
            </w:r>
          </w:p>
        </w:tc>
        <w:tc>
          <w:tcPr>
            <w:tcW w:w="1186" w:type="dxa"/>
          </w:tcPr>
          <w:p w:rsidR="00EA1CAD" w:rsidRPr="00985B59" w:rsidRDefault="00EA1CAD" w:rsidP="00AE25D9">
            <w:pPr>
              <w:rPr>
                <w:sz w:val="20"/>
                <w:szCs w:val="20"/>
              </w:rPr>
            </w:pPr>
            <w:r w:rsidRPr="00985B59">
              <w:rPr>
                <w:sz w:val="20"/>
                <w:szCs w:val="20"/>
              </w:rPr>
              <w:t>0.99</w:t>
            </w:r>
          </w:p>
        </w:tc>
        <w:tc>
          <w:tcPr>
            <w:tcW w:w="1116" w:type="dxa"/>
          </w:tcPr>
          <w:p w:rsidR="00EA1CAD" w:rsidRPr="00985B59" w:rsidRDefault="00EA1CAD" w:rsidP="00AE25D9">
            <w:pPr>
              <w:rPr>
                <w:sz w:val="20"/>
                <w:szCs w:val="20"/>
              </w:rPr>
            </w:pPr>
            <w:r w:rsidRPr="00985B59">
              <w:rPr>
                <w:sz w:val="20"/>
                <w:szCs w:val="20"/>
              </w:rPr>
              <w:t>0.99</w:t>
            </w:r>
          </w:p>
        </w:tc>
        <w:tc>
          <w:tcPr>
            <w:tcW w:w="1196" w:type="dxa"/>
          </w:tcPr>
          <w:p w:rsidR="00EA1CAD" w:rsidRPr="00985B59" w:rsidRDefault="00EA1CAD" w:rsidP="00AE25D9">
            <w:pPr>
              <w:rPr>
                <w:sz w:val="20"/>
                <w:szCs w:val="20"/>
              </w:rPr>
            </w:pPr>
            <w:r w:rsidRPr="00985B59">
              <w:rPr>
                <w:sz w:val="20"/>
                <w:szCs w:val="20"/>
              </w:rPr>
              <w:t>0.99</w:t>
            </w:r>
          </w:p>
        </w:tc>
        <w:tc>
          <w:tcPr>
            <w:tcW w:w="1183" w:type="dxa"/>
          </w:tcPr>
          <w:p w:rsidR="00EA1CAD" w:rsidRPr="00985B59" w:rsidRDefault="00EA1CAD" w:rsidP="00AE25D9">
            <w:pPr>
              <w:rPr>
                <w:sz w:val="20"/>
                <w:szCs w:val="20"/>
              </w:rPr>
            </w:pPr>
            <w:r w:rsidRPr="00985B59">
              <w:rPr>
                <w:sz w:val="20"/>
                <w:szCs w:val="20"/>
              </w:rPr>
              <w:t>0.99</w:t>
            </w:r>
          </w:p>
        </w:tc>
        <w:tc>
          <w:tcPr>
            <w:tcW w:w="1183" w:type="dxa"/>
          </w:tcPr>
          <w:p w:rsidR="00EA1CAD" w:rsidRPr="00985B59" w:rsidRDefault="00EA1CAD" w:rsidP="00AE25D9">
            <w:pPr>
              <w:rPr>
                <w:sz w:val="20"/>
                <w:szCs w:val="20"/>
              </w:rPr>
            </w:pPr>
            <w:r w:rsidRPr="00985B59">
              <w:rPr>
                <w:sz w:val="20"/>
                <w:szCs w:val="20"/>
              </w:rPr>
              <w:t>0.87</w:t>
            </w:r>
          </w:p>
        </w:tc>
        <w:tc>
          <w:tcPr>
            <w:tcW w:w="1183" w:type="dxa"/>
          </w:tcPr>
          <w:p w:rsidR="00EA1CAD" w:rsidRPr="00985B59" w:rsidRDefault="00EA1CAD" w:rsidP="00AE25D9">
            <w:pPr>
              <w:rPr>
                <w:sz w:val="20"/>
                <w:szCs w:val="20"/>
              </w:rPr>
            </w:pPr>
            <w:r w:rsidRPr="00985B59">
              <w:rPr>
                <w:sz w:val="20"/>
                <w:szCs w:val="20"/>
              </w:rPr>
              <w:t>0.87</w:t>
            </w:r>
          </w:p>
        </w:tc>
        <w:tc>
          <w:tcPr>
            <w:tcW w:w="1183" w:type="dxa"/>
          </w:tcPr>
          <w:p w:rsidR="00EA1CAD" w:rsidRPr="00985B59" w:rsidRDefault="00EA1CAD" w:rsidP="00AE25D9">
            <w:pPr>
              <w:rPr>
                <w:sz w:val="20"/>
                <w:szCs w:val="20"/>
              </w:rPr>
            </w:pPr>
            <w:r w:rsidRPr="00985B59">
              <w:rPr>
                <w:sz w:val="20"/>
                <w:szCs w:val="20"/>
              </w:rPr>
              <w:t>0.93</w:t>
            </w:r>
          </w:p>
        </w:tc>
        <w:tc>
          <w:tcPr>
            <w:tcW w:w="1183" w:type="dxa"/>
          </w:tcPr>
          <w:p w:rsidR="00EA1CAD" w:rsidRPr="00985B59" w:rsidRDefault="00EA1CAD" w:rsidP="00AE25D9">
            <w:pPr>
              <w:rPr>
                <w:sz w:val="20"/>
                <w:szCs w:val="20"/>
              </w:rPr>
            </w:pPr>
            <w:r w:rsidRPr="00985B59">
              <w:rPr>
                <w:sz w:val="20"/>
                <w:szCs w:val="20"/>
              </w:rPr>
              <w:t>0.93</w:t>
            </w:r>
          </w:p>
        </w:tc>
      </w:tr>
    </w:tbl>
    <w:p w:rsidR="00EA1CAD" w:rsidRPr="00064ED7" w:rsidRDefault="00EA1CAD" w:rsidP="00EA1CAD">
      <w:pPr>
        <w:pStyle w:val="PlainText"/>
        <w:rPr>
          <w:rFonts w:ascii="SimSun" w:hAnsi="SimSun" w:cs="SimSun"/>
          <w:lang w:eastAsia="zh-CN"/>
        </w:rPr>
      </w:pPr>
      <w:r w:rsidRPr="00064ED7">
        <w:rPr>
          <w:rFonts w:ascii="SimSun" w:hAnsi="SimSun" w:cs="SimSun"/>
          <w:lang w:eastAsia="zh-CN"/>
        </w:rPr>
        <w:t xml:space="preserve">Notes: 1). </w:t>
      </w:r>
      <w:r w:rsidRPr="00064ED7">
        <w:rPr>
          <w:rFonts w:ascii="SimSun" w:hAnsi="SimSun" w:cs="SimSun" w:hint="eastAsia"/>
          <w:lang w:eastAsia="zh-CN"/>
        </w:rPr>
        <w:t>Standard errors in parentheses</w:t>
      </w:r>
      <w:r w:rsidRPr="00064ED7">
        <w:rPr>
          <w:rFonts w:ascii="SimSun" w:hAnsi="SimSun" w:cs="SimSun"/>
          <w:lang w:eastAsia="zh-CN"/>
        </w:rPr>
        <w:t>;</w:t>
      </w:r>
    </w:p>
    <w:p w:rsidR="00EA1CAD" w:rsidRPr="00064ED7" w:rsidRDefault="00EA1CAD" w:rsidP="00EA1CAD">
      <w:pPr>
        <w:pStyle w:val="PlainText"/>
        <w:rPr>
          <w:rFonts w:ascii="SimSun" w:hAnsi="SimSun" w:cs="SimSun"/>
          <w:lang w:eastAsia="zh-CN"/>
        </w:rPr>
      </w:pPr>
      <w:r w:rsidRPr="00064ED7">
        <w:rPr>
          <w:rFonts w:ascii="SimSun" w:hAnsi="SimSun" w:cs="SimSun"/>
          <w:lang w:eastAsia="zh-CN"/>
        </w:rPr>
        <w:t xml:space="preserve">       2). </w:t>
      </w:r>
      <w:r w:rsidRPr="00064ED7">
        <w:rPr>
          <w:rFonts w:ascii="SimSun" w:hAnsi="SimSun" w:cs="SimSun" w:hint="eastAsia"/>
          <w:lang w:eastAsia="zh-CN"/>
        </w:rPr>
        <w:t>* significan</w:t>
      </w:r>
      <w:r>
        <w:rPr>
          <w:rFonts w:ascii="SimSun" w:hAnsi="SimSun" w:cs="SimSun" w:hint="eastAsia"/>
          <w:lang w:eastAsia="zh-CN"/>
        </w:rPr>
        <w:t>t at 10%; ** significant at 5%;</w:t>
      </w:r>
    </w:p>
    <w:p w:rsidR="00EA1CAD" w:rsidRPr="00064ED7" w:rsidRDefault="00EA1CAD" w:rsidP="00EA1CAD">
      <w:pPr>
        <w:pStyle w:val="PlainText"/>
        <w:rPr>
          <w:rFonts w:ascii="SimSun" w:hAnsi="SimSun" w:cs="SimSun"/>
          <w:lang w:eastAsia="zh-CN"/>
        </w:rPr>
      </w:pPr>
      <w:r w:rsidRPr="00064ED7">
        <w:rPr>
          <w:rFonts w:ascii="SimSun" w:hAnsi="SimSun" w:cs="SimSun"/>
          <w:lang w:eastAsia="zh-CN"/>
        </w:rPr>
        <w:t xml:space="preserve">       3).</w:t>
      </w:r>
      <w:r>
        <w:rPr>
          <w:rFonts w:ascii="SimSun" w:hAnsi="SimSun" w:cs="SimSun"/>
          <w:lang w:eastAsia="zh-CN"/>
        </w:rPr>
        <w:t xml:space="preserve"> All currencies are valued in units of SDR</w:t>
      </w:r>
      <w:r w:rsidRPr="00064ED7">
        <w:rPr>
          <w:rFonts w:ascii="SimSun" w:hAnsi="SimSun" w:cs="SimSun"/>
          <w:lang w:eastAsia="zh-CN"/>
        </w:rPr>
        <w:t>;</w:t>
      </w:r>
    </w:p>
    <w:p w:rsidR="00EA1CAD" w:rsidRPr="00293AE9" w:rsidRDefault="00EA1CAD" w:rsidP="00EA1CAD">
      <w:pPr>
        <w:rPr>
          <w:rFonts w:ascii="SimSun" w:hAnsi="SimSun" w:cs="SimSun"/>
          <w:sz w:val="20"/>
          <w:szCs w:val="20"/>
        </w:rPr>
      </w:pPr>
      <w:r>
        <w:rPr>
          <w:rFonts w:ascii="SimSun" w:hAnsi="SimSun" w:cs="SimSun"/>
        </w:rPr>
        <w:t xml:space="preserve">      </w:t>
      </w:r>
      <w:r w:rsidRPr="00064ED7">
        <w:rPr>
          <w:rFonts w:ascii="SimSun" w:hAnsi="SimSun" w:cs="SimSun"/>
        </w:rPr>
        <w:t xml:space="preserve">4). </w:t>
      </w:r>
      <w:r w:rsidRPr="00293AE9">
        <w:rPr>
          <w:rFonts w:ascii="SimSun" w:hAnsi="SimSun" w:cs="SimSun"/>
          <w:sz w:val="20"/>
          <w:szCs w:val="20"/>
        </w:rPr>
        <w:t xml:space="preserve">Data Source: Bloomberg intra-day closing price, </w:t>
      </w:r>
      <w:smartTag w:uri="urn:schemas-microsoft-com:office:smarttags" w:element="State">
        <w:smartTag w:uri="urn:schemas-microsoft-com:office:smarttags" w:element="place">
          <w:r w:rsidRPr="00293AE9">
            <w:rPr>
              <w:rFonts w:ascii="SimSun" w:hAnsi="SimSun" w:cs="SimSun"/>
              <w:sz w:val="20"/>
              <w:szCs w:val="20"/>
            </w:rPr>
            <w:t>New York</w:t>
          </w:r>
        </w:smartTag>
      </w:smartTag>
      <w:r w:rsidRPr="00293AE9">
        <w:rPr>
          <w:rFonts w:ascii="SimSun" w:hAnsi="SimSun" w:cs="SimSun"/>
          <w:sz w:val="20"/>
          <w:szCs w:val="20"/>
        </w:rPr>
        <w:t>.</w:t>
      </w:r>
    </w:p>
    <w:p w:rsidR="00EA1CAD" w:rsidRDefault="00EA1CAD" w:rsidP="00EA1CAD">
      <w:pPr>
        <w:rPr>
          <w:b/>
        </w:rPr>
      </w:pPr>
    </w:p>
    <w:p w:rsidR="00EA1CAD" w:rsidRDefault="00EA1CAD" w:rsidP="00EA1CAD">
      <w:pPr>
        <w:rPr>
          <w:b/>
        </w:rPr>
      </w:pPr>
    </w:p>
    <w:p w:rsidR="00EA1CAD" w:rsidRDefault="00EA1CAD" w:rsidP="00EA1CAD">
      <w:pPr>
        <w:pStyle w:val="PlainText"/>
        <w:rPr>
          <w:rFonts w:ascii="SimSun" w:hAnsi="SimSun" w:cs="SimSun"/>
          <w:lang w:eastAsia="zh-CN"/>
        </w:rPr>
      </w:pPr>
      <w:r>
        <w:rPr>
          <w:b/>
        </w:rPr>
        <w:br w:type="page"/>
      </w:r>
    </w:p>
    <w:p w:rsidR="00EA1CAD" w:rsidRDefault="00EA1CAD" w:rsidP="00EA1CAD">
      <w:pPr>
        <w:pStyle w:val="PlainText"/>
        <w:rPr>
          <w:rFonts w:ascii="SimSun" w:hAnsi="SimSun" w:cs="SimSun"/>
          <w:lang w:eastAsia="zh-CN"/>
        </w:rPr>
      </w:pPr>
    </w:p>
    <w:p w:rsidR="00EA1CAD" w:rsidRDefault="00EA1CAD" w:rsidP="00EA1CAD">
      <w:pPr>
        <w:rPr>
          <w:b/>
        </w:rPr>
      </w:pPr>
      <w:r>
        <w:rPr>
          <w:b/>
        </w:rPr>
        <w:t>Figure 5: Extrapolation of the estimated nonlinear time trend in the weight on the dollar in the Chinese basket</w:t>
      </w:r>
    </w:p>
    <w:p w:rsidR="00EA1CAD" w:rsidRDefault="00EA1CAD" w:rsidP="00EA1CAD">
      <w:pPr>
        <w:rPr>
          <w:b/>
        </w:rPr>
      </w:pPr>
    </w:p>
    <w:bookmarkStart w:id="4" w:name="OLE_LINK2"/>
    <w:bookmarkStart w:id="5" w:name="_MON_1231697769"/>
    <w:bookmarkStart w:id="6" w:name="_MON_1231697895"/>
    <w:bookmarkEnd w:id="5"/>
    <w:bookmarkEnd w:id="6"/>
    <w:p w:rsidR="00EA1CAD" w:rsidRDefault="00EA1CAD" w:rsidP="00EA1CAD">
      <w:pPr>
        <w:rPr>
          <w:b/>
        </w:rPr>
      </w:pPr>
      <w:r>
        <w:object w:dxaOrig="10080" w:dyaOrig="5955">
          <v:shape id="_x0000_i1029" type="#_x0000_t75" style="width:7in;height:298pt" o:ole="">
            <v:imagedata r:id="rId21" o:title=""/>
          </v:shape>
          <o:OLEObject Type="Embed" ProgID="Excel.Chart.8" ShapeID="_x0000_i1029" DrawAspect="Content" ObjectID="_1598544664" r:id="rId22">
            <o:FieldCodes>\s</o:FieldCodes>
          </o:OLEObject>
        </w:object>
      </w:r>
      <w:bookmarkEnd w:id="4"/>
    </w:p>
    <w:p w:rsidR="00EA1CAD" w:rsidRDefault="00EA1CAD" w:rsidP="00EA1CAD">
      <w:pPr>
        <w:rPr>
          <w:b/>
        </w:rPr>
      </w:pPr>
    </w:p>
    <w:p w:rsidR="00EA1CAD" w:rsidRDefault="00EA1CAD" w:rsidP="00EA1CAD">
      <w:pPr>
        <w:ind w:firstLine="720"/>
      </w:pPr>
      <w:r>
        <w:t xml:space="preserve">Weight on the dollar over time = </w:t>
      </w:r>
      <w:proofErr w:type="gramStart"/>
      <w:r w:rsidRPr="00391631">
        <w:rPr>
          <w:i/>
        </w:rPr>
        <w:t>b0(</w:t>
      </w:r>
      <w:proofErr w:type="gramEnd"/>
      <w:r>
        <w:rPr>
          <w:i/>
        </w:rPr>
        <w:t>USD</w:t>
      </w:r>
      <w:r w:rsidRPr="00391631">
        <w:rPr>
          <w:i/>
        </w:rPr>
        <w:t>) + b1(</w:t>
      </w:r>
      <w:r>
        <w:rPr>
          <w:i/>
        </w:rPr>
        <w:t>USD</w:t>
      </w:r>
      <w:r w:rsidRPr="00391631">
        <w:rPr>
          <w:i/>
        </w:rPr>
        <w:t>) [1- exp(-d*t)]</w:t>
      </w:r>
    </w:p>
    <w:p w:rsidR="00EA1CAD" w:rsidRDefault="00EA1CAD" w:rsidP="00EA1CAD">
      <w:pPr>
        <w:ind w:firstLine="720"/>
      </w:pPr>
      <w:proofErr w:type="gramStart"/>
      <w:r>
        <w:t>where</w:t>
      </w:r>
      <w:proofErr w:type="gramEnd"/>
      <w:r>
        <w:t xml:space="preserve"> </w:t>
      </w:r>
      <w:r w:rsidRPr="00391631">
        <w:rPr>
          <w:i/>
        </w:rPr>
        <w:t>b0(</w:t>
      </w:r>
      <w:r>
        <w:rPr>
          <w:i/>
        </w:rPr>
        <w:t>USD</w:t>
      </w:r>
      <w:r w:rsidRPr="00391631">
        <w:rPr>
          <w:i/>
        </w:rPr>
        <w:t>)</w:t>
      </w:r>
      <w:r>
        <w:t xml:space="preserve"> = 0.982,   </w:t>
      </w:r>
      <w:r w:rsidRPr="00391631">
        <w:rPr>
          <w:i/>
        </w:rPr>
        <w:t>b1(</w:t>
      </w:r>
      <w:r>
        <w:rPr>
          <w:i/>
        </w:rPr>
        <w:t>USD</w:t>
      </w:r>
      <w:r w:rsidRPr="00391631">
        <w:rPr>
          <w:i/>
        </w:rPr>
        <w:t>)</w:t>
      </w:r>
      <w:r>
        <w:t xml:space="preserve"> = -28.9, and </w:t>
      </w:r>
      <w:r w:rsidRPr="00391631">
        <w:rPr>
          <w:i/>
        </w:rPr>
        <w:t>d</w:t>
      </w:r>
      <w:r>
        <w:t xml:space="preserve"> = 0.00001,</w:t>
      </w:r>
    </w:p>
    <w:p w:rsidR="00EA1CAD" w:rsidRPr="00BA650B" w:rsidRDefault="00EA1CAD" w:rsidP="00EA1CAD">
      <w:pPr>
        <w:ind w:firstLine="720"/>
      </w:pPr>
      <w:proofErr w:type="gramStart"/>
      <w:r>
        <w:t>based</w:t>
      </w:r>
      <w:proofErr w:type="gramEnd"/>
      <w:r>
        <w:t xml:space="preserve"> on the estimates from a non-linear regression, reported in the column (4) of Table 7.</w:t>
      </w:r>
    </w:p>
    <w:p w:rsidR="00652E41" w:rsidRDefault="00652E41" w:rsidP="00652E41">
      <w:pPr>
        <w:jc w:val="center"/>
        <w:rPr>
          <w:rFonts w:ascii="Verdana" w:hAnsi="Verdana" w:cs="Arial"/>
          <w:b/>
          <w:bCs/>
          <w:sz w:val="28"/>
          <w:szCs w:val="28"/>
        </w:rPr>
      </w:pPr>
      <w:r w:rsidRPr="00D41BC8">
        <w:rPr>
          <w:rFonts w:ascii="Verdana" w:hAnsi="Verdana" w:cs="Arial"/>
          <w:b/>
          <w:bCs/>
          <w:sz w:val="28"/>
          <w:szCs w:val="28"/>
        </w:rPr>
        <w:t xml:space="preserve"> </w:t>
      </w:r>
    </w:p>
    <w:p w:rsidR="00B13CFA" w:rsidRDefault="00B13CFA" w:rsidP="00B13CFA">
      <w:pPr>
        <w:rPr>
          <w:b/>
        </w:rPr>
        <w:sectPr w:rsidR="00B13CFA" w:rsidSect="00B13CFA">
          <w:headerReference w:type="default" r:id="rId23"/>
          <w:footerReference w:type="default" r:id="rId24"/>
          <w:headerReference w:type="first" r:id="rId25"/>
          <w:footerReference w:type="first" r:id="rId26"/>
          <w:pgSz w:w="15840" w:h="12240" w:orient="landscape" w:code="1"/>
          <w:pgMar w:top="1800" w:right="1440" w:bottom="1440" w:left="1440" w:header="720" w:footer="720" w:gutter="0"/>
          <w:cols w:space="720"/>
          <w:titlePg/>
          <w:docGrid w:linePitch="360"/>
        </w:sectPr>
      </w:pPr>
    </w:p>
    <w:p w:rsidR="00EE286E" w:rsidRDefault="00AA3FA3" w:rsidP="00EE286E">
      <w:r w:rsidRPr="0064072F">
        <w:rPr>
          <w:rFonts w:ascii="Verdana" w:hAnsi="Verdana" w:cs="Arial"/>
          <w:b/>
          <w:sz w:val="20"/>
          <w:szCs w:val="20"/>
        </w:rPr>
        <w:t>DATA APPENDIX</w:t>
      </w:r>
      <w:r>
        <w:rPr>
          <w:rFonts w:ascii="Verdana" w:hAnsi="Verdana" w:cs="Arial"/>
          <w:b/>
          <w:sz w:val="20"/>
          <w:szCs w:val="20"/>
        </w:rPr>
        <w:t xml:space="preserve"> for Part 2</w:t>
      </w:r>
      <w:r w:rsidR="00EE286E">
        <w:rPr>
          <w:rFonts w:ascii="Verdana" w:hAnsi="Verdana" w:cs="Arial"/>
          <w:b/>
          <w:sz w:val="20"/>
          <w:szCs w:val="20"/>
        </w:rPr>
        <w:t xml:space="preserve">   </w:t>
      </w:r>
      <w:r w:rsidR="00EE286E">
        <w:t>[Revised – 3/30/</w:t>
      </w:r>
      <w:proofErr w:type="gramStart"/>
      <w:r w:rsidR="00EE286E">
        <w:t>2007 ]</w:t>
      </w:r>
      <w:proofErr w:type="gramEnd"/>
    </w:p>
    <w:p w:rsidR="00AA3FA3" w:rsidRPr="007918A5" w:rsidRDefault="00AA3FA3" w:rsidP="00AA3FA3">
      <w:pPr>
        <w:rPr>
          <w:rFonts w:ascii="Verdana" w:hAnsi="Verdana" w:cs="Arial"/>
          <w:b/>
          <w:sz w:val="20"/>
          <w:szCs w:val="20"/>
        </w:rPr>
      </w:pPr>
    </w:p>
    <w:p w:rsidR="00AA3FA3" w:rsidRPr="000241F6" w:rsidRDefault="00AA3FA3" w:rsidP="00AA3FA3">
      <w:pPr>
        <w:jc w:val="both"/>
        <w:rPr>
          <w:sz w:val="22"/>
          <w:szCs w:val="22"/>
        </w:rPr>
      </w:pPr>
      <w:r w:rsidRPr="000241F6">
        <w:rPr>
          <w:b/>
          <w:sz w:val="22"/>
          <w:szCs w:val="22"/>
          <w:u w:val="single"/>
        </w:rPr>
        <w:t>Treasury Department Report to Congress on International Economic and Exchange Rate Policy</w:t>
      </w:r>
      <w:r w:rsidRPr="000241F6">
        <w:rPr>
          <w:sz w:val="22"/>
          <w:szCs w:val="22"/>
        </w:rPr>
        <w:t xml:space="preserve">:  31 reports have been released since 1988. Recent reports are available on the Treasury website while older reports were obtained from the American Statistics Index (ASI) Microfiche Library held in the Government Documents section of the Lamont Library at Harvard. They are catalogued under the number 8002-14 for each year. </w:t>
      </w:r>
    </w:p>
    <w:p w:rsidR="00AA3FA3" w:rsidRPr="000241F6" w:rsidRDefault="00AA3FA3" w:rsidP="00AA3FA3">
      <w:pPr>
        <w:jc w:val="both"/>
        <w:rPr>
          <w:sz w:val="22"/>
          <w:szCs w:val="22"/>
        </w:rPr>
      </w:pPr>
    </w:p>
    <w:p w:rsidR="00AA3FA3" w:rsidRPr="000241F6" w:rsidRDefault="00AA3FA3" w:rsidP="00AA3FA3">
      <w:pPr>
        <w:jc w:val="both"/>
        <w:rPr>
          <w:sz w:val="22"/>
          <w:szCs w:val="22"/>
        </w:rPr>
      </w:pPr>
      <w:r w:rsidRPr="000241F6">
        <w:rPr>
          <w:sz w:val="22"/>
          <w:szCs w:val="22"/>
        </w:rPr>
        <w:t xml:space="preserve">We classify as zero countries that are not identified in the Treasury reports as having been examined at all.   Potential exchange rate manipulators can be broken into three categories. (1) “economies were closely examined as potential exchange rate manipulators if they had significant global current account surpluses and bilateral surpluses with the United States and maintained a fixed or actively managed exchange rate system during the period of this report” (this is the language used in the reports from 1999-2001). For some of these economies, (2) Treasury recommends policy changes or indicates that it has commenced discussions with their governments. Finally, (3) Treasury can escalate to officially designating an economy as a currency “manipulator”. These categories have been applied to eight economies since publication of the reports commenced in 1988: </w:t>
      </w:r>
      <w:smartTag w:uri="urn:schemas-microsoft-com:office:smarttags" w:element="country-region">
        <w:smartTag w:uri="urn:schemas-microsoft-com:office:smarttags" w:element="place">
          <w:r w:rsidRPr="000241F6">
            <w:rPr>
              <w:sz w:val="22"/>
              <w:szCs w:val="22"/>
            </w:rPr>
            <w:t>China</w:t>
          </w:r>
        </w:smartTag>
      </w:smartTag>
      <w:r w:rsidRPr="000241F6">
        <w:rPr>
          <w:sz w:val="22"/>
          <w:szCs w:val="22"/>
        </w:rPr>
        <w:t xml:space="preserve">, </w:t>
      </w:r>
      <w:smartTag w:uri="urn:schemas-microsoft-com:office:smarttags" w:element="country-region">
        <w:smartTag w:uri="urn:schemas-microsoft-com:office:smarttags" w:element="place">
          <w:r>
            <w:rPr>
              <w:sz w:val="22"/>
              <w:szCs w:val="22"/>
            </w:rPr>
            <w:t>Taiwan</w:t>
          </w:r>
        </w:smartTag>
      </w:smartTag>
      <w:r>
        <w:rPr>
          <w:sz w:val="22"/>
          <w:szCs w:val="22"/>
        </w:rPr>
        <w:t xml:space="preserve">, </w:t>
      </w:r>
      <w:smartTag w:uri="urn:schemas-microsoft-com:office:smarttags" w:element="place">
        <w:smartTag w:uri="urn:schemas-microsoft-com:office:smarttags" w:element="City">
          <w:r>
            <w:rPr>
              <w:sz w:val="22"/>
              <w:szCs w:val="22"/>
            </w:rPr>
            <w:t>Province of China</w:t>
          </w:r>
        </w:smartTag>
        <w:r w:rsidRPr="000241F6">
          <w:rPr>
            <w:sz w:val="22"/>
            <w:szCs w:val="22"/>
          </w:rPr>
          <w:t xml:space="preserve">, </w:t>
        </w:r>
        <w:smartTag w:uri="urn:schemas-microsoft-com:office:smarttags" w:element="country-region">
          <w:r w:rsidRPr="000241F6">
            <w:rPr>
              <w:sz w:val="22"/>
              <w:szCs w:val="22"/>
            </w:rPr>
            <w:t>South Korea</w:t>
          </w:r>
        </w:smartTag>
      </w:smartTag>
      <w:r w:rsidRPr="000241F6">
        <w:rPr>
          <w:sz w:val="22"/>
          <w:szCs w:val="22"/>
        </w:rPr>
        <w:t xml:space="preserve">, </w:t>
      </w:r>
      <w:smartTag w:uri="urn:schemas-microsoft-com:office:smarttags" w:element="country-region">
        <w:smartTag w:uri="urn:schemas-microsoft-com:office:smarttags" w:element="place">
          <w:r w:rsidRPr="000241F6">
            <w:rPr>
              <w:sz w:val="22"/>
              <w:szCs w:val="22"/>
            </w:rPr>
            <w:t>Singapore</w:t>
          </w:r>
        </w:smartTag>
      </w:smartTag>
      <w:r w:rsidRPr="000241F6">
        <w:rPr>
          <w:sz w:val="22"/>
          <w:szCs w:val="22"/>
        </w:rPr>
        <w:t xml:space="preserve">, </w:t>
      </w:r>
      <w:r>
        <w:rPr>
          <w:sz w:val="22"/>
          <w:szCs w:val="22"/>
        </w:rPr>
        <w:t>Hong Kong SAR</w:t>
      </w:r>
      <w:r w:rsidRPr="000241F6">
        <w:rPr>
          <w:sz w:val="22"/>
          <w:szCs w:val="22"/>
        </w:rPr>
        <w:t xml:space="preserve">, </w:t>
      </w:r>
      <w:smartTag w:uri="urn:schemas-microsoft-com:office:smarttags" w:element="country-region">
        <w:smartTag w:uri="urn:schemas-microsoft-com:office:smarttags" w:element="place">
          <w:r w:rsidRPr="000241F6">
            <w:rPr>
              <w:sz w:val="22"/>
              <w:szCs w:val="22"/>
            </w:rPr>
            <w:t>Malaysia</w:t>
          </w:r>
        </w:smartTag>
      </w:smartTag>
      <w:r w:rsidRPr="000241F6">
        <w:rPr>
          <w:sz w:val="22"/>
          <w:szCs w:val="22"/>
        </w:rPr>
        <w:t xml:space="preserve">, </w:t>
      </w:r>
      <w:smartTag w:uri="urn:schemas-microsoft-com:office:smarttags" w:element="country-region">
        <w:smartTag w:uri="urn:schemas-microsoft-com:office:smarttags" w:element="place">
          <w:r w:rsidRPr="000241F6">
            <w:rPr>
              <w:sz w:val="22"/>
              <w:szCs w:val="22"/>
            </w:rPr>
            <w:t>Japan</w:t>
          </w:r>
        </w:smartTag>
      </w:smartTag>
      <w:r w:rsidRPr="000241F6">
        <w:rPr>
          <w:sz w:val="22"/>
          <w:szCs w:val="22"/>
        </w:rPr>
        <w:t xml:space="preserve"> and </w:t>
      </w:r>
      <w:smartTag w:uri="urn:schemas-microsoft-com:office:smarttags" w:element="country-region">
        <w:smartTag w:uri="urn:schemas-microsoft-com:office:smarttags" w:element="place">
          <w:r w:rsidRPr="000241F6">
            <w:rPr>
              <w:sz w:val="22"/>
              <w:szCs w:val="22"/>
            </w:rPr>
            <w:t>Russia</w:t>
          </w:r>
        </w:smartTag>
      </w:smartTag>
      <w:r w:rsidRPr="000241F6">
        <w:rPr>
          <w:sz w:val="22"/>
          <w:szCs w:val="22"/>
        </w:rPr>
        <w:t xml:space="preserve">. The data are included in the following table: </w:t>
      </w:r>
    </w:p>
    <w:p w:rsidR="00AA3FA3" w:rsidRPr="007918A5" w:rsidRDefault="00AA3FA3" w:rsidP="00AA3FA3">
      <w:pPr>
        <w:jc w:val="both"/>
        <w:rPr>
          <w:rFonts w:ascii="Verdana" w:hAnsi="Verdana" w:cs="Arial"/>
          <w:sz w:val="20"/>
          <w:szCs w:val="20"/>
        </w:rPr>
      </w:pPr>
    </w:p>
    <w:tbl>
      <w:tblPr>
        <w:tblW w:w="9416" w:type="dxa"/>
        <w:tblCellMar>
          <w:left w:w="0" w:type="dxa"/>
          <w:right w:w="0" w:type="dxa"/>
        </w:tblCellMar>
        <w:tblLook w:val="0000" w:firstRow="0" w:lastRow="0" w:firstColumn="0" w:lastColumn="0" w:noHBand="0" w:noVBand="0"/>
      </w:tblPr>
      <w:tblGrid>
        <w:gridCol w:w="1093"/>
        <w:gridCol w:w="720"/>
        <w:gridCol w:w="900"/>
        <w:gridCol w:w="1440"/>
        <w:gridCol w:w="1080"/>
        <w:gridCol w:w="1260"/>
        <w:gridCol w:w="1080"/>
        <w:gridCol w:w="941"/>
        <w:gridCol w:w="902"/>
      </w:tblGrid>
      <w:tr w:rsidR="00AA3FA3" w:rsidRPr="00802660">
        <w:trPr>
          <w:trHeight w:val="255"/>
        </w:trPr>
        <w:tc>
          <w:tcPr>
            <w:tcW w:w="9416" w:type="dxa"/>
            <w:gridSpan w:val="9"/>
            <w:tcBorders>
              <w:left w:val="nil"/>
              <w:right w:val="nil"/>
            </w:tcBorders>
            <w:shd w:val="clear" w:color="auto" w:fill="auto"/>
            <w:noWrap/>
            <w:tcMar>
              <w:top w:w="13" w:type="dxa"/>
              <w:left w:w="13" w:type="dxa"/>
              <w:bottom w:w="0" w:type="dxa"/>
              <w:right w:w="13" w:type="dxa"/>
            </w:tcMar>
            <w:vAlign w:val="bottom"/>
          </w:tcPr>
          <w:p w:rsidR="00AA3FA3" w:rsidRPr="00802660" w:rsidRDefault="00AA3FA3" w:rsidP="006034BC">
            <w:pPr>
              <w:jc w:val="center"/>
              <w:rPr>
                <w:rFonts w:ascii="Verdana" w:hAnsi="Verdana" w:cs="Arial"/>
                <w:b/>
                <w:sz w:val="18"/>
                <w:szCs w:val="18"/>
              </w:rPr>
            </w:pPr>
            <w:r w:rsidRPr="00802660">
              <w:rPr>
                <w:rFonts w:ascii="Verdana" w:hAnsi="Verdana"/>
                <w:sz w:val="18"/>
                <w:szCs w:val="18"/>
              </w:rPr>
              <w:br w:type="page"/>
            </w:r>
            <w:r w:rsidRPr="00802660">
              <w:rPr>
                <w:rFonts w:ascii="Verdana" w:hAnsi="Verdana"/>
                <w:sz w:val="18"/>
                <w:szCs w:val="18"/>
              </w:rPr>
              <w:br w:type="page"/>
            </w:r>
            <w:r w:rsidRPr="00802660">
              <w:rPr>
                <w:rFonts w:ascii="Verdana" w:hAnsi="Verdana" w:cs="Arial"/>
                <w:b/>
                <w:bCs/>
                <w:sz w:val="18"/>
                <w:szCs w:val="18"/>
              </w:rPr>
              <w:t>Economies Examined as Potential Currency Manipulators</w:t>
            </w:r>
          </w:p>
        </w:tc>
      </w:tr>
      <w:tr w:rsidR="00AA3FA3" w:rsidRPr="00834B39">
        <w:trPr>
          <w:trHeight w:val="270"/>
        </w:trPr>
        <w:tc>
          <w:tcPr>
            <w:tcW w:w="1093" w:type="dxa"/>
            <w:tcBorders>
              <w:left w:val="nil"/>
              <w:right w:val="nil"/>
            </w:tcBorders>
            <w:shd w:val="clear" w:color="auto" w:fill="auto"/>
            <w:noWrap/>
            <w:tcMar>
              <w:top w:w="13" w:type="dxa"/>
              <w:left w:w="13" w:type="dxa"/>
              <w:bottom w:w="0" w:type="dxa"/>
              <w:right w:w="13" w:type="dxa"/>
            </w:tcMar>
            <w:vAlign w:val="bottom"/>
          </w:tcPr>
          <w:p w:rsidR="00AA3FA3" w:rsidRPr="00A65602" w:rsidRDefault="00AA3FA3" w:rsidP="006034BC">
            <w:pPr>
              <w:rPr>
                <w:rFonts w:ascii="Verdana" w:hAnsi="Verdana" w:cs="Arial"/>
                <w:b/>
                <w:bCs/>
                <w:sz w:val="16"/>
                <w:szCs w:val="16"/>
              </w:rPr>
            </w:pPr>
          </w:p>
        </w:tc>
        <w:tc>
          <w:tcPr>
            <w:tcW w:w="8323" w:type="dxa"/>
            <w:gridSpan w:val="8"/>
            <w:tcBorders>
              <w:left w:val="nil"/>
              <w:right w:val="nil"/>
            </w:tcBorders>
            <w:shd w:val="clear" w:color="auto" w:fill="auto"/>
            <w:noWrap/>
            <w:tcMar>
              <w:top w:w="13" w:type="dxa"/>
              <w:left w:w="13" w:type="dxa"/>
              <w:bottom w:w="0" w:type="dxa"/>
              <w:right w:w="13" w:type="dxa"/>
            </w:tcMar>
            <w:vAlign w:val="bottom"/>
          </w:tcPr>
          <w:p w:rsidR="00AA3FA3" w:rsidRPr="00A65602" w:rsidRDefault="00AA3FA3" w:rsidP="006034BC">
            <w:pPr>
              <w:ind w:left="1013"/>
              <w:rPr>
                <w:rFonts w:ascii="Verdana" w:hAnsi="Verdana" w:cs="Arial"/>
                <w:bCs/>
                <w:i/>
                <w:sz w:val="16"/>
                <w:szCs w:val="16"/>
              </w:rPr>
            </w:pPr>
            <w:r w:rsidRPr="00A65602">
              <w:rPr>
                <w:rFonts w:ascii="Verdana" w:hAnsi="Verdana" w:cs="Arial"/>
                <w:sz w:val="16"/>
                <w:szCs w:val="16"/>
              </w:rPr>
              <w:t>1</w:t>
            </w:r>
            <w:r w:rsidRPr="00A65602">
              <w:rPr>
                <w:rFonts w:ascii="Verdana" w:hAnsi="Verdana" w:cs="Arial"/>
                <w:i/>
                <w:sz w:val="16"/>
                <w:szCs w:val="16"/>
              </w:rPr>
              <w:t xml:space="preserve"> = examined as potential manipulator</w:t>
            </w:r>
            <w:r w:rsidRPr="00A65602">
              <w:rPr>
                <w:rFonts w:ascii="Verdana" w:hAnsi="Verdana" w:cs="Arial"/>
                <w:bCs/>
                <w:sz w:val="16"/>
                <w:szCs w:val="16"/>
              </w:rPr>
              <w:t xml:space="preserve"> </w:t>
            </w:r>
          </w:p>
        </w:tc>
      </w:tr>
      <w:tr w:rsidR="00AA3FA3" w:rsidRPr="00834B39">
        <w:trPr>
          <w:trHeight w:val="270"/>
        </w:trPr>
        <w:tc>
          <w:tcPr>
            <w:tcW w:w="1093" w:type="dxa"/>
            <w:tcBorders>
              <w:top w:val="nil"/>
              <w:left w:val="nil"/>
              <w:right w:val="nil"/>
            </w:tcBorders>
            <w:shd w:val="clear" w:color="auto" w:fill="auto"/>
            <w:noWrap/>
            <w:tcMar>
              <w:top w:w="13" w:type="dxa"/>
              <w:left w:w="13" w:type="dxa"/>
              <w:bottom w:w="0" w:type="dxa"/>
              <w:right w:w="13" w:type="dxa"/>
            </w:tcMar>
            <w:vAlign w:val="bottom"/>
          </w:tcPr>
          <w:p w:rsidR="00AA3FA3" w:rsidRPr="00A65602" w:rsidRDefault="00AA3FA3" w:rsidP="006034BC">
            <w:pPr>
              <w:rPr>
                <w:rFonts w:ascii="Verdana" w:hAnsi="Verdana" w:cs="Arial"/>
                <w:b/>
                <w:bCs/>
                <w:sz w:val="16"/>
                <w:szCs w:val="16"/>
              </w:rPr>
            </w:pPr>
          </w:p>
        </w:tc>
        <w:tc>
          <w:tcPr>
            <w:tcW w:w="8323" w:type="dxa"/>
            <w:gridSpan w:val="8"/>
            <w:tcBorders>
              <w:top w:val="nil"/>
              <w:left w:val="nil"/>
              <w:right w:val="nil"/>
            </w:tcBorders>
            <w:shd w:val="clear" w:color="auto" w:fill="auto"/>
            <w:noWrap/>
            <w:tcMar>
              <w:top w:w="13" w:type="dxa"/>
              <w:left w:w="13" w:type="dxa"/>
              <w:bottom w:w="0" w:type="dxa"/>
              <w:right w:w="13" w:type="dxa"/>
            </w:tcMar>
            <w:vAlign w:val="bottom"/>
          </w:tcPr>
          <w:p w:rsidR="00AA3FA3" w:rsidRPr="00A65602" w:rsidRDefault="00AA3FA3" w:rsidP="006034BC">
            <w:pPr>
              <w:ind w:left="1013"/>
              <w:rPr>
                <w:rFonts w:ascii="Verdana" w:hAnsi="Verdana" w:cs="Arial"/>
                <w:bCs/>
                <w:i/>
                <w:sz w:val="16"/>
                <w:szCs w:val="16"/>
              </w:rPr>
            </w:pPr>
            <w:r w:rsidRPr="00A65602">
              <w:rPr>
                <w:rFonts w:ascii="Verdana" w:hAnsi="Verdana" w:cs="Arial"/>
                <w:sz w:val="16"/>
                <w:szCs w:val="16"/>
              </w:rPr>
              <w:t>2</w:t>
            </w:r>
            <w:r w:rsidRPr="00A65602">
              <w:rPr>
                <w:rFonts w:ascii="Verdana" w:hAnsi="Verdana" w:cs="Arial"/>
                <w:i/>
                <w:sz w:val="16"/>
                <w:szCs w:val="16"/>
              </w:rPr>
              <w:t xml:space="preserve"> = policy changes recommended/conducting discussions</w:t>
            </w:r>
          </w:p>
        </w:tc>
      </w:tr>
      <w:tr w:rsidR="00AA3FA3" w:rsidRPr="00834B39">
        <w:trPr>
          <w:trHeight w:val="270"/>
        </w:trPr>
        <w:tc>
          <w:tcPr>
            <w:tcW w:w="1093" w:type="dxa"/>
            <w:vMerge w:val="restart"/>
            <w:tcBorders>
              <w:top w:val="nil"/>
              <w:left w:val="nil"/>
              <w:right w:val="nil"/>
            </w:tcBorders>
            <w:shd w:val="clear" w:color="auto" w:fill="auto"/>
            <w:noWrap/>
            <w:tcMar>
              <w:top w:w="13" w:type="dxa"/>
              <w:left w:w="13" w:type="dxa"/>
              <w:bottom w:w="0" w:type="dxa"/>
              <w:right w:w="13" w:type="dxa"/>
            </w:tcMar>
            <w:vAlign w:val="bottom"/>
          </w:tcPr>
          <w:p w:rsidR="00AA3FA3" w:rsidRPr="00A65602" w:rsidRDefault="00AA3FA3" w:rsidP="006034BC">
            <w:pPr>
              <w:rPr>
                <w:rFonts w:ascii="Verdana" w:hAnsi="Verdana" w:cs="Arial"/>
                <w:b/>
                <w:bCs/>
                <w:sz w:val="16"/>
                <w:szCs w:val="16"/>
              </w:rPr>
            </w:pPr>
            <w:r w:rsidRPr="00A65602">
              <w:rPr>
                <w:rFonts w:ascii="Verdana" w:hAnsi="Verdana" w:cs="Arial"/>
                <w:b/>
                <w:bCs/>
                <w:sz w:val="16"/>
                <w:szCs w:val="16"/>
              </w:rPr>
              <w:t>Date of release</w:t>
            </w:r>
          </w:p>
        </w:tc>
        <w:tc>
          <w:tcPr>
            <w:tcW w:w="8323" w:type="dxa"/>
            <w:gridSpan w:val="8"/>
            <w:tcBorders>
              <w:top w:val="nil"/>
              <w:left w:val="nil"/>
              <w:right w:val="nil"/>
            </w:tcBorders>
            <w:shd w:val="clear" w:color="auto" w:fill="auto"/>
            <w:noWrap/>
            <w:tcMar>
              <w:top w:w="13" w:type="dxa"/>
              <w:left w:w="13" w:type="dxa"/>
              <w:bottom w:w="0" w:type="dxa"/>
              <w:right w:w="13" w:type="dxa"/>
            </w:tcMar>
            <w:vAlign w:val="bottom"/>
          </w:tcPr>
          <w:p w:rsidR="00AA3FA3" w:rsidRPr="00A65602" w:rsidRDefault="00AA3FA3" w:rsidP="006034BC">
            <w:pPr>
              <w:ind w:left="1013"/>
              <w:rPr>
                <w:rFonts w:ascii="Verdana" w:hAnsi="Verdana" w:cs="Arial"/>
                <w:bCs/>
                <w:i/>
                <w:sz w:val="16"/>
                <w:szCs w:val="16"/>
              </w:rPr>
            </w:pPr>
            <w:r w:rsidRPr="00A65602">
              <w:rPr>
                <w:rFonts w:ascii="Verdana" w:hAnsi="Verdana" w:cs="Arial"/>
                <w:bCs/>
                <w:sz w:val="16"/>
                <w:szCs w:val="16"/>
              </w:rPr>
              <w:t>3</w:t>
            </w:r>
            <w:r w:rsidRPr="00A65602">
              <w:rPr>
                <w:rFonts w:ascii="Verdana" w:hAnsi="Verdana" w:cs="Arial"/>
                <w:bCs/>
                <w:i/>
                <w:sz w:val="16"/>
                <w:szCs w:val="16"/>
              </w:rPr>
              <w:t xml:space="preserve"> = "manipulating" exchange rate</w:t>
            </w:r>
          </w:p>
        </w:tc>
      </w:tr>
      <w:tr w:rsidR="00AA3FA3" w:rsidRPr="00834B39">
        <w:trPr>
          <w:trHeight w:val="270"/>
        </w:trPr>
        <w:tc>
          <w:tcPr>
            <w:tcW w:w="1093" w:type="dxa"/>
            <w:vMerge/>
            <w:tcBorders>
              <w:left w:val="nil"/>
              <w:bottom w:val="single" w:sz="4" w:space="0" w:color="auto"/>
              <w:right w:val="nil"/>
            </w:tcBorders>
            <w:shd w:val="clear" w:color="auto" w:fill="auto"/>
            <w:noWrap/>
            <w:tcMar>
              <w:top w:w="13" w:type="dxa"/>
              <w:left w:w="13" w:type="dxa"/>
              <w:bottom w:w="0" w:type="dxa"/>
              <w:right w:w="13" w:type="dxa"/>
            </w:tcMar>
            <w:vAlign w:val="bottom"/>
          </w:tcPr>
          <w:p w:rsidR="00AA3FA3" w:rsidRPr="00A65602" w:rsidRDefault="00AA3FA3" w:rsidP="006034BC">
            <w:pPr>
              <w:rPr>
                <w:rFonts w:ascii="Verdana" w:hAnsi="Verdana" w:cs="Arial"/>
                <w:b/>
                <w:bCs/>
                <w:sz w:val="16"/>
                <w:szCs w:val="16"/>
              </w:rPr>
            </w:pPr>
          </w:p>
        </w:tc>
        <w:tc>
          <w:tcPr>
            <w:tcW w:w="720" w:type="dxa"/>
            <w:tcBorders>
              <w:top w:val="nil"/>
              <w:left w:val="nil"/>
              <w:bottom w:val="single" w:sz="4" w:space="0" w:color="auto"/>
              <w:right w:val="nil"/>
            </w:tcBorders>
            <w:shd w:val="clear" w:color="auto" w:fill="auto"/>
            <w:noWrap/>
            <w:tcMar>
              <w:top w:w="13" w:type="dxa"/>
              <w:left w:w="13" w:type="dxa"/>
              <w:bottom w:w="0" w:type="dxa"/>
              <w:right w:w="13" w:type="dxa"/>
            </w:tcMar>
            <w:vAlign w:val="bottom"/>
          </w:tcPr>
          <w:p w:rsidR="00AA3FA3" w:rsidRPr="00A65602" w:rsidRDefault="00AA3FA3" w:rsidP="006034BC">
            <w:pPr>
              <w:jc w:val="center"/>
              <w:rPr>
                <w:rFonts w:ascii="Verdana" w:hAnsi="Verdana" w:cs="Arial"/>
                <w:b/>
                <w:bCs/>
                <w:sz w:val="16"/>
                <w:szCs w:val="16"/>
              </w:rPr>
            </w:pPr>
            <w:smartTag w:uri="urn:schemas-microsoft-com:office:smarttags" w:element="country-region">
              <w:smartTag w:uri="urn:schemas-microsoft-com:office:smarttags" w:element="place">
                <w:r w:rsidRPr="00A65602">
                  <w:rPr>
                    <w:rFonts w:ascii="Verdana" w:hAnsi="Verdana" w:cs="Arial"/>
                    <w:b/>
                    <w:bCs/>
                    <w:sz w:val="16"/>
                    <w:szCs w:val="16"/>
                  </w:rPr>
                  <w:t>China</w:t>
                </w:r>
              </w:smartTag>
            </w:smartTag>
          </w:p>
        </w:tc>
        <w:tc>
          <w:tcPr>
            <w:tcW w:w="900" w:type="dxa"/>
            <w:tcBorders>
              <w:top w:val="nil"/>
              <w:left w:val="nil"/>
              <w:bottom w:val="single" w:sz="4" w:space="0" w:color="auto"/>
              <w:right w:val="nil"/>
            </w:tcBorders>
            <w:shd w:val="clear" w:color="auto" w:fill="auto"/>
            <w:noWrap/>
            <w:tcMar>
              <w:top w:w="13" w:type="dxa"/>
              <w:left w:w="13" w:type="dxa"/>
              <w:bottom w:w="0" w:type="dxa"/>
              <w:right w:w="13" w:type="dxa"/>
            </w:tcMar>
            <w:vAlign w:val="bottom"/>
          </w:tcPr>
          <w:p w:rsidR="00AA3FA3" w:rsidRDefault="00AA3FA3" w:rsidP="006034BC">
            <w:pPr>
              <w:jc w:val="center"/>
              <w:rPr>
                <w:rFonts w:ascii="Verdana" w:hAnsi="Verdana" w:cs="Arial"/>
                <w:b/>
                <w:bCs/>
                <w:sz w:val="16"/>
                <w:szCs w:val="16"/>
              </w:rPr>
            </w:pPr>
            <w:smartTag w:uri="urn:schemas-microsoft-com:office:smarttags" w:element="country-region">
              <w:smartTag w:uri="urn:schemas-microsoft-com:office:smarttags" w:element="place">
                <w:r w:rsidRPr="00A65602">
                  <w:rPr>
                    <w:rFonts w:ascii="Verdana" w:hAnsi="Verdana" w:cs="Arial"/>
                    <w:b/>
                    <w:bCs/>
                    <w:sz w:val="16"/>
                    <w:szCs w:val="16"/>
                  </w:rPr>
                  <w:t>Taiwan</w:t>
                </w:r>
              </w:smartTag>
            </w:smartTag>
          </w:p>
          <w:p w:rsidR="00AA3FA3" w:rsidRPr="00A65602" w:rsidRDefault="00AA3FA3" w:rsidP="006034BC">
            <w:pPr>
              <w:jc w:val="center"/>
              <w:rPr>
                <w:rFonts w:ascii="Verdana" w:hAnsi="Verdana" w:cs="Arial"/>
                <w:b/>
                <w:bCs/>
                <w:sz w:val="16"/>
                <w:szCs w:val="16"/>
              </w:rPr>
            </w:pPr>
            <w:proofErr w:type="spellStart"/>
            <w:r>
              <w:rPr>
                <w:rFonts w:ascii="Verdana" w:hAnsi="Verdana" w:cs="Arial"/>
                <w:b/>
                <w:bCs/>
                <w:sz w:val="16"/>
                <w:szCs w:val="16"/>
              </w:rPr>
              <w:t>Prov</w:t>
            </w:r>
            <w:proofErr w:type="spellEnd"/>
            <w:r>
              <w:rPr>
                <w:rFonts w:ascii="Verdana" w:hAnsi="Verdana" w:cs="Arial"/>
                <w:b/>
                <w:bCs/>
                <w:sz w:val="16"/>
                <w:szCs w:val="16"/>
              </w:rPr>
              <w:t xml:space="preserve"> of </w:t>
            </w:r>
            <w:smartTag w:uri="urn:schemas-microsoft-com:office:smarttags" w:element="country-region">
              <w:smartTag w:uri="urn:schemas-microsoft-com:office:smarttags" w:element="place">
                <w:r>
                  <w:rPr>
                    <w:rFonts w:ascii="Verdana" w:hAnsi="Verdana" w:cs="Arial"/>
                    <w:b/>
                    <w:bCs/>
                    <w:sz w:val="16"/>
                    <w:szCs w:val="16"/>
                  </w:rPr>
                  <w:t>China</w:t>
                </w:r>
              </w:smartTag>
            </w:smartTag>
          </w:p>
        </w:tc>
        <w:tc>
          <w:tcPr>
            <w:tcW w:w="1440" w:type="dxa"/>
            <w:tcBorders>
              <w:top w:val="nil"/>
              <w:left w:val="nil"/>
              <w:bottom w:val="single" w:sz="4" w:space="0" w:color="auto"/>
              <w:right w:val="nil"/>
            </w:tcBorders>
            <w:shd w:val="clear" w:color="auto" w:fill="auto"/>
            <w:noWrap/>
            <w:tcMar>
              <w:top w:w="13" w:type="dxa"/>
              <w:left w:w="13" w:type="dxa"/>
              <w:bottom w:w="0" w:type="dxa"/>
              <w:right w:w="13" w:type="dxa"/>
            </w:tcMar>
            <w:vAlign w:val="bottom"/>
          </w:tcPr>
          <w:p w:rsidR="00AA3FA3" w:rsidRPr="00A65602" w:rsidRDefault="00AA3FA3" w:rsidP="006034BC">
            <w:pPr>
              <w:jc w:val="center"/>
              <w:rPr>
                <w:rFonts w:ascii="Verdana" w:hAnsi="Verdana" w:cs="Arial"/>
                <w:b/>
                <w:bCs/>
                <w:sz w:val="16"/>
                <w:szCs w:val="16"/>
              </w:rPr>
            </w:pPr>
            <w:smartTag w:uri="urn:schemas-microsoft-com:office:smarttags" w:element="country-region">
              <w:smartTag w:uri="urn:schemas-microsoft-com:office:smarttags" w:element="place">
                <w:r w:rsidRPr="00A65602">
                  <w:rPr>
                    <w:rFonts w:ascii="Verdana" w:hAnsi="Verdana" w:cs="Arial"/>
                    <w:b/>
                    <w:bCs/>
                    <w:sz w:val="16"/>
                    <w:szCs w:val="16"/>
                  </w:rPr>
                  <w:t>South Korea</w:t>
                </w:r>
              </w:smartTag>
            </w:smartTag>
          </w:p>
        </w:tc>
        <w:tc>
          <w:tcPr>
            <w:tcW w:w="1080" w:type="dxa"/>
            <w:tcBorders>
              <w:top w:val="nil"/>
              <w:left w:val="nil"/>
              <w:bottom w:val="single" w:sz="4" w:space="0" w:color="auto"/>
              <w:right w:val="nil"/>
            </w:tcBorders>
            <w:shd w:val="clear" w:color="auto" w:fill="auto"/>
            <w:noWrap/>
            <w:tcMar>
              <w:top w:w="13" w:type="dxa"/>
              <w:left w:w="13" w:type="dxa"/>
              <w:bottom w:w="0" w:type="dxa"/>
              <w:right w:w="13" w:type="dxa"/>
            </w:tcMar>
            <w:vAlign w:val="bottom"/>
          </w:tcPr>
          <w:p w:rsidR="00AA3FA3" w:rsidRPr="00A65602" w:rsidRDefault="00AA3FA3" w:rsidP="006034BC">
            <w:pPr>
              <w:jc w:val="center"/>
              <w:rPr>
                <w:rFonts w:ascii="Verdana" w:hAnsi="Verdana" w:cs="Arial"/>
                <w:b/>
                <w:bCs/>
                <w:sz w:val="16"/>
                <w:szCs w:val="16"/>
              </w:rPr>
            </w:pPr>
            <w:smartTag w:uri="urn:schemas-microsoft-com:office:smarttags" w:element="country-region">
              <w:smartTag w:uri="urn:schemas-microsoft-com:office:smarttags" w:element="place">
                <w:r w:rsidRPr="00A65602">
                  <w:rPr>
                    <w:rFonts w:ascii="Verdana" w:hAnsi="Verdana" w:cs="Arial"/>
                    <w:b/>
                    <w:bCs/>
                    <w:sz w:val="16"/>
                    <w:szCs w:val="16"/>
                  </w:rPr>
                  <w:t>Singapore</w:t>
                </w:r>
              </w:smartTag>
            </w:smartTag>
          </w:p>
        </w:tc>
        <w:tc>
          <w:tcPr>
            <w:tcW w:w="1260" w:type="dxa"/>
            <w:tcBorders>
              <w:top w:val="nil"/>
              <w:left w:val="nil"/>
              <w:bottom w:val="single" w:sz="4" w:space="0" w:color="auto"/>
              <w:right w:val="nil"/>
            </w:tcBorders>
            <w:shd w:val="clear" w:color="auto" w:fill="auto"/>
            <w:noWrap/>
            <w:tcMar>
              <w:top w:w="13" w:type="dxa"/>
              <w:left w:w="13" w:type="dxa"/>
              <w:bottom w:w="0" w:type="dxa"/>
              <w:right w:w="13" w:type="dxa"/>
            </w:tcMar>
            <w:vAlign w:val="bottom"/>
          </w:tcPr>
          <w:p w:rsidR="00AA3FA3" w:rsidRDefault="00AA3FA3" w:rsidP="006034BC">
            <w:pPr>
              <w:jc w:val="center"/>
              <w:rPr>
                <w:rFonts w:ascii="Verdana" w:hAnsi="Verdana" w:cs="Arial"/>
                <w:b/>
                <w:bCs/>
                <w:sz w:val="16"/>
                <w:szCs w:val="16"/>
              </w:rPr>
            </w:pPr>
            <w:smartTag w:uri="urn:schemas-microsoft-com:office:smarttags" w:element="place">
              <w:r w:rsidRPr="00A65602">
                <w:rPr>
                  <w:rFonts w:ascii="Verdana" w:hAnsi="Verdana" w:cs="Arial"/>
                  <w:b/>
                  <w:bCs/>
                  <w:sz w:val="16"/>
                  <w:szCs w:val="16"/>
                </w:rPr>
                <w:t>Hong Kong</w:t>
              </w:r>
            </w:smartTag>
          </w:p>
          <w:p w:rsidR="00AA3FA3" w:rsidRPr="00A65602" w:rsidRDefault="00AA3FA3" w:rsidP="006034BC">
            <w:pPr>
              <w:jc w:val="center"/>
              <w:rPr>
                <w:rFonts w:ascii="Verdana" w:hAnsi="Verdana" w:cs="Arial"/>
                <w:b/>
                <w:bCs/>
                <w:sz w:val="16"/>
                <w:szCs w:val="16"/>
              </w:rPr>
            </w:pPr>
            <w:r>
              <w:rPr>
                <w:rFonts w:ascii="Verdana" w:hAnsi="Verdana" w:cs="Arial"/>
                <w:b/>
                <w:bCs/>
                <w:sz w:val="16"/>
                <w:szCs w:val="16"/>
              </w:rPr>
              <w:t>SAR</w:t>
            </w:r>
          </w:p>
        </w:tc>
        <w:tc>
          <w:tcPr>
            <w:tcW w:w="1080" w:type="dxa"/>
            <w:tcBorders>
              <w:top w:val="nil"/>
              <w:left w:val="nil"/>
              <w:bottom w:val="single" w:sz="4" w:space="0" w:color="auto"/>
              <w:right w:val="nil"/>
            </w:tcBorders>
            <w:shd w:val="clear" w:color="auto" w:fill="auto"/>
            <w:noWrap/>
            <w:tcMar>
              <w:top w:w="13" w:type="dxa"/>
              <w:left w:w="13" w:type="dxa"/>
              <w:bottom w:w="0" w:type="dxa"/>
              <w:right w:w="13" w:type="dxa"/>
            </w:tcMar>
            <w:vAlign w:val="bottom"/>
          </w:tcPr>
          <w:p w:rsidR="00AA3FA3" w:rsidRPr="00A65602" w:rsidRDefault="00AA3FA3" w:rsidP="006034BC">
            <w:pPr>
              <w:jc w:val="center"/>
              <w:rPr>
                <w:rFonts w:ascii="Verdana" w:hAnsi="Verdana" w:cs="Arial"/>
                <w:b/>
                <w:bCs/>
                <w:sz w:val="16"/>
                <w:szCs w:val="16"/>
              </w:rPr>
            </w:pPr>
            <w:smartTag w:uri="urn:schemas-microsoft-com:office:smarttags" w:element="country-region">
              <w:smartTag w:uri="urn:schemas-microsoft-com:office:smarttags" w:element="place">
                <w:r w:rsidRPr="00A65602">
                  <w:rPr>
                    <w:rFonts w:ascii="Verdana" w:hAnsi="Verdana" w:cs="Arial"/>
                    <w:b/>
                    <w:bCs/>
                    <w:sz w:val="16"/>
                    <w:szCs w:val="16"/>
                  </w:rPr>
                  <w:t>Malaysia</w:t>
                </w:r>
              </w:smartTag>
            </w:smartTag>
          </w:p>
        </w:tc>
        <w:tc>
          <w:tcPr>
            <w:tcW w:w="941" w:type="dxa"/>
            <w:tcBorders>
              <w:top w:val="nil"/>
              <w:left w:val="nil"/>
              <w:bottom w:val="single" w:sz="4" w:space="0" w:color="auto"/>
              <w:right w:val="nil"/>
            </w:tcBorders>
            <w:shd w:val="clear" w:color="auto" w:fill="auto"/>
            <w:noWrap/>
            <w:tcMar>
              <w:top w:w="13" w:type="dxa"/>
              <w:left w:w="13" w:type="dxa"/>
              <w:bottom w:w="0" w:type="dxa"/>
              <w:right w:w="13" w:type="dxa"/>
            </w:tcMar>
            <w:vAlign w:val="bottom"/>
          </w:tcPr>
          <w:p w:rsidR="00AA3FA3" w:rsidRPr="00A65602" w:rsidRDefault="00AA3FA3" w:rsidP="006034BC">
            <w:pPr>
              <w:jc w:val="center"/>
              <w:rPr>
                <w:rFonts w:ascii="Verdana" w:hAnsi="Verdana" w:cs="Arial"/>
                <w:b/>
                <w:bCs/>
                <w:sz w:val="16"/>
                <w:szCs w:val="16"/>
              </w:rPr>
            </w:pPr>
            <w:smartTag w:uri="urn:schemas-microsoft-com:office:smarttags" w:element="country-region">
              <w:smartTag w:uri="urn:schemas-microsoft-com:office:smarttags" w:element="place">
                <w:r w:rsidRPr="00A65602">
                  <w:rPr>
                    <w:rFonts w:ascii="Verdana" w:hAnsi="Verdana" w:cs="Arial"/>
                    <w:b/>
                    <w:bCs/>
                    <w:sz w:val="16"/>
                    <w:szCs w:val="16"/>
                  </w:rPr>
                  <w:t>Japan</w:t>
                </w:r>
              </w:smartTag>
            </w:smartTag>
          </w:p>
        </w:tc>
        <w:tc>
          <w:tcPr>
            <w:tcW w:w="902" w:type="dxa"/>
            <w:tcBorders>
              <w:top w:val="nil"/>
              <w:left w:val="nil"/>
              <w:bottom w:val="single" w:sz="4" w:space="0" w:color="auto"/>
              <w:right w:val="nil"/>
            </w:tcBorders>
            <w:shd w:val="clear" w:color="auto" w:fill="auto"/>
            <w:noWrap/>
            <w:tcMar>
              <w:top w:w="13" w:type="dxa"/>
              <w:left w:w="13" w:type="dxa"/>
              <w:bottom w:w="0" w:type="dxa"/>
              <w:right w:w="13" w:type="dxa"/>
            </w:tcMar>
            <w:vAlign w:val="bottom"/>
          </w:tcPr>
          <w:p w:rsidR="00AA3FA3" w:rsidRPr="00A65602" w:rsidRDefault="00AA3FA3" w:rsidP="006034BC">
            <w:pPr>
              <w:jc w:val="center"/>
              <w:rPr>
                <w:rFonts w:ascii="Verdana" w:hAnsi="Verdana" w:cs="Arial"/>
                <w:b/>
                <w:bCs/>
                <w:sz w:val="16"/>
                <w:szCs w:val="16"/>
              </w:rPr>
            </w:pPr>
            <w:smartTag w:uri="urn:schemas-microsoft-com:office:smarttags" w:element="country-region">
              <w:smartTag w:uri="urn:schemas-microsoft-com:office:smarttags" w:element="place">
                <w:r w:rsidRPr="00A65602">
                  <w:rPr>
                    <w:rFonts w:ascii="Verdana" w:hAnsi="Verdana" w:cs="Arial"/>
                    <w:b/>
                    <w:bCs/>
                    <w:sz w:val="16"/>
                    <w:szCs w:val="16"/>
                  </w:rPr>
                  <w:t>Russia</w:t>
                </w:r>
              </w:smartTag>
            </w:smartTag>
          </w:p>
        </w:tc>
      </w:tr>
      <w:tr w:rsidR="00AA3FA3" w:rsidRPr="00834B39">
        <w:trPr>
          <w:trHeight w:val="315"/>
        </w:trPr>
        <w:tc>
          <w:tcPr>
            <w:tcW w:w="1093" w:type="dxa"/>
            <w:tcBorders>
              <w:top w:val="single" w:sz="4" w:space="0" w:color="auto"/>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Oct 1988</w:t>
            </w:r>
          </w:p>
        </w:tc>
        <w:tc>
          <w:tcPr>
            <w:tcW w:w="72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b/>
                <w:bCs/>
                <w:sz w:val="16"/>
                <w:szCs w:val="16"/>
              </w:rPr>
            </w:pPr>
            <w:r w:rsidRPr="00A65602">
              <w:rPr>
                <w:rFonts w:ascii="Verdana" w:hAnsi="Verdana" w:cs="Arial"/>
                <w:b/>
                <w:bCs/>
                <w:sz w:val="16"/>
                <w:szCs w:val="16"/>
              </w:rPr>
              <w:t>3</w:t>
            </w:r>
          </w:p>
        </w:tc>
        <w:tc>
          <w:tcPr>
            <w:tcW w:w="144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b/>
                <w:bCs/>
                <w:sz w:val="16"/>
                <w:szCs w:val="16"/>
              </w:rPr>
            </w:pPr>
            <w:r w:rsidRPr="00A65602">
              <w:rPr>
                <w:rFonts w:ascii="Verdana" w:hAnsi="Verdana" w:cs="Arial"/>
                <w:b/>
                <w:bCs/>
                <w:sz w:val="16"/>
                <w:szCs w:val="16"/>
              </w:rPr>
              <w:t>3</w:t>
            </w:r>
          </w:p>
        </w:tc>
        <w:tc>
          <w:tcPr>
            <w:tcW w:w="108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26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08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single" w:sz="4" w:space="0" w:color="auto"/>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Apr 1989</w:t>
            </w:r>
          </w:p>
        </w:tc>
        <w:tc>
          <w:tcPr>
            <w:tcW w:w="72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b/>
                <w:bCs/>
                <w:sz w:val="16"/>
                <w:szCs w:val="16"/>
              </w:rPr>
            </w:pPr>
            <w:r w:rsidRPr="00A65602">
              <w:rPr>
                <w:rFonts w:ascii="Verdana" w:hAnsi="Verdana" w:cs="Arial"/>
                <w:b/>
                <w:bCs/>
                <w:sz w:val="16"/>
                <w:szCs w:val="16"/>
              </w:rPr>
              <w:t>3</w:t>
            </w:r>
          </w:p>
        </w:tc>
        <w:tc>
          <w:tcPr>
            <w:tcW w:w="144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b/>
                <w:bCs/>
                <w:sz w:val="16"/>
                <w:szCs w:val="16"/>
              </w:rPr>
            </w:pPr>
            <w:r w:rsidRPr="00A65602">
              <w:rPr>
                <w:rFonts w:ascii="Verdana" w:hAnsi="Verdana" w:cs="Arial"/>
                <w:b/>
                <w:bCs/>
                <w:sz w:val="16"/>
                <w:szCs w:val="16"/>
              </w:rPr>
              <w:t>3</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Oct 1989</w:t>
            </w:r>
          </w:p>
        </w:tc>
        <w:tc>
          <w:tcPr>
            <w:tcW w:w="72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44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b/>
                <w:bCs/>
                <w:sz w:val="16"/>
                <w:szCs w:val="16"/>
              </w:rPr>
            </w:pPr>
            <w:r w:rsidRPr="00A65602">
              <w:rPr>
                <w:rFonts w:ascii="Verdana" w:hAnsi="Verdana" w:cs="Arial"/>
                <w:b/>
                <w:bCs/>
                <w:sz w:val="16"/>
                <w:szCs w:val="16"/>
              </w:rPr>
              <w:t>3</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Apr 1990</w:t>
            </w:r>
          </w:p>
        </w:tc>
        <w:tc>
          <w:tcPr>
            <w:tcW w:w="72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44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08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bottom w:val="single" w:sz="4" w:space="0" w:color="auto"/>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Nov 1990</w:t>
            </w:r>
          </w:p>
        </w:tc>
        <w:tc>
          <w:tcPr>
            <w:tcW w:w="72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0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44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08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bottom w:val="single" w:sz="4" w:space="0" w:color="auto"/>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single" w:sz="4" w:space="0" w:color="auto"/>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May 1991</w:t>
            </w:r>
          </w:p>
        </w:tc>
        <w:tc>
          <w:tcPr>
            <w:tcW w:w="72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0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44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08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single" w:sz="4" w:space="0" w:color="auto"/>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Nov 1991</w:t>
            </w:r>
          </w:p>
        </w:tc>
        <w:tc>
          <w:tcPr>
            <w:tcW w:w="72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0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44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May 1992</w:t>
            </w:r>
          </w:p>
        </w:tc>
        <w:tc>
          <w:tcPr>
            <w:tcW w:w="72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b/>
                <w:bCs/>
                <w:sz w:val="16"/>
                <w:szCs w:val="16"/>
              </w:rPr>
            </w:pPr>
            <w:r w:rsidRPr="00A65602">
              <w:rPr>
                <w:rFonts w:ascii="Verdana" w:hAnsi="Verdana" w:cs="Arial"/>
                <w:b/>
                <w:bCs/>
                <w:sz w:val="16"/>
                <w:szCs w:val="16"/>
              </w:rPr>
              <w:t>3</w:t>
            </w:r>
          </w:p>
        </w:tc>
        <w:tc>
          <w:tcPr>
            <w:tcW w:w="90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b/>
                <w:bCs/>
                <w:sz w:val="16"/>
                <w:szCs w:val="16"/>
              </w:rPr>
            </w:pPr>
            <w:r w:rsidRPr="00A65602">
              <w:rPr>
                <w:rFonts w:ascii="Verdana" w:hAnsi="Verdana" w:cs="Arial"/>
                <w:b/>
                <w:bCs/>
                <w:sz w:val="16"/>
                <w:szCs w:val="16"/>
              </w:rPr>
              <w:t>3</w:t>
            </w:r>
          </w:p>
        </w:tc>
        <w:tc>
          <w:tcPr>
            <w:tcW w:w="144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Dec 1992</w:t>
            </w:r>
          </w:p>
        </w:tc>
        <w:tc>
          <w:tcPr>
            <w:tcW w:w="72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b/>
                <w:bCs/>
                <w:sz w:val="16"/>
                <w:szCs w:val="16"/>
              </w:rPr>
            </w:pPr>
            <w:r w:rsidRPr="00A65602">
              <w:rPr>
                <w:rFonts w:ascii="Verdana" w:hAnsi="Verdana" w:cs="Arial"/>
                <w:b/>
                <w:bCs/>
                <w:sz w:val="16"/>
                <w:szCs w:val="16"/>
              </w:rPr>
              <w:t>3</w:t>
            </w:r>
          </w:p>
        </w:tc>
        <w:tc>
          <w:tcPr>
            <w:tcW w:w="90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b/>
                <w:bCs/>
                <w:sz w:val="16"/>
                <w:szCs w:val="16"/>
              </w:rPr>
            </w:pPr>
            <w:r w:rsidRPr="00A65602">
              <w:rPr>
                <w:rFonts w:ascii="Verdana" w:hAnsi="Verdana" w:cs="Arial"/>
                <w:b/>
                <w:bCs/>
                <w:sz w:val="16"/>
                <w:szCs w:val="16"/>
              </w:rPr>
              <w:t>3</w:t>
            </w:r>
          </w:p>
        </w:tc>
        <w:tc>
          <w:tcPr>
            <w:tcW w:w="144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08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bottom w:val="single" w:sz="4" w:space="0" w:color="auto"/>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May 1993</w:t>
            </w:r>
          </w:p>
        </w:tc>
        <w:tc>
          <w:tcPr>
            <w:tcW w:w="72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b/>
                <w:bCs/>
                <w:sz w:val="16"/>
                <w:szCs w:val="16"/>
              </w:rPr>
            </w:pPr>
            <w:r w:rsidRPr="00A65602">
              <w:rPr>
                <w:rFonts w:ascii="Verdana" w:hAnsi="Verdana" w:cs="Arial"/>
                <w:b/>
                <w:bCs/>
                <w:sz w:val="16"/>
                <w:szCs w:val="16"/>
              </w:rPr>
              <w:t>3</w:t>
            </w:r>
          </w:p>
        </w:tc>
        <w:tc>
          <w:tcPr>
            <w:tcW w:w="90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44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08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bottom w:val="single" w:sz="4" w:space="0" w:color="auto"/>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single" w:sz="4" w:space="0" w:color="auto"/>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Nov 1993</w:t>
            </w:r>
          </w:p>
        </w:tc>
        <w:tc>
          <w:tcPr>
            <w:tcW w:w="72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b/>
                <w:bCs/>
                <w:sz w:val="16"/>
                <w:szCs w:val="16"/>
              </w:rPr>
            </w:pPr>
            <w:r w:rsidRPr="00A65602">
              <w:rPr>
                <w:rFonts w:ascii="Verdana" w:hAnsi="Verdana" w:cs="Arial"/>
                <w:b/>
                <w:bCs/>
                <w:sz w:val="16"/>
                <w:szCs w:val="16"/>
              </w:rPr>
              <w:t>3</w:t>
            </w:r>
          </w:p>
        </w:tc>
        <w:tc>
          <w:tcPr>
            <w:tcW w:w="90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44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08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single" w:sz="4" w:space="0" w:color="auto"/>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Jul 1994</w:t>
            </w:r>
          </w:p>
        </w:tc>
        <w:tc>
          <w:tcPr>
            <w:tcW w:w="72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b/>
                <w:bCs/>
                <w:sz w:val="16"/>
                <w:szCs w:val="16"/>
              </w:rPr>
            </w:pPr>
            <w:r w:rsidRPr="00A65602">
              <w:rPr>
                <w:rFonts w:ascii="Verdana" w:hAnsi="Verdana" w:cs="Arial"/>
                <w:b/>
                <w:bCs/>
                <w:sz w:val="16"/>
                <w:szCs w:val="16"/>
              </w:rPr>
              <w:t>3</w:t>
            </w:r>
          </w:p>
        </w:tc>
        <w:tc>
          <w:tcPr>
            <w:tcW w:w="90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44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Jan 1995</w:t>
            </w:r>
          </w:p>
        </w:tc>
        <w:tc>
          <w:tcPr>
            <w:tcW w:w="72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0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44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Aug 1995</w:t>
            </w:r>
          </w:p>
        </w:tc>
        <w:tc>
          <w:tcPr>
            <w:tcW w:w="72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0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44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08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bottom w:val="single" w:sz="4" w:space="0" w:color="auto"/>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Dec 1995</w:t>
            </w:r>
          </w:p>
        </w:tc>
        <w:tc>
          <w:tcPr>
            <w:tcW w:w="72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0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44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08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bottom w:val="single" w:sz="4" w:space="0" w:color="auto"/>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single" w:sz="4" w:space="0" w:color="auto"/>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Aug 1996</w:t>
            </w:r>
          </w:p>
        </w:tc>
        <w:tc>
          <w:tcPr>
            <w:tcW w:w="72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90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144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126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single" w:sz="4" w:space="0" w:color="auto"/>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Feb 1997</w:t>
            </w:r>
          </w:p>
        </w:tc>
        <w:tc>
          <w:tcPr>
            <w:tcW w:w="72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0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144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126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Jan 1999</w:t>
            </w:r>
          </w:p>
        </w:tc>
        <w:tc>
          <w:tcPr>
            <w:tcW w:w="72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90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144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126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41"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Sep 1999</w:t>
            </w:r>
          </w:p>
        </w:tc>
        <w:tc>
          <w:tcPr>
            <w:tcW w:w="72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90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144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108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126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941"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bottom w:val="single" w:sz="4" w:space="0" w:color="auto"/>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Mar 2000</w:t>
            </w:r>
          </w:p>
        </w:tc>
        <w:tc>
          <w:tcPr>
            <w:tcW w:w="72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90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144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108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941"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bottom w:val="single" w:sz="4" w:space="0" w:color="auto"/>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single" w:sz="4" w:space="0" w:color="auto"/>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Jan 2001</w:t>
            </w:r>
          </w:p>
        </w:tc>
        <w:tc>
          <w:tcPr>
            <w:tcW w:w="72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0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44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08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41"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single" w:sz="4" w:space="0" w:color="auto"/>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Jun 2001</w:t>
            </w:r>
          </w:p>
        </w:tc>
        <w:tc>
          <w:tcPr>
            <w:tcW w:w="72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0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44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41"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r>
      <w:tr w:rsidR="00AA3FA3" w:rsidRPr="00834B39">
        <w:trPr>
          <w:trHeight w:val="315"/>
        </w:trPr>
        <w:tc>
          <w:tcPr>
            <w:tcW w:w="1093" w:type="dxa"/>
            <w:tcBorders>
              <w:top w:val="nil"/>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Oct 2001</w:t>
            </w:r>
          </w:p>
        </w:tc>
        <w:tc>
          <w:tcPr>
            <w:tcW w:w="72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90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144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c>
          <w:tcPr>
            <w:tcW w:w="941"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1</w:t>
            </w:r>
          </w:p>
        </w:tc>
      </w:tr>
      <w:tr w:rsidR="00AA3FA3" w:rsidRPr="00834B39">
        <w:trPr>
          <w:trHeight w:val="315"/>
        </w:trPr>
        <w:tc>
          <w:tcPr>
            <w:tcW w:w="1093" w:type="dxa"/>
            <w:tcBorders>
              <w:top w:val="nil"/>
              <w:left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May 2002</w:t>
            </w:r>
          </w:p>
        </w:tc>
        <w:tc>
          <w:tcPr>
            <w:tcW w:w="72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44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bottom w:val="single" w:sz="4" w:space="0" w:color="auto"/>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Oct 2002</w:t>
            </w:r>
          </w:p>
        </w:tc>
        <w:tc>
          <w:tcPr>
            <w:tcW w:w="72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44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bottom w:val="single" w:sz="4" w:space="0" w:color="auto"/>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single" w:sz="4" w:space="0" w:color="auto"/>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May 2003</w:t>
            </w:r>
          </w:p>
        </w:tc>
        <w:tc>
          <w:tcPr>
            <w:tcW w:w="72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44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single" w:sz="4" w:space="0" w:color="auto"/>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single" w:sz="4" w:space="0" w:color="auto"/>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Oct 2003</w:t>
            </w:r>
          </w:p>
        </w:tc>
        <w:tc>
          <w:tcPr>
            <w:tcW w:w="72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0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44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02" w:type="dxa"/>
            <w:tcBorders>
              <w:top w:val="nil"/>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Apr 2004</w:t>
            </w:r>
          </w:p>
        </w:tc>
        <w:tc>
          <w:tcPr>
            <w:tcW w:w="72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0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44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02" w:type="dxa"/>
            <w:tcBorders>
              <w:top w:val="nil"/>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Dec 2004</w:t>
            </w:r>
          </w:p>
        </w:tc>
        <w:tc>
          <w:tcPr>
            <w:tcW w:w="72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0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44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02" w:type="dxa"/>
            <w:tcBorders>
              <w:top w:val="nil"/>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15"/>
        </w:trPr>
        <w:tc>
          <w:tcPr>
            <w:tcW w:w="1093" w:type="dxa"/>
            <w:tcBorders>
              <w:top w:val="nil"/>
              <w:left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May 2005</w:t>
            </w:r>
          </w:p>
        </w:tc>
        <w:tc>
          <w:tcPr>
            <w:tcW w:w="72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0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44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41" w:type="dxa"/>
            <w:tcBorders>
              <w:top w:val="nil"/>
              <w:left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30"/>
        </w:trPr>
        <w:tc>
          <w:tcPr>
            <w:tcW w:w="1093" w:type="dxa"/>
            <w:tcBorders>
              <w:top w:val="nil"/>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sidRPr="00A65602">
              <w:rPr>
                <w:rFonts w:ascii="Verdana" w:hAnsi="Verdana"/>
                <w:sz w:val="16"/>
                <w:szCs w:val="16"/>
              </w:rPr>
              <w:t>Nov 2005</w:t>
            </w:r>
          </w:p>
        </w:tc>
        <w:tc>
          <w:tcPr>
            <w:tcW w:w="72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0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44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41"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30"/>
        </w:trPr>
        <w:tc>
          <w:tcPr>
            <w:tcW w:w="1093" w:type="dxa"/>
            <w:tcBorders>
              <w:top w:val="nil"/>
              <w:left w:val="nil"/>
              <w:bottom w:val="nil"/>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Pr>
                <w:rFonts w:ascii="Verdana" w:hAnsi="Verdana"/>
                <w:sz w:val="16"/>
                <w:szCs w:val="16"/>
              </w:rPr>
              <w:t>May 2006</w:t>
            </w:r>
          </w:p>
        </w:tc>
        <w:tc>
          <w:tcPr>
            <w:tcW w:w="72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0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44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1</w:t>
            </w:r>
          </w:p>
        </w:tc>
        <w:tc>
          <w:tcPr>
            <w:tcW w:w="126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41" w:type="dxa"/>
            <w:tcBorders>
              <w:top w:val="nil"/>
              <w:left w:val="nil"/>
              <w:bottom w:val="nil"/>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bottom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r w:rsidR="00AA3FA3" w:rsidRPr="00834B39">
        <w:trPr>
          <w:trHeight w:val="330"/>
        </w:trPr>
        <w:tc>
          <w:tcPr>
            <w:tcW w:w="1093" w:type="dxa"/>
            <w:tcBorders>
              <w:top w:val="nil"/>
              <w:left w:val="nil"/>
              <w:bottom w:val="single" w:sz="4" w:space="0" w:color="auto"/>
              <w:right w:val="nil"/>
            </w:tcBorders>
            <w:shd w:val="clear" w:color="auto" w:fill="auto"/>
            <w:tcMar>
              <w:top w:w="13" w:type="dxa"/>
              <w:left w:w="13" w:type="dxa"/>
              <w:bottom w:w="0" w:type="dxa"/>
              <w:right w:w="13" w:type="dxa"/>
            </w:tcMar>
            <w:vAlign w:val="center"/>
          </w:tcPr>
          <w:p w:rsidR="00AA3FA3" w:rsidRPr="00A65602" w:rsidRDefault="00AA3FA3" w:rsidP="006034BC">
            <w:pPr>
              <w:jc w:val="center"/>
              <w:rPr>
                <w:rFonts w:ascii="Verdana" w:hAnsi="Verdana"/>
                <w:sz w:val="16"/>
                <w:szCs w:val="16"/>
              </w:rPr>
            </w:pPr>
            <w:r>
              <w:rPr>
                <w:rFonts w:ascii="Verdana" w:hAnsi="Verdana"/>
                <w:sz w:val="16"/>
                <w:szCs w:val="16"/>
              </w:rPr>
              <w:t>Dec 2006</w:t>
            </w:r>
          </w:p>
        </w:tc>
        <w:tc>
          <w:tcPr>
            <w:tcW w:w="72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sidRPr="00A65602">
              <w:rPr>
                <w:rFonts w:ascii="Verdana" w:hAnsi="Verdana" w:cs="Arial"/>
                <w:sz w:val="16"/>
                <w:szCs w:val="16"/>
              </w:rPr>
              <w:t>2</w:t>
            </w:r>
          </w:p>
        </w:tc>
        <w:tc>
          <w:tcPr>
            <w:tcW w:w="90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44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26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1080"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41" w:type="dxa"/>
            <w:tcBorders>
              <w:top w:val="nil"/>
              <w:left w:val="nil"/>
              <w:bottom w:val="single" w:sz="4" w:space="0" w:color="auto"/>
              <w:right w:val="nil"/>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c>
          <w:tcPr>
            <w:tcW w:w="902" w:type="dxa"/>
            <w:tcBorders>
              <w:top w:val="nil"/>
              <w:left w:val="nil"/>
              <w:bottom w:val="single" w:sz="4" w:space="0" w:color="auto"/>
            </w:tcBorders>
            <w:shd w:val="clear" w:color="auto" w:fill="auto"/>
            <w:noWrap/>
            <w:tcMar>
              <w:top w:w="13" w:type="dxa"/>
              <w:left w:w="13" w:type="dxa"/>
              <w:bottom w:w="0" w:type="dxa"/>
              <w:right w:w="13" w:type="dxa"/>
            </w:tcMar>
            <w:vAlign w:val="center"/>
          </w:tcPr>
          <w:p w:rsidR="00AA3FA3" w:rsidRPr="00A65602" w:rsidRDefault="00AA3FA3" w:rsidP="006034BC">
            <w:pPr>
              <w:jc w:val="center"/>
              <w:rPr>
                <w:rFonts w:ascii="Verdana" w:hAnsi="Verdana" w:cs="Arial"/>
                <w:sz w:val="16"/>
                <w:szCs w:val="16"/>
              </w:rPr>
            </w:pPr>
            <w:r>
              <w:rPr>
                <w:rFonts w:ascii="Verdana" w:hAnsi="Verdana" w:cs="Arial"/>
                <w:sz w:val="16"/>
                <w:szCs w:val="16"/>
              </w:rPr>
              <w:t>0</w:t>
            </w:r>
          </w:p>
        </w:tc>
      </w:tr>
    </w:tbl>
    <w:p w:rsidR="00AA3FA3" w:rsidRPr="007918A5" w:rsidRDefault="00AA3FA3" w:rsidP="00AA3FA3">
      <w:pPr>
        <w:rPr>
          <w:rFonts w:ascii="Verdana" w:hAnsi="Verdana" w:cs="Arial"/>
          <w:sz w:val="20"/>
          <w:szCs w:val="20"/>
        </w:rPr>
      </w:pPr>
    </w:p>
    <w:p w:rsidR="00AA3FA3" w:rsidRPr="000241F6" w:rsidRDefault="00AA3FA3" w:rsidP="00AA3FA3">
      <w:pPr>
        <w:autoSpaceDE w:val="0"/>
        <w:autoSpaceDN w:val="0"/>
        <w:adjustRightInd w:val="0"/>
        <w:spacing w:before="240" w:line="240" w:lineRule="atLeast"/>
        <w:rPr>
          <w:rFonts w:eastAsia="MS Mincho"/>
          <w:color w:val="000000"/>
          <w:sz w:val="22"/>
          <w:szCs w:val="22"/>
          <w:lang w:eastAsia="ja-JP"/>
        </w:rPr>
      </w:pPr>
      <w:r w:rsidRPr="000241F6">
        <w:rPr>
          <w:rFonts w:eastAsia="MS Mincho"/>
          <w:color w:val="000000"/>
          <w:sz w:val="22"/>
          <w:szCs w:val="22"/>
          <w:lang w:eastAsia="ja-JP"/>
        </w:rPr>
        <w:t xml:space="preserve">In the </w:t>
      </w:r>
      <w:proofErr w:type="spellStart"/>
      <w:r w:rsidRPr="000241F6">
        <w:rPr>
          <w:rFonts w:eastAsia="MS Mincho"/>
          <w:color w:val="000000"/>
          <w:sz w:val="22"/>
          <w:szCs w:val="22"/>
          <w:lang w:eastAsia="ja-JP"/>
        </w:rPr>
        <w:t>Probit</w:t>
      </w:r>
      <w:proofErr w:type="spellEnd"/>
      <w:r w:rsidRPr="000241F6">
        <w:rPr>
          <w:rFonts w:eastAsia="MS Mincho"/>
          <w:color w:val="000000"/>
          <w:sz w:val="22"/>
          <w:szCs w:val="22"/>
          <w:lang w:eastAsia="ja-JP"/>
        </w:rPr>
        <w:t xml:space="preserve"> specification in Table 6, the limited dependent variable is defined in two ways. In the first two columns of the table, the dependent variable is whether the economy has been named as an exchange rate manipulator (mapping from the classification in the data appendix table: value of 0 if 0, 1 or 2; value of 1 if 3). In the last two columns of the table, the dependent variable is whether Treasury has at least recommended policy changes or is conducting discussions with the government (value of 0 if 0 or 1; value of 1 if 2 or 3). The ranks for April 2006 are based on the predicted values using data for the period up to December 2005. The probability next to each ranked country refers to the probability of a positive outcome in April 2006.</w:t>
      </w:r>
      <w:r>
        <w:rPr>
          <w:rFonts w:eastAsia="MS Mincho"/>
          <w:color w:val="000000"/>
          <w:sz w:val="22"/>
          <w:szCs w:val="22"/>
          <w:lang w:eastAsia="ja-JP"/>
        </w:rPr>
        <w:t xml:space="preserve">  Table 7 reports that </w:t>
      </w:r>
      <w:smartTag w:uri="urn:schemas-microsoft-com:office:smarttags" w:element="country-region">
        <w:smartTag w:uri="urn:schemas-microsoft-com:office:smarttags" w:element="place">
          <w:r>
            <w:rPr>
              <w:rFonts w:eastAsia="MS Mincho"/>
              <w:color w:val="000000"/>
              <w:sz w:val="22"/>
              <w:szCs w:val="22"/>
              <w:lang w:eastAsia="ja-JP"/>
            </w:rPr>
            <w:t>China</w:t>
          </w:r>
        </w:smartTag>
      </w:smartTag>
      <w:r>
        <w:rPr>
          <w:rFonts w:eastAsia="MS Mincho"/>
          <w:color w:val="000000"/>
          <w:sz w:val="22"/>
          <w:szCs w:val="22"/>
          <w:lang w:eastAsia="ja-JP"/>
        </w:rPr>
        <w:t xml:space="preserve"> is generally a higher probability target than any other country.</w:t>
      </w:r>
    </w:p>
    <w:p w:rsidR="00AA3FA3" w:rsidRDefault="00AA3FA3" w:rsidP="00AA3FA3">
      <w:pPr>
        <w:autoSpaceDE w:val="0"/>
        <w:autoSpaceDN w:val="0"/>
        <w:adjustRightInd w:val="0"/>
        <w:spacing w:line="240" w:lineRule="atLeast"/>
        <w:rPr>
          <w:rFonts w:ascii="Verdana" w:hAnsi="Verdana" w:cs="Arial"/>
          <w:b/>
          <w:sz w:val="20"/>
          <w:szCs w:val="20"/>
          <w:u w:val="single"/>
        </w:rPr>
      </w:pPr>
      <w:r>
        <w:rPr>
          <w:rFonts w:ascii="Helv" w:eastAsia="MS Mincho" w:hAnsi="Helv" w:cs="Helv"/>
          <w:color w:val="000000"/>
          <w:sz w:val="20"/>
          <w:szCs w:val="20"/>
          <w:lang w:eastAsia="ja-JP"/>
        </w:rPr>
        <w:t xml:space="preserve"> </w:t>
      </w:r>
    </w:p>
    <w:p w:rsidR="00AA3FA3" w:rsidRPr="000241F6" w:rsidRDefault="00AA3FA3" w:rsidP="00AA3FA3">
      <w:pPr>
        <w:jc w:val="both"/>
        <w:rPr>
          <w:sz w:val="22"/>
          <w:szCs w:val="22"/>
        </w:rPr>
      </w:pPr>
      <w:r w:rsidRPr="000241F6">
        <w:rPr>
          <w:b/>
          <w:sz w:val="22"/>
          <w:szCs w:val="22"/>
          <w:u w:val="single"/>
        </w:rPr>
        <w:t>Explanatory variables</w:t>
      </w:r>
      <w:r w:rsidRPr="000241F6">
        <w:rPr>
          <w:sz w:val="22"/>
          <w:szCs w:val="22"/>
        </w:rPr>
        <w:t>:</w:t>
      </w:r>
    </w:p>
    <w:p w:rsidR="00AA3FA3" w:rsidRPr="000241F6" w:rsidRDefault="00AA3FA3" w:rsidP="00AA3FA3">
      <w:pPr>
        <w:jc w:val="both"/>
        <w:rPr>
          <w:sz w:val="22"/>
          <w:szCs w:val="22"/>
        </w:rPr>
      </w:pPr>
    </w:p>
    <w:p w:rsidR="00AA3FA3" w:rsidRPr="000241F6" w:rsidRDefault="00AA3FA3" w:rsidP="00AA3FA3">
      <w:pPr>
        <w:jc w:val="both"/>
        <w:rPr>
          <w:sz w:val="22"/>
          <w:szCs w:val="22"/>
        </w:rPr>
      </w:pPr>
      <w:r w:rsidRPr="000241F6">
        <w:rPr>
          <w:sz w:val="22"/>
          <w:szCs w:val="22"/>
        </w:rPr>
        <w:t xml:space="preserve">The 63 countries/economies included in the dataset are: Algeria, Argentina, Australia, Austria, Bangladesh, Belgium, Brazil, Canada, Chile, China, Colombia, Costa Rica, Denmark, Dominican Republic, Ecuador, Egypt, El Salvador, Germany, Finland, France, Gabon, Greece, Guatemala, Honduras, </w:t>
      </w:r>
      <w:r>
        <w:rPr>
          <w:sz w:val="22"/>
          <w:szCs w:val="22"/>
        </w:rPr>
        <w:t>Hong Kong SAR</w:t>
      </w:r>
      <w:r w:rsidRPr="000241F6">
        <w:rPr>
          <w:sz w:val="22"/>
          <w:szCs w:val="22"/>
        </w:rPr>
        <w:t xml:space="preserve">, Hungary, India, Indonesia, Ireland, Israel, Italy, Ivory Coast, Jamaica, Japan, Korea, Kuwait, Malaysia, Mexico, Netherlands, New Zealand, Nigeria, Norway, Pakistan, Panama, Peru, Philippines, Poland, Portugal, Russia, Saudi Arabia, Singapore, South Africa, Spain, Sri Lanka, Sweden, Switzerland, </w:t>
      </w:r>
      <w:r>
        <w:rPr>
          <w:sz w:val="22"/>
          <w:szCs w:val="22"/>
        </w:rPr>
        <w:t>Taiwan, Province of China</w:t>
      </w:r>
      <w:r w:rsidRPr="000241F6">
        <w:rPr>
          <w:sz w:val="22"/>
          <w:szCs w:val="22"/>
        </w:rPr>
        <w:t xml:space="preserve">, Thailand, Trinidad and Tobago, Turkey, United Arab Emirates, United Kingdom and Venezuela. </w:t>
      </w:r>
    </w:p>
    <w:p w:rsidR="00AA3FA3" w:rsidRPr="000241F6" w:rsidRDefault="00AA3FA3" w:rsidP="00AA3FA3">
      <w:pPr>
        <w:jc w:val="both"/>
        <w:rPr>
          <w:b/>
          <w:sz w:val="22"/>
          <w:szCs w:val="22"/>
        </w:rPr>
      </w:pPr>
    </w:p>
    <w:p w:rsidR="00AA3FA3" w:rsidRPr="000241F6" w:rsidRDefault="00AA3FA3" w:rsidP="00AA3FA3">
      <w:pPr>
        <w:jc w:val="both"/>
        <w:rPr>
          <w:sz w:val="22"/>
          <w:szCs w:val="22"/>
        </w:rPr>
      </w:pPr>
      <w:r w:rsidRPr="000241F6">
        <w:rPr>
          <w:sz w:val="22"/>
          <w:szCs w:val="22"/>
        </w:rPr>
        <w:t xml:space="preserve">The data are for the period reviewed by a particular report rather than the release date of the report to acknowledge the lags in real time data release. For example, the November 2005 report covers the first half of 2005, so the data corresponding to this report are for the period ending June 2005. </w:t>
      </w:r>
    </w:p>
    <w:p w:rsidR="00AA3FA3" w:rsidRPr="000241F6" w:rsidRDefault="00AA3FA3" w:rsidP="00AA3FA3">
      <w:pPr>
        <w:jc w:val="both"/>
        <w:rPr>
          <w:b/>
          <w:sz w:val="22"/>
          <w:szCs w:val="22"/>
        </w:rPr>
      </w:pPr>
    </w:p>
    <w:p w:rsidR="00AA3FA3" w:rsidRPr="000241F6" w:rsidRDefault="00AA3FA3" w:rsidP="00AA3FA3">
      <w:pPr>
        <w:jc w:val="both"/>
        <w:rPr>
          <w:sz w:val="22"/>
          <w:szCs w:val="22"/>
        </w:rPr>
      </w:pPr>
      <w:r w:rsidRPr="000241F6">
        <w:rPr>
          <w:b/>
          <w:sz w:val="22"/>
          <w:szCs w:val="22"/>
        </w:rPr>
        <w:t>US bilateral goods trade balance with partner country</w:t>
      </w:r>
      <w:r w:rsidRPr="000241F6">
        <w:rPr>
          <w:sz w:val="22"/>
          <w:szCs w:val="22"/>
        </w:rPr>
        <w:t xml:space="preserve">: US goods exports minus US goods imports by country over 12 months as a ratio to US GDP. The trade data are obtained from the </w:t>
      </w:r>
      <w:r w:rsidR="00A85D9A">
        <w:rPr>
          <w:sz w:val="22"/>
          <w:szCs w:val="22"/>
        </w:rPr>
        <w:t>US</w:t>
      </w:r>
      <w:r w:rsidRPr="000241F6">
        <w:rPr>
          <w:sz w:val="22"/>
          <w:szCs w:val="22"/>
        </w:rPr>
        <w:t xml:space="preserve"> Census Bureau and the GDP data from Global Financial Data.  The series for </w:t>
      </w:r>
      <w:smartTag w:uri="urn:schemas-microsoft-com:office:smarttags" w:element="country-region">
        <w:smartTag w:uri="urn:schemas-microsoft-com:office:smarttags" w:element="place">
          <w:r w:rsidRPr="000241F6">
            <w:rPr>
              <w:sz w:val="22"/>
              <w:szCs w:val="22"/>
            </w:rPr>
            <w:t>Russia</w:t>
          </w:r>
        </w:smartTag>
      </w:smartTag>
      <w:r w:rsidRPr="000241F6">
        <w:rPr>
          <w:sz w:val="22"/>
          <w:szCs w:val="22"/>
        </w:rPr>
        <w:t xml:space="preserve"> includes data for the </w:t>
      </w:r>
      <w:smartTag w:uri="urn:schemas-microsoft-com:office:smarttags" w:element="country-region">
        <w:smartTag w:uri="urn:schemas-microsoft-com:office:smarttags" w:element="place">
          <w:r w:rsidRPr="000241F6">
            <w:rPr>
              <w:sz w:val="22"/>
              <w:szCs w:val="22"/>
            </w:rPr>
            <w:t>USSR</w:t>
          </w:r>
        </w:smartTag>
      </w:smartTag>
      <w:r w:rsidRPr="000241F6">
        <w:rPr>
          <w:sz w:val="22"/>
          <w:szCs w:val="22"/>
        </w:rPr>
        <w:t xml:space="preserve"> prior to 1993.</w:t>
      </w:r>
    </w:p>
    <w:p w:rsidR="00AA3FA3" w:rsidRPr="007918A5" w:rsidRDefault="00AA3FA3" w:rsidP="00AA3FA3">
      <w:pPr>
        <w:jc w:val="both"/>
        <w:rPr>
          <w:rFonts w:ascii="Verdana" w:hAnsi="Verdana" w:cs="Arial"/>
          <w:sz w:val="20"/>
          <w:szCs w:val="20"/>
        </w:rPr>
      </w:pPr>
    </w:p>
    <w:p w:rsidR="00AA3FA3" w:rsidRPr="000241F6" w:rsidRDefault="00AA3FA3" w:rsidP="00AA3FA3">
      <w:pPr>
        <w:jc w:val="both"/>
        <w:rPr>
          <w:sz w:val="22"/>
          <w:szCs w:val="22"/>
        </w:rPr>
      </w:pPr>
      <w:r w:rsidRPr="000241F6">
        <w:rPr>
          <w:b/>
          <w:sz w:val="22"/>
          <w:szCs w:val="22"/>
        </w:rPr>
        <w:t>Partner country’s current account</w:t>
      </w:r>
      <w:r w:rsidRPr="000241F6">
        <w:rPr>
          <w:sz w:val="22"/>
          <w:szCs w:val="22"/>
        </w:rPr>
        <w:t xml:space="preserve">: The current account (surplus is positive) of the partner country over 12 months as a ratio to the partner country’s GDP. The Current account data was obtained from the IMF’s International Financial Statistics (IFS) Database. Where data were unavailable in the IFS, data from the IMF’s World Economic Outlook (WEO) Database were used. The series for </w:t>
      </w:r>
      <w:smartTag w:uri="urn:schemas-microsoft-com:office:smarttags" w:element="country-region">
        <w:smartTag w:uri="urn:schemas-microsoft-com:office:smarttags" w:element="place">
          <w:r w:rsidRPr="000241F6">
            <w:rPr>
              <w:sz w:val="22"/>
              <w:szCs w:val="22"/>
            </w:rPr>
            <w:t>Russia</w:t>
          </w:r>
        </w:smartTag>
      </w:smartTag>
      <w:r w:rsidRPr="000241F6">
        <w:rPr>
          <w:sz w:val="22"/>
          <w:szCs w:val="22"/>
        </w:rPr>
        <w:t xml:space="preserve"> prior to 1992 is a Commonwealth of Independent States and </w:t>
      </w:r>
      <w:smartTag w:uri="urn:schemas-microsoft-com:office:smarttags" w:element="country-region">
        <w:smartTag w:uri="urn:schemas-microsoft-com:office:smarttags" w:element="place">
          <w:r w:rsidRPr="000241F6">
            <w:rPr>
              <w:sz w:val="22"/>
              <w:szCs w:val="22"/>
            </w:rPr>
            <w:t>Mongolia</w:t>
          </w:r>
        </w:smartTag>
      </w:smartTag>
      <w:r w:rsidRPr="000241F6">
        <w:rPr>
          <w:sz w:val="22"/>
          <w:szCs w:val="22"/>
        </w:rPr>
        <w:t xml:space="preserve"> series from the WEO Database.</w:t>
      </w:r>
    </w:p>
    <w:p w:rsidR="00AA3FA3" w:rsidRPr="000241F6" w:rsidRDefault="00AA3FA3" w:rsidP="00AA3FA3">
      <w:pPr>
        <w:jc w:val="both"/>
        <w:rPr>
          <w:sz w:val="22"/>
          <w:szCs w:val="22"/>
        </w:rPr>
      </w:pPr>
    </w:p>
    <w:p w:rsidR="00AA3FA3" w:rsidRPr="000241F6" w:rsidRDefault="00AA3FA3" w:rsidP="00AA3FA3">
      <w:pPr>
        <w:jc w:val="both"/>
        <w:rPr>
          <w:sz w:val="22"/>
          <w:szCs w:val="22"/>
        </w:rPr>
      </w:pPr>
      <w:r w:rsidRPr="000241F6">
        <w:rPr>
          <w:b/>
          <w:sz w:val="22"/>
          <w:szCs w:val="22"/>
        </w:rPr>
        <w:t>Partner’s Exchange rate relative to PPP</w:t>
      </w:r>
      <w:r w:rsidRPr="000241F6">
        <w:rPr>
          <w:sz w:val="22"/>
          <w:szCs w:val="22"/>
        </w:rPr>
        <w:t xml:space="preserve">: The PPP conversion rate to official exchange rate ratio, so a number less than 1 reflects undervaluation relative to PPP. The PPP conversion rate data were obtained from the WEO Database. The national </w:t>
      </w:r>
      <w:proofErr w:type="gramStart"/>
      <w:r w:rsidRPr="000241F6">
        <w:rPr>
          <w:sz w:val="22"/>
          <w:szCs w:val="22"/>
        </w:rPr>
        <w:t>currency per US dollar official exchange rate were</w:t>
      </w:r>
      <w:proofErr w:type="gramEnd"/>
      <w:r w:rsidRPr="000241F6">
        <w:rPr>
          <w:sz w:val="22"/>
          <w:szCs w:val="22"/>
        </w:rPr>
        <w:t xml:space="preserve"> obtained from the IFS Database. The official exchange rate for </w:t>
      </w:r>
      <w:smartTag w:uri="urn:schemas-microsoft-com:office:smarttags" w:element="country-region">
        <w:smartTag w:uri="urn:schemas-microsoft-com:office:smarttags" w:element="place">
          <w:r>
            <w:rPr>
              <w:sz w:val="22"/>
              <w:szCs w:val="22"/>
            </w:rPr>
            <w:t>Taiwan</w:t>
          </w:r>
        </w:smartTag>
      </w:smartTag>
      <w:r>
        <w:rPr>
          <w:sz w:val="22"/>
          <w:szCs w:val="22"/>
        </w:rPr>
        <w:t xml:space="preserve">, </w:t>
      </w:r>
      <w:smartTag w:uri="urn:schemas-microsoft-com:office:smarttags" w:element="place">
        <w:smartTag w:uri="urn:schemas-microsoft-com:office:smarttags" w:element="PlaceType">
          <w:r>
            <w:rPr>
              <w:sz w:val="22"/>
              <w:szCs w:val="22"/>
            </w:rPr>
            <w:t>Province</w:t>
          </w:r>
        </w:smartTag>
        <w:r>
          <w:rPr>
            <w:sz w:val="22"/>
            <w:szCs w:val="22"/>
          </w:rPr>
          <w:t xml:space="preserve"> of </w:t>
        </w:r>
        <w:smartTag w:uri="urn:schemas-microsoft-com:office:smarttags" w:element="PlaceName">
          <w:r>
            <w:rPr>
              <w:sz w:val="22"/>
              <w:szCs w:val="22"/>
            </w:rPr>
            <w:t>China</w:t>
          </w:r>
        </w:smartTag>
      </w:smartTag>
      <w:r w:rsidRPr="000241F6">
        <w:rPr>
          <w:sz w:val="22"/>
          <w:szCs w:val="22"/>
        </w:rPr>
        <w:t xml:space="preserve"> was obtained from Global Financial Data. Data for </w:t>
      </w:r>
      <w:smartTag w:uri="urn:schemas-microsoft-com:office:smarttags" w:element="country-region">
        <w:smartTag w:uri="urn:schemas-microsoft-com:office:smarttags" w:element="place">
          <w:r w:rsidRPr="000241F6">
            <w:rPr>
              <w:sz w:val="22"/>
              <w:szCs w:val="22"/>
            </w:rPr>
            <w:t>Argentina</w:t>
          </w:r>
        </w:smartTag>
      </w:smartTag>
      <w:r w:rsidRPr="000241F6">
        <w:rPr>
          <w:sz w:val="22"/>
          <w:szCs w:val="22"/>
        </w:rPr>
        <w:t xml:space="preserve"> (prior to 1991), </w:t>
      </w:r>
      <w:smartTag w:uri="urn:schemas-microsoft-com:office:smarttags" w:element="country-region">
        <w:smartTag w:uri="urn:schemas-microsoft-com:office:smarttags" w:element="place">
          <w:r w:rsidRPr="000241F6">
            <w:rPr>
              <w:sz w:val="22"/>
              <w:szCs w:val="22"/>
            </w:rPr>
            <w:t>Brazil</w:t>
          </w:r>
        </w:smartTag>
      </w:smartTag>
      <w:r w:rsidRPr="000241F6">
        <w:rPr>
          <w:sz w:val="22"/>
          <w:szCs w:val="22"/>
        </w:rPr>
        <w:t xml:space="preserve"> (prior to 1996), </w:t>
      </w:r>
      <w:smartTag w:uri="urn:schemas-microsoft-com:office:smarttags" w:element="country-region">
        <w:smartTag w:uri="urn:schemas-microsoft-com:office:smarttags" w:element="place">
          <w:r w:rsidRPr="000241F6">
            <w:rPr>
              <w:sz w:val="22"/>
              <w:szCs w:val="22"/>
            </w:rPr>
            <w:t>Ecuador</w:t>
          </w:r>
        </w:smartTag>
      </w:smartTag>
      <w:r w:rsidRPr="000241F6">
        <w:rPr>
          <w:sz w:val="22"/>
          <w:szCs w:val="22"/>
        </w:rPr>
        <w:t xml:space="preserve"> (prior to 2005) and </w:t>
      </w:r>
      <w:smartTag w:uri="urn:schemas-microsoft-com:office:smarttags" w:element="country-region">
        <w:smartTag w:uri="urn:schemas-microsoft-com:office:smarttags" w:element="place">
          <w:r w:rsidRPr="000241F6">
            <w:rPr>
              <w:sz w:val="22"/>
              <w:szCs w:val="22"/>
            </w:rPr>
            <w:t>Peru</w:t>
          </w:r>
        </w:smartTag>
      </w:smartTag>
      <w:r w:rsidRPr="000241F6">
        <w:rPr>
          <w:sz w:val="22"/>
          <w:szCs w:val="22"/>
        </w:rPr>
        <w:t xml:space="preserve"> (prior to 1993) are the PPP conversion factor to official exchange rate ratio from the World Bank’s World Development Indicators (WDI) Database.</w:t>
      </w:r>
    </w:p>
    <w:p w:rsidR="00AA3FA3" w:rsidRPr="000241F6" w:rsidRDefault="00AA3FA3" w:rsidP="00AA3FA3">
      <w:pPr>
        <w:jc w:val="both"/>
        <w:rPr>
          <w:sz w:val="22"/>
          <w:szCs w:val="22"/>
        </w:rPr>
      </w:pPr>
    </w:p>
    <w:p w:rsidR="00AA3FA3" w:rsidRPr="000241F6" w:rsidRDefault="00AA3FA3" w:rsidP="00AA3FA3">
      <w:pPr>
        <w:jc w:val="both"/>
        <w:rPr>
          <w:sz w:val="22"/>
          <w:szCs w:val="22"/>
        </w:rPr>
      </w:pPr>
      <w:r w:rsidRPr="000241F6">
        <w:rPr>
          <w:b/>
          <w:sz w:val="22"/>
          <w:szCs w:val="22"/>
        </w:rPr>
        <w:t>Partner country’s change in reserves</w:t>
      </w:r>
      <w:r w:rsidRPr="000241F6">
        <w:rPr>
          <w:sz w:val="22"/>
          <w:szCs w:val="22"/>
        </w:rPr>
        <w:t xml:space="preserve">: The 12 month change in the stock of foreign exchange reserves of the partner country. The foreign exchange reserves data were obtained from the IFS Database. Data for </w:t>
      </w:r>
      <w:smartTag w:uri="urn:schemas-microsoft-com:office:smarttags" w:element="country-region">
        <w:smartTag w:uri="urn:schemas-microsoft-com:office:smarttags" w:element="place">
          <w:r>
            <w:rPr>
              <w:sz w:val="22"/>
              <w:szCs w:val="22"/>
            </w:rPr>
            <w:t>Taiwan</w:t>
          </w:r>
        </w:smartTag>
      </w:smartTag>
      <w:r>
        <w:rPr>
          <w:sz w:val="22"/>
          <w:szCs w:val="22"/>
        </w:rPr>
        <w:t xml:space="preserve">, </w:t>
      </w:r>
      <w:smartTag w:uri="urn:schemas-microsoft-com:office:smarttags" w:element="place">
        <w:smartTag w:uri="urn:schemas-microsoft-com:office:smarttags" w:element="PlaceType">
          <w:r>
            <w:rPr>
              <w:sz w:val="22"/>
              <w:szCs w:val="22"/>
            </w:rPr>
            <w:t>Province</w:t>
          </w:r>
        </w:smartTag>
        <w:r>
          <w:rPr>
            <w:sz w:val="22"/>
            <w:szCs w:val="22"/>
          </w:rPr>
          <w:t xml:space="preserve"> of </w:t>
        </w:r>
        <w:smartTag w:uri="urn:schemas-microsoft-com:office:smarttags" w:element="PlaceName">
          <w:r>
            <w:rPr>
              <w:sz w:val="22"/>
              <w:szCs w:val="22"/>
            </w:rPr>
            <w:t>China</w:t>
          </w:r>
        </w:smartTag>
      </w:smartTag>
      <w:r w:rsidRPr="000241F6">
        <w:rPr>
          <w:sz w:val="22"/>
          <w:szCs w:val="22"/>
        </w:rPr>
        <w:t xml:space="preserve"> are for total reserves minus gold, also from the IFS database. Data for </w:t>
      </w:r>
      <w:smartTag w:uri="urn:schemas-microsoft-com:office:smarttags" w:element="country-region">
        <w:smartTag w:uri="urn:schemas-microsoft-com:office:smarttags" w:element="place">
          <w:r w:rsidRPr="000241F6">
            <w:rPr>
              <w:sz w:val="22"/>
              <w:szCs w:val="22"/>
            </w:rPr>
            <w:t>Russia</w:t>
          </w:r>
        </w:smartTag>
      </w:smartTag>
      <w:r w:rsidRPr="000241F6">
        <w:rPr>
          <w:sz w:val="22"/>
          <w:szCs w:val="22"/>
        </w:rPr>
        <w:t xml:space="preserve"> prior to 1992 are for the </w:t>
      </w:r>
      <w:smartTag w:uri="urn:schemas-microsoft-com:office:smarttags" w:element="country-region">
        <w:smartTag w:uri="urn:schemas-microsoft-com:office:smarttags" w:element="place">
          <w:r w:rsidRPr="000241F6">
            <w:rPr>
              <w:sz w:val="22"/>
              <w:szCs w:val="22"/>
            </w:rPr>
            <w:t>USSR</w:t>
          </w:r>
        </w:smartTag>
      </w:smartTag>
      <w:r w:rsidRPr="000241F6">
        <w:rPr>
          <w:sz w:val="22"/>
          <w:szCs w:val="22"/>
        </w:rPr>
        <w:t xml:space="preserve"> from BIS Annual Reports 1989-1994. Data for </w:t>
      </w:r>
      <w:r>
        <w:rPr>
          <w:sz w:val="22"/>
          <w:szCs w:val="22"/>
        </w:rPr>
        <w:t>Hong Kong SAR</w:t>
      </w:r>
      <w:r w:rsidRPr="000241F6">
        <w:rPr>
          <w:sz w:val="22"/>
          <w:szCs w:val="22"/>
        </w:rPr>
        <w:t xml:space="preserve"> are unavailable prior to 1990.</w:t>
      </w:r>
    </w:p>
    <w:p w:rsidR="00AA3FA3" w:rsidRPr="000241F6" w:rsidRDefault="00AA3FA3" w:rsidP="00AA3FA3">
      <w:pPr>
        <w:jc w:val="both"/>
        <w:rPr>
          <w:sz w:val="22"/>
          <w:szCs w:val="22"/>
        </w:rPr>
      </w:pPr>
    </w:p>
    <w:p w:rsidR="00AA3FA3" w:rsidRPr="000241F6" w:rsidRDefault="00AA3FA3" w:rsidP="00AA3FA3">
      <w:pPr>
        <w:jc w:val="both"/>
        <w:rPr>
          <w:sz w:val="22"/>
          <w:szCs w:val="22"/>
        </w:rPr>
      </w:pPr>
      <w:r w:rsidRPr="000241F6">
        <w:rPr>
          <w:b/>
          <w:sz w:val="22"/>
          <w:szCs w:val="22"/>
        </w:rPr>
        <w:t>Partner country’s GDP and GDP (PPP)</w:t>
      </w:r>
      <w:r w:rsidRPr="000241F6">
        <w:rPr>
          <w:sz w:val="22"/>
          <w:szCs w:val="22"/>
        </w:rPr>
        <w:t xml:space="preserve">: The data were obtained from the WEO Database. The series for </w:t>
      </w:r>
      <w:smartTag w:uri="urn:schemas-microsoft-com:office:smarttags" w:element="country-region">
        <w:smartTag w:uri="urn:schemas-microsoft-com:office:smarttags" w:element="place">
          <w:r w:rsidRPr="000241F6">
            <w:rPr>
              <w:sz w:val="22"/>
              <w:szCs w:val="22"/>
            </w:rPr>
            <w:t>Russia</w:t>
          </w:r>
        </w:smartTag>
      </w:smartTag>
      <w:r w:rsidRPr="000241F6">
        <w:rPr>
          <w:sz w:val="22"/>
          <w:szCs w:val="22"/>
        </w:rPr>
        <w:t xml:space="preserve"> prior to 1992 is a Commonwealth of Independent States and </w:t>
      </w:r>
      <w:smartTag w:uri="urn:schemas-microsoft-com:office:smarttags" w:element="country-region">
        <w:smartTag w:uri="urn:schemas-microsoft-com:office:smarttags" w:element="place">
          <w:r w:rsidRPr="000241F6">
            <w:rPr>
              <w:sz w:val="22"/>
              <w:szCs w:val="22"/>
            </w:rPr>
            <w:t>Mongolia</w:t>
          </w:r>
        </w:smartTag>
      </w:smartTag>
      <w:r w:rsidRPr="000241F6">
        <w:rPr>
          <w:sz w:val="22"/>
          <w:szCs w:val="22"/>
        </w:rPr>
        <w:t xml:space="preserve"> series from the WEO database. </w:t>
      </w:r>
    </w:p>
    <w:p w:rsidR="00AA3FA3" w:rsidRPr="000241F6" w:rsidRDefault="00AA3FA3" w:rsidP="00AA3FA3">
      <w:pPr>
        <w:jc w:val="both"/>
        <w:rPr>
          <w:sz w:val="22"/>
          <w:szCs w:val="22"/>
        </w:rPr>
      </w:pPr>
    </w:p>
    <w:p w:rsidR="00AA3FA3" w:rsidRPr="000241F6" w:rsidRDefault="00AA3FA3" w:rsidP="00AA3FA3">
      <w:pPr>
        <w:jc w:val="both"/>
        <w:rPr>
          <w:sz w:val="22"/>
          <w:szCs w:val="22"/>
        </w:rPr>
      </w:pPr>
      <w:r w:rsidRPr="000241F6">
        <w:rPr>
          <w:b/>
          <w:sz w:val="22"/>
          <w:szCs w:val="22"/>
        </w:rPr>
        <w:t>Partner country’s imports</w:t>
      </w:r>
      <w:r w:rsidRPr="000241F6">
        <w:rPr>
          <w:sz w:val="22"/>
          <w:szCs w:val="22"/>
        </w:rPr>
        <w:t xml:space="preserve">: Imports C.I.F. data were obtained from the IFS database. The series for </w:t>
      </w:r>
      <w:smartTag w:uri="urn:schemas-microsoft-com:office:smarttags" w:element="country-region">
        <w:smartTag w:uri="urn:schemas-microsoft-com:office:smarttags" w:element="place">
          <w:r w:rsidRPr="000241F6">
            <w:rPr>
              <w:sz w:val="22"/>
              <w:szCs w:val="22"/>
            </w:rPr>
            <w:t>Russia</w:t>
          </w:r>
        </w:smartTag>
      </w:smartTag>
      <w:r w:rsidRPr="000241F6">
        <w:rPr>
          <w:sz w:val="22"/>
          <w:szCs w:val="22"/>
        </w:rPr>
        <w:t xml:space="preserve"> prior to 1992 is a USSR/Commonwealth of Independent States merchandise imports series from the WTO.</w:t>
      </w:r>
    </w:p>
    <w:p w:rsidR="00AA3FA3" w:rsidRPr="000241F6" w:rsidRDefault="00AA3FA3" w:rsidP="00AA3FA3">
      <w:pPr>
        <w:jc w:val="both"/>
        <w:rPr>
          <w:b/>
          <w:sz w:val="22"/>
          <w:szCs w:val="22"/>
        </w:rPr>
      </w:pPr>
    </w:p>
    <w:p w:rsidR="00AA3FA3" w:rsidRPr="000241F6" w:rsidRDefault="00AA3FA3" w:rsidP="00AA3FA3">
      <w:pPr>
        <w:jc w:val="both"/>
        <w:rPr>
          <w:sz w:val="22"/>
          <w:szCs w:val="22"/>
        </w:rPr>
      </w:pPr>
      <w:smartTag w:uri="urn:schemas-microsoft-com:office:smarttags" w:element="country-region">
        <w:smartTag w:uri="urn:schemas-microsoft-com:office:smarttags" w:element="place">
          <w:r w:rsidRPr="000241F6">
            <w:rPr>
              <w:b/>
              <w:sz w:val="22"/>
              <w:szCs w:val="22"/>
            </w:rPr>
            <w:t>US</w:t>
          </w:r>
        </w:smartTag>
      </w:smartTag>
      <w:r w:rsidRPr="000241F6">
        <w:rPr>
          <w:b/>
          <w:sz w:val="22"/>
          <w:szCs w:val="22"/>
        </w:rPr>
        <w:t xml:space="preserve"> unemployment rate</w:t>
      </w:r>
      <w:r w:rsidRPr="000241F6">
        <w:rPr>
          <w:sz w:val="22"/>
          <w:szCs w:val="22"/>
        </w:rPr>
        <w:t>: data obtained from BLS.</w:t>
      </w:r>
    </w:p>
    <w:p w:rsidR="00AA3FA3" w:rsidRPr="000241F6" w:rsidRDefault="00AA3FA3" w:rsidP="00AA3FA3">
      <w:pPr>
        <w:jc w:val="both"/>
        <w:rPr>
          <w:sz w:val="22"/>
          <w:szCs w:val="22"/>
        </w:rPr>
      </w:pPr>
    </w:p>
    <w:p w:rsidR="00AA3FA3" w:rsidRPr="000241F6" w:rsidRDefault="00AA3FA3" w:rsidP="00AA3FA3">
      <w:pPr>
        <w:jc w:val="both"/>
        <w:rPr>
          <w:sz w:val="22"/>
          <w:szCs w:val="22"/>
        </w:rPr>
      </w:pPr>
      <w:smartTag w:uri="urn:schemas-microsoft-com:office:smarttags" w:element="country-region">
        <w:smartTag w:uri="urn:schemas-microsoft-com:office:smarttags" w:element="place">
          <w:r w:rsidRPr="000241F6">
            <w:rPr>
              <w:b/>
              <w:sz w:val="22"/>
              <w:szCs w:val="22"/>
            </w:rPr>
            <w:t>US</w:t>
          </w:r>
        </w:smartTag>
      </w:smartTag>
      <w:r w:rsidRPr="000241F6">
        <w:rPr>
          <w:b/>
          <w:sz w:val="22"/>
          <w:szCs w:val="22"/>
        </w:rPr>
        <w:t xml:space="preserve"> GDP growth</w:t>
      </w:r>
      <w:r w:rsidRPr="000241F6">
        <w:rPr>
          <w:sz w:val="22"/>
          <w:szCs w:val="22"/>
        </w:rPr>
        <w:t xml:space="preserve">: Year ended growth in </w:t>
      </w:r>
      <w:smartTag w:uri="urn:schemas-microsoft-com:office:smarttags" w:element="country-region">
        <w:smartTag w:uri="urn:schemas-microsoft-com:office:smarttags" w:element="place">
          <w:r w:rsidRPr="000241F6">
            <w:rPr>
              <w:sz w:val="22"/>
              <w:szCs w:val="22"/>
            </w:rPr>
            <w:t>US</w:t>
          </w:r>
        </w:smartTag>
      </w:smartTag>
      <w:r w:rsidRPr="000241F6">
        <w:rPr>
          <w:sz w:val="22"/>
          <w:szCs w:val="22"/>
        </w:rPr>
        <w:t xml:space="preserve"> real GDP. Data obtained from BEA.</w:t>
      </w:r>
    </w:p>
    <w:p w:rsidR="00AA3FA3" w:rsidRPr="000241F6" w:rsidRDefault="00AA3FA3" w:rsidP="00AA3FA3">
      <w:pPr>
        <w:jc w:val="both"/>
        <w:rPr>
          <w:sz w:val="22"/>
          <w:szCs w:val="22"/>
        </w:rPr>
      </w:pPr>
    </w:p>
    <w:p w:rsidR="00AA3FA3" w:rsidRDefault="00AA3FA3" w:rsidP="00AA3FA3">
      <w:pPr>
        <w:jc w:val="both"/>
      </w:pPr>
      <w:r w:rsidRPr="000241F6">
        <w:rPr>
          <w:b/>
          <w:sz w:val="22"/>
          <w:szCs w:val="22"/>
        </w:rPr>
        <w:t>Presidential election year</w:t>
      </w:r>
      <w:r w:rsidRPr="000241F6">
        <w:rPr>
          <w:sz w:val="22"/>
          <w:szCs w:val="22"/>
        </w:rPr>
        <w:t>: A dummy variable where the two reports prior to a Presidential Election receive a 1 while other reports receive a zero</w:t>
      </w:r>
      <w:r w:rsidRPr="00520901">
        <w:rPr>
          <w:rFonts w:ascii="Verdana" w:hAnsi="Verdana"/>
          <w:sz w:val="20"/>
          <w:szCs w:val="20"/>
        </w:rPr>
        <w:t>.</w:t>
      </w:r>
      <w:r w:rsidRPr="00EF34B7">
        <w:t xml:space="preserve"> </w:t>
      </w:r>
    </w:p>
    <w:p w:rsidR="00AA3FA3" w:rsidRDefault="00AA3FA3" w:rsidP="00AA3FA3">
      <w:pPr>
        <w:rPr>
          <w:sz w:val="22"/>
          <w:szCs w:val="22"/>
        </w:rPr>
      </w:pPr>
    </w:p>
    <w:p w:rsidR="00AA3FA3" w:rsidRDefault="00AA3FA3" w:rsidP="00AA3FA3"/>
    <w:p w:rsidR="00AA3FA3" w:rsidRPr="009D4859" w:rsidRDefault="00AA3FA3" w:rsidP="00AA3FA3">
      <w:pPr>
        <w:jc w:val="right"/>
        <w:rPr>
          <w:b/>
          <w:sz w:val="16"/>
          <w:szCs w:val="16"/>
        </w:rPr>
      </w:pPr>
    </w:p>
    <w:p w:rsidR="00AA3FA3" w:rsidRDefault="00AA3FA3" w:rsidP="00AA3FA3"/>
    <w:p w:rsidR="004A45A0" w:rsidRDefault="004A45A0" w:rsidP="00B6669D"/>
    <w:p w:rsidR="00B6669D" w:rsidRPr="006D1BBE" w:rsidRDefault="00B6669D" w:rsidP="001610EC"/>
    <w:sectPr w:rsidR="00B6669D" w:rsidRPr="006D1BBE" w:rsidSect="00775F5B">
      <w:pgSz w:w="12240" w:h="15840" w:code="1"/>
      <w:pgMar w:top="1944" w:right="1319" w:bottom="1440" w:left="131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EFD" w:rsidRDefault="00686EFD">
      <w:r>
        <w:separator/>
      </w:r>
    </w:p>
  </w:endnote>
  <w:endnote w:type="continuationSeparator" w:id="0">
    <w:p w:rsidR="00686EFD" w:rsidRDefault="0068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Gungsuh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43" w:rsidRDefault="00B97743">
    <w:pPr>
      <w:pStyle w:val="Footer"/>
      <w:tabs>
        <w:tab w:val="clear" w:pos="8640"/>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43" w:rsidRDefault="00B97743">
    <w:pPr>
      <w:pStyle w:val="Footer"/>
      <w:tabs>
        <w:tab w:val="clear" w:pos="8640"/>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43" w:rsidRDefault="00B97743">
    <w:pPr>
      <w:pStyle w:val="Footer"/>
      <w:tabs>
        <w:tab w:val="clear" w:pos="8640"/>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43" w:rsidRDefault="00B97743">
    <w:pPr>
      <w:pStyle w:val="Footer"/>
      <w:tabs>
        <w:tab w:val="clear" w:pos="8640"/>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EFD" w:rsidRDefault="00686EFD">
      <w:r>
        <w:separator/>
      </w:r>
    </w:p>
  </w:footnote>
  <w:footnote w:type="continuationSeparator" w:id="0">
    <w:p w:rsidR="00686EFD" w:rsidRDefault="00686EFD">
      <w:r>
        <w:continuationSeparator/>
      </w:r>
    </w:p>
  </w:footnote>
  <w:footnote w:id="1">
    <w:p w:rsidR="00B97743" w:rsidRDefault="00B97743" w:rsidP="00D617FF">
      <w:pPr>
        <w:pStyle w:val="FootnoteText"/>
      </w:pPr>
      <w:r>
        <w:rPr>
          <w:rStyle w:val="FootnoteReference"/>
        </w:rPr>
        <w:footnoteRef/>
      </w:r>
      <w:r>
        <w:t xml:space="preserve">  </w:t>
      </w:r>
      <w:proofErr w:type="spellStart"/>
      <w:r>
        <w:t>Boughton</w:t>
      </w:r>
      <w:proofErr w:type="spellEnd"/>
      <w:r>
        <w:t xml:space="preserve"> (2001, p. 68).   The leitmotif over the decades in negotiations over the world monetary system is that the </w:t>
      </w:r>
      <w:smartTag w:uri="urn:schemas-microsoft-com:office:smarttags" w:element="country-region">
        <w:smartTag w:uri="urn:schemas-microsoft-com:office:smarttags" w:element="place">
          <w:r>
            <w:t>US</w:t>
          </w:r>
        </w:smartTag>
      </w:smartTag>
      <w:r>
        <w:t xml:space="preserve"> has favored free-floating exchange rates and the French have opposed them.   The history of the 1970s negotiations is in de </w:t>
      </w:r>
      <w:proofErr w:type="spellStart"/>
      <w:r>
        <w:t>Vries</w:t>
      </w:r>
      <w:proofErr w:type="spellEnd"/>
      <w:r>
        <w:t xml:space="preserve"> (1986).</w:t>
      </w:r>
    </w:p>
  </w:footnote>
  <w:footnote w:id="2">
    <w:p w:rsidR="00B97743" w:rsidRDefault="00B97743">
      <w:pPr>
        <w:pStyle w:val="FootnoteText"/>
      </w:pPr>
      <w:r>
        <w:rPr>
          <w:rStyle w:val="FootnoteReference"/>
        </w:rPr>
        <w:footnoteRef/>
      </w:r>
      <w:r>
        <w:t xml:space="preserve"> International Monetary Fund (2006b, p. 15):   “…the term ‘in order to prevent balance of payments adjustment’ is sufficiently broad to cover situations where a member is manipulating its exchange rate in a manner that makes it either overvalued or undervalued.”</w:t>
      </w:r>
    </w:p>
  </w:footnote>
  <w:footnote w:id="3">
    <w:p w:rsidR="00B97743" w:rsidRDefault="00B97743" w:rsidP="00404F4B">
      <w:pPr>
        <w:pStyle w:val="FootnoteText"/>
      </w:pPr>
      <w:r>
        <w:rPr>
          <w:rStyle w:val="FootnoteReference"/>
        </w:rPr>
        <w:footnoteRef/>
      </w:r>
      <w:r>
        <w:t xml:space="preserve"> Frankel (2006a) presents the arguments, and gives references to other recent writings.  In its Article IV consultation of October 2006, the International Monetary </w:t>
      </w:r>
      <w:proofErr w:type="gramStart"/>
      <w:r>
        <w:t>Fund  took</w:t>
      </w:r>
      <w:proofErr w:type="gramEnd"/>
      <w:r>
        <w:t xml:space="preserve"> the position that the RMB was undervalued as well.</w:t>
      </w:r>
    </w:p>
  </w:footnote>
  <w:footnote w:id="4">
    <w:p w:rsidR="00B97743" w:rsidRDefault="00B97743">
      <w:pPr>
        <w:pStyle w:val="FootnoteText"/>
      </w:pPr>
      <w:r>
        <w:rPr>
          <w:rStyle w:val="FootnoteReference"/>
        </w:rPr>
        <w:footnoteRef/>
      </w:r>
      <w:r>
        <w:t xml:space="preserve"> A cumulative 6 % appreciation of the RMB against the dollar by the end of 2006 – 1/</w:t>
      </w:r>
      <w:proofErr w:type="gramStart"/>
      <w:r>
        <w:t>17</w:t>
      </w:r>
      <w:r w:rsidRPr="001610EC">
        <w:rPr>
          <w:vertAlign w:val="superscript"/>
        </w:rPr>
        <w:t>th</w:t>
      </w:r>
      <w:r>
        <w:t xml:space="preserve">  of</w:t>
      </w:r>
      <w:proofErr w:type="gramEnd"/>
      <w:r>
        <w:t xml:space="preserve"> the maximum possible trend -- has been widely reported.  But this number fails to distinguish between appreciation against a basket and appreciation against the dollar due to changes in the cross rates of currencies within the basket.    Indeed, the effective exchange rate has hardly changed at all during this period.</w:t>
      </w:r>
    </w:p>
  </w:footnote>
  <w:footnote w:id="5">
    <w:p w:rsidR="00B97743" w:rsidRDefault="00B97743" w:rsidP="00B94EC9">
      <w:pPr>
        <w:pStyle w:val="FootnoteText"/>
      </w:pPr>
      <w:r>
        <w:rPr>
          <w:rStyle w:val="FootnoteReference"/>
        </w:rPr>
        <w:footnoteRef/>
      </w:r>
      <w:r>
        <w:t xml:space="preserve"> In an exercise roughly analogous to this one, Noland (1997) found that bilateral trade imbalances explain the judgments of partners’ trade policies that are made in annually mandated reports to Congress by the US Trade Representative</w:t>
      </w:r>
    </w:p>
  </w:footnote>
  <w:footnote w:id="6">
    <w:p w:rsidR="00B97743" w:rsidRPr="00D31BE4" w:rsidRDefault="00B97743" w:rsidP="009B71FA">
      <w:pPr>
        <w:pStyle w:val="FootnoteText"/>
      </w:pPr>
      <w:r>
        <w:rPr>
          <w:rStyle w:val="FootnoteReference"/>
        </w:rPr>
        <w:footnoteRef/>
      </w:r>
      <w:r>
        <w:t xml:space="preserve"> For the Korean case, see Bergsten (1989) and Frankel (</w:t>
      </w:r>
      <w:smartTag w:uri="urn:schemas-microsoft-com:office:smarttags" w:element="chmetcnv">
        <w:smartTagPr>
          <w:attr w:name="TCSC" w:val="0"/>
          <w:attr w:name="NumberType" w:val="1"/>
          <w:attr w:name="Negative" w:val="False"/>
          <w:attr w:name="HasSpace" w:val="False"/>
          <w:attr w:name="SourceValue" w:val="1993"/>
          <w:attr w:name="UnitName" w:val="a"/>
        </w:smartTagPr>
        <w:r>
          <w:t>1993a</w:t>
        </w:r>
      </w:smartTag>
      <w:r>
        <w:t xml:space="preserve">, b).  There was an earlier precedent in the Yen-dollar talks of 1983-84, in which the US Treasury pressured </w:t>
      </w:r>
      <w:smartTag w:uri="urn:schemas-microsoft-com:office:smarttags" w:element="country-region">
        <w:smartTag w:uri="urn:schemas-microsoft-com:office:smarttags" w:element="place">
          <w:r>
            <w:t>Japan</w:t>
          </w:r>
        </w:smartTag>
      </w:smartTag>
      <w:r>
        <w:t xml:space="preserve"> to open its capital markets, with the motive of allowing appreciation of the yen, and reducing the pattern of capital flowing from surplus </w:t>
      </w:r>
      <w:smartTag w:uri="urn:schemas-microsoft-com:office:smarttags" w:element="country-region">
        <w:smartTag w:uri="urn:schemas-microsoft-com:office:smarttags" w:element="place">
          <w:r>
            <w:t>Japan</w:t>
          </w:r>
        </w:smartTag>
      </w:smartTag>
      <w:r>
        <w:t xml:space="preserve"> to deficit </w:t>
      </w:r>
      <w:r w:rsidRPr="00D31BE4">
        <w:t>America (Frankel, 1984).</w:t>
      </w:r>
    </w:p>
  </w:footnote>
  <w:footnote w:id="7">
    <w:p w:rsidR="00B97743" w:rsidRPr="00D31BE4" w:rsidRDefault="00B97743" w:rsidP="00D31BE4">
      <w:pPr>
        <w:rPr>
          <w:sz w:val="20"/>
          <w:szCs w:val="20"/>
        </w:rPr>
      </w:pPr>
      <w:r w:rsidRPr="00D31BE4">
        <w:rPr>
          <w:rStyle w:val="FootnoteReference"/>
          <w:sz w:val="20"/>
          <w:szCs w:val="20"/>
        </w:rPr>
        <w:footnoteRef/>
      </w:r>
      <w:r w:rsidRPr="00D31BE4">
        <w:rPr>
          <w:sz w:val="20"/>
          <w:szCs w:val="20"/>
        </w:rPr>
        <w:t xml:space="preserve"> Bergsten (2006), Frankel (2005, </w:t>
      </w:r>
      <w:smartTag w:uri="urn:schemas-microsoft-com:office:smarttags" w:element="chmetcnv">
        <w:smartTagPr>
          <w:attr w:name="TCSC" w:val="0"/>
          <w:attr w:name="NumberType" w:val="1"/>
          <w:attr w:name="Negative" w:val="False"/>
          <w:attr w:name="HasSpace" w:val="False"/>
          <w:attr w:name="SourceValue" w:val="2006"/>
          <w:attr w:name="UnitName" w:val="a"/>
        </w:smartTagPr>
        <w:r w:rsidRPr="00D31BE4">
          <w:rPr>
            <w:sz w:val="20"/>
            <w:szCs w:val="20"/>
          </w:rPr>
          <w:t>2006a</w:t>
        </w:r>
      </w:smartTag>
      <w:r w:rsidRPr="00D31BE4">
        <w:rPr>
          <w:sz w:val="20"/>
          <w:szCs w:val="20"/>
        </w:rPr>
        <w:t>), Goldstein (2003, 2004), Goldstein and Lardy (2003, 2005), and Roubini (2007) are among those in favor of increased flexibility and/or revaluation for the y</w:t>
      </w:r>
      <w:r>
        <w:rPr>
          <w:sz w:val="20"/>
          <w:szCs w:val="20"/>
        </w:rPr>
        <w:t xml:space="preserve">uan.  McKinnon (2006), McKinnon </w:t>
      </w:r>
      <w:r w:rsidRPr="00D31BE4">
        <w:rPr>
          <w:sz w:val="20"/>
          <w:szCs w:val="20"/>
        </w:rPr>
        <w:t xml:space="preserve">and </w:t>
      </w:r>
      <w:proofErr w:type="spellStart"/>
      <w:r w:rsidRPr="00D31BE4">
        <w:rPr>
          <w:sz w:val="20"/>
          <w:szCs w:val="20"/>
        </w:rPr>
        <w:t>Schnabl</w:t>
      </w:r>
      <w:proofErr w:type="spellEnd"/>
      <w:r w:rsidRPr="00D31BE4">
        <w:rPr>
          <w:sz w:val="20"/>
          <w:szCs w:val="20"/>
        </w:rPr>
        <w:t xml:space="preserve"> (200</w:t>
      </w:r>
      <w:r>
        <w:rPr>
          <w:sz w:val="20"/>
          <w:szCs w:val="20"/>
        </w:rPr>
        <w:t>4a</w:t>
      </w:r>
      <w:r w:rsidRPr="00D31BE4">
        <w:rPr>
          <w:sz w:val="20"/>
          <w:szCs w:val="20"/>
        </w:rPr>
        <w:t>, 2004</w:t>
      </w:r>
      <w:r>
        <w:rPr>
          <w:sz w:val="20"/>
          <w:szCs w:val="20"/>
        </w:rPr>
        <w:t>b</w:t>
      </w:r>
      <w:r w:rsidRPr="00D31BE4">
        <w:rPr>
          <w:sz w:val="20"/>
          <w:szCs w:val="20"/>
        </w:rPr>
        <w:t>)</w:t>
      </w:r>
      <w:proofErr w:type="gramStart"/>
      <w:r w:rsidRPr="00D31BE4">
        <w:rPr>
          <w:sz w:val="20"/>
          <w:szCs w:val="20"/>
        </w:rPr>
        <w:t>,  Mundell</w:t>
      </w:r>
      <w:proofErr w:type="gramEnd"/>
      <w:r w:rsidRPr="00D31BE4">
        <w:rPr>
          <w:sz w:val="20"/>
          <w:szCs w:val="20"/>
        </w:rPr>
        <w:t xml:space="preserve"> (2004) </w:t>
      </w:r>
      <w:r w:rsidRPr="00D31BE4">
        <w:rPr>
          <w:rFonts w:hint="eastAsia"/>
          <w:sz w:val="20"/>
          <w:szCs w:val="20"/>
          <w:lang w:eastAsia="zh-CN"/>
        </w:rPr>
        <w:t xml:space="preserve">and </w:t>
      </w:r>
      <w:r w:rsidRPr="00D31BE4">
        <w:rPr>
          <w:sz w:val="20"/>
          <w:szCs w:val="20"/>
        </w:rPr>
        <w:t>Cooper (2005) are among those opposed.</w:t>
      </w:r>
    </w:p>
  </w:footnote>
  <w:footnote w:id="8">
    <w:p w:rsidR="00B97743" w:rsidRDefault="00B97743" w:rsidP="00C54208">
      <w:pPr>
        <w:pStyle w:val="FootnoteText"/>
      </w:pPr>
      <w:r>
        <w:rPr>
          <w:rStyle w:val="FootnoteReference"/>
        </w:rPr>
        <w:footnoteRef/>
      </w:r>
      <w:r>
        <w:t xml:space="preserve"> By now Schumer and Graham have backed off approximately three times: first after a weeklong visit to </w:t>
      </w:r>
      <w:smartTag w:uri="urn:schemas-microsoft-com:office:smarttags" w:element="country-region">
        <w:smartTag w:uri="urn:schemas-microsoft-com:office:smarttags" w:element="place">
          <w:r>
            <w:t>China</w:t>
          </w:r>
        </w:smartTag>
      </w:smartTag>
      <w:r>
        <w:t xml:space="preserve"> where they became more familiar with the situation; second after </w:t>
      </w:r>
      <w:smartTag w:uri="urn:schemas-microsoft-com:office:smarttags" w:element="country-region">
        <w:smartTag w:uri="urn:schemas-microsoft-com:office:smarttags" w:element="place">
          <w:r>
            <w:t>China</w:t>
          </w:r>
        </w:smartTag>
      </w:smartTag>
      <w:r>
        <w:t>’s July 2005 announcement of a change in regime, and third in 2006 when Henry Paulson was named Treasury Secretary.  But they may return.</w:t>
      </w:r>
    </w:p>
  </w:footnote>
  <w:footnote w:id="9">
    <w:p w:rsidR="00B97743" w:rsidRDefault="00B97743" w:rsidP="00012140">
      <w:pPr>
        <w:pStyle w:val="FootnoteText"/>
      </w:pPr>
      <w:r>
        <w:rPr>
          <w:rStyle w:val="FootnoteReference"/>
        </w:rPr>
        <w:footnoteRef/>
      </w:r>
      <w:r>
        <w:t>The reports are often submitted one or more months later than they are officially due. Perhaps busy Treasury officials do not relish devoting resources to producing a document that, at best, is ignored, and, at worst, becomes the grist for attacks by grandstanding Congressmen.</w:t>
      </w:r>
    </w:p>
  </w:footnote>
  <w:footnote w:id="10">
    <w:p w:rsidR="00B97743" w:rsidRDefault="00B97743">
      <w:pPr>
        <w:pStyle w:val="FootnoteText"/>
      </w:pPr>
      <w:r>
        <w:rPr>
          <w:rStyle w:val="FootnoteReference"/>
        </w:rPr>
        <w:footnoteRef/>
      </w:r>
      <w:r>
        <w:t xml:space="preserve">  This paper focuses on the </w:t>
      </w:r>
      <w:smartTag w:uri="urn:schemas-microsoft-com:office:smarttags" w:element="country-region">
        <w:smartTag w:uri="urn:schemas-microsoft-com:office:smarttags" w:element="place">
          <w:r>
            <w:t>US</w:t>
          </w:r>
        </w:smartTag>
      </w:smartTag>
      <w:r>
        <w:t xml:space="preserve"> legislation and Treasury reports, more than the wisdom of IMF surveillance.  The authors personally incline to the view that this provision in the Articles of Agreement has been used so rarely, and findings of manipulation are so subjective (especially when the country in question is seeking to maintain a peg), that the language of “unfair manipulation” is not appropriate even for a country with massive, persistent, and undesirable surpluses on its current account or overall balance of payments.   “Unfairness” should be alleged rarely, and only when on firm ground, such as allegations of violations of international trade agreements.</w:t>
      </w:r>
    </w:p>
  </w:footnote>
  <w:footnote w:id="11">
    <w:p w:rsidR="00B97743" w:rsidRPr="006E7BAE" w:rsidRDefault="00B97743" w:rsidP="00965379">
      <w:pPr>
        <w:pStyle w:val="FootnoteText"/>
      </w:pPr>
      <w:r>
        <w:rPr>
          <w:rStyle w:val="FootnoteReference"/>
        </w:rPr>
        <w:footnoteRef/>
      </w:r>
      <w:r w:rsidRPr="006E7BAE">
        <w:t xml:space="preserve"> </w:t>
      </w:r>
      <w:r>
        <w:t xml:space="preserve">Less sophisticated estimation techniques were reported in the working paper version in addition to ordered probit: a linear specification, and a probit with a dichotomous dependent variable.  They are omitted here to save space.  </w:t>
      </w:r>
    </w:p>
  </w:footnote>
  <w:footnote w:id="12">
    <w:p w:rsidR="00B97743" w:rsidRDefault="00B97743">
      <w:pPr>
        <w:pStyle w:val="FootnoteText"/>
      </w:pPr>
      <w:r>
        <w:rPr>
          <w:rStyle w:val="FootnoteReference"/>
        </w:rPr>
        <w:footnoteRef/>
      </w:r>
      <w:r>
        <w:t xml:space="preserve"> Table 3 in the Working Paper suggests that the best scale variable for the change in reserves </w:t>
      </w:r>
      <w:r>
        <w:rPr>
          <w:rFonts w:hint="eastAsia"/>
          <w:lang w:eastAsia="zh-CN"/>
        </w:rPr>
        <w:t>is</w:t>
      </w:r>
      <w:r>
        <w:t xml:space="preserve"> GDP</w:t>
      </w:r>
      <w:proofErr w:type="gramStart"/>
      <w:r>
        <w:t>,  not</w:t>
      </w:r>
      <w:proofErr w:type="gramEnd"/>
      <w:r>
        <w:t xml:space="preserve"> the level of imports or the level of reserves itself.  Thus we report only that measure of reserves here.</w:t>
      </w:r>
    </w:p>
  </w:footnote>
  <w:footnote w:id="13">
    <w:p w:rsidR="00B97743" w:rsidRDefault="00B97743" w:rsidP="00550639">
      <w:pPr>
        <w:pStyle w:val="FootnoteText"/>
      </w:pPr>
      <w:r>
        <w:rPr>
          <w:rStyle w:val="FootnoteReference"/>
        </w:rPr>
        <w:footnoteRef/>
      </w:r>
      <w:r>
        <w:t xml:space="preserve"> Since virtually all the attention has been on Asian countries, we have also tried narrowing the sample further, first to 15 Asian countries, and then to the 8 who are actually named in the reports.   (Not reported here.)    Reducing the sample size in this way gives similar point estimates on all the variables, but deprives them of much of their statistical significance.   That the Treasury reports choose to focus on </w:t>
      </w:r>
      <w:smartTag w:uri="urn:schemas-microsoft-com:office:smarttags" w:element="place">
        <w:r>
          <w:t>Asia</w:t>
        </w:r>
      </w:smartTag>
      <w:r>
        <w:t xml:space="preserve"> is itself important information, and there seems little justification for throwing it away.  (But we give a taste of the smaller samples in Table 3.)</w:t>
      </w:r>
    </w:p>
  </w:footnote>
  <w:footnote w:id="14">
    <w:p w:rsidR="00B97743" w:rsidRDefault="00B97743">
      <w:pPr>
        <w:pStyle w:val="FootnoteText"/>
      </w:pPr>
      <w:r>
        <w:rPr>
          <w:rStyle w:val="FootnoteReference"/>
        </w:rPr>
        <w:footnoteRef/>
      </w:r>
      <w:r>
        <w:t xml:space="preserve"> When we include unemployment and the election dummy separately alongside their interaction, although all tend to lose significance, the interaction term dominates.   (Not reported here.)   Indeed the coefficient on regular election years isn’t even positive.   Particularly among the Asian countries that are the usual targets, high-unemployment election years are the ones that have the significant effects.</w:t>
      </w:r>
    </w:p>
  </w:footnote>
  <w:footnote w:id="15">
    <w:p w:rsidR="00B97743" w:rsidRDefault="00B97743">
      <w:pPr>
        <w:pStyle w:val="FootnoteText"/>
      </w:pPr>
      <w:r>
        <w:rPr>
          <w:rStyle w:val="FootnoteReference"/>
        </w:rPr>
        <w:footnoteRef/>
      </w:r>
      <w:r>
        <w:t xml:space="preserve"> </w:t>
      </w:r>
      <w:proofErr w:type="gramStart"/>
      <w:r>
        <w:t>Table 5 of the Working Paper.</w:t>
      </w:r>
      <w:proofErr w:type="gramEnd"/>
    </w:p>
  </w:footnote>
  <w:footnote w:id="16">
    <w:p w:rsidR="00B97743" w:rsidRDefault="00B97743" w:rsidP="00801375">
      <w:pPr>
        <w:pStyle w:val="FootnoteText"/>
      </w:pPr>
      <w:r>
        <w:rPr>
          <w:rStyle w:val="FootnoteReference"/>
        </w:rPr>
        <w:footnoteRef/>
      </w:r>
      <w:r w:rsidRPr="00661FAA">
        <w:rPr>
          <w:lang w:val="de-DE"/>
        </w:rPr>
        <w:t xml:space="preserve"> </w:t>
      </w:r>
      <w:r w:rsidRPr="00661FAA">
        <w:rPr>
          <w:lang w:val="de-DE"/>
        </w:rPr>
        <w:t>Frankel (1993) and Frankel and Wei (1994, 1995).</w:t>
      </w:r>
      <w:r>
        <w:rPr>
          <w:lang w:val="de-DE"/>
        </w:rPr>
        <w:t xml:space="preserve"> </w:t>
      </w:r>
      <w:r w:rsidRPr="00661FAA">
        <w:rPr>
          <w:lang w:val="de-DE"/>
        </w:rPr>
        <w:t xml:space="preserve"> </w:t>
      </w:r>
      <w:r>
        <w:t>The approach has since been used by others, including Bénassy-Quéré</w:t>
      </w:r>
      <w:r>
        <w:rPr>
          <w:snapToGrid w:val="0"/>
          <w:color w:val="000000"/>
        </w:rPr>
        <w:t xml:space="preserve"> (1999), </w:t>
      </w:r>
      <w:proofErr w:type="spellStart"/>
      <w:r>
        <w:t>Ohno</w:t>
      </w:r>
      <w:proofErr w:type="spellEnd"/>
      <w:r>
        <w:t xml:space="preserve"> (1999), </w:t>
      </w:r>
      <w:r>
        <w:rPr>
          <w:snapToGrid w:val="0"/>
          <w:color w:val="000000"/>
        </w:rPr>
        <w:t xml:space="preserve">Frankel, Schmukler </w:t>
      </w:r>
      <w:r>
        <w:rPr>
          <w:color w:val="000000"/>
        </w:rPr>
        <w:t>and Servén (2000),</w:t>
      </w:r>
      <w:r>
        <w:rPr>
          <w:snapToGrid w:val="0"/>
          <w:color w:val="000000"/>
        </w:rPr>
        <w:t xml:space="preserve"> and </w:t>
      </w:r>
      <w:r>
        <w:t xml:space="preserve">Bénassy-Quéré, Coeuré, </w:t>
      </w:r>
      <w:r w:rsidRPr="00B62950">
        <w:t>and Mignon (2004).</w:t>
      </w:r>
      <w:r>
        <w:t xml:space="preserve">   For the RMB: Eichengreen (2006), Shah, Zeileis, and Patnaik (2005), and </w:t>
      </w:r>
      <w:proofErr w:type="gramStart"/>
      <w:r>
        <w:t>Yamazaki  (</w:t>
      </w:r>
      <w:proofErr w:type="gramEnd"/>
      <w:r>
        <w:t xml:space="preserve">2006, p.8).  Haldane and Hall (1991) had earlier </w:t>
      </w:r>
      <w:proofErr w:type="gramStart"/>
      <w:r>
        <w:t>regressed</w:t>
      </w:r>
      <w:proofErr w:type="gramEnd"/>
      <w:r>
        <w:t xml:space="preserve"> the British pound exchange rate against the dollar and the Deutschemark; but t</w:t>
      </w:r>
      <w:r>
        <w:rPr>
          <w:rFonts w:hint="eastAsia"/>
          <w:lang w:eastAsia="zh-CN"/>
        </w:rPr>
        <w:t>heir</w:t>
      </w:r>
      <w:r>
        <w:t xml:space="preserve"> equation did not have a theoretical basis as estimation of basket weights, as the pound was not on a basket peg system.   </w:t>
      </w:r>
    </w:p>
  </w:footnote>
  <w:footnote w:id="17">
    <w:p w:rsidR="00B97743" w:rsidRPr="002F2F69" w:rsidRDefault="00B97743" w:rsidP="001610EC">
      <w:pPr>
        <w:rPr>
          <w:rFonts w:hint="eastAsia"/>
          <w:sz w:val="20"/>
          <w:szCs w:val="20"/>
          <w:lang w:eastAsia="zh-CN"/>
        </w:rPr>
      </w:pPr>
      <w:r w:rsidRPr="002F2F69">
        <w:rPr>
          <w:rStyle w:val="FootnoteReference"/>
          <w:sz w:val="20"/>
          <w:szCs w:val="20"/>
        </w:rPr>
        <w:footnoteRef/>
      </w:r>
      <w:r w:rsidRPr="002F2F69">
        <w:rPr>
          <w:sz w:val="20"/>
          <w:szCs w:val="20"/>
        </w:rPr>
        <w:t xml:space="preserve"> According to a 2006 report</w:t>
      </w:r>
      <w:r>
        <w:rPr>
          <w:sz w:val="20"/>
          <w:szCs w:val="20"/>
        </w:rPr>
        <w:t xml:space="preserve">, which may not be reliable, </w:t>
      </w:r>
      <w:r w:rsidRPr="002F2F69">
        <w:rPr>
          <w:sz w:val="20"/>
          <w:szCs w:val="20"/>
        </w:rPr>
        <w:t>Governor Zhou put the dollar weight at “much less than 50 percent.”</w:t>
      </w:r>
      <w:r>
        <w:rPr>
          <w:sz w:val="20"/>
          <w:szCs w:val="20"/>
        </w:rPr>
        <w:t xml:space="preserve"> </w:t>
      </w:r>
      <w:r>
        <w:rPr>
          <w:rFonts w:ascii="Helv" w:eastAsia="MS Mincho" w:hAnsi="Helv" w:cs="Helv"/>
          <w:color w:val="000000"/>
          <w:sz w:val="20"/>
          <w:szCs w:val="20"/>
          <w:lang w:eastAsia="ja-JP"/>
        </w:rPr>
        <w:t xml:space="preserve"> </w:t>
      </w:r>
      <w:r w:rsidRPr="001610EC">
        <w:rPr>
          <w:rFonts w:eastAsia="MS Mincho"/>
          <w:color w:val="000000"/>
          <w:sz w:val="16"/>
          <w:szCs w:val="16"/>
          <w:lang w:eastAsia="ja-JP"/>
        </w:rPr>
        <w:t>http://www.forbes.com/markets/feeds/afx/2006/01/26/afx2481184.html ,</w:t>
      </w:r>
      <w:r>
        <w:rPr>
          <w:rFonts w:hint="eastAsia"/>
          <w:sz w:val="20"/>
          <w:szCs w:val="20"/>
          <w:lang w:eastAsia="zh-CN"/>
        </w:rPr>
        <w:t xml:space="preserve"> </w:t>
      </w:r>
    </w:p>
    <w:p w:rsidR="00B97743" w:rsidRDefault="00B97743">
      <w:pPr>
        <w:pStyle w:val="FootnoteText"/>
      </w:pPr>
    </w:p>
  </w:footnote>
  <w:footnote w:id="18">
    <w:p w:rsidR="00B97743" w:rsidRPr="002F2F69" w:rsidRDefault="00B97743" w:rsidP="0095566A">
      <w:pPr>
        <w:jc w:val="both"/>
        <w:rPr>
          <w:sz w:val="20"/>
          <w:szCs w:val="20"/>
        </w:rPr>
      </w:pPr>
      <w:r w:rsidRPr="002F2F69">
        <w:rPr>
          <w:rStyle w:val="FootnoteReference"/>
          <w:sz w:val="20"/>
          <w:szCs w:val="20"/>
        </w:rPr>
        <w:footnoteRef/>
      </w:r>
      <w:r w:rsidRPr="002F2F69">
        <w:rPr>
          <w:sz w:val="20"/>
          <w:szCs w:val="20"/>
        </w:rPr>
        <w:t xml:space="preserve">  Frankel (1993) used purchasing power over a consumer basket of domestic goods as numeraire; Frankel and Wei (1995) used the SDR; Frankel and Wei (1994, 2006), </w:t>
      </w:r>
      <w:proofErr w:type="spellStart"/>
      <w:r w:rsidRPr="002F2F69">
        <w:rPr>
          <w:sz w:val="20"/>
          <w:szCs w:val="20"/>
        </w:rPr>
        <w:t>Ohno</w:t>
      </w:r>
      <w:proofErr w:type="spellEnd"/>
      <w:r w:rsidRPr="002F2F69">
        <w:rPr>
          <w:sz w:val="20"/>
          <w:szCs w:val="20"/>
        </w:rPr>
        <w:t xml:space="preserve"> (1999), and Eichengreen (2006) used the Swiss franc; </w:t>
      </w:r>
      <w:r w:rsidRPr="001610EC">
        <w:rPr>
          <w:sz w:val="20"/>
          <w:szCs w:val="20"/>
        </w:rPr>
        <w:t>Bénassy-Quéré</w:t>
      </w:r>
      <w:r w:rsidRPr="002F2F69">
        <w:rPr>
          <w:snapToGrid w:val="0"/>
          <w:color w:val="000000"/>
          <w:sz w:val="20"/>
          <w:szCs w:val="20"/>
        </w:rPr>
        <w:t xml:space="preserve"> (1999), the dollar; Frankel, Schmukler </w:t>
      </w:r>
      <w:r w:rsidRPr="002F2F69">
        <w:rPr>
          <w:color w:val="000000"/>
          <w:sz w:val="20"/>
          <w:szCs w:val="20"/>
        </w:rPr>
        <w:t>and Luis Servén (2000),</w:t>
      </w:r>
      <w:r w:rsidRPr="002F2F69">
        <w:rPr>
          <w:snapToGrid w:val="0"/>
          <w:color w:val="000000"/>
          <w:sz w:val="20"/>
          <w:szCs w:val="20"/>
        </w:rPr>
        <w:t xml:space="preserve"> a GDP-</w:t>
      </w:r>
      <w:r w:rsidRPr="002F2F69">
        <w:rPr>
          <w:sz w:val="20"/>
          <w:szCs w:val="20"/>
        </w:rPr>
        <w:t xml:space="preserve">weighted basket of five major currencies; </w:t>
      </w:r>
      <w:r w:rsidRPr="002F2F69">
        <w:rPr>
          <w:color w:val="000000"/>
          <w:sz w:val="20"/>
          <w:szCs w:val="20"/>
        </w:rPr>
        <w:t>and Yamazaki (2006), the Canadian dollar</w:t>
      </w:r>
      <w:r w:rsidRPr="002F2F69">
        <w:rPr>
          <w:sz w:val="20"/>
          <w:szCs w:val="20"/>
        </w:rPr>
        <w:t>.</w:t>
      </w:r>
    </w:p>
  </w:footnote>
  <w:footnote w:id="19">
    <w:p w:rsidR="00B97743" w:rsidRPr="002F2F69" w:rsidRDefault="00B97743">
      <w:pPr>
        <w:pStyle w:val="FootnoteText"/>
      </w:pPr>
      <w:r w:rsidRPr="002F2F69">
        <w:rPr>
          <w:rStyle w:val="FootnoteReference"/>
        </w:rPr>
        <w:footnoteRef/>
      </w:r>
      <w:r w:rsidRPr="002F2F69">
        <w:t xml:space="preserve"> If the linear equation holds precisely in terms of any one “correct” numeraire, then add the log exchange rate between that numeraire and any arbitrary unit to see that the equation also holds precisely in terms of the arbitrary numeraire.  This assumes the weights add to 1, and there is no error term, constant term, or other non-currency variable.</w:t>
      </w:r>
    </w:p>
  </w:footnote>
  <w:footnote w:id="20">
    <w:p w:rsidR="00B97743" w:rsidRDefault="00B97743">
      <w:pPr>
        <w:pStyle w:val="FootnoteText"/>
      </w:pPr>
    </w:p>
  </w:footnote>
  <w:footnote w:id="21">
    <w:p w:rsidR="00B97743" w:rsidRPr="002F1BAE" w:rsidRDefault="00B97743">
      <w:pPr>
        <w:pStyle w:val="FootnoteText"/>
        <w:rPr>
          <w:rFonts w:hint="eastAsia"/>
          <w:lang w:eastAsia="zh-CN"/>
        </w:rPr>
      </w:pPr>
      <w:r>
        <w:rPr>
          <w:rStyle w:val="FootnoteReference"/>
        </w:rPr>
        <w:footnoteRef/>
      </w:r>
      <w:r>
        <w:t xml:space="preserve"> </w:t>
      </w:r>
      <w:r>
        <w:rPr>
          <w:rFonts w:hint="eastAsia"/>
          <w:lang w:eastAsia="zh-CN"/>
        </w:rPr>
        <w:t xml:space="preserve">The last </w:t>
      </w:r>
      <w:proofErr w:type="spellStart"/>
      <w:r>
        <w:rPr>
          <w:rFonts w:hint="eastAsia"/>
          <w:lang w:eastAsia="zh-CN"/>
        </w:rPr>
        <w:t>subperiod</w:t>
      </w:r>
      <w:proofErr w:type="spellEnd"/>
      <w:r>
        <w:rPr>
          <w:rFonts w:hint="eastAsia"/>
          <w:lang w:eastAsia="zh-CN"/>
        </w:rPr>
        <w:t xml:space="preserve"> overlaps with the previous one for a month in order to ensure enough observations in the sample.</w:t>
      </w:r>
    </w:p>
  </w:footnote>
  <w:footnote w:id="22">
    <w:p w:rsidR="00B97743" w:rsidRDefault="00B97743">
      <w:pPr>
        <w:pStyle w:val="FootnoteText"/>
      </w:pPr>
      <w:r>
        <w:rPr>
          <w:rStyle w:val="FootnoteReference"/>
        </w:rPr>
        <w:footnoteRef/>
      </w:r>
      <w:r>
        <w:t xml:space="preserve"> When similar regressions are done for other currencies, most are seen to switch, from assigning significant weights to the US dollar in the first two sub-samples, to none in the third sub-sample.  The exceptions are Malaysia, which reduces its dollar weight from </w:t>
      </w:r>
      <w:smartTag w:uri="urn:schemas-microsoft-com:office:smarttags" w:element="chmetcnv">
        <w:smartTagPr>
          <w:attr w:name="TCSC" w:val="0"/>
          <w:attr w:name="NumberType" w:val="1"/>
          <w:attr w:name="Negative" w:val="False"/>
          <w:attr w:name="HasSpace" w:val="True"/>
          <w:attr w:name="SourceValue" w:val="0.964"/>
          <w:attr w:name="UnitName" w:val="in"/>
        </w:smartTagPr>
        <w:r>
          <w:t>0.964 in</w:t>
        </w:r>
      </w:smartTag>
      <w:r>
        <w:t xml:space="preserve"> the first sub-period to </w:t>
      </w:r>
      <w:smartTag w:uri="urn:schemas-microsoft-com:office:smarttags" w:element="chmetcnv">
        <w:smartTagPr>
          <w:attr w:name="TCSC" w:val="0"/>
          <w:attr w:name="NumberType" w:val="1"/>
          <w:attr w:name="Negative" w:val="False"/>
          <w:attr w:name="HasSpace" w:val="True"/>
          <w:attr w:name="SourceValue" w:val="0.608"/>
          <w:attr w:name="UnitName" w:val="in"/>
        </w:smartTagPr>
        <w:r>
          <w:t>0.608 in</w:t>
        </w:r>
      </w:smartTag>
      <w:r>
        <w:t xml:space="preserve"> the last sub-period, and Hong Kong SAR, the institutionally-fixed currency, which as expected continues to assign nearly 100% weight to the US dollar.  [These non-RMB results are reported in the working paper, but are omitted here to save space.]</w:t>
      </w:r>
    </w:p>
  </w:footnote>
  <w:footnote w:id="23">
    <w:p w:rsidR="00B97743" w:rsidRDefault="00B97743">
      <w:pPr>
        <w:pStyle w:val="FootnoteText"/>
      </w:pPr>
      <w:r>
        <w:rPr>
          <w:rStyle w:val="FootnoteReference"/>
        </w:rPr>
        <w:footnoteRef/>
      </w:r>
      <w:r>
        <w:t xml:space="preserve"> We have also allowed for non-linear trends, which would slow down with the passage of time.   The basic results were little changed.</w:t>
      </w:r>
    </w:p>
  </w:footnote>
  <w:footnote w:id="24">
    <w:p w:rsidR="00B97743" w:rsidRDefault="00B97743">
      <w:pPr>
        <w:pStyle w:val="FootnoteText"/>
      </w:pPr>
      <w:r>
        <w:rPr>
          <w:rStyle w:val="FootnoteReference"/>
        </w:rPr>
        <w:footnoteRef/>
      </w:r>
      <w:r>
        <w:t xml:space="preserve">  Results reported in the Working Paper.   When estimated separately, the effects of Treasury and non-Treasury complaints were not statistically significant (let alone the difference between the two)</w:t>
      </w:r>
      <w:proofErr w:type="gramStart"/>
      <w:r>
        <w:t>,  probably</w:t>
      </w:r>
      <w:proofErr w:type="gramEnd"/>
      <w:r>
        <w:t xml:space="preserve"> because they are collinear.   </w:t>
      </w:r>
    </w:p>
  </w:footnote>
  <w:footnote w:id="25">
    <w:p w:rsidR="00B97743" w:rsidRDefault="00B97743">
      <w:pPr>
        <w:pStyle w:val="FootnoteText"/>
      </w:pPr>
      <w:r>
        <w:rPr>
          <w:rStyle w:val="FootnoteReference"/>
        </w:rPr>
        <w:footnoteRef/>
      </w:r>
      <w:r>
        <w:t xml:space="preserve"> We tried also imposing the constraint that the relative importance of the non-dollar weights vis-à-vis each other remains constant over time, while still allowing the upward trend in their collective importance.   But this constraint was not supported by the data, and those results are not included here.</w:t>
      </w:r>
    </w:p>
  </w:footnote>
  <w:footnote w:id="26">
    <w:p w:rsidR="00B97743" w:rsidRPr="00254C51" w:rsidRDefault="00B97743" w:rsidP="00801375">
      <w:pPr>
        <w:pStyle w:val="FootnoteText"/>
      </w:pPr>
      <w:r w:rsidRPr="00254C51">
        <w:rPr>
          <w:rStyle w:val="FootnoteReference"/>
        </w:rPr>
        <w:footnoteRef/>
      </w:r>
      <w:r w:rsidRPr="00254C51">
        <w:t xml:space="preserve"> The SDR rate is reported once a day by the International Monetary Fund. However, since its composition is fixed in the sample except for a one-time discrete adjustment of the currency weights on January 1,</w:t>
      </w:r>
      <w:r>
        <w:t xml:space="preserve"> </w:t>
      </w:r>
      <w:r w:rsidRPr="00254C51">
        <w:t>2006, we can compute its intra-day rate vis-a-vis the dollar based on the intra-day exchange rates of the currencies that make up the SDR.</w:t>
      </w:r>
    </w:p>
  </w:footnote>
  <w:footnote w:id="27">
    <w:p w:rsidR="00B97743" w:rsidRPr="00254C51" w:rsidRDefault="00B97743" w:rsidP="002F2F69">
      <w:pPr>
        <w:rPr>
          <w:sz w:val="20"/>
          <w:szCs w:val="20"/>
        </w:rPr>
      </w:pPr>
      <w:r w:rsidRPr="00254C51">
        <w:rPr>
          <w:rStyle w:val="FootnoteReference"/>
          <w:sz w:val="20"/>
          <w:szCs w:val="20"/>
        </w:rPr>
        <w:footnoteRef/>
      </w:r>
      <w:r w:rsidRPr="00254C51">
        <w:rPr>
          <w:sz w:val="20"/>
          <w:szCs w:val="20"/>
        </w:rPr>
        <w:t xml:space="preserve"> Table 2</w:t>
      </w:r>
      <w:r>
        <w:rPr>
          <w:sz w:val="20"/>
          <w:szCs w:val="20"/>
        </w:rPr>
        <w:t>3</w:t>
      </w:r>
      <w:r w:rsidRPr="00254C51">
        <w:rPr>
          <w:sz w:val="20"/>
          <w:szCs w:val="20"/>
        </w:rPr>
        <w:t>A</w:t>
      </w:r>
      <w:r>
        <w:rPr>
          <w:sz w:val="20"/>
          <w:szCs w:val="20"/>
        </w:rPr>
        <w:t xml:space="preserve"> in the working paper </w:t>
      </w:r>
      <w:r w:rsidRPr="00254C51">
        <w:rPr>
          <w:sz w:val="20"/>
          <w:szCs w:val="20"/>
        </w:rPr>
        <w:t xml:space="preserve">repeats these estimation but using the Swiss franc as the numeraire currency.  </w:t>
      </w:r>
      <w:r>
        <w:rPr>
          <w:sz w:val="20"/>
          <w:szCs w:val="20"/>
        </w:rPr>
        <w:t xml:space="preserve"> </w:t>
      </w:r>
    </w:p>
  </w:footnote>
  <w:footnote w:id="28">
    <w:p w:rsidR="00B97743" w:rsidRDefault="00B97743">
      <w:pPr>
        <w:pStyle w:val="FootnoteText"/>
      </w:pPr>
      <w:r>
        <w:rPr>
          <w:rStyle w:val="FootnoteReference"/>
        </w:rPr>
        <w:footnoteRef/>
      </w:r>
      <w:r>
        <w:t xml:space="preserve"> As often with countries said to be on a currency board, Hong Kong SAR’s regime differs in some ways from a pure idealized currency board.</w:t>
      </w:r>
    </w:p>
  </w:footnote>
  <w:footnote w:id="29">
    <w:p w:rsidR="00B97743" w:rsidRPr="000344F1" w:rsidRDefault="00B97743" w:rsidP="001610EC">
      <w:pPr>
        <w:jc w:val="both"/>
      </w:pPr>
      <w:r>
        <w:rPr>
          <w:rStyle w:val="FootnoteReference"/>
        </w:rPr>
        <w:footnoteRef/>
      </w:r>
      <w:r>
        <w:t xml:space="preserve"> </w:t>
      </w:r>
      <w:r w:rsidRPr="001610EC">
        <w:rPr>
          <w:sz w:val="20"/>
          <w:szCs w:val="20"/>
        </w:rPr>
        <w:t>To Mervyn King</w:t>
      </w:r>
      <w:r>
        <w:rPr>
          <w:sz w:val="20"/>
          <w:szCs w:val="20"/>
        </w:rPr>
        <w:t xml:space="preserve"> (2006)</w:t>
      </w:r>
      <w:r w:rsidRPr="001610EC">
        <w:rPr>
          <w:sz w:val="20"/>
          <w:szCs w:val="20"/>
        </w:rPr>
        <w:t>, the IMF either takes this opportunity or else is out of a job</w:t>
      </w:r>
      <w:r>
        <w:rPr>
          <w:sz w:val="20"/>
          <w:szCs w:val="20"/>
        </w:rPr>
        <w:t>.</w:t>
      </w:r>
      <w:r w:rsidRPr="001610EC">
        <w:rPr>
          <w:sz w:val="20"/>
          <w:szCs w:val="20"/>
        </w:rPr>
        <w:t xml:space="preserve">   The </w:t>
      </w:r>
      <w:r>
        <w:rPr>
          <w:sz w:val="20"/>
          <w:szCs w:val="20"/>
        </w:rPr>
        <w:t>US</w:t>
      </w:r>
      <w:r w:rsidRPr="001610EC">
        <w:rPr>
          <w:sz w:val="20"/>
          <w:szCs w:val="20"/>
        </w:rPr>
        <w:t xml:space="preserve"> Treasury </w:t>
      </w:r>
      <w:r>
        <w:rPr>
          <w:sz w:val="20"/>
          <w:szCs w:val="20"/>
        </w:rPr>
        <w:t xml:space="preserve">also </w:t>
      </w:r>
      <w:r w:rsidRPr="001610EC">
        <w:rPr>
          <w:sz w:val="20"/>
          <w:szCs w:val="20"/>
        </w:rPr>
        <w:t xml:space="preserve">supported a </w:t>
      </w:r>
      <w:proofErr w:type="gramStart"/>
      <w:r w:rsidRPr="001610EC">
        <w:rPr>
          <w:sz w:val="20"/>
          <w:szCs w:val="20"/>
        </w:rPr>
        <w:t>strengthening  of</w:t>
      </w:r>
      <w:proofErr w:type="gramEnd"/>
      <w:r w:rsidRPr="001610EC">
        <w:rPr>
          <w:sz w:val="20"/>
          <w:szCs w:val="20"/>
        </w:rPr>
        <w:t xml:space="preserve"> IMF surveillance</w:t>
      </w:r>
      <w:r>
        <w:rPr>
          <w:sz w:val="20"/>
          <w:szCs w:val="20"/>
        </w:rPr>
        <w:t>:</w:t>
      </w:r>
      <w:r w:rsidRPr="001610EC">
        <w:rPr>
          <w:sz w:val="20"/>
          <w:szCs w:val="20"/>
        </w:rPr>
        <w:t xml:space="preserve"> in </w:t>
      </w:r>
      <w:smartTag w:uri="urn:schemas-microsoft-com:office:smarttags" w:element="place">
        <w:r w:rsidRPr="001610EC">
          <w:rPr>
            <w:snapToGrid w:val="0"/>
            <w:color w:val="000000"/>
            <w:sz w:val="20"/>
            <w:szCs w:val="20"/>
          </w:rPr>
          <w:t>Adams</w:t>
        </w:r>
      </w:smartTag>
      <w:r w:rsidRPr="001610EC">
        <w:rPr>
          <w:snapToGrid w:val="0"/>
          <w:color w:val="000000"/>
          <w:sz w:val="20"/>
          <w:szCs w:val="20"/>
        </w:rPr>
        <w:t xml:space="preserve"> (2006) and </w:t>
      </w:r>
      <w:r>
        <w:rPr>
          <w:snapToGrid w:val="0"/>
          <w:color w:val="000000"/>
          <w:sz w:val="20"/>
          <w:szCs w:val="20"/>
        </w:rPr>
        <w:t>US</w:t>
      </w:r>
      <w:r w:rsidRPr="001610EC">
        <w:rPr>
          <w:snapToGrid w:val="0"/>
          <w:color w:val="000000"/>
          <w:sz w:val="20"/>
          <w:szCs w:val="20"/>
        </w:rPr>
        <w:t xml:space="preserve"> Treasury (2006a)</w:t>
      </w:r>
      <w:r>
        <w:rPr>
          <w:snapToGrid w:val="0"/>
          <w:color w:val="000000"/>
          <w:sz w:val="20"/>
          <w:szCs w:val="20"/>
        </w:rPr>
        <w:t>, e.g., by making more explicit the definition of “protracted large-scale intervention.”   The IMF Managing Director responded to the new mandate with a process to review surveillance, both bilateral and multilateral, as part of his Medium-Term Strategy for the Fund.</w:t>
      </w:r>
    </w:p>
  </w:footnote>
  <w:footnote w:id="30">
    <w:p w:rsidR="00B97743" w:rsidRDefault="00B97743" w:rsidP="00767F64">
      <w:pPr>
        <w:pStyle w:val="FootnoteText"/>
      </w:pPr>
      <w:r>
        <w:rPr>
          <w:rStyle w:val="FootnoteReference"/>
        </w:rPr>
        <w:footnoteRef/>
      </w:r>
      <w:r>
        <w:t xml:space="preserve">  Frankel (2006b) considers the various arguments.</w:t>
      </w:r>
    </w:p>
  </w:footnote>
  <w:footnote w:id="31">
    <w:p w:rsidR="00B97743" w:rsidRDefault="00B97743" w:rsidP="00767F64">
      <w:pPr>
        <w:pStyle w:val="FootnoteText"/>
      </w:pPr>
      <w:r>
        <w:rPr>
          <w:rStyle w:val="FootnoteReference"/>
        </w:rPr>
        <w:footnoteRef/>
      </w:r>
      <w:r>
        <w:t xml:space="preserve">  Traditionally the part of European policymakers is to agree to make their goods and labor markets more flexible.  Perhaps a more realistic European contribution to the package could be an agreement to stand by in the event that the dollar goes into uncontrolled freefall, ready to buy up dollars to put a reasonable floor under its value.  Talk of a “new Plaza Agreement” could be dangerous unless there is also a “new Louvre Agreement” waiting in the wings.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43" w:rsidRDefault="00B97743">
    <w:pPr>
      <w:pStyle w:val="Header"/>
      <w:tabs>
        <w:tab w:val="clear" w:pos="8640"/>
        <w:tab w:val="right" w:pos="9000"/>
      </w:tabs>
    </w:pPr>
    <w:r>
      <w:tab/>
      <w:t xml:space="preserve"> </w:t>
    </w:r>
    <w:r>
      <w:fldChar w:fldCharType="begin"/>
    </w:r>
    <w:r>
      <w:instrText xml:space="preserve"> PAGE </w:instrText>
    </w:r>
    <w:r>
      <w:fldChar w:fldCharType="separate"/>
    </w:r>
    <w:r w:rsidR="005C6E77">
      <w:rPr>
        <w:noProof/>
      </w:rPr>
      <w:t>38</w:t>
    </w:r>
    <w: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43" w:rsidRDefault="00B97743">
    <w:pPr>
      <w:pStyle w:val="Header"/>
      <w:tabs>
        <w:tab w:val="clear" w:pos="8640"/>
        <w:tab w:val="right" w:pos="90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43" w:rsidRDefault="00B97743">
    <w:pPr>
      <w:pStyle w:val="Header"/>
      <w:tabs>
        <w:tab w:val="clear" w:pos="8640"/>
        <w:tab w:val="right" w:pos="9000"/>
      </w:tabs>
    </w:pPr>
    <w:r>
      <w:tab/>
      <w:t xml:space="preserve"> </w:t>
    </w:r>
    <w:r>
      <w:fldChar w:fldCharType="begin"/>
    </w:r>
    <w:r>
      <w:instrText xml:space="preserve"> PAGE </w:instrText>
    </w:r>
    <w:r>
      <w:fldChar w:fldCharType="separate"/>
    </w:r>
    <w:r w:rsidR="005C6E77">
      <w:rPr>
        <w:noProof/>
      </w:rPr>
      <w:t>44</w:t>
    </w:r>
    <w:r>
      <w:fldChar w:fldCharType="end"/>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43" w:rsidRDefault="00B97743">
    <w:pPr>
      <w:pStyle w:val="Header"/>
      <w:tabs>
        <w:tab w:val="clear" w:pos="8640"/>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E44308"/>
    <w:lvl w:ilvl="0">
      <w:start w:val="1"/>
      <w:numFmt w:val="decimal"/>
      <w:lvlText w:val="%1."/>
      <w:lvlJc w:val="left"/>
      <w:pPr>
        <w:tabs>
          <w:tab w:val="num" w:pos="1800"/>
        </w:tabs>
        <w:ind w:left="1800" w:hanging="360"/>
      </w:pPr>
    </w:lvl>
  </w:abstractNum>
  <w:abstractNum w:abstractNumId="1">
    <w:nsid w:val="FFFFFF7D"/>
    <w:multiLevelType w:val="singleLevel"/>
    <w:tmpl w:val="5D5C179A"/>
    <w:lvl w:ilvl="0">
      <w:start w:val="1"/>
      <w:numFmt w:val="decimal"/>
      <w:lvlText w:val="%1."/>
      <w:lvlJc w:val="left"/>
      <w:pPr>
        <w:tabs>
          <w:tab w:val="num" w:pos="1440"/>
        </w:tabs>
        <w:ind w:left="1440" w:hanging="360"/>
      </w:pPr>
    </w:lvl>
  </w:abstractNum>
  <w:abstractNum w:abstractNumId="2">
    <w:nsid w:val="FFFFFF7E"/>
    <w:multiLevelType w:val="singleLevel"/>
    <w:tmpl w:val="DC321FD6"/>
    <w:lvl w:ilvl="0">
      <w:start w:val="1"/>
      <w:numFmt w:val="decimal"/>
      <w:lvlText w:val="%1."/>
      <w:lvlJc w:val="left"/>
      <w:pPr>
        <w:tabs>
          <w:tab w:val="num" w:pos="1080"/>
        </w:tabs>
        <w:ind w:left="1080" w:hanging="360"/>
      </w:pPr>
    </w:lvl>
  </w:abstractNum>
  <w:abstractNum w:abstractNumId="3">
    <w:nsid w:val="FFFFFF7F"/>
    <w:multiLevelType w:val="singleLevel"/>
    <w:tmpl w:val="1092FA42"/>
    <w:lvl w:ilvl="0">
      <w:start w:val="1"/>
      <w:numFmt w:val="decimal"/>
      <w:lvlText w:val="%1."/>
      <w:lvlJc w:val="left"/>
      <w:pPr>
        <w:tabs>
          <w:tab w:val="num" w:pos="720"/>
        </w:tabs>
        <w:ind w:left="720" w:hanging="360"/>
      </w:pPr>
    </w:lvl>
  </w:abstractNum>
  <w:abstractNum w:abstractNumId="4">
    <w:nsid w:val="FFFFFF80"/>
    <w:multiLevelType w:val="singleLevel"/>
    <w:tmpl w:val="1F9E4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72F9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95C68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976226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DEA08A6"/>
    <w:lvl w:ilvl="0">
      <w:start w:val="1"/>
      <w:numFmt w:val="decimal"/>
      <w:lvlText w:val="%1."/>
      <w:lvlJc w:val="left"/>
      <w:pPr>
        <w:tabs>
          <w:tab w:val="num" w:pos="360"/>
        </w:tabs>
        <w:ind w:left="360" w:hanging="360"/>
      </w:pPr>
    </w:lvl>
  </w:abstractNum>
  <w:abstractNum w:abstractNumId="9">
    <w:nsid w:val="FFFFFF89"/>
    <w:multiLevelType w:val="singleLevel"/>
    <w:tmpl w:val="4740BA94"/>
    <w:lvl w:ilvl="0">
      <w:start w:val="1"/>
      <w:numFmt w:val="bullet"/>
      <w:pStyle w:val="ListBullet"/>
      <w:lvlText w:val=""/>
      <w:lvlJc w:val="left"/>
      <w:pPr>
        <w:tabs>
          <w:tab w:val="num" w:pos="720"/>
        </w:tabs>
        <w:ind w:left="720" w:hanging="720"/>
      </w:pPr>
      <w:rPr>
        <w:rFonts w:ascii="Symbol" w:hAnsi="Symbol" w:hint="default"/>
      </w:rPr>
    </w:lvl>
  </w:abstractNum>
  <w:abstractNum w:abstractNumId="1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335D05"/>
    <w:multiLevelType w:val="multilevel"/>
    <w:tmpl w:val="853256AE"/>
    <w:lvl w:ilvl="0">
      <w:start w:val="3"/>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21D4965"/>
    <w:multiLevelType w:val="multilevel"/>
    <w:tmpl w:val="853256AE"/>
    <w:lvl w:ilvl="0">
      <w:start w:val="3"/>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A4446AB"/>
    <w:multiLevelType w:val="multilevel"/>
    <w:tmpl w:val="A92A63E8"/>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DAD22C3"/>
    <w:multiLevelType w:val="multilevel"/>
    <w:tmpl w:val="901ACDE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FEB5702"/>
    <w:multiLevelType w:val="multilevel"/>
    <w:tmpl w:val="81EA4CDA"/>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0EA15A1"/>
    <w:multiLevelType w:val="multilevel"/>
    <w:tmpl w:val="FAA42BFC"/>
    <w:lvl w:ilvl="0">
      <w:start w:val="1"/>
      <w:numFmt w:val="upperRoman"/>
      <w:pStyle w:val="Heading1"/>
      <w:suff w:val="nothing"/>
      <w:lvlText w:val="%1.   "/>
      <w:lvlJc w:val="left"/>
      <w:pPr>
        <w:ind w:left="0" w:firstLine="0"/>
      </w:pPr>
      <w:rPr>
        <w:rFonts w:hint="default"/>
      </w:rPr>
    </w:lvl>
    <w:lvl w:ilvl="1">
      <w:start w:val="1"/>
      <w:numFmt w:val="upperLetter"/>
      <w:pStyle w:val="Heading2"/>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num w:numId="1">
    <w:abstractNumId w:val="16"/>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1"/>
  </w:num>
  <w:num w:numId="15">
    <w:abstractNumId w:val="12"/>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6D1"/>
    <w:rsid w:val="0000049C"/>
    <w:rsid w:val="00004528"/>
    <w:rsid w:val="00010512"/>
    <w:rsid w:val="000109A2"/>
    <w:rsid w:val="00012140"/>
    <w:rsid w:val="00014E33"/>
    <w:rsid w:val="0001613C"/>
    <w:rsid w:val="000166ED"/>
    <w:rsid w:val="00022D16"/>
    <w:rsid w:val="00024103"/>
    <w:rsid w:val="000241F6"/>
    <w:rsid w:val="0002573A"/>
    <w:rsid w:val="000344F1"/>
    <w:rsid w:val="00035ABE"/>
    <w:rsid w:val="000445D9"/>
    <w:rsid w:val="0004515E"/>
    <w:rsid w:val="00046626"/>
    <w:rsid w:val="00062369"/>
    <w:rsid w:val="00063AA4"/>
    <w:rsid w:val="00065CC8"/>
    <w:rsid w:val="00071BF1"/>
    <w:rsid w:val="000741B2"/>
    <w:rsid w:val="00075BEC"/>
    <w:rsid w:val="000765A7"/>
    <w:rsid w:val="00077759"/>
    <w:rsid w:val="0008059C"/>
    <w:rsid w:val="0009269C"/>
    <w:rsid w:val="0009772B"/>
    <w:rsid w:val="000A607A"/>
    <w:rsid w:val="000A6C55"/>
    <w:rsid w:val="000B1DDC"/>
    <w:rsid w:val="000B5B78"/>
    <w:rsid w:val="000B6A48"/>
    <w:rsid w:val="000C053C"/>
    <w:rsid w:val="000C0BB8"/>
    <w:rsid w:val="000C0C89"/>
    <w:rsid w:val="000C6034"/>
    <w:rsid w:val="000C67C8"/>
    <w:rsid w:val="000C7BDD"/>
    <w:rsid w:val="000D1E37"/>
    <w:rsid w:val="000D4B57"/>
    <w:rsid w:val="000D7F28"/>
    <w:rsid w:val="000E5A45"/>
    <w:rsid w:val="000E6B41"/>
    <w:rsid w:val="000F4C37"/>
    <w:rsid w:val="000F4E76"/>
    <w:rsid w:val="000F5EBB"/>
    <w:rsid w:val="000F6ACD"/>
    <w:rsid w:val="00101F0F"/>
    <w:rsid w:val="001028DE"/>
    <w:rsid w:val="0010779B"/>
    <w:rsid w:val="0011169A"/>
    <w:rsid w:val="00113BF7"/>
    <w:rsid w:val="00113F6F"/>
    <w:rsid w:val="0011791B"/>
    <w:rsid w:val="00117B2A"/>
    <w:rsid w:val="00121751"/>
    <w:rsid w:val="0012331C"/>
    <w:rsid w:val="00123A45"/>
    <w:rsid w:val="00123BA3"/>
    <w:rsid w:val="0012524F"/>
    <w:rsid w:val="001260FB"/>
    <w:rsid w:val="001343CA"/>
    <w:rsid w:val="001379D2"/>
    <w:rsid w:val="00147064"/>
    <w:rsid w:val="0015189F"/>
    <w:rsid w:val="001610EC"/>
    <w:rsid w:val="001633E0"/>
    <w:rsid w:val="0016381F"/>
    <w:rsid w:val="00173425"/>
    <w:rsid w:val="001766F7"/>
    <w:rsid w:val="00177275"/>
    <w:rsid w:val="001801E1"/>
    <w:rsid w:val="00180B91"/>
    <w:rsid w:val="00182D98"/>
    <w:rsid w:val="00184F98"/>
    <w:rsid w:val="00195386"/>
    <w:rsid w:val="001975EE"/>
    <w:rsid w:val="001976F2"/>
    <w:rsid w:val="001A250E"/>
    <w:rsid w:val="001A32D5"/>
    <w:rsid w:val="001A675B"/>
    <w:rsid w:val="001B04D1"/>
    <w:rsid w:val="001B1172"/>
    <w:rsid w:val="001B534D"/>
    <w:rsid w:val="001B57EB"/>
    <w:rsid w:val="001B63B3"/>
    <w:rsid w:val="001B72BB"/>
    <w:rsid w:val="001C1FCF"/>
    <w:rsid w:val="001C26D7"/>
    <w:rsid w:val="001C2CF1"/>
    <w:rsid w:val="001C4C87"/>
    <w:rsid w:val="001C4E1A"/>
    <w:rsid w:val="001C55EC"/>
    <w:rsid w:val="001C5BEA"/>
    <w:rsid w:val="001C7456"/>
    <w:rsid w:val="001D2C55"/>
    <w:rsid w:val="001D7C38"/>
    <w:rsid w:val="001E4351"/>
    <w:rsid w:val="001E6651"/>
    <w:rsid w:val="001E66D5"/>
    <w:rsid w:val="001F3038"/>
    <w:rsid w:val="001F5331"/>
    <w:rsid w:val="001F737E"/>
    <w:rsid w:val="00201383"/>
    <w:rsid w:val="00203923"/>
    <w:rsid w:val="00204A0F"/>
    <w:rsid w:val="00206DC8"/>
    <w:rsid w:val="0021634A"/>
    <w:rsid w:val="002174BB"/>
    <w:rsid w:val="002176CE"/>
    <w:rsid w:val="002202F5"/>
    <w:rsid w:val="00223D15"/>
    <w:rsid w:val="002268A6"/>
    <w:rsid w:val="00231988"/>
    <w:rsid w:val="002335E7"/>
    <w:rsid w:val="002404DB"/>
    <w:rsid w:val="0024471A"/>
    <w:rsid w:val="00245BAE"/>
    <w:rsid w:val="002523F4"/>
    <w:rsid w:val="00253957"/>
    <w:rsid w:val="002549D2"/>
    <w:rsid w:val="00254C51"/>
    <w:rsid w:val="002553BE"/>
    <w:rsid w:val="00255842"/>
    <w:rsid w:val="00261F09"/>
    <w:rsid w:val="00263B0F"/>
    <w:rsid w:val="00265970"/>
    <w:rsid w:val="002679D8"/>
    <w:rsid w:val="00271795"/>
    <w:rsid w:val="00274A69"/>
    <w:rsid w:val="00290B29"/>
    <w:rsid w:val="00291301"/>
    <w:rsid w:val="00291B12"/>
    <w:rsid w:val="00293A84"/>
    <w:rsid w:val="002950B8"/>
    <w:rsid w:val="00297459"/>
    <w:rsid w:val="002A6F7E"/>
    <w:rsid w:val="002B3418"/>
    <w:rsid w:val="002B45E9"/>
    <w:rsid w:val="002B569F"/>
    <w:rsid w:val="002B5799"/>
    <w:rsid w:val="002B6475"/>
    <w:rsid w:val="002B68E5"/>
    <w:rsid w:val="002C2CE5"/>
    <w:rsid w:val="002C79AF"/>
    <w:rsid w:val="002D0265"/>
    <w:rsid w:val="002D0327"/>
    <w:rsid w:val="002D6687"/>
    <w:rsid w:val="002D6A94"/>
    <w:rsid w:val="002E0678"/>
    <w:rsid w:val="002E291B"/>
    <w:rsid w:val="002F0A15"/>
    <w:rsid w:val="002F1AA3"/>
    <w:rsid w:val="002F1BAE"/>
    <w:rsid w:val="002F2F69"/>
    <w:rsid w:val="002F41FF"/>
    <w:rsid w:val="002F5C3F"/>
    <w:rsid w:val="002F6FC3"/>
    <w:rsid w:val="003022BE"/>
    <w:rsid w:val="00303B5C"/>
    <w:rsid w:val="00303BC0"/>
    <w:rsid w:val="00313B42"/>
    <w:rsid w:val="00315198"/>
    <w:rsid w:val="00315467"/>
    <w:rsid w:val="00317120"/>
    <w:rsid w:val="00317756"/>
    <w:rsid w:val="00320B5E"/>
    <w:rsid w:val="0033201D"/>
    <w:rsid w:val="00332251"/>
    <w:rsid w:val="00332F1A"/>
    <w:rsid w:val="0034218F"/>
    <w:rsid w:val="0034278A"/>
    <w:rsid w:val="00343D59"/>
    <w:rsid w:val="00346CD7"/>
    <w:rsid w:val="0035005E"/>
    <w:rsid w:val="00350A94"/>
    <w:rsid w:val="00352EA7"/>
    <w:rsid w:val="00353A87"/>
    <w:rsid w:val="003633B5"/>
    <w:rsid w:val="00364E68"/>
    <w:rsid w:val="0037085E"/>
    <w:rsid w:val="003711E2"/>
    <w:rsid w:val="00371791"/>
    <w:rsid w:val="00372682"/>
    <w:rsid w:val="0037296E"/>
    <w:rsid w:val="00373429"/>
    <w:rsid w:val="00373901"/>
    <w:rsid w:val="00374749"/>
    <w:rsid w:val="003804BF"/>
    <w:rsid w:val="00380E69"/>
    <w:rsid w:val="00381121"/>
    <w:rsid w:val="00381A96"/>
    <w:rsid w:val="00382742"/>
    <w:rsid w:val="00382A3F"/>
    <w:rsid w:val="00387B62"/>
    <w:rsid w:val="00387BB3"/>
    <w:rsid w:val="00390012"/>
    <w:rsid w:val="00391731"/>
    <w:rsid w:val="0039235A"/>
    <w:rsid w:val="00396652"/>
    <w:rsid w:val="00396E2D"/>
    <w:rsid w:val="00396FB2"/>
    <w:rsid w:val="003A077D"/>
    <w:rsid w:val="003A234C"/>
    <w:rsid w:val="003B1E6F"/>
    <w:rsid w:val="003B3B73"/>
    <w:rsid w:val="003B5636"/>
    <w:rsid w:val="003B5A23"/>
    <w:rsid w:val="003B628A"/>
    <w:rsid w:val="003B798E"/>
    <w:rsid w:val="003B7D68"/>
    <w:rsid w:val="003C07E3"/>
    <w:rsid w:val="003C57BA"/>
    <w:rsid w:val="003D0DC5"/>
    <w:rsid w:val="003D2BFB"/>
    <w:rsid w:val="003D3586"/>
    <w:rsid w:val="003E0B54"/>
    <w:rsid w:val="00400990"/>
    <w:rsid w:val="00401740"/>
    <w:rsid w:val="00404F4B"/>
    <w:rsid w:val="00413229"/>
    <w:rsid w:val="0041380F"/>
    <w:rsid w:val="00415BC1"/>
    <w:rsid w:val="00422A22"/>
    <w:rsid w:val="0043139F"/>
    <w:rsid w:val="0043520C"/>
    <w:rsid w:val="004358E1"/>
    <w:rsid w:val="00441927"/>
    <w:rsid w:val="00442A5D"/>
    <w:rsid w:val="0044381D"/>
    <w:rsid w:val="0044606C"/>
    <w:rsid w:val="004511B4"/>
    <w:rsid w:val="004577AF"/>
    <w:rsid w:val="0046376E"/>
    <w:rsid w:val="00465BB3"/>
    <w:rsid w:val="00471FE7"/>
    <w:rsid w:val="00473F26"/>
    <w:rsid w:val="00476FD2"/>
    <w:rsid w:val="004823B1"/>
    <w:rsid w:val="0048665D"/>
    <w:rsid w:val="00490C0A"/>
    <w:rsid w:val="004921CE"/>
    <w:rsid w:val="004923FC"/>
    <w:rsid w:val="00493984"/>
    <w:rsid w:val="00494734"/>
    <w:rsid w:val="00495500"/>
    <w:rsid w:val="004A09E4"/>
    <w:rsid w:val="004A24BE"/>
    <w:rsid w:val="004A289C"/>
    <w:rsid w:val="004A42E0"/>
    <w:rsid w:val="004A45A0"/>
    <w:rsid w:val="004A60CE"/>
    <w:rsid w:val="004A7170"/>
    <w:rsid w:val="004B0D8C"/>
    <w:rsid w:val="004B7DAB"/>
    <w:rsid w:val="004C0499"/>
    <w:rsid w:val="004C5134"/>
    <w:rsid w:val="004D0EBC"/>
    <w:rsid w:val="004D1AC2"/>
    <w:rsid w:val="004D58F1"/>
    <w:rsid w:val="004E1F8B"/>
    <w:rsid w:val="004E38AA"/>
    <w:rsid w:val="004E5F60"/>
    <w:rsid w:val="004E7902"/>
    <w:rsid w:val="005114F7"/>
    <w:rsid w:val="00523569"/>
    <w:rsid w:val="00531A22"/>
    <w:rsid w:val="0053377A"/>
    <w:rsid w:val="0053429D"/>
    <w:rsid w:val="005379FC"/>
    <w:rsid w:val="00537F4C"/>
    <w:rsid w:val="00540C00"/>
    <w:rsid w:val="00550639"/>
    <w:rsid w:val="00550A8E"/>
    <w:rsid w:val="00550AF3"/>
    <w:rsid w:val="00555ED4"/>
    <w:rsid w:val="005570B3"/>
    <w:rsid w:val="00560B8A"/>
    <w:rsid w:val="005625FA"/>
    <w:rsid w:val="005632DE"/>
    <w:rsid w:val="00563AD1"/>
    <w:rsid w:val="005641A5"/>
    <w:rsid w:val="00564F7D"/>
    <w:rsid w:val="0056524A"/>
    <w:rsid w:val="005675B0"/>
    <w:rsid w:val="00567DE4"/>
    <w:rsid w:val="00570047"/>
    <w:rsid w:val="005712D0"/>
    <w:rsid w:val="005753D3"/>
    <w:rsid w:val="00575EA3"/>
    <w:rsid w:val="00577B8F"/>
    <w:rsid w:val="0058125C"/>
    <w:rsid w:val="00581DC8"/>
    <w:rsid w:val="005879BD"/>
    <w:rsid w:val="005906E9"/>
    <w:rsid w:val="00594621"/>
    <w:rsid w:val="00595B67"/>
    <w:rsid w:val="00595E20"/>
    <w:rsid w:val="0059666F"/>
    <w:rsid w:val="005A5916"/>
    <w:rsid w:val="005B645E"/>
    <w:rsid w:val="005B68B2"/>
    <w:rsid w:val="005B6D3D"/>
    <w:rsid w:val="005B76E6"/>
    <w:rsid w:val="005C30A9"/>
    <w:rsid w:val="005C373E"/>
    <w:rsid w:val="005C6B2C"/>
    <w:rsid w:val="005C6E77"/>
    <w:rsid w:val="005C77DA"/>
    <w:rsid w:val="005D34F4"/>
    <w:rsid w:val="005D35C0"/>
    <w:rsid w:val="005D551C"/>
    <w:rsid w:val="005E04D2"/>
    <w:rsid w:val="005E4A71"/>
    <w:rsid w:val="005F090A"/>
    <w:rsid w:val="00601C83"/>
    <w:rsid w:val="006034BC"/>
    <w:rsid w:val="006039E5"/>
    <w:rsid w:val="006075DC"/>
    <w:rsid w:val="00607BDB"/>
    <w:rsid w:val="00610586"/>
    <w:rsid w:val="0061330C"/>
    <w:rsid w:val="006179F1"/>
    <w:rsid w:val="00623877"/>
    <w:rsid w:val="00627A3C"/>
    <w:rsid w:val="006343EE"/>
    <w:rsid w:val="006349B7"/>
    <w:rsid w:val="0063560F"/>
    <w:rsid w:val="006358CE"/>
    <w:rsid w:val="00636F58"/>
    <w:rsid w:val="00640360"/>
    <w:rsid w:val="0064072F"/>
    <w:rsid w:val="00641EFA"/>
    <w:rsid w:val="00642EE7"/>
    <w:rsid w:val="00644A17"/>
    <w:rsid w:val="00647904"/>
    <w:rsid w:val="00647C3C"/>
    <w:rsid w:val="00652E41"/>
    <w:rsid w:val="00660FFF"/>
    <w:rsid w:val="006612D5"/>
    <w:rsid w:val="00661920"/>
    <w:rsid w:val="00661FAA"/>
    <w:rsid w:val="00662213"/>
    <w:rsid w:val="006655A4"/>
    <w:rsid w:val="006679B2"/>
    <w:rsid w:val="006713B5"/>
    <w:rsid w:val="00671499"/>
    <w:rsid w:val="006717B9"/>
    <w:rsid w:val="006757D4"/>
    <w:rsid w:val="00676B75"/>
    <w:rsid w:val="006804E0"/>
    <w:rsid w:val="00686EFD"/>
    <w:rsid w:val="006939EB"/>
    <w:rsid w:val="00693AE9"/>
    <w:rsid w:val="0069721A"/>
    <w:rsid w:val="006A02C7"/>
    <w:rsid w:val="006A047D"/>
    <w:rsid w:val="006A2623"/>
    <w:rsid w:val="006A6BF0"/>
    <w:rsid w:val="006B049A"/>
    <w:rsid w:val="006B0DB7"/>
    <w:rsid w:val="006B2536"/>
    <w:rsid w:val="006B7C8F"/>
    <w:rsid w:val="006C1A6F"/>
    <w:rsid w:val="006C6D1D"/>
    <w:rsid w:val="006D06DA"/>
    <w:rsid w:val="006D0B20"/>
    <w:rsid w:val="006D1BBE"/>
    <w:rsid w:val="006D3885"/>
    <w:rsid w:val="006D624E"/>
    <w:rsid w:val="006E59E0"/>
    <w:rsid w:val="006E7BAE"/>
    <w:rsid w:val="006F017C"/>
    <w:rsid w:val="006F158C"/>
    <w:rsid w:val="006F2389"/>
    <w:rsid w:val="006F35B4"/>
    <w:rsid w:val="006F5302"/>
    <w:rsid w:val="006F70A8"/>
    <w:rsid w:val="006F7215"/>
    <w:rsid w:val="0070040B"/>
    <w:rsid w:val="0070173C"/>
    <w:rsid w:val="007067D0"/>
    <w:rsid w:val="00706EC7"/>
    <w:rsid w:val="0070743D"/>
    <w:rsid w:val="00707B4D"/>
    <w:rsid w:val="007116C8"/>
    <w:rsid w:val="00714195"/>
    <w:rsid w:val="00714FDB"/>
    <w:rsid w:val="00717D2C"/>
    <w:rsid w:val="00727B33"/>
    <w:rsid w:val="00732579"/>
    <w:rsid w:val="00741041"/>
    <w:rsid w:val="0074502A"/>
    <w:rsid w:val="007454A6"/>
    <w:rsid w:val="00747560"/>
    <w:rsid w:val="0075014C"/>
    <w:rsid w:val="007508AE"/>
    <w:rsid w:val="00752166"/>
    <w:rsid w:val="00752B55"/>
    <w:rsid w:val="00753E85"/>
    <w:rsid w:val="007548F8"/>
    <w:rsid w:val="0075603D"/>
    <w:rsid w:val="00756BA7"/>
    <w:rsid w:val="00760EFF"/>
    <w:rsid w:val="00761056"/>
    <w:rsid w:val="00767D51"/>
    <w:rsid w:val="00767F64"/>
    <w:rsid w:val="00771B65"/>
    <w:rsid w:val="00771D1C"/>
    <w:rsid w:val="00772F45"/>
    <w:rsid w:val="00775F5B"/>
    <w:rsid w:val="00777055"/>
    <w:rsid w:val="00777534"/>
    <w:rsid w:val="00781C19"/>
    <w:rsid w:val="00784EE0"/>
    <w:rsid w:val="00787C16"/>
    <w:rsid w:val="00787CCE"/>
    <w:rsid w:val="00790391"/>
    <w:rsid w:val="007918A5"/>
    <w:rsid w:val="00792496"/>
    <w:rsid w:val="00795F34"/>
    <w:rsid w:val="0079785B"/>
    <w:rsid w:val="00797F5E"/>
    <w:rsid w:val="007A06D1"/>
    <w:rsid w:val="007A5C25"/>
    <w:rsid w:val="007B1A94"/>
    <w:rsid w:val="007D12E6"/>
    <w:rsid w:val="007D1964"/>
    <w:rsid w:val="007D31FB"/>
    <w:rsid w:val="007D4E80"/>
    <w:rsid w:val="007D5022"/>
    <w:rsid w:val="007D6779"/>
    <w:rsid w:val="007D698A"/>
    <w:rsid w:val="007E34B7"/>
    <w:rsid w:val="007E47A2"/>
    <w:rsid w:val="007E7806"/>
    <w:rsid w:val="007F597E"/>
    <w:rsid w:val="00801375"/>
    <w:rsid w:val="00802660"/>
    <w:rsid w:val="008058EE"/>
    <w:rsid w:val="00810191"/>
    <w:rsid w:val="00810588"/>
    <w:rsid w:val="0081617B"/>
    <w:rsid w:val="00827BD1"/>
    <w:rsid w:val="008322FB"/>
    <w:rsid w:val="008322FD"/>
    <w:rsid w:val="008338CA"/>
    <w:rsid w:val="008369A7"/>
    <w:rsid w:val="008373FE"/>
    <w:rsid w:val="00840F6A"/>
    <w:rsid w:val="00841E42"/>
    <w:rsid w:val="00842DE8"/>
    <w:rsid w:val="0084391E"/>
    <w:rsid w:val="0085010B"/>
    <w:rsid w:val="00851440"/>
    <w:rsid w:val="00855AE1"/>
    <w:rsid w:val="008579EF"/>
    <w:rsid w:val="00857C42"/>
    <w:rsid w:val="008610DD"/>
    <w:rsid w:val="00861A62"/>
    <w:rsid w:val="00863BC3"/>
    <w:rsid w:val="0086647D"/>
    <w:rsid w:val="00867327"/>
    <w:rsid w:val="008713A5"/>
    <w:rsid w:val="00872E40"/>
    <w:rsid w:val="00875C7C"/>
    <w:rsid w:val="00876C4F"/>
    <w:rsid w:val="00877150"/>
    <w:rsid w:val="008817C0"/>
    <w:rsid w:val="00884B2C"/>
    <w:rsid w:val="00885C3A"/>
    <w:rsid w:val="008912DB"/>
    <w:rsid w:val="00891A74"/>
    <w:rsid w:val="00897898"/>
    <w:rsid w:val="008A1CC3"/>
    <w:rsid w:val="008A34FD"/>
    <w:rsid w:val="008A4342"/>
    <w:rsid w:val="008B0E33"/>
    <w:rsid w:val="008B111D"/>
    <w:rsid w:val="008B367D"/>
    <w:rsid w:val="008B6068"/>
    <w:rsid w:val="008B6CFA"/>
    <w:rsid w:val="008C1C0F"/>
    <w:rsid w:val="008D1692"/>
    <w:rsid w:val="008D201D"/>
    <w:rsid w:val="008D2567"/>
    <w:rsid w:val="008D2C49"/>
    <w:rsid w:val="008D3134"/>
    <w:rsid w:val="008D37BF"/>
    <w:rsid w:val="008D6A3E"/>
    <w:rsid w:val="008D7DD5"/>
    <w:rsid w:val="008E3DF4"/>
    <w:rsid w:val="008F380A"/>
    <w:rsid w:val="009032D8"/>
    <w:rsid w:val="00903ED8"/>
    <w:rsid w:val="00906457"/>
    <w:rsid w:val="00911285"/>
    <w:rsid w:val="009141DF"/>
    <w:rsid w:val="0091548F"/>
    <w:rsid w:val="009154BB"/>
    <w:rsid w:val="0091742F"/>
    <w:rsid w:val="009248EA"/>
    <w:rsid w:val="00930FCF"/>
    <w:rsid w:val="0093660F"/>
    <w:rsid w:val="00941DBD"/>
    <w:rsid w:val="009422F2"/>
    <w:rsid w:val="009430D7"/>
    <w:rsid w:val="00944859"/>
    <w:rsid w:val="00946F8D"/>
    <w:rsid w:val="0095275F"/>
    <w:rsid w:val="0095566A"/>
    <w:rsid w:val="00961AB2"/>
    <w:rsid w:val="009634D2"/>
    <w:rsid w:val="00965379"/>
    <w:rsid w:val="00966E19"/>
    <w:rsid w:val="00967EBC"/>
    <w:rsid w:val="00970CE6"/>
    <w:rsid w:val="009749D6"/>
    <w:rsid w:val="00975607"/>
    <w:rsid w:val="00982093"/>
    <w:rsid w:val="00984BAF"/>
    <w:rsid w:val="00985D94"/>
    <w:rsid w:val="0099111C"/>
    <w:rsid w:val="00994F21"/>
    <w:rsid w:val="009A0D07"/>
    <w:rsid w:val="009A3595"/>
    <w:rsid w:val="009A4A3C"/>
    <w:rsid w:val="009A6572"/>
    <w:rsid w:val="009B0E0B"/>
    <w:rsid w:val="009B0F04"/>
    <w:rsid w:val="009B2A43"/>
    <w:rsid w:val="009B35A0"/>
    <w:rsid w:val="009B3C64"/>
    <w:rsid w:val="009B56AB"/>
    <w:rsid w:val="009B65BA"/>
    <w:rsid w:val="009B71FA"/>
    <w:rsid w:val="009C05BB"/>
    <w:rsid w:val="009C159B"/>
    <w:rsid w:val="009C51FB"/>
    <w:rsid w:val="009D1F23"/>
    <w:rsid w:val="009D3871"/>
    <w:rsid w:val="009D4F35"/>
    <w:rsid w:val="009D5EF6"/>
    <w:rsid w:val="009D7EB9"/>
    <w:rsid w:val="009E1FEA"/>
    <w:rsid w:val="009E2F46"/>
    <w:rsid w:val="009F63CB"/>
    <w:rsid w:val="009F6756"/>
    <w:rsid w:val="00A015BD"/>
    <w:rsid w:val="00A113CE"/>
    <w:rsid w:val="00A120F7"/>
    <w:rsid w:val="00A14E2B"/>
    <w:rsid w:val="00A2199A"/>
    <w:rsid w:val="00A243E1"/>
    <w:rsid w:val="00A254D0"/>
    <w:rsid w:val="00A26324"/>
    <w:rsid w:val="00A26329"/>
    <w:rsid w:val="00A30B74"/>
    <w:rsid w:val="00A37E3A"/>
    <w:rsid w:val="00A4050E"/>
    <w:rsid w:val="00A40E2A"/>
    <w:rsid w:val="00A41B60"/>
    <w:rsid w:val="00A468E7"/>
    <w:rsid w:val="00A47A14"/>
    <w:rsid w:val="00A51E2D"/>
    <w:rsid w:val="00A54060"/>
    <w:rsid w:val="00A5419B"/>
    <w:rsid w:val="00A568F7"/>
    <w:rsid w:val="00A573CB"/>
    <w:rsid w:val="00A601FA"/>
    <w:rsid w:val="00A60DF3"/>
    <w:rsid w:val="00A61192"/>
    <w:rsid w:val="00A61DC6"/>
    <w:rsid w:val="00A65602"/>
    <w:rsid w:val="00A666DC"/>
    <w:rsid w:val="00A67280"/>
    <w:rsid w:val="00A6786F"/>
    <w:rsid w:val="00A67AAF"/>
    <w:rsid w:val="00A67F24"/>
    <w:rsid w:val="00A80556"/>
    <w:rsid w:val="00A81CE3"/>
    <w:rsid w:val="00A85D9A"/>
    <w:rsid w:val="00A86570"/>
    <w:rsid w:val="00A87BA2"/>
    <w:rsid w:val="00A9126E"/>
    <w:rsid w:val="00A95859"/>
    <w:rsid w:val="00AA0419"/>
    <w:rsid w:val="00AA11E1"/>
    <w:rsid w:val="00AA217B"/>
    <w:rsid w:val="00AA3FA3"/>
    <w:rsid w:val="00AA49E2"/>
    <w:rsid w:val="00AB0144"/>
    <w:rsid w:val="00AB2821"/>
    <w:rsid w:val="00AB4061"/>
    <w:rsid w:val="00AB5199"/>
    <w:rsid w:val="00AB6A58"/>
    <w:rsid w:val="00AC22ED"/>
    <w:rsid w:val="00AD5347"/>
    <w:rsid w:val="00AE1BB8"/>
    <w:rsid w:val="00AE23E5"/>
    <w:rsid w:val="00AE25D9"/>
    <w:rsid w:val="00AE6A80"/>
    <w:rsid w:val="00AE6C27"/>
    <w:rsid w:val="00AE6D0E"/>
    <w:rsid w:val="00AE7FE9"/>
    <w:rsid w:val="00AF07F6"/>
    <w:rsid w:val="00AF199F"/>
    <w:rsid w:val="00AF24D9"/>
    <w:rsid w:val="00AF47F4"/>
    <w:rsid w:val="00AF7066"/>
    <w:rsid w:val="00B00B39"/>
    <w:rsid w:val="00B04F0A"/>
    <w:rsid w:val="00B07C68"/>
    <w:rsid w:val="00B1033B"/>
    <w:rsid w:val="00B10A5D"/>
    <w:rsid w:val="00B11846"/>
    <w:rsid w:val="00B1308E"/>
    <w:rsid w:val="00B13CFA"/>
    <w:rsid w:val="00B16AF2"/>
    <w:rsid w:val="00B17C54"/>
    <w:rsid w:val="00B17D4E"/>
    <w:rsid w:val="00B2018C"/>
    <w:rsid w:val="00B22873"/>
    <w:rsid w:val="00B253EB"/>
    <w:rsid w:val="00B26773"/>
    <w:rsid w:val="00B27A25"/>
    <w:rsid w:val="00B302D9"/>
    <w:rsid w:val="00B32411"/>
    <w:rsid w:val="00B33196"/>
    <w:rsid w:val="00B3451B"/>
    <w:rsid w:val="00B35214"/>
    <w:rsid w:val="00B41331"/>
    <w:rsid w:val="00B42A1F"/>
    <w:rsid w:val="00B43AAD"/>
    <w:rsid w:val="00B44459"/>
    <w:rsid w:val="00B51EA4"/>
    <w:rsid w:val="00B56998"/>
    <w:rsid w:val="00B62601"/>
    <w:rsid w:val="00B62950"/>
    <w:rsid w:val="00B62DBE"/>
    <w:rsid w:val="00B66122"/>
    <w:rsid w:val="00B6669D"/>
    <w:rsid w:val="00B70D29"/>
    <w:rsid w:val="00B7178F"/>
    <w:rsid w:val="00B71BDC"/>
    <w:rsid w:val="00B71CAF"/>
    <w:rsid w:val="00B75F7B"/>
    <w:rsid w:val="00B762F3"/>
    <w:rsid w:val="00B8236A"/>
    <w:rsid w:val="00B82DE9"/>
    <w:rsid w:val="00B8609D"/>
    <w:rsid w:val="00B87D33"/>
    <w:rsid w:val="00B94EC9"/>
    <w:rsid w:val="00B97743"/>
    <w:rsid w:val="00BA0398"/>
    <w:rsid w:val="00BA2F3E"/>
    <w:rsid w:val="00BA32EA"/>
    <w:rsid w:val="00BA4724"/>
    <w:rsid w:val="00BB10ED"/>
    <w:rsid w:val="00BC349E"/>
    <w:rsid w:val="00BC5E09"/>
    <w:rsid w:val="00BC6E00"/>
    <w:rsid w:val="00BD021B"/>
    <w:rsid w:val="00BD2746"/>
    <w:rsid w:val="00BD524F"/>
    <w:rsid w:val="00BD5D4E"/>
    <w:rsid w:val="00BD7CDB"/>
    <w:rsid w:val="00BE13F7"/>
    <w:rsid w:val="00BE36AA"/>
    <w:rsid w:val="00BE39A5"/>
    <w:rsid w:val="00BF2138"/>
    <w:rsid w:val="00BF2556"/>
    <w:rsid w:val="00BF2DC8"/>
    <w:rsid w:val="00BF543E"/>
    <w:rsid w:val="00BF5F90"/>
    <w:rsid w:val="00C00C5E"/>
    <w:rsid w:val="00C01398"/>
    <w:rsid w:val="00C0353C"/>
    <w:rsid w:val="00C03B9D"/>
    <w:rsid w:val="00C056D4"/>
    <w:rsid w:val="00C079D8"/>
    <w:rsid w:val="00C105B8"/>
    <w:rsid w:val="00C1183F"/>
    <w:rsid w:val="00C14480"/>
    <w:rsid w:val="00C173E9"/>
    <w:rsid w:val="00C17D25"/>
    <w:rsid w:val="00C20F15"/>
    <w:rsid w:val="00C2104A"/>
    <w:rsid w:val="00C269C2"/>
    <w:rsid w:val="00C329D1"/>
    <w:rsid w:val="00C348DF"/>
    <w:rsid w:val="00C41AE4"/>
    <w:rsid w:val="00C51C2B"/>
    <w:rsid w:val="00C52981"/>
    <w:rsid w:val="00C54208"/>
    <w:rsid w:val="00C54376"/>
    <w:rsid w:val="00C553CB"/>
    <w:rsid w:val="00C553FC"/>
    <w:rsid w:val="00C5626B"/>
    <w:rsid w:val="00C56F88"/>
    <w:rsid w:val="00C61841"/>
    <w:rsid w:val="00C62837"/>
    <w:rsid w:val="00C64065"/>
    <w:rsid w:val="00C6552F"/>
    <w:rsid w:val="00C70C4A"/>
    <w:rsid w:val="00C7356A"/>
    <w:rsid w:val="00C773B9"/>
    <w:rsid w:val="00C833C0"/>
    <w:rsid w:val="00C83C0A"/>
    <w:rsid w:val="00C90437"/>
    <w:rsid w:val="00C93C7A"/>
    <w:rsid w:val="00CA01F5"/>
    <w:rsid w:val="00CA3E87"/>
    <w:rsid w:val="00CA7ED9"/>
    <w:rsid w:val="00CB0C68"/>
    <w:rsid w:val="00CB2798"/>
    <w:rsid w:val="00CB2FC9"/>
    <w:rsid w:val="00CB4BFD"/>
    <w:rsid w:val="00CB6E82"/>
    <w:rsid w:val="00CB7B94"/>
    <w:rsid w:val="00CC1A8C"/>
    <w:rsid w:val="00CD22AF"/>
    <w:rsid w:val="00CD3244"/>
    <w:rsid w:val="00CD3EAB"/>
    <w:rsid w:val="00CD5F79"/>
    <w:rsid w:val="00CE2378"/>
    <w:rsid w:val="00CE2B6A"/>
    <w:rsid w:val="00CE4CE2"/>
    <w:rsid w:val="00CE7B40"/>
    <w:rsid w:val="00CF425B"/>
    <w:rsid w:val="00CF5B26"/>
    <w:rsid w:val="00D03D4F"/>
    <w:rsid w:val="00D059DA"/>
    <w:rsid w:val="00D06BEF"/>
    <w:rsid w:val="00D26F59"/>
    <w:rsid w:val="00D31BE4"/>
    <w:rsid w:val="00D41BC8"/>
    <w:rsid w:val="00D44097"/>
    <w:rsid w:val="00D45C96"/>
    <w:rsid w:val="00D4678E"/>
    <w:rsid w:val="00D50752"/>
    <w:rsid w:val="00D60FF7"/>
    <w:rsid w:val="00D617FF"/>
    <w:rsid w:val="00D61C72"/>
    <w:rsid w:val="00D62F88"/>
    <w:rsid w:val="00D72438"/>
    <w:rsid w:val="00D77CFD"/>
    <w:rsid w:val="00D819C4"/>
    <w:rsid w:val="00D8208B"/>
    <w:rsid w:val="00D83671"/>
    <w:rsid w:val="00D86A33"/>
    <w:rsid w:val="00D91C67"/>
    <w:rsid w:val="00D92184"/>
    <w:rsid w:val="00D96454"/>
    <w:rsid w:val="00D966C6"/>
    <w:rsid w:val="00DA3739"/>
    <w:rsid w:val="00DA3E33"/>
    <w:rsid w:val="00DB45D7"/>
    <w:rsid w:val="00DB4610"/>
    <w:rsid w:val="00DB5EB5"/>
    <w:rsid w:val="00DB6F9C"/>
    <w:rsid w:val="00DC2797"/>
    <w:rsid w:val="00DC466C"/>
    <w:rsid w:val="00DC5197"/>
    <w:rsid w:val="00DC793E"/>
    <w:rsid w:val="00DD3C48"/>
    <w:rsid w:val="00DD5F76"/>
    <w:rsid w:val="00DD70D9"/>
    <w:rsid w:val="00DD7945"/>
    <w:rsid w:val="00DE057D"/>
    <w:rsid w:val="00DE0AE1"/>
    <w:rsid w:val="00DE7DA8"/>
    <w:rsid w:val="00DF4C46"/>
    <w:rsid w:val="00DF61D7"/>
    <w:rsid w:val="00E05918"/>
    <w:rsid w:val="00E112AF"/>
    <w:rsid w:val="00E121E3"/>
    <w:rsid w:val="00E20012"/>
    <w:rsid w:val="00E202E4"/>
    <w:rsid w:val="00E3058A"/>
    <w:rsid w:val="00E34914"/>
    <w:rsid w:val="00E36284"/>
    <w:rsid w:val="00E3681A"/>
    <w:rsid w:val="00E4312F"/>
    <w:rsid w:val="00E448CC"/>
    <w:rsid w:val="00E44A8D"/>
    <w:rsid w:val="00E45502"/>
    <w:rsid w:val="00E455D8"/>
    <w:rsid w:val="00E466A1"/>
    <w:rsid w:val="00E510D8"/>
    <w:rsid w:val="00E51369"/>
    <w:rsid w:val="00E54CFA"/>
    <w:rsid w:val="00E57CF8"/>
    <w:rsid w:val="00E61B67"/>
    <w:rsid w:val="00E6263B"/>
    <w:rsid w:val="00E64F59"/>
    <w:rsid w:val="00E728D3"/>
    <w:rsid w:val="00E837B4"/>
    <w:rsid w:val="00E91C32"/>
    <w:rsid w:val="00E93B7E"/>
    <w:rsid w:val="00E94E66"/>
    <w:rsid w:val="00E96B3D"/>
    <w:rsid w:val="00EA02F3"/>
    <w:rsid w:val="00EA1AFC"/>
    <w:rsid w:val="00EA1CAD"/>
    <w:rsid w:val="00EA4FBE"/>
    <w:rsid w:val="00EB2E9F"/>
    <w:rsid w:val="00EB3924"/>
    <w:rsid w:val="00EB4409"/>
    <w:rsid w:val="00EB468F"/>
    <w:rsid w:val="00EB64B1"/>
    <w:rsid w:val="00EC0E64"/>
    <w:rsid w:val="00EC37A6"/>
    <w:rsid w:val="00ED4146"/>
    <w:rsid w:val="00EE0C1D"/>
    <w:rsid w:val="00EE286E"/>
    <w:rsid w:val="00EE49D3"/>
    <w:rsid w:val="00EE70A3"/>
    <w:rsid w:val="00EF1805"/>
    <w:rsid w:val="00EF2A4A"/>
    <w:rsid w:val="00EF45FB"/>
    <w:rsid w:val="00F01A94"/>
    <w:rsid w:val="00F03CF0"/>
    <w:rsid w:val="00F060D7"/>
    <w:rsid w:val="00F1171F"/>
    <w:rsid w:val="00F12A74"/>
    <w:rsid w:val="00F13F24"/>
    <w:rsid w:val="00F143EE"/>
    <w:rsid w:val="00F17471"/>
    <w:rsid w:val="00F22C31"/>
    <w:rsid w:val="00F251F6"/>
    <w:rsid w:val="00F33B7B"/>
    <w:rsid w:val="00F34D73"/>
    <w:rsid w:val="00F4055F"/>
    <w:rsid w:val="00F40A4A"/>
    <w:rsid w:val="00F43335"/>
    <w:rsid w:val="00F4541A"/>
    <w:rsid w:val="00F51DCF"/>
    <w:rsid w:val="00F5255B"/>
    <w:rsid w:val="00F561FF"/>
    <w:rsid w:val="00F563D0"/>
    <w:rsid w:val="00F57F2F"/>
    <w:rsid w:val="00F666E8"/>
    <w:rsid w:val="00F71990"/>
    <w:rsid w:val="00F73291"/>
    <w:rsid w:val="00F73A06"/>
    <w:rsid w:val="00F82C88"/>
    <w:rsid w:val="00F85344"/>
    <w:rsid w:val="00F8672A"/>
    <w:rsid w:val="00F9020D"/>
    <w:rsid w:val="00F93898"/>
    <w:rsid w:val="00F938C4"/>
    <w:rsid w:val="00F943D3"/>
    <w:rsid w:val="00F94999"/>
    <w:rsid w:val="00F96ACF"/>
    <w:rsid w:val="00FA026A"/>
    <w:rsid w:val="00FA25AB"/>
    <w:rsid w:val="00FA38C5"/>
    <w:rsid w:val="00FB0687"/>
    <w:rsid w:val="00FB3143"/>
    <w:rsid w:val="00FB3337"/>
    <w:rsid w:val="00FB52D0"/>
    <w:rsid w:val="00FB6278"/>
    <w:rsid w:val="00FD03E6"/>
    <w:rsid w:val="00FD44FF"/>
    <w:rsid w:val="00FE6D6E"/>
    <w:rsid w:val="00FF17AC"/>
    <w:rsid w:val="00FF7272"/>
    <w:rsid w:val="00FF75C4"/>
    <w:rsid w:val="00FF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time"/>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1633E0"/>
    <w:pPr>
      <w:keepNext/>
      <w:numPr>
        <w:numId w:val="1"/>
      </w:numPr>
      <w:spacing w:after="240"/>
      <w:jc w:val="center"/>
      <w:outlineLvl w:val="0"/>
    </w:pPr>
    <w:rPr>
      <w:rFonts w:cs="Arial"/>
      <w:b/>
      <w:bCs/>
      <w:smallCaps/>
      <w:kern w:val="28"/>
      <w:szCs w:val="32"/>
    </w:rPr>
  </w:style>
  <w:style w:type="paragraph" w:styleId="Heading2">
    <w:name w:val="heading 2"/>
    <w:basedOn w:val="Normal"/>
    <w:next w:val="Normal"/>
    <w:qFormat/>
    <w:rsid w:val="001633E0"/>
    <w:pPr>
      <w:keepNext/>
      <w:numPr>
        <w:ilvl w:val="1"/>
        <w:numId w:val="1"/>
      </w:numPr>
      <w:spacing w:after="240"/>
      <w:jc w:val="center"/>
      <w:outlineLvl w:val="1"/>
    </w:pPr>
    <w:rPr>
      <w:rFonts w:cs="Arial"/>
      <w:b/>
      <w:bCs/>
      <w:iCs/>
      <w:szCs w:val="28"/>
    </w:rPr>
  </w:style>
  <w:style w:type="paragraph" w:styleId="Heading3">
    <w:name w:val="heading 3"/>
    <w:basedOn w:val="Normal"/>
    <w:next w:val="Normal"/>
    <w:qFormat/>
    <w:rsid w:val="001633E0"/>
    <w:pPr>
      <w:keepNext/>
      <w:spacing w:after="240"/>
      <w:outlineLvl w:val="2"/>
    </w:pPr>
    <w:rPr>
      <w:rFonts w:cs="Arial"/>
      <w:b/>
      <w:bCs/>
      <w:szCs w:val="26"/>
    </w:rPr>
  </w:style>
  <w:style w:type="paragraph" w:styleId="Heading4">
    <w:name w:val="heading 4"/>
    <w:basedOn w:val="Normal"/>
    <w:next w:val="Normal"/>
    <w:qFormat/>
    <w:rsid w:val="001633E0"/>
    <w:pPr>
      <w:keepNext/>
      <w:spacing w:after="240"/>
      <w:outlineLvl w:val="3"/>
    </w:pPr>
    <w:rPr>
      <w:b/>
      <w:bCs/>
      <w:i/>
      <w:szCs w:val="28"/>
    </w:rPr>
  </w:style>
  <w:style w:type="paragraph" w:styleId="Heading5">
    <w:name w:val="heading 5"/>
    <w:basedOn w:val="Normal"/>
    <w:next w:val="Normal"/>
    <w:qFormat/>
    <w:rsid w:val="001633E0"/>
    <w:pPr>
      <w:keepNext/>
      <w:spacing w:after="240"/>
      <w:outlineLvl w:val="4"/>
    </w:pPr>
    <w:rPr>
      <w:bCs/>
      <w:i/>
      <w:iCs/>
      <w:szCs w:val="26"/>
    </w:rPr>
  </w:style>
  <w:style w:type="paragraph" w:styleId="Heading6">
    <w:name w:val="heading 6"/>
    <w:basedOn w:val="Normal"/>
    <w:next w:val="Normal"/>
    <w:qFormat/>
    <w:rsid w:val="001633E0"/>
    <w:pPr>
      <w:outlineLvl w:val="5"/>
    </w:pPr>
    <w:rPr>
      <w:bCs/>
      <w:szCs w:val="22"/>
    </w:rPr>
  </w:style>
  <w:style w:type="paragraph" w:styleId="Heading7">
    <w:name w:val="heading 7"/>
    <w:basedOn w:val="Normal"/>
    <w:next w:val="Normal"/>
    <w:qFormat/>
    <w:rsid w:val="001633E0"/>
    <w:pPr>
      <w:outlineLvl w:val="6"/>
    </w:pPr>
  </w:style>
  <w:style w:type="paragraph" w:styleId="Heading8">
    <w:name w:val="heading 8"/>
    <w:basedOn w:val="Normal"/>
    <w:next w:val="Normal"/>
    <w:qFormat/>
    <w:rsid w:val="001633E0"/>
    <w:pPr>
      <w:outlineLvl w:val="7"/>
    </w:pPr>
    <w:rPr>
      <w:iCs/>
    </w:rPr>
  </w:style>
  <w:style w:type="paragraph" w:styleId="Heading9">
    <w:name w:val="heading 9"/>
    <w:basedOn w:val="Normal"/>
    <w:next w:val="Normal"/>
    <w:qFormat/>
    <w:rsid w:val="001633E0"/>
    <w:pPr>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A30B74"/>
    <w:rPr>
      <w:sz w:val="20"/>
      <w:szCs w:val="20"/>
    </w:rPr>
  </w:style>
  <w:style w:type="character" w:styleId="FootnoteReference">
    <w:name w:val="footnote reference"/>
    <w:basedOn w:val="DefaultParagraphFont"/>
    <w:semiHidden/>
    <w:rsid w:val="00A30B74"/>
    <w:rPr>
      <w:vertAlign w:val="superscript"/>
    </w:rPr>
  </w:style>
  <w:style w:type="paragraph" w:styleId="Footer">
    <w:name w:val="footer"/>
    <w:basedOn w:val="Normal"/>
    <w:rsid w:val="003C57BA"/>
    <w:pPr>
      <w:tabs>
        <w:tab w:val="center" w:pos="4320"/>
        <w:tab w:val="right" w:pos="8640"/>
      </w:tabs>
    </w:pPr>
  </w:style>
  <w:style w:type="character" w:styleId="PageNumber">
    <w:name w:val="page number"/>
    <w:basedOn w:val="DefaultParagraphFont"/>
    <w:rsid w:val="003C57BA"/>
  </w:style>
  <w:style w:type="paragraph" w:styleId="Header">
    <w:name w:val="header"/>
    <w:basedOn w:val="Normal"/>
    <w:rsid w:val="00994F21"/>
    <w:pPr>
      <w:tabs>
        <w:tab w:val="center" w:pos="4320"/>
        <w:tab w:val="right" w:pos="8640"/>
      </w:tabs>
    </w:pPr>
  </w:style>
  <w:style w:type="character" w:styleId="Hyperlink">
    <w:name w:val="Hyperlink"/>
    <w:basedOn w:val="DefaultParagraphFont"/>
    <w:rsid w:val="00961AB2"/>
    <w:rPr>
      <w:color w:val="0033CC"/>
      <w:u w:val="single"/>
    </w:rPr>
  </w:style>
  <w:style w:type="character" w:styleId="Emphasis">
    <w:name w:val="Emphasis"/>
    <w:basedOn w:val="DefaultParagraphFont"/>
    <w:qFormat/>
    <w:rsid w:val="00961AB2"/>
    <w:rPr>
      <w:i/>
      <w:iCs/>
    </w:rPr>
  </w:style>
  <w:style w:type="paragraph" w:styleId="BalloonText">
    <w:name w:val="Balloon Text"/>
    <w:basedOn w:val="Normal"/>
    <w:semiHidden/>
    <w:rsid w:val="006A047D"/>
    <w:rPr>
      <w:rFonts w:ascii="Tahoma" w:hAnsi="Tahoma" w:cs="Tahoma"/>
      <w:sz w:val="16"/>
      <w:szCs w:val="16"/>
    </w:rPr>
  </w:style>
  <w:style w:type="paragraph" w:styleId="PlainText">
    <w:name w:val="Plain Text"/>
    <w:basedOn w:val="Normal"/>
    <w:rsid w:val="00255842"/>
    <w:rPr>
      <w:rFonts w:ascii="Courier New" w:hAnsi="Courier New" w:cs="Courier New"/>
      <w:sz w:val="20"/>
      <w:szCs w:val="20"/>
    </w:rPr>
  </w:style>
  <w:style w:type="paragraph" w:styleId="EndnoteText">
    <w:name w:val="endnote text"/>
    <w:basedOn w:val="Normal"/>
    <w:semiHidden/>
    <w:rsid w:val="005906E9"/>
    <w:rPr>
      <w:sz w:val="20"/>
      <w:szCs w:val="20"/>
    </w:rPr>
  </w:style>
  <w:style w:type="character" w:styleId="EndnoteReference">
    <w:name w:val="endnote reference"/>
    <w:basedOn w:val="DefaultParagraphFont"/>
    <w:semiHidden/>
    <w:rsid w:val="005906E9"/>
    <w:rPr>
      <w:vertAlign w:val="superscript"/>
    </w:rPr>
  </w:style>
  <w:style w:type="paragraph" w:customStyle="1" w:styleId="ParagraphNumbering">
    <w:name w:val="Paragraph Numbering"/>
    <w:basedOn w:val="Normal"/>
    <w:rsid w:val="001633E0"/>
    <w:pPr>
      <w:numPr>
        <w:numId w:val="2"/>
      </w:numPr>
      <w:spacing w:after="240"/>
    </w:pPr>
  </w:style>
  <w:style w:type="paragraph" w:customStyle="1" w:styleId="Appendix">
    <w:name w:val="Appendix"/>
    <w:basedOn w:val="Normal"/>
    <w:rsid w:val="001633E0"/>
    <w:pPr>
      <w:jc w:val="center"/>
    </w:pPr>
    <w:rPr>
      <w:b/>
    </w:rPr>
  </w:style>
  <w:style w:type="paragraph" w:styleId="ListBullet">
    <w:name w:val="List Bullet"/>
    <w:basedOn w:val="Normal"/>
    <w:rsid w:val="001633E0"/>
    <w:pPr>
      <w:numPr>
        <w:numId w:val="3"/>
      </w:numPr>
      <w:spacing w:after="240"/>
    </w:pPr>
  </w:style>
  <w:style w:type="paragraph" w:styleId="ListBullet2">
    <w:name w:val="List Bullet 2"/>
    <w:basedOn w:val="Normal"/>
    <w:rsid w:val="001633E0"/>
    <w:pPr>
      <w:tabs>
        <w:tab w:val="num" w:pos="720"/>
      </w:tabs>
      <w:ind w:left="720" w:hanging="360"/>
    </w:pPr>
  </w:style>
  <w:style w:type="paragraph" w:styleId="ListBullet3">
    <w:name w:val="List Bullet 3"/>
    <w:basedOn w:val="Normal"/>
    <w:rsid w:val="001633E0"/>
    <w:pPr>
      <w:tabs>
        <w:tab w:val="num" w:pos="1080"/>
      </w:tabs>
      <w:ind w:left="1080" w:hanging="360"/>
    </w:pPr>
  </w:style>
  <w:style w:type="paragraph" w:styleId="ListBullet4">
    <w:name w:val="List Bullet 4"/>
    <w:basedOn w:val="Normal"/>
    <w:rsid w:val="001633E0"/>
    <w:pPr>
      <w:tabs>
        <w:tab w:val="num" w:pos="1440"/>
      </w:tabs>
      <w:ind w:left="1440" w:hanging="360"/>
    </w:pPr>
  </w:style>
  <w:style w:type="paragraph" w:styleId="ListBullet5">
    <w:name w:val="List Bullet 5"/>
    <w:basedOn w:val="Normal"/>
    <w:rsid w:val="001633E0"/>
    <w:pPr>
      <w:tabs>
        <w:tab w:val="num" w:pos="1800"/>
      </w:tabs>
      <w:ind w:left="1800" w:hanging="360"/>
    </w:pPr>
  </w:style>
  <w:style w:type="paragraph" w:styleId="Title">
    <w:name w:val="Title"/>
    <w:basedOn w:val="Normal"/>
    <w:qFormat/>
    <w:rsid w:val="001633E0"/>
    <w:pPr>
      <w:spacing w:before="240" w:after="60"/>
      <w:jc w:val="center"/>
      <w:outlineLvl w:val="0"/>
    </w:pPr>
    <w:rPr>
      <w:rFonts w:ascii="Arial" w:hAnsi="Arial" w:cs="Arial"/>
      <w:b/>
      <w:bCs/>
      <w:kern w:val="28"/>
      <w:sz w:val="32"/>
      <w:szCs w:val="32"/>
    </w:rPr>
  </w:style>
  <w:style w:type="character" w:customStyle="1" w:styleId="PersonalComposeStyle">
    <w:name w:val="Personal Compose Style"/>
    <w:basedOn w:val="DefaultParagraphFont"/>
    <w:rsid w:val="001633E0"/>
    <w:rPr>
      <w:rFonts w:ascii="Arial" w:hAnsi="Arial" w:cs="Arial"/>
      <w:color w:val="auto"/>
      <w:sz w:val="20"/>
    </w:rPr>
  </w:style>
  <w:style w:type="paragraph" w:customStyle="1" w:styleId="Indent">
    <w:name w:val="Indent"/>
    <w:basedOn w:val="Normal"/>
    <w:rsid w:val="001633E0"/>
    <w:pPr>
      <w:ind w:left="720" w:hanging="720"/>
    </w:pPr>
  </w:style>
  <w:style w:type="character" w:customStyle="1" w:styleId="PersonalReplyStyle">
    <w:name w:val="Personal Reply Style"/>
    <w:basedOn w:val="DefaultParagraphFont"/>
    <w:rsid w:val="001633E0"/>
    <w:rPr>
      <w:rFonts w:ascii="Arial" w:hAnsi="Arial" w:cs="Arial"/>
      <w:color w:val="auto"/>
      <w:sz w:val="20"/>
    </w:rPr>
  </w:style>
  <w:style w:type="table" w:styleId="TableSimple1">
    <w:name w:val="Table Simple 1"/>
    <w:basedOn w:val="TableNormal"/>
    <w:rsid w:val="001633E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header">
    <w:name w:val="textheader"/>
    <w:basedOn w:val="Normal"/>
    <w:rsid w:val="006075DC"/>
    <w:pPr>
      <w:spacing w:before="40" w:after="100" w:afterAutospacing="1"/>
    </w:pPr>
    <w:rPr>
      <w:rFonts w:ascii="Arial" w:eastAsia="MS Mincho" w:hAnsi="Arial" w:cs="Arial"/>
      <w:b/>
      <w:bCs/>
      <w:lang w:eastAsia="ja-JP"/>
    </w:rPr>
  </w:style>
  <w:style w:type="paragraph" w:styleId="BodyText">
    <w:name w:val="Body Text"/>
    <w:basedOn w:val="Normal"/>
    <w:rsid w:val="006804E0"/>
    <w:pPr>
      <w:jc w:val="both"/>
    </w:pPr>
    <w:rPr>
      <w:szCs w:val="20"/>
      <w:lang w:eastAsia="ja-JP"/>
    </w:rPr>
  </w:style>
  <w:style w:type="paragraph" w:styleId="HTMLPreformatted">
    <w:name w:val="HTML Preformatted"/>
    <w:basedOn w:val="Normal"/>
    <w:rsid w:val="00382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pPr>
    <w:rPr>
      <w:rFonts w:ascii="Arial" w:hAnsi="Arial" w:cs="Arial"/>
    </w:rPr>
  </w:style>
  <w:style w:type="paragraph" w:styleId="NormalWeb">
    <w:name w:val="Normal (Web)"/>
    <w:basedOn w:val="Normal"/>
    <w:rsid w:val="00775F5B"/>
    <w:pPr>
      <w:spacing w:before="100" w:beforeAutospacing="1" w:after="100" w:afterAutospacing="1"/>
    </w:pPr>
    <w:rPr>
      <w:rFonts w:ascii="Arial" w:eastAsia="MS Mincho" w:hAnsi="Arial" w:cs="Arial"/>
      <w:color w:val="000000"/>
      <w:sz w:val="20"/>
      <w:szCs w:val="20"/>
      <w:lang w:eastAsia="ja-JP"/>
    </w:rPr>
  </w:style>
  <w:style w:type="paragraph" w:styleId="TOC6">
    <w:name w:val="toc 6"/>
    <w:basedOn w:val="Normal"/>
    <w:next w:val="Normal"/>
    <w:semiHidden/>
    <w:rsid w:val="00B13CFA"/>
    <w:pPr>
      <w:spacing w:line="264" w:lineRule="auto"/>
      <w:ind w:left="1200"/>
    </w:pPr>
    <w:rPr>
      <w:rFonts w:eastAsia="Times New Roman"/>
      <w:lang w:eastAsia="zh-CN"/>
    </w:rPr>
  </w:style>
  <w:style w:type="paragraph" w:customStyle="1" w:styleId="UnNumberedHeading1">
    <w:name w:val="UnNumbered Heading 1"/>
    <w:basedOn w:val="Normal"/>
    <w:next w:val="Normal"/>
    <w:rsid w:val="00B13CFA"/>
    <w:pPr>
      <w:spacing w:line="264" w:lineRule="auto"/>
      <w:jc w:val="center"/>
    </w:pPr>
    <w:rPr>
      <w:rFonts w:eastAsia="Times New Roman"/>
      <w:b/>
      <w:smallCaps/>
      <w:lang w:eastAsia="zh-CN"/>
    </w:rPr>
  </w:style>
  <w:style w:type="paragraph" w:customStyle="1" w:styleId="NormalWeb1">
    <w:name w:val="Normal (Web)1"/>
    <w:basedOn w:val="Normal"/>
    <w:rsid w:val="0053377A"/>
    <w:pPr>
      <w:spacing w:before="100" w:beforeAutospacing="1" w:after="100" w:afterAutospacing="1"/>
      <w:ind w:right="80"/>
    </w:pPr>
    <w:rPr>
      <w:rFonts w:ascii="Verdana" w:eastAsia="MS Mincho" w:hAnsi="Verdana"/>
      <w:sz w:val="20"/>
      <w:szCs w:val="20"/>
      <w:lang w:eastAsia="ja-JP"/>
    </w:rPr>
  </w:style>
  <w:style w:type="paragraph" w:customStyle="1" w:styleId="Heading11">
    <w:name w:val="Heading 11"/>
    <w:basedOn w:val="Normal"/>
    <w:rsid w:val="0053377A"/>
    <w:pPr>
      <w:outlineLvl w:val="1"/>
    </w:pPr>
    <w:rPr>
      <w:rFonts w:ascii="Verdana" w:eastAsia="MS Mincho" w:hAnsi="Verdana"/>
      <w:color w:val="004490"/>
      <w:kern w:val="36"/>
      <w:sz w:val="38"/>
      <w:szCs w:val="38"/>
      <w:lang w:eastAsia="ja-JP"/>
    </w:rPr>
  </w:style>
  <w:style w:type="paragraph" w:customStyle="1" w:styleId="Heading21">
    <w:name w:val="Heading 21"/>
    <w:basedOn w:val="Normal"/>
    <w:rsid w:val="0053377A"/>
    <w:pPr>
      <w:outlineLvl w:val="2"/>
    </w:pPr>
    <w:rPr>
      <w:rFonts w:ascii="Verdana" w:eastAsia="MS Mincho" w:hAnsi="Verdana"/>
      <w:b/>
      <w:bCs/>
      <w:color w:val="004490"/>
      <w:sz w:val="25"/>
      <w:szCs w:val="25"/>
      <w:lang w:eastAsia="ja-JP"/>
    </w:rPr>
  </w:style>
  <w:style w:type="character" w:customStyle="1" w:styleId="pgxsmallhead1">
    <w:name w:val="pgxsmallhead1"/>
    <w:basedOn w:val="DefaultParagraphFont"/>
    <w:rsid w:val="006D624E"/>
    <w:rPr>
      <w:rFonts w:ascii="Verdana" w:hAnsi="Verdana" w:hint="default"/>
      <w:b/>
      <w:bCs/>
      <w:color w:val="004490"/>
      <w:sz w:val="20"/>
      <w:szCs w:val="20"/>
    </w:rPr>
  </w:style>
  <w:style w:type="paragraph" w:customStyle="1" w:styleId="smaller">
    <w:name w:val="smaller"/>
    <w:basedOn w:val="Normal"/>
    <w:rsid w:val="00781C19"/>
    <w:pPr>
      <w:spacing w:after="100" w:afterAutospacing="1"/>
    </w:pPr>
    <w:rPr>
      <w:rFonts w:ascii="Arial" w:eastAsia="Times New Roman" w:hAnsi="Arial" w:cs="Arial"/>
      <w:color w:val="333333"/>
      <w:sz w:val="16"/>
      <w:szCs w:val="16"/>
    </w:rPr>
  </w:style>
  <w:style w:type="character" w:customStyle="1" w:styleId="Hyperlink1">
    <w:name w:val="Hyperlink1"/>
    <w:basedOn w:val="DefaultParagraphFont"/>
    <w:rsid w:val="00781C19"/>
    <w:rPr>
      <w:color w:val="336699"/>
      <w:sz w:val="16"/>
      <w:szCs w:val="16"/>
      <w:u w:val="single"/>
      <w:shd w:val="clear" w:color="auto" w:fill="auto"/>
    </w:rPr>
  </w:style>
  <w:style w:type="character" w:styleId="Strong">
    <w:name w:val="Strong"/>
    <w:basedOn w:val="DefaultParagraphFont"/>
    <w:qFormat/>
    <w:rsid w:val="00781C19"/>
    <w:rPr>
      <w:b/>
      <w:bCs/>
    </w:rPr>
  </w:style>
  <w:style w:type="paragraph" w:styleId="Date">
    <w:name w:val="Date"/>
    <w:basedOn w:val="Normal"/>
    <w:next w:val="Normal"/>
    <w:rsid w:val="00D46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3868">
      <w:bodyDiv w:val="1"/>
      <w:marLeft w:val="0"/>
      <w:marRight w:val="0"/>
      <w:marTop w:val="0"/>
      <w:marBottom w:val="0"/>
      <w:divBdr>
        <w:top w:val="none" w:sz="0" w:space="0" w:color="auto"/>
        <w:left w:val="none" w:sz="0" w:space="0" w:color="auto"/>
        <w:bottom w:val="none" w:sz="0" w:space="0" w:color="auto"/>
        <w:right w:val="none" w:sz="0" w:space="0" w:color="auto"/>
      </w:divBdr>
      <w:divsChild>
        <w:div w:id="1819833542">
          <w:marLeft w:val="0"/>
          <w:marRight w:val="0"/>
          <w:marTop w:val="0"/>
          <w:marBottom w:val="0"/>
          <w:divBdr>
            <w:top w:val="none" w:sz="0" w:space="0" w:color="auto"/>
            <w:left w:val="none" w:sz="0" w:space="0" w:color="auto"/>
            <w:bottom w:val="none" w:sz="0" w:space="0" w:color="auto"/>
            <w:right w:val="none" w:sz="0" w:space="0" w:color="auto"/>
          </w:divBdr>
          <w:divsChild>
            <w:div w:id="15935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04947">
      <w:bodyDiv w:val="1"/>
      <w:marLeft w:val="0"/>
      <w:marRight w:val="0"/>
      <w:marTop w:val="0"/>
      <w:marBottom w:val="0"/>
      <w:divBdr>
        <w:top w:val="none" w:sz="0" w:space="0" w:color="auto"/>
        <w:left w:val="none" w:sz="0" w:space="0" w:color="auto"/>
        <w:bottom w:val="none" w:sz="0" w:space="0" w:color="auto"/>
        <w:right w:val="none" w:sz="0" w:space="0" w:color="auto"/>
      </w:divBdr>
      <w:divsChild>
        <w:div w:id="987781303">
          <w:marLeft w:val="0"/>
          <w:marRight w:val="0"/>
          <w:marTop w:val="0"/>
          <w:marBottom w:val="0"/>
          <w:divBdr>
            <w:top w:val="none" w:sz="0" w:space="0" w:color="auto"/>
            <w:left w:val="none" w:sz="0" w:space="0" w:color="auto"/>
            <w:bottom w:val="none" w:sz="0" w:space="0" w:color="auto"/>
            <w:right w:val="none" w:sz="0" w:space="0" w:color="auto"/>
          </w:divBdr>
          <w:divsChild>
            <w:div w:id="19159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5248">
      <w:bodyDiv w:val="1"/>
      <w:marLeft w:val="0"/>
      <w:marRight w:val="0"/>
      <w:marTop w:val="0"/>
      <w:marBottom w:val="0"/>
      <w:divBdr>
        <w:top w:val="none" w:sz="0" w:space="0" w:color="auto"/>
        <w:left w:val="none" w:sz="0" w:space="0" w:color="auto"/>
        <w:bottom w:val="none" w:sz="0" w:space="0" w:color="auto"/>
        <w:right w:val="none" w:sz="0" w:space="0" w:color="auto"/>
      </w:divBdr>
      <w:divsChild>
        <w:div w:id="818351823">
          <w:marLeft w:val="0"/>
          <w:marRight w:val="0"/>
          <w:marTop w:val="0"/>
          <w:marBottom w:val="0"/>
          <w:divBdr>
            <w:top w:val="none" w:sz="0" w:space="0" w:color="auto"/>
            <w:left w:val="none" w:sz="0" w:space="0" w:color="auto"/>
            <w:bottom w:val="none" w:sz="0" w:space="0" w:color="auto"/>
            <w:right w:val="none" w:sz="0" w:space="0" w:color="auto"/>
          </w:divBdr>
        </w:div>
      </w:divsChild>
    </w:div>
    <w:div w:id="597061246">
      <w:bodyDiv w:val="1"/>
      <w:marLeft w:val="0"/>
      <w:marRight w:val="0"/>
      <w:marTop w:val="0"/>
      <w:marBottom w:val="0"/>
      <w:divBdr>
        <w:top w:val="none" w:sz="0" w:space="0" w:color="auto"/>
        <w:left w:val="none" w:sz="0" w:space="0" w:color="auto"/>
        <w:bottom w:val="none" w:sz="0" w:space="0" w:color="auto"/>
        <w:right w:val="none" w:sz="0" w:space="0" w:color="auto"/>
      </w:divBdr>
      <w:divsChild>
        <w:div w:id="1045761152">
          <w:marLeft w:val="0"/>
          <w:marRight w:val="0"/>
          <w:marTop w:val="0"/>
          <w:marBottom w:val="0"/>
          <w:divBdr>
            <w:top w:val="none" w:sz="0" w:space="0" w:color="auto"/>
            <w:left w:val="none" w:sz="0" w:space="0" w:color="auto"/>
            <w:bottom w:val="none" w:sz="0" w:space="0" w:color="auto"/>
            <w:right w:val="none" w:sz="0" w:space="0" w:color="auto"/>
          </w:divBdr>
          <w:divsChild>
            <w:div w:id="53681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7730">
      <w:bodyDiv w:val="1"/>
      <w:marLeft w:val="0"/>
      <w:marRight w:val="0"/>
      <w:marTop w:val="0"/>
      <w:marBottom w:val="0"/>
      <w:divBdr>
        <w:top w:val="none" w:sz="0" w:space="0" w:color="auto"/>
        <w:left w:val="none" w:sz="0" w:space="0" w:color="auto"/>
        <w:bottom w:val="none" w:sz="0" w:space="0" w:color="auto"/>
        <w:right w:val="none" w:sz="0" w:space="0" w:color="auto"/>
      </w:divBdr>
      <w:divsChild>
        <w:div w:id="1178469409">
          <w:marLeft w:val="0"/>
          <w:marRight w:val="0"/>
          <w:marTop w:val="0"/>
          <w:marBottom w:val="0"/>
          <w:divBdr>
            <w:top w:val="none" w:sz="0" w:space="0" w:color="auto"/>
            <w:left w:val="none" w:sz="0" w:space="0" w:color="auto"/>
            <w:bottom w:val="none" w:sz="0" w:space="0" w:color="auto"/>
            <w:right w:val="none" w:sz="0" w:space="0" w:color="auto"/>
          </w:divBdr>
          <w:divsChild>
            <w:div w:id="242106433">
              <w:marLeft w:val="0"/>
              <w:marRight w:val="0"/>
              <w:marTop w:val="0"/>
              <w:marBottom w:val="0"/>
              <w:divBdr>
                <w:top w:val="none" w:sz="0" w:space="0" w:color="auto"/>
                <w:left w:val="none" w:sz="0" w:space="0" w:color="auto"/>
                <w:bottom w:val="none" w:sz="0" w:space="0" w:color="auto"/>
                <w:right w:val="none" w:sz="0" w:space="0" w:color="auto"/>
              </w:divBdr>
            </w:div>
            <w:div w:id="289476257">
              <w:marLeft w:val="0"/>
              <w:marRight w:val="0"/>
              <w:marTop w:val="0"/>
              <w:marBottom w:val="0"/>
              <w:divBdr>
                <w:top w:val="none" w:sz="0" w:space="0" w:color="auto"/>
                <w:left w:val="none" w:sz="0" w:space="0" w:color="auto"/>
                <w:bottom w:val="none" w:sz="0" w:space="0" w:color="auto"/>
                <w:right w:val="none" w:sz="0" w:space="0" w:color="auto"/>
              </w:divBdr>
            </w:div>
            <w:div w:id="515734884">
              <w:marLeft w:val="0"/>
              <w:marRight w:val="0"/>
              <w:marTop w:val="0"/>
              <w:marBottom w:val="0"/>
              <w:divBdr>
                <w:top w:val="none" w:sz="0" w:space="0" w:color="auto"/>
                <w:left w:val="none" w:sz="0" w:space="0" w:color="auto"/>
                <w:bottom w:val="none" w:sz="0" w:space="0" w:color="auto"/>
                <w:right w:val="none" w:sz="0" w:space="0" w:color="auto"/>
              </w:divBdr>
            </w:div>
            <w:div w:id="758864657">
              <w:marLeft w:val="0"/>
              <w:marRight w:val="0"/>
              <w:marTop w:val="0"/>
              <w:marBottom w:val="0"/>
              <w:divBdr>
                <w:top w:val="none" w:sz="0" w:space="0" w:color="auto"/>
                <w:left w:val="none" w:sz="0" w:space="0" w:color="auto"/>
                <w:bottom w:val="none" w:sz="0" w:space="0" w:color="auto"/>
                <w:right w:val="none" w:sz="0" w:space="0" w:color="auto"/>
              </w:divBdr>
            </w:div>
            <w:div w:id="907693073">
              <w:marLeft w:val="0"/>
              <w:marRight w:val="0"/>
              <w:marTop w:val="0"/>
              <w:marBottom w:val="0"/>
              <w:divBdr>
                <w:top w:val="none" w:sz="0" w:space="0" w:color="auto"/>
                <w:left w:val="none" w:sz="0" w:space="0" w:color="auto"/>
                <w:bottom w:val="none" w:sz="0" w:space="0" w:color="auto"/>
                <w:right w:val="none" w:sz="0" w:space="0" w:color="auto"/>
              </w:divBdr>
            </w:div>
            <w:div w:id="1290239759">
              <w:marLeft w:val="0"/>
              <w:marRight w:val="0"/>
              <w:marTop w:val="0"/>
              <w:marBottom w:val="0"/>
              <w:divBdr>
                <w:top w:val="none" w:sz="0" w:space="0" w:color="auto"/>
                <w:left w:val="none" w:sz="0" w:space="0" w:color="auto"/>
                <w:bottom w:val="none" w:sz="0" w:space="0" w:color="auto"/>
                <w:right w:val="none" w:sz="0" w:space="0" w:color="auto"/>
              </w:divBdr>
            </w:div>
            <w:div w:id="19653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ideas.repec.org/s/bla/rdevec.html"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image" Target="media/image1.wmf"/><Relationship Id="rId12" Type="http://schemas.openxmlformats.org/officeDocument/2006/relationships/hyperlink" Target="http://www.iie.com/publications/interstitial.cfm?ResearchID=8"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uchicago.edu/cgi-bin/hfs.cgi/00/12510.ct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http://ksghome.harvard.edu/~jfrankel/KahlerVolume9NBERFeb92.YEN.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ksghome.harvard.edu/~jfrankel/FXPolicyKEI9CUT.KOR.pdf" TargetMode="External"/><Relationship Id="rId14" Type="http://schemas.openxmlformats.org/officeDocument/2006/relationships/hyperlink" Target="http://www.hexun.com" TargetMode="External"/><Relationship Id="rId22" Type="http://schemas.openxmlformats.org/officeDocument/2006/relationships/oleObject" Target="embeddings/Microsoft_Excel_Chart1.xls"/><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17083</Words>
  <Characters>97378</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Data appendix</vt:lpstr>
    </vt:vector>
  </TitlesOfParts>
  <Company>Harvard/RBA</Company>
  <LinksUpToDate>false</LinksUpToDate>
  <CharactersWithSpaces>114233</CharactersWithSpaces>
  <SharedDoc>false</SharedDoc>
  <HLinks>
    <vt:vector size="36" baseType="variant">
      <vt:variant>
        <vt:i4>5963777</vt:i4>
      </vt:variant>
      <vt:variant>
        <vt:i4>15</vt:i4>
      </vt:variant>
      <vt:variant>
        <vt:i4>0</vt:i4>
      </vt:variant>
      <vt:variant>
        <vt:i4>5</vt:i4>
      </vt:variant>
      <vt:variant>
        <vt:lpwstr>http://www.hexun.com/</vt:lpwstr>
      </vt:variant>
      <vt:variant>
        <vt:lpwstr/>
      </vt:variant>
      <vt:variant>
        <vt:i4>589897</vt:i4>
      </vt:variant>
      <vt:variant>
        <vt:i4>12</vt:i4>
      </vt:variant>
      <vt:variant>
        <vt:i4>0</vt:i4>
      </vt:variant>
      <vt:variant>
        <vt:i4>5</vt:i4>
      </vt:variant>
      <vt:variant>
        <vt:lpwstr>http://ideas.repec.org/s/bla/rdevec.html</vt:lpwstr>
      </vt:variant>
      <vt:variant>
        <vt:lpwstr/>
      </vt:variant>
      <vt:variant>
        <vt:i4>5636162</vt:i4>
      </vt:variant>
      <vt:variant>
        <vt:i4>9</vt:i4>
      </vt:variant>
      <vt:variant>
        <vt:i4>0</vt:i4>
      </vt:variant>
      <vt:variant>
        <vt:i4>5</vt:i4>
      </vt:variant>
      <vt:variant>
        <vt:lpwstr>http://www.iie.com/publications/interstitial.cfm?ResearchID=8</vt:lpwstr>
      </vt:variant>
      <vt:variant>
        <vt:lpwstr/>
      </vt:variant>
      <vt:variant>
        <vt:i4>3539002</vt:i4>
      </vt:variant>
      <vt:variant>
        <vt:i4>6</vt:i4>
      </vt:variant>
      <vt:variant>
        <vt:i4>0</vt:i4>
      </vt:variant>
      <vt:variant>
        <vt:i4>5</vt:i4>
      </vt:variant>
      <vt:variant>
        <vt:lpwstr>http://www.press.uchicago.edu/cgi-bin/hfs.cgi/00/12510.ctl</vt:lpwstr>
      </vt:variant>
      <vt:variant>
        <vt:lpwstr/>
      </vt:variant>
      <vt:variant>
        <vt:i4>3735607</vt:i4>
      </vt:variant>
      <vt:variant>
        <vt:i4>3</vt:i4>
      </vt:variant>
      <vt:variant>
        <vt:i4>0</vt:i4>
      </vt:variant>
      <vt:variant>
        <vt:i4>5</vt:i4>
      </vt:variant>
      <vt:variant>
        <vt:lpwstr>http://ksghome.harvard.edu/~jfrankel/KahlerVolume9NBERFeb92.YEN.PDF</vt:lpwstr>
      </vt:variant>
      <vt:variant>
        <vt:lpwstr/>
      </vt:variant>
      <vt:variant>
        <vt:i4>6225992</vt:i4>
      </vt:variant>
      <vt:variant>
        <vt:i4>0</vt:i4>
      </vt:variant>
      <vt:variant>
        <vt:i4>0</vt:i4>
      </vt:variant>
      <vt:variant>
        <vt:i4>5</vt:i4>
      </vt:variant>
      <vt:variant>
        <vt:lpwstr>http://ksghome.harvard.edu/~jfrankel/FXPolicyKEI9CUT.KOR.pdf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appendix</dc:title>
  <dc:creator>Ellis Connolly</dc:creator>
  <cp:lastModifiedBy>Dell</cp:lastModifiedBy>
  <cp:revision>2</cp:revision>
  <cp:lastPrinted>2007-03-28T21:22:00Z</cp:lastPrinted>
  <dcterms:created xsi:type="dcterms:W3CDTF">2018-09-15T23:24:00Z</dcterms:created>
  <dcterms:modified xsi:type="dcterms:W3CDTF">2018-09-15T23:24:00Z</dcterms:modified>
</cp:coreProperties>
</file>