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FD4" w:rsidRPr="00064394" w:rsidRDefault="001D3E1F" w:rsidP="008772E7">
      <w:pPr>
        <w:spacing w:line="240" w:lineRule="auto"/>
        <w:jc w:val="right"/>
        <w:rPr>
          <w:b/>
          <w:sz w:val="16"/>
          <w:szCs w:val="16"/>
        </w:rPr>
      </w:pPr>
      <w:r>
        <w:rPr>
          <w:sz w:val="16"/>
          <w:szCs w:val="16"/>
        </w:rPr>
        <w:t>Dec. 10, 2015</w:t>
      </w:r>
    </w:p>
    <w:p w:rsidR="00112A45" w:rsidRPr="00064394" w:rsidRDefault="00063814" w:rsidP="008772E7">
      <w:pPr>
        <w:spacing w:line="240" w:lineRule="auto"/>
        <w:jc w:val="center"/>
        <w:rPr>
          <w:b/>
          <w:sz w:val="32"/>
          <w:szCs w:val="32"/>
        </w:rPr>
      </w:pPr>
      <w:r w:rsidRPr="00064394">
        <w:rPr>
          <w:b/>
          <w:sz w:val="32"/>
          <w:szCs w:val="32"/>
        </w:rPr>
        <w:t xml:space="preserve">The Plaza Accord, </w:t>
      </w:r>
      <w:r w:rsidR="000F11D9" w:rsidRPr="00064394">
        <w:rPr>
          <w:b/>
          <w:sz w:val="32"/>
          <w:szCs w:val="32"/>
        </w:rPr>
        <w:t>30 Years Later</w:t>
      </w:r>
    </w:p>
    <w:p w:rsidR="00034C3B" w:rsidRPr="00592F1F" w:rsidRDefault="00034C3B" w:rsidP="008772E7">
      <w:pPr>
        <w:spacing w:line="240" w:lineRule="auto"/>
        <w:jc w:val="center"/>
        <w:rPr>
          <w:sz w:val="24"/>
          <w:szCs w:val="24"/>
        </w:rPr>
      </w:pPr>
      <w:r w:rsidRPr="00592F1F">
        <w:rPr>
          <w:sz w:val="24"/>
          <w:szCs w:val="24"/>
        </w:rPr>
        <w:t>Jeffrey Frankel, Harvard Kennedy School, Harvard University</w:t>
      </w:r>
    </w:p>
    <w:p w:rsidR="00445FD4" w:rsidRPr="00EB118D" w:rsidRDefault="00445FD4" w:rsidP="008772E7">
      <w:pPr>
        <w:spacing w:line="240" w:lineRule="auto"/>
        <w:rPr>
          <w:sz w:val="24"/>
          <w:szCs w:val="24"/>
          <w:u w:val="single"/>
        </w:rPr>
      </w:pPr>
    </w:p>
    <w:p w:rsidR="00C514AA" w:rsidRPr="00E07AD7" w:rsidRDefault="00C514AA" w:rsidP="008772E7">
      <w:pPr>
        <w:spacing w:line="240" w:lineRule="auto"/>
        <w:jc w:val="center"/>
        <w:rPr>
          <w:sz w:val="24"/>
          <w:szCs w:val="24"/>
          <w:u w:val="single"/>
        </w:rPr>
      </w:pPr>
      <w:r w:rsidRPr="00E07AD7">
        <w:rPr>
          <w:sz w:val="24"/>
          <w:szCs w:val="24"/>
          <w:u w:val="single"/>
        </w:rPr>
        <w:t>Abstract</w:t>
      </w:r>
    </w:p>
    <w:p w:rsidR="00D629D7" w:rsidRPr="00E07AD7" w:rsidRDefault="00D629D7" w:rsidP="008772E7">
      <w:pPr>
        <w:spacing w:line="240" w:lineRule="auto"/>
        <w:rPr>
          <w:sz w:val="24"/>
          <w:szCs w:val="24"/>
        </w:rPr>
      </w:pPr>
      <w:r w:rsidRPr="00E07AD7">
        <w:rPr>
          <w:sz w:val="24"/>
          <w:szCs w:val="24"/>
        </w:rPr>
        <w:t>The paper rev</w:t>
      </w:r>
      <w:r w:rsidR="00C514AA" w:rsidRPr="00E07AD7">
        <w:rPr>
          <w:sz w:val="24"/>
          <w:szCs w:val="24"/>
        </w:rPr>
        <w:t xml:space="preserve">iews </w:t>
      </w:r>
      <w:r w:rsidR="00A35C30">
        <w:rPr>
          <w:sz w:val="24"/>
          <w:szCs w:val="24"/>
        </w:rPr>
        <w:t>an event</w:t>
      </w:r>
      <w:r w:rsidR="00C514AA" w:rsidRPr="00E07AD7">
        <w:rPr>
          <w:sz w:val="24"/>
          <w:szCs w:val="24"/>
        </w:rPr>
        <w:t xml:space="preserve"> of 30 years ago</w:t>
      </w:r>
      <w:r w:rsidR="00A35C30" w:rsidRPr="00A35C30">
        <w:rPr>
          <w:sz w:val="24"/>
          <w:szCs w:val="24"/>
        </w:rPr>
        <w:t xml:space="preserve"> </w:t>
      </w:r>
      <w:r w:rsidR="00A35C30">
        <w:rPr>
          <w:sz w:val="24"/>
          <w:szCs w:val="24"/>
        </w:rPr>
        <w:t>from the perspective of today</w:t>
      </w:r>
      <w:r w:rsidR="00C514AA" w:rsidRPr="00E07AD7">
        <w:rPr>
          <w:sz w:val="24"/>
          <w:szCs w:val="24"/>
        </w:rPr>
        <w:t>:</w:t>
      </w:r>
      <w:r w:rsidR="00A35C30">
        <w:rPr>
          <w:sz w:val="24"/>
          <w:szCs w:val="24"/>
        </w:rPr>
        <w:t xml:space="preserve"> </w:t>
      </w:r>
      <w:r w:rsidRPr="00E07AD7">
        <w:rPr>
          <w:sz w:val="24"/>
          <w:szCs w:val="24"/>
        </w:rPr>
        <w:t xml:space="preserve"> a successful G-</w:t>
      </w:r>
      <w:r w:rsidR="00C514AA" w:rsidRPr="00E07AD7">
        <w:rPr>
          <w:sz w:val="24"/>
          <w:szCs w:val="24"/>
        </w:rPr>
        <w:t>5</w:t>
      </w:r>
      <w:r w:rsidRPr="00E07AD7">
        <w:rPr>
          <w:sz w:val="24"/>
          <w:szCs w:val="24"/>
        </w:rPr>
        <w:t xml:space="preserve"> initiative to reverse what had been a dangerously overvalued dollar</w:t>
      </w:r>
      <w:r w:rsidR="00C514AA" w:rsidRPr="00E07AD7">
        <w:rPr>
          <w:sz w:val="24"/>
          <w:szCs w:val="24"/>
        </w:rPr>
        <w:t>.  The “Plaza Accord” is best viewed not as the precise product of the meeting on September 22, 1985, but a</w:t>
      </w:r>
      <w:r w:rsidR="00920E3F">
        <w:rPr>
          <w:sz w:val="24"/>
          <w:szCs w:val="24"/>
        </w:rPr>
        <w:t>s shorthand for a historic change</w:t>
      </w:r>
      <w:r w:rsidR="00C514AA" w:rsidRPr="00E07AD7">
        <w:rPr>
          <w:sz w:val="24"/>
          <w:szCs w:val="24"/>
        </w:rPr>
        <w:t xml:space="preserve"> in US policy that began when James Baker became Treasury Secretary in January of that year. </w:t>
      </w:r>
      <w:r w:rsidR="004B4947" w:rsidRPr="00E07AD7">
        <w:rPr>
          <w:sz w:val="24"/>
          <w:szCs w:val="24"/>
        </w:rPr>
        <w:t xml:space="preserve"> The </w:t>
      </w:r>
      <w:r w:rsidR="00920E3F">
        <w:rPr>
          <w:sz w:val="24"/>
          <w:szCs w:val="24"/>
        </w:rPr>
        <w:t>change</w:t>
      </w:r>
      <w:r w:rsidR="004B4947" w:rsidRPr="00E07AD7">
        <w:rPr>
          <w:sz w:val="24"/>
          <w:szCs w:val="24"/>
        </w:rPr>
        <w:t xml:space="preserve"> had the desired effect, bringing down the dollar and reducing the trade deficit.</w:t>
      </w:r>
      <w:r w:rsidR="00C514AA" w:rsidRPr="00E07AD7">
        <w:rPr>
          <w:sz w:val="24"/>
          <w:szCs w:val="24"/>
        </w:rPr>
        <w:t xml:space="preserve"> </w:t>
      </w:r>
      <w:r w:rsidR="00EB118D" w:rsidRPr="00E07AD7">
        <w:rPr>
          <w:sz w:val="24"/>
          <w:szCs w:val="24"/>
        </w:rPr>
        <w:t xml:space="preserve"> In recent years c</w:t>
      </w:r>
      <w:r w:rsidR="00C514AA" w:rsidRPr="00E07AD7">
        <w:rPr>
          <w:sz w:val="24"/>
          <w:szCs w:val="24"/>
        </w:rPr>
        <w:t>oncerted foreign exchange intervention</w:t>
      </w:r>
      <w:r w:rsidR="00291894">
        <w:rPr>
          <w:sz w:val="24"/>
          <w:szCs w:val="24"/>
        </w:rPr>
        <w:t>,</w:t>
      </w:r>
      <w:r w:rsidR="00C514AA" w:rsidRPr="00E07AD7">
        <w:rPr>
          <w:sz w:val="24"/>
          <w:szCs w:val="24"/>
        </w:rPr>
        <w:t xml:space="preserve"> of the sort undertaken by the G-7 in 1985 and periodically over the subsequent decade</w:t>
      </w:r>
      <w:r w:rsidR="00EB118D" w:rsidRPr="00E07AD7">
        <w:rPr>
          <w:sz w:val="24"/>
          <w:szCs w:val="24"/>
        </w:rPr>
        <w:t>,</w:t>
      </w:r>
      <w:r w:rsidR="00C514AA" w:rsidRPr="00E07AD7">
        <w:rPr>
          <w:sz w:val="24"/>
          <w:szCs w:val="24"/>
        </w:rPr>
        <w:t xml:space="preserve"> has died out.   Indeed the G-7 in 2013</w:t>
      </w:r>
      <w:r w:rsidR="00EB118D" w:rsidRPr="00E07AD7">
        <w:rPr>
          <w:sz w:val="24"/>
          <w:szCs w:val="24"/>
        </w:rPr>
        <w:t>, fearing “currency manipulation,”</w:t>
      </w:r>
      <w:r w:rsidR="00F24BCA" w:rsidRPr="00E07AD7">
        <w:rPr>
          <w:sz w:val="24"/>
          <w:szCs w:val="24"/>
        </w:rPr>
        <w:t xml:space="preserve"> </w:t>
      </w:r>
      <w:r w:rsidR="00C514AA" w:rsidRPr="00E07AD7">
        <w:rPr>
          <w:sz w:val="24"/>
          <w:szCs w:val="24"/>
        </w:rPr>
        <w:t xml:space="preserve">specifically </w:t>
      </w:r>
      <w:r w:rsidR="00F24BCA" w:rsidRPr="00E07AD7">
        <w:rPr>
          <w:sz w:val="24"/>
          <w:szCs w:val="24"/>
        </w:rPr>
        <w:t>agreed to refrain from intervention</w:t>
      </w:r>
      <w:r w:rsidR="00592F1F">
        <w:rPr>
          <w:sz w:val="24"/>
          <w:szCs w:val="24"/>
        </w:rPr>
        <w:t xml:space="preserve"> in a sort of “anti-Plaza accord</w:t>
      </w:r>
      <w:r w:rsidR="00701777">
        <w:rPr>
          <w:sz w:val="24"/>
          <w:szCs w:val="24"/>
        </w:rPr>
        <w:t>.</w:t>
      </w:r>
      <w:r w:rsidR="00592F1F">
        <w:rPr>
          <w:sz w:val="24"/>
          <w:szCs w:val="24"/>
        </w:rPr>
        <w:t>”</w:t>
      </w:r>
      <w:r w:rsidR="006F5877" w:rsidRPr="00E07AD7">
        <w:rPr>
          <w:sz w:val="24"/>
          <w:szCs w:val="24"/>
        </w:rPr>
        <w:t xml:space="preserve">  But the day will come </w:t>
      </w:r>
      <w:r w:rsidR="00C514AA" w:rsidRPr="00E07AD7">
        <w:rPr>
          <w:sz w:val="24"/>
          <w:szCs w:val="24"/>
        </w:rPr>
        <w:t xml:space="preserve">when coordinated foreign exchange intervention is </w:t>
      </w:r>
      <w:r w:rsidR="004B4947" w:rsidRPr="00E07AD7">
        <w:rPr>
          <w:sz w:val="24"/>
          <w:szCs w:val="24"/>
        </w:rPr>
        <w:t xml:space="preserve">again </w:t>
      </w:r>
      <w:r w:rsidR="00C514AA" w:rsidRPr="00E07AD7">
        <w:rPr>
          <w:sz w:val="24"/>
          <w:szCs w:val="24"/>
        </w:rPr>
        <w:t>appropriate.</w:t>
      </w:r>
    </w:p>
    <w:p w:rsidR="00C514AA" w:rsidRDefault="00C514AA" w:rsidP="008772E7">
      <w:pPr>
        <w:spacing w:line="240" w:lineRule="auto"/>
        <w:rPr>
          <w:sz w:val="24"/>
          <w:szCs w:val="24"/>
        </w:rPr>
      </w:pPr>
    </w:p>
    <w:p w:rsidR="004B3007" w:rsidRPr="0013711B" w:rsidRDefault="001D3E1F" w:rsidP="001D3E1F">
      <w:pPr>
        <w:spacing w:line="240" w:lineRule="auto"/>
        <w:jc w:val="center"/>
      </w:pPr>
      <w:r>
        <w:t xml:space="preserve">This paper was written for a </w:t>
      </w:r>
      <w:r>
        <w:rPr>
          <w:sz w:val="24"/>
          <w:szCs w:val="24"/>
        </w:rPr>
        <w:t>c</w:t>
      </w:r>
      <w:r w:rsidRPr="00701777">
        <w:rPr>
          <w:sz w:val="24"/>
          <w:szCs w:val="24"/>
        </w:rPr>
        <w:t>onference on</w:t>
      </w:r>
      <w:r w:rsidRPr="00701777">
        <w:rPr>
          <w:rFonts w:eastAsia="Times New Roman"/>
          <w:sz w:val="24"/>
          <w:szCs w:val="24"/>
        </w:rPr>
        <w:t xml:space="preserve"> </w:t>
      </w:r>
      <w:r w:rsidRPr="00701777">
        <w:rPr>
          <w:rFonts w:eastAsia="Times New Roman"/>
          <w:i/>
          <w:sz w:val="24"/>
          <w:szCs w:val="24"/>
        </w:rPr>
        <w:t>Currency Policy Then and Now: 30th Anniversary of the Plaza Accord</w:t>
      </w:r>
      <w:r w:rsidRPr="00701777">
        <w:rPr>
          <w:sz w:val="24"/>
          <w:szCs w:val="24"/>
        </w:rPr>
        <w:t>,</w:t>
      </w:r>
      <w:r>
        <w:rPr>
          <w:sz w:val="24"/>
          <w:szCs w:val="24"/>
        </w:rPr>
        <w:t xml:space="preserve"> </w:t>
      </w:r>
      <w:r w:rsidRPr="00D15AFB">
        <w:rPr>
          <w:sz w:val="24"/>
          <w:szCs w:val="24"/>
        </w:rPr>
        <w:t>Bak</w:t>
      </w:r>
      <w:r>
        <w:rPr>
          <w:sz w:val="24"/>
          <w:szCs w:val="24"/>
        </w:rPr>
        <w:t xml:space="preserve">er Institute for Public Policy, </w:t>
      </w:r>
      <w:r w:rsidRPr="00D15AFB">
        <w:rPr>
          <w:sz w:val="24"/>
          <w:szCs w:val="24"/>
        </w:rPr>
        <w:t>Rice University, October 1, 2015</w:t>
      </w:r>
      <w:r>
        <w:rPr>
          <w:sz w:val="24"/>
          <w:szCs w:val="24"/>
        </w:rPr>
        <w:t xml:space="preserve">. </w:t>
      </w:r>
      <w:r>
        <w:t xml:space="preserve">  </w:t>
      </w:r>
      <w:r w:rsidR="009158F1" w:rsidRPr="0013711B">
        <w:t>The author would like to thank for comments C. Fred Bergsten,</w:t>
      </w:r>
      <w:r w:rsidR="0013711B" w:rsidRPr="0013711B">
        <w:t xml:space="preserve"> Jin Chen,</w:t>
      </w:r>
      <w:r w:rsidR="009158F1" w:rsidRPr="0013711B">
        <w:t xml:space="preserve"> Russell Green and Ted Truman.</w:t>
      </w:r>
    </w:p>
    <w:p w:rsidR="00445FD4" w:rsidRDefault="00445FD4" w:rsidP="008772E7">
      <w:pPr>
        <w:spacing w:line="240" w:lineRule="auto"/>
        <w:rPr>
          <w:sz w:val="24"/>
          <w:szCs w:val="24"/>
        </w:rPr>
      </w:pPr>
    </w:p>
    <w:p w:rsidR="00445FD4" w:rsidRDefault="00445FD4" w:rsidP="008772E7">
      <w:pPr>
        <w:spacing w:line="240" w:lineRule="auto"/>
        <w:rPr>
          <w:sz w:val="24"/>
          <w:szCs w:val="24"/>
        </w:rPr>
      </w:pPr>
    </w:p>
    <w:p w:rsidR="00445FD4" w:rsidRDefault="00445FD4" w:rsidP="008772E7">
      <w:pPr>
        <w:spacing w:line="240" w:lineRule="auto"/>
        <w:rPr>
          <w:sz w:val="24"/>
          <w:szCs w:val="24"/>
        </w:rPr>
      </w:pPr>
    </w:p>
    <w:p w:rsidR="00E04C22" w:rsidRDefault="00E04C22" w:rsidP="00E04C22">
      <w:pPr>
        <w:spacing w:line="240" w:lineRule="auto"/>
        <w:rPr>
          <w:sz w:val="24"/>
          <w:szCs w:val="24"/>
        </w:rPr>
      </w:pPr>
      <w:r w:rsidRPr="00E04C22">
        <w:rPr>
          <w:sz w:val="24"/>
          <w:szCs w:val="24"/>
        </w:rPr>
        <w:t>JEL classification codes F31, F33</w:t>
      </w:r>
      <w:r>
        <w:rPr>
          <w:sz w:val="24"/>
          <w:szCs w:val="24"/>
        </w:rPr>
        <w:t>, N1</w:t>
      </w:r>
    </w:p>
    <w:p w:rsidR="00E04C22" w:rsidRPr="00E04C22" w:rsidRDefault="00E04C22" w:rsidP="00E04C22">
      <w:pPr>
        <w:spacing w:line="240" w:lineRule="auto"/>
        <w:rPr>
          <w:sz w:val="24"/>
          <w:szCs w:val="24"/>
        </w:rPr>
      </w:pPr>
      <w:r>
        <w:rPr>
          <w:sz w:val="24"/>
          <w:szCs w:val="24"/>
        </w:rPr>
        <w:t>Key words: Accord, Agreement, Currency, Depreciation, Dollar, Exchange Rate, Intervention, Plaza</w:t>
      </w:r>
    </w:p>
    <w:p w:rsidR="00445FD4" w:rsidRDefault="00445FD4" w:rsidP="008772E7">
      <w:pPr>
        <w:spacing w:line="240" w:lineRule="auto"/>
        <w:rPr>
          <w:sz w:val="24"/>
          <w:szCs w:val="24"/>
        </w:rPr>
      </w:pPr>
      <w:r>
        <w:rPr>
          <w:sz w:val="24"/>
          <w:szCs w:val="24"/>
        </w:rPr>
        <w:br w:type="page"/>
      </w:r>
    </w:p>
    <w:p w:rsidR="007E551B" w:rsidRPr="007E551B" w:rsidRDefault="007E551B" w:rsidP="008772E7">
      <w:pPr>
        <w:spacing w:line="240" w:lineRule="auto"/>
        <w:jc w:val="center"/>
        <w:rPr>
          <w:b/>
          <w:sz w:val="28"/>
          <w:szCs w:val="28"/>
        </w:rPr>
      </w:pPr>
      <w:r w:rsidRPr="007E551B">
        <w:rPr>
          <w:b/>
          <w:sz w:val="28"/>
          <w:szCs w:val="28"/>
        </w:rPr>
        <w:lastRenderedPageBreak/>
        <w:t>The Plaza Accord, 30 Years Later</w:t>
      </w:r>
    </w:p>
    <w:p w:rsidR="00EE52E8" w:rsidRPr="00D15AFB" w:rsidRDefault="000200BC" w:rsidP="008772E7">
      <w:pPr>
        <w:spacing w:line="240" w:lineRule="auto"/>
        <w:rPr>
          <w:sz w:val="24"/>
          <w:szCs w:val="24"/>
        </w:rPr>
      </w:pPr>
      <w:r w:rsidRPr="00D15AFB">
        <w:rPr>
          <w:sz w:val="24"/>
          <w:szCs w:val="24"/>
        </w:rPr>
        <w:t>September 2015 marks the 30</w:t>
      </w:r>
      <w:r w:rsidRPr="00D15AFB">
        <w:rPr>
          <w:sz w:val="24"/>
          <w:szCs w:val="24"/>
          <w:vertAlign w:val="superscript"/>
        </w:rPr>
        <w:t>th</w:t>
      </w:r>
      <w:r w:rsidRPr="00D15AFB">
        <w:rPr>
          <w:sz w:val="24"/>
          <w:szCs w:val="24"/>
        </w:rPr>
        <w:t xml:space="preserve"> anniversary of the Plaza Accord. </w:t>
      </w:r>
      <w:r w:rsidR="00A83101" w:rsidRPr="00D15AFB">
        <w:rPr>
          <w:sz w:val="24"/>
          <w:szCs w:val="24"/>
        </w:rPr>
        <w:t xml:space="preserve">  </w:t>
      </w:r>
      <w:r w:rsidR="002B0B5F">
        <w:rPr>
          <w:sz w:val="24"/>
          <w:szCs w:val="24"/>
        </w:rPr>
        <w:t xml:space="preserve">It was </w:t>
      </w:r>
      <w:r w:rsidR="00920E3F">
        <w:rPr>
          <w:sz w:val="24"/>
          <w:szCs w:val="24"/>
        </w:rPr>
        <w:t xml:space="preserve">probably </w:t>
      </w:r>
      <w:r w:rsidR="002B0B5F">
        <w:rPr>
          <w:sz w:val="24"/>
          <w:szCs w:val="24"/>
        </w:rPr>
        <w:t xml:space="preserve">the most dramatic </w:t>
      </w:r>
      <w:r w:rsidR="00920E3F">
        <w:rPr>
          <w:sz w:val="24"/>
          <w:szCs w:val="24"/>
        </w:rPr>
        <w:t xml:space="preserve">policy </w:t>
      </w:r>
      <w:r w:rsidR="002B0B5F">
        <w:rPr>
          <w:sz w:val="24"/>
          <w:szCs w:val="24"/>
        </w:rPr>
        <w:t xml:space="preserve">initiative in the dollar foreign exchange market since Richard Nixon originally floated the currency in 1973. </w:t>
      </w:r>
      <w:r w:rsidRPr="00D15AFB">
        <w:rPr>
          <w:sz w:val="24"/>
          <w:szCs w:val="24"/>
        </w:rPr>
        <w:t xml:space="preserve"> </w:t>
      </w:r>
      <w:r w:rsidR="00034C3B" w:rsidRPr="00D15AFB">
        <w:rPr>
          <w:sz w:val="24"/>
          <w:szCs w:val="24"/>
        </w:rPr>
        <w:t>At the Plaza Hotel</w:t>
      </w:r>
      <w:r w:rsidR="00E57C68" w:rsidRPr="00D15AFB">
        <w:rPr>
          <w:sz w:val="24"/>
          <w:szCs w:val="24"/>
        </w:rPr>
        <w:t xml:space="preserve"> in New York</w:t>
      </w:r>
      <w:r w:rsidR="00795AF9" w:rsidRPr="00D15AFB">
        <w:rPr>
          <w:sz w:val="24"/>
          <w:szCs w:val="24"/>
        </w:rPr>
        <w:t xml:space="preserve"> on September 22, 1985</w:t>
      </w:r>
      <w:r w:rsidR="00034C3B" w:rsidRPr="00D15AFB">
        <w:rPr>
          <w:sz w:val="24"/>
          <w:szCs w:val="24"/>
        </w:rPr>
        <w:t>,</w:t>
      </w:r>
      <w:r w:rsidR="00BD0B25" w:rsidRPr="00D15AFB">
        <w:rPr>
          <w:sz w:val="24"/>
          <w:szCs w:val="24"/>
        </w:rPr>
        <w:t xml:space="preserve"> </w:t>
      </w:r>
      <w:r w:rsidRPr="00D15AFB">
        <w:rPr>
          <w:sz w:val="24"/>
          <w:szCs w:val="24"/>
        </w:rPr>
        <w:t>U</w:t>
      </w:r>
      <w:r w:rsidR="00E57C68" w:rsidRPr="00D15AFB">
        <w:rPr>
          <w:sz w:val="24"/>
          <w:szCs w:val="24"/>
        </w:rPr>
        <w:t xml:space="preserve">S officials and </w:t>
      </w:r>
      <w:r w:rsidR="00795AF9" w:rsidRPr="00D15AFB">
        <w:rPr>
          <w:sz w:val="24"/>
          <w:szCs w:val="24"/>
        </w:rPr>
        <w:t xml:space="preserve">their </w:t>
      </w:r>
      <w:r w:rsidR="00E57C68" w:rsidRPr="00D15AFB">
        <w:rPr>
          <w:sz w:val="24"/>
          <w:szCs w:val="24"/>
        </w:rPr>
        <w:t xml:space="preserve">counterparts among the Group of Five largest industrialized </w:t>
      </w:r>
      <w:r w:rsidRPr="00D15AFB">
        <w:rPr>
          <w:sz w:val="24"/>
          <w:szCs w:val="24"/>
        </w:rPr>
        <w:t>cou</w:t>
      </w:r>
      <w:r w:rsidR="00A83101" w:rsidRPr="00D15AFB">
        <w:rPr>
          <w:sz w:val="24"/>
          <w:szCs w:val="24"/>
        </w:rPr>
        <w:t xml:space="preserve">ntries </w:t>
      </w:r>
      <w:r w:rsidR="00034C3B" w:rsidRPr="00D15AFB">
        <w:rPr>
          <w:sz w:val="24"/>
          <w:szCs w:val="24"/>
        </w:rPr>
        <w:t xml:space="preserve">agreed </w:t>
      </w:r>
      <w:r w:rsidR="00A83101" w:rsidRPr="00D15AFB">
        <w:rPr>
          <w:sz w:val="24"/>
          <w:szCs w:val="24"/>
        </w:rPr>
        <w:t xml:space="preserve">to </w:t>
      </w:r>
      <w:r w:rsidR="00795AF9" w:rsidRPr="00D15AFB">
        <w:rPr>
          <w:sz w:val="24"/>
          <w:szCs w:val="24"/>
        </w:rPr>
        <w:t xml:space="preserve">act to </w:t>
      </w:r>
      <w:r w:rsidR="00A83101" w:rsidRPr="00D15AFB">
        <w:rPr>
          <w:sz w:val="24"/>
          <w:szCs w:val="24"/>
        </w:rPr>
        <w:t xml:space="preserve">bring down the </w:t>
      </w:r>
      <w:r w:rsidR="00795AF9" w:rsidRPr="00D15AFB">
        <w:rPr>
          <w:sz w:val="24"/>
          <w:szCs w:val="24"/>
        </w:rPr>
        <w:t xml:space="preserve">value of the </w:t>
      </w:r>
      <w:r w:rsidR="00A83101" w:rsidRPr="00D15AFB">
        <w:rPr>
          <w:sz w:val="24"/>
          <w:szCs w:val="24"/>
        </w:rPr>
        <w:t>dollar</w:t>
      </w:r>
      <w:r w:rsidR="00EE52E8" w:rsidRPr="00D15AFB">
        <w:rPr>
          <w:sz w:val="24"/>
          <w:szCs w:val="24"/>
        </w:rPr>
        <w:t xml:space="preserve">. </w:t>
      </w:r>
      <w:r w:rsidR="00273A01" w:rsidRPr="00D15AFB">
        <w:rPr>
          <w:sz w:val="24"/>
          <w:szCs w:val="24"/>
        </w:rPr>
        <w:t>P</w:t>
      </w:r>
      <w:r w:rsidR="00A83101" w:rsidRPr="00D15AFB">
        <w:rPr>
          <w:sz w:val="24"/>
          <w:szCs w:val="24"/>
        </w:rPr>
        <w:t xml:space="preserve">ublic statements from </w:t>
      </w:r>
      <w:r w:rsidR="00273A01" w:rsidRPr="00D15AFB">
        <w:rPr>
          <w:sz w:val="24"/>
          <w:szCs w:val="24"/>
        </w:rPr>
        <w:t>the officials</w:t>
      </w:r>
      <w:r w:rsidR="00A83101" w:rsidRPr="00D15AFB">
        <w:rPr>
          <w:sz w:val="24"/>
          <w:szCs w:val="24"/>
        </w:rPr>
        <w:t xml:space="preserve"> </w:t>
      </w:r>
      <w:r w:rsidR="00273A01" w:rsidRPr="00D15AFB">
        <w:rPr>
          <w:sz w:val="24"/>
          <w:szCs w:val="24"/>
        </w:rPr>
        <w:t xml:space="preserve">were </w:t>
      </w:r>
      <w:r w:rsidR="00A83101" w:rsidRPr="00D15AFB">
        <w:rPr>
          <w:sz w:val="24"/>
          <w:szCs w:val="24"/>
        </w:rPr>
        <w:t>backed up by foreig</w:t>
      </w:r>
      <w:r w:rsidR="00795AF9" w:rsidRPr="00D15AFB">
        <w:rPr>
          <w:sz w:val="24"/>
          <w:szCs w:val="24"/>
        </w:rPr>
        <w:t>n exchange intervention</w:t>
      </w:r>
      <w:r w:rsidR="00E10896">
        <w:rPr>
          <w:sz w:val="24"/>
          <w:szCs w:val="24"/>
        </w:rPr>
        <w:t xml:space="preserve">, </w:t>
      </w:r>
      <w:r w:rsidR="00A83101" w:rsidRPr="00D15AFB">
        <w:rPr>
          <w:sz w:val="24"/>
          <w:szCs w:val="24"/>
        </w:rPr>
        <w:t>selling dollars in</w:t>
      </w:r>
      <w:r w:rsidR="00273A01" w:rsidRPr="00D15AFB">
        <w:rPr>
          <w:sz w:val="24"/>
          <w:szCs w:val="24"/>
        </w:rPr>
        <w:t xml:space="preserve"> exchange for other currencies in</w:t>
      </w:r>
      <w:r w:rsidR="00A83101" w:rsidRPr="00D15AFB">
        <w:rPr>
          <w:sz w:val="24"/>
          <w:szCs w:val="24"/>
        </w:rPr>
        <w:t xml:space="preserve"> t</w:t>
      </w:r>
      <w:r w:rsidR="00EE52E8" w:rsidRPr="00D15AFB">
        <w:rPr>
          <w:sz w:val="24"/>
          <w:szCs w:val="24"/>
        </w:rPr>
        <w:t xml:space="preserve">he foreign exchange market.   </w:t>
      </w:r>
    </w:p>
    <w:p w:rsidR="00F31878" w:rsidRDefault="00EE52E8" w:rsidP="008772E7">
      <w:pPr>
        <w:spacing w:line="240" w:lineRule="auto"/>
        <w:rPr>
          <w:sz w:val="24"/>
          <w:szCs w:val="24"/>
        </w:rPr>
      </w:pPr>
      <w:r w:rsidRPr="00D15AFB">
        <w:rPr>
          <w:sz w:val="24"/>
          <w:szCs w:val="24"/>
        </w:rPr>
        <w:t>The Plaza</w:t>
      </w:r>
      <w:r w:rsidR="00A83101" w:rsidRPr="00D15AFB">
        <w:rPr>
          <w:sz w:val="24"/>
          <w:szCs w:val="24"/>
        </w:rPr>
        <w:t xml:space="preserve"> </w:t>
      </w:r>
      <w:r w:rsidR="000200BC" w:rsidRPr="00D15AFB">
        <w:rPr>
          <w:sz w:val="24"/>
          <w:szCs w:val="24"/>
        </w:rPr>
        <w:t>is justly celebrated as a high-water mark of international policy coordination.</w:t>
      </w:r>
      <w:r w:rsidR="000F11D9" w:rsidRPr="00D15AFB">
        <w:rPr>
          <w:sz w:val="24"/>
          <w:szCs w:val="24"/>
        </w:rPr>
        <w:t xml:space="preserve"> </w:t>
      </w:r>
      <w:r w:rsidR="000200BC" w:rsidRPr="00D15AFB">
        <w:rPr>
          <w:sz w:val="24"/>
          <w:szCs w:val="24"/>
        </w:rPr>
        <w:t xml:space="preserve"> The value of the </w:t>
      </w:r>
      <w:r w:rsidR="000F11D9" w:rsidRPr="00D15AFB">
        <w:rPr>
          <w:sz w:val="24"/>
          <w:szCs w:val="24"/>
        </w:rPr>
        <w:t>dollar</w:t>
      </w:r>
      <w:r w:rsidR="00644B2B" w:rsidRPr="00D15AFB">
        <w:rPr>
          <w:sz w:val="24"/>
          <w:szCs w:val="24"/>
        </w:rPr>
        <w:t xml:space="preserve"> </w:t>
      </w:r>
      <w:r w:rsidR="00795AF9" w:rsidRPr="00D15AFB">
        <w:rPr>
          <w:sz w:val="24"/>
          <w:szCs w:val="24"/>
        </w:rPr>
        <w:t xml:space="preserve">had climbed </w:t>
      </w:r>
      <w:r w:rsidR="00C242B5" w:rsidRPr="00D15AFB">
        <w:rPr>
          <w:sz w:val="24"/>
          <w:szCs w:val="24"/>
        </w:rPr>
        <w:t xml:space="preserve">44 per cent </w:t>
      </w:r>
      <w:r w:rsidR="00795AF9" w:rsidRPr="00D15AFB">
        <w:rPr>
          <w:sz w:val="24"/>
          <w:szCs w:val="24"/>
        </w:rPr>
        <w:t>against other major currencies</w:t>
      </w:r>
      <w:r w:rsidR="000200BC" w:rsidRPr="00D15AFB">
        <w:rPr>
          <w:sz w:val="24"/>
          <w:szCs w:val="24"/>
        </w:rPr>
        <w:t xml:space="preserve"> in the </w:t>
      </w:r>
      <w:r w:rsidR="00795AF9" w:rsidRPr="00D15AFB">
        <w:rPr>
          <w:sz w:val="24"/>
          <w:szCs w:val="24"/>
        </w:rPr>
        <w:t xml:space="preserve">five </w:t>
      </w:r>
      <w:r w:rsidR="000200BC" w:rsidRPr="00D15AFB">
        <w:rPr>
          <w:sz w:val="24"/>
          <w:szCs w:val="24"/>
        </w:rPr>
        <w:t>years leading up to 1985</w:t>
      </w:r>
      <w:r w:rsidR="00644B2B" w:rsidRPr="00D15AFB">
        <w:rPr>
          <w:sz w:val="24"/>
          <w:szCs w:val="24"/>
        </w:rPr>
        <w:t>.</w:t>
      </w:r>
      <w:r w:rsidR="00795AF9" w:rsidRPr="00D15AFB">
        <w:rPr>
          <w:rStyle w:val="FootnoteReference"/>
          <w:sz w:val="24"/>
          <w:szCs w:val="24"/>
        </w:rPr>
        <w:footnoteReference w:id="1"/>
      </w:r>
      <w:r w:rsidR="00644B2B" w:rsidRPr="00D15AFB">
        <w:rPr>
          <w:sz w:val="24"/>
          <w:szCs w:val="24"/>
        </w:rPr>
        <w:t xml:space="preserve"> </w:t>
      </w:r>
      <w:r w:rsidR="00795AF9" w:rsidRPr="00D15AFB">
        <w:rPr>
          <w:sz w:val="24"/>
          <w:szCs w:val="24"/>
        </w:rPr>
        <w:t xml:space="preserve"> (See Figure 1.)  </w:t>
      </w:r>
      <w:r w:rsidR="006F5877">
        <w:rPr>
          <w:sz w:val="24"/>
          <w:szCs w:val="24"/>
        </w:rPr>
        <w:t>Largely as a result of the strong dollar and lost price competitiveness, t</w:t>
      </w:r>
      <w:r w:rsidR="00644B2B" w:rsidRPr="00D15AFB">
        <w:rPr>
          <w:sz w:val="24"/>
          <w:szCs w:val="24"/>
        </w:rPr>
        <w:t>he US trade balance</w:t>
      </w:r>
      <w:r w:rsidR="000200BC" w:rsidRPr="00D15AFB">
        <w:rPr>
          <w:sz w:val="24"/>
          <w:szCs w:val="24"/>
        </w:rPr>
        <w:t xml:space="preserve"> had fallen to record lows as of 1985</w:t>
      </w:r>
      <w:r w:rsidR="00FD1280" w:rsidRPr="00D15AFB">
        <w:rPr>
          <w:sz w:val="24"/>
          <w:szCs w:val="24"/>
        </w:rPr>
        <w:t>, a deficit of $122 billion</w:t>
      </w:r>
      <w:r w:rsidR="006F5877">
        <w:rPr>
          <w:sz w:val="24"/>
          <w:szCs w:val="24"/>
        </w:rPr>
        <w:t>.  The trade deficit spurred</w:t>
      </w:r>
      <w:r w:rsidRPr="00D15AFB">
        <w:rPr>
          <w:sz w:val="24"/>
          <w:szCs w:val="24"/>
        </w:rPr>
        <w:t xml:space="preserve"> </w:t>
      </w:r>
      <w:r w:rsidR="00644B2B" w:rsidRPr="00D15AFB">
        <w:rPr>
          <w:sz w:val="24"/>
          <w:szCs w:val="24"/>
        </w:rPr>
        <w:t xml:space="preserve">congressional support for </w:t>
      </w:r>
      <w:r w:rsidR="00795AF9" w:rsidRPr="00D15AFB">
        <w:rPr>
          <w:sz w:val="24"/>
          <w:szCs w:val="24"/>
        </w:rPr>
        <w:t xml:space="preserve">proposed </w:t>
      </w:r>
      <w:r w:rsidR="00734DD8">
        <w:rPr>
          <w:sz w:val="24"/>
          <w:szCs w:val="24"/>
        </w:rPr>
        <w:t xml:space="preserve">trade interventions </w:t>
      </w:r>
      <w:r w:rsidR="00644B2B" w:rsidRPr="00D15AFB">
        <w:rPr>
          <w:sz w:val="24"/>
          <w:szCs w:val="24"/>
        </w:rPr>
        <w:t xml:space="preserve">that an economist would have found damaging. </w:t>
      </w:r>
      <w:r w:rsidR="000200BC" w:rsidRPr="00D15AFB">
        <w:rPr>
          <w:sz w:val="24"/>
          <w:szCs w:val="24"/>
        </w:rPr>
        <w:t xml:space="preserve"> </w:t>
      </w:r>
      <w:r w:rsidR="00920E3F">
        <w:rPr>
          <w:sz w:val="24"/>
          <w:szCs w:val="24"/>
        </w:rPr>
        <w:t xml:space="preserve"> </w:t>
      </w:r>
    </w:p>
    <w:p w:rsidR="00FD1280" w:rsidRPr="00D15AFB" w:rsidRDefault="00920E3F" w:rsidP="008772E7">
      <w:pPr>
        <w:spacing w:line="240" w:lineRule="auto"/>
        <w:rPr>
          <w:sz w:val="24"/>
          <w:szCs w:val="24"/>
        </w:rPr>
      </w:pPr>
      <w:r>
        <w:rPr>
          <w:sz w:val="24"/>
          <w:szCs w:val="24"/>
        </w:rPr>
        <w:t xml:space="preserve">In the two years 1985-87, the dollar </w:t>
      </w:r>
      <w:r w:rsidRPr="00D15AFB">
        <w:rPr>
          <w:sz w:val="24"/>
          <w:szCs w:val="24"/>
        </w:rPr>
        <w:t xml:space="preserve">came back down </w:t>
      </w:r>
      <w:r>
        <w:rPr>
          <w:sz w:val="24"/>
          <w:szCs w:val="24"/>
        </w:rPr>
        <w:t>40 per cent</w:t>
      </w:r>
      <w:r w:rsidRPr="00D15AFB">
        <w:rPr>
          <w:sz w:val="24"/>
          <w:szCs w:val="24"/>
        </w:rPr>
        <w:t xml:space="preserve">.   </w:t>
      </w:r>
      <w:r w:rsidR="00644B2B" w:rsidRPr="00D15AFB">
        <w:rPr>
          <w:sz w:val="24"/>
          <w:szCs w:val="24"/>
        </w:rPr>
        <w:t xml:space="preserve">After the </w:t>
      </w:r>
      <w:r>
        <w:rPr>
          <w:sz w:val="24"/>
          <w:szCs w:val="24"/>
        </w:rPr>
        <w:t>exchange rate turned around</w:t>
      </w:r>
      <w:r w:rsidR="00644B2B" w:rsidRPr="00D15AFB">
        <w:rPr>
          <w:sz w:val="24"/>
          <w:szCs w:val="24"/>
        </w:rPr>
        <w:t xml:space="preserve">, </w:t>
      </w:r>
      <w:r w:rsidR="00EE52E8" w:rsidRPr="00D15AFB">
        <w:rPr>
          <w:sz w:val="24"/>
          <w:szCs w:val="24"/>
        </w:rPr>
        <w:t>so did the trade balance</w:t>
      </w:r>
      <w:r w:rsidR="00795AF9" w:rsidRPr="00D15AFB">
        <w:rPr>
          <w:sz w:val="24"/>
          <w:szCs w:val="24"/>
        </w:rPr>
        <w:t xml:space="preserve"> (</w:t>
      </w:r>
      <w:r w:rsidR="008E7451" w:rsidRPr="00D15AFB">
        <w:rPr>
          <w:sz w:val="24"/>
          <w:szCs w:val="24"/>
        </w:rPr>
        <w:t xml:space="preserve">with </w:t>
      </w:r>
      <w:r w:rsidR="00EE52E8" w:rsidRPr="00D15AFB">
        <w:rPr>
          <w:sz w:val="24"/>
          <w:szCs w:val="24"/>
        </w:rPr>
        <w:t>the usual lag</w:t>
      </w:r>
      <w:r w:rsidR="00795AF9" w:rsidRPr="00D15AFB">
        <w:rPr>
          <w:sz w:val="24"/>
          <w:szCs w:val="24"/>
        </w:rPr>
        <w:t>)</w:t>
      </w:r>
      <w:r w:rsidR="00FD1280" w:rsidRPr="00D15AFB">
        <w:rPr>
          <w:sz w:val="24"/>
          <w:szCs w:val="24"/>
        </w:rPr>
        <w:t xml:space="preserve">. </w:t>
      </w:r>
      <w:r w:rsidR="00AC1613" w:rsidRPr="00D15AFB">
        <w:rPr>
          <w:sz w:val="24"/>
          <w:szCs w:val="24"/>
        </w:rPr>
        <w:t xml:space="preserve"> In the end, t</w:t>
      </w:r>
      <w:r w:rsidR="008E7451" w:rsidRPr="00D15AFB">
        <w:rPr>
          <w:sz w:val="24"/>
          <w:szCs w:val="24"/>
        </w:rPr>
        <w:t>he US C</w:t>
      </w:r>
      <w:r w:rsidR="00644B2B" w:rsidRPr="00D15AFB">
        <w:rPr>
          <w:sz w:val="24"/>
          <w:szCs w:val="24"/>
        </w:rPr>
        <w:t xml:space="preserve">ongress </w:t>
      </w:r>
      <w:r w:rsidR="00EE52E8" w:rsidRPr="00D15AFB">
        <w:rPr>
          <w:sz w:val="24"/>
          <w:szCs w:val="24"/>
        </w:rPr>
        <w:t xml:space="preserve">refrained from enacting </w:t>
      </w:r>
      <w:r w:rsidR="00644B2B" w:rsidRPr="00D15AFB">
        <w:rPr>
          <w:sz w:val="24"/>
          <w:szCs w:val="24"/>
        </w:rPr>
        <w:t>protec</w:t>
      </w:r>
      <w:r w:rsidR="00600C4E" w:rsidRPr="00D15AFB">
        <w:rPr>
          <w:sz w:val="24"/>
          <w:szCs w:val="24"/>
        </w:rPr>
        <w:t>tionis</w:t>
      </w:r>
      <w:r w:rsidR="00EE52E8" w:rsidRPr="00D15AFB">
        <w:rPr>
          <w:sz w:val="24"/>
          <w:szCs w:val="24"/>
        </w:rPr>
        <w:t>t trade barriers</w:t>
      </w:r>
      <w:r w:rsidR="00600C4E" w:rsidRPr="00D15AFB">
        <w:rPr>
          <w:sz w:val="24"/>
          <w:szCs w:val="24"/>
        </w:rPr>
        <w:t xml:space="preserve">.   </w:t>
      </w:r>
    </w:p>
    <w:p w:rsidR="00A83101" w:rsidRPr="00D15AFB" w:rsidRDefault="00600C4E" w:rsidP="008772E7">
      <w:pPr>
        <w:spacing w:line="240" w:lineRule="auto"/>
        <w:rPr>
          <w:sz w:val="24"/>
          <w:szCs w:val="24"/>
        </w:rPr>
      </w:pPr>
      <w:r w:rsidRPr="00D15AFB">
        <w:rPr>
          <w:sz w:val="24"/>
          <w:szCs w:val="24"/>
        </w:rPr>
        <w:t>The Plaza Accord made</w:t>
      </w:r>
      <w:r w:rsidR="00644B2B" w:rsidRPr="00D15AFB">
        <w:rPr>
          <w:sz w:val="24"/>
          <w:szCs w:val="24"/>
        </w:rPr>
        <w:t xml:space="preserve"> institutional </w:t>
      </w:r>
      <w:r w:rsidRPr="00D15AFB">
        <w:rPr>
          <w:sz w:val="24"/>
          <w:szCs w:val="24"/>
        </w:rPr>
        <w:t xml:space="preserve">history </w:t>
      </w:r>
      <w:r w:rsidR="00644B2B" w:rsidRPr="00D15AFB">
        <w:rPr>
          <w:sz w:val="24"/>
          <w:szCs w:val="24"/>
        </w:rPr>
        <w:t xml:space="preserve">as well.  The group </w:t>
      </w:r>
      <w:r w:rsidR="00FD1280" w:rsidRPr="00D15AFB">
        <w:rPr>
          <w:sz w:val="24"/>
          <w:szCs w:val="24"/>
        </w:rPr>
        <w:t xml:space="preserve">of officials </w:t>
      </w:r>
      <w:r w:rsidR="00644B2B" w:rsidRPr="00D15AFB">
        <w:rPr>
          <w:sz w:val="24"/>
          <w:szCs w:val="24"/>
        </w:rPr>
        <w:t xml:space="preserve">that had met </w:t>
      </w:r>
      <w:r w:rsidRPr="00D15AFB">
        <w:rPr>
          <w:sz w:val="24"/>
          <w:szCs w:val="24"/>
        </w:rPr>
        <w:t xml:space="preserve">in New York </w:t>
      </w:r>
      <w:r w:rsidR="00644B2B" w:rsidRPr="00D15AFB">
        <w:rPr>
          <w:sz w:val="24"/>
          <w:szCs w:val="24"/>
        </w:rPr>
        <w:t>developed into the G-7 Finance Ministers group, which has continued to meet ever si</w:t>
      </w:r>
      <w:r w:rsidR="00A83101" w:rsidRPr="00D15AFB">
        <w:rPr>
          <w:sz w:val="24"/>
          <w:szCs w:val="24"/>
        </w:rPr>
        <w:t>n</w:t>
      </w:r>
      <w:r w:rsidR="00644B2B" w:rsidRPr="00D15AFB">
        <w:rPr>
          <w:sz w:val="24"/>
          <w:szCs w:val="24"/>
        </w:rPr>
        <w:t>ce.</w:t>
      </w:r>
      <w:r w:rsidR="00A83101" w:rsidRPr="00D15AFB">
        <w:rPr>
          <w:rStyle w:val="FootnoteReference"/>
          <w:sz w:val="24"/>
          <w:szCs w:val="24"/>
        </w:rPr>
        <w:footnoteReference w:id="2"/>
      </w:r>
      <w:r w:rsidR="00644B2B" w:rsidRPr="00D15AFB">
        <w:rPr>
          <w:sz w:val="24"/>
          <w:szCs w:val="24"/>
        </w:rPr>
        <w:t xml:space="preserve"> </w:t>
      </w:r>
      <w:r w:rsidR="00AD5A50" w:rsidRPr="00D15AFB">
        <w:rPr>
          <w:sz w:val="24"/>
          <w:szCs w:val="24"/>
        </w:rPr>
        <w:t xml:space="preserve">  Overall,</w:t>
      </w:r>
      <w:r w:rsidR="00920E3F">
        <w:rPr>
          <w:sz w:val="24"/>
          <w:szCs w:val="24"/>
        </w:rPr>
        <w:t xml:space="preserve"> the Plaza was</w:t>
      </w:r>
      <w:r w:rsidR="00AD5A50" w:rsidRPr="00D15AFB">
        <w:rPr>
          <w:sz w:val="24"/>
          <w:szCs w:val="24"/>
        </w:rPr>
        <w:t xml:space="preserve"> a </w:t>
      </w:r>
      <w:r w:rsidR="008E7451" w:rsidRPr="00D15AFB">
        <w:rPr>
          <w:sz w:val="24"/>
          <w:szCs w:val="24"/>
        </w:rPr>
        <w:t xml:space="preserve">major </w:t>
      </w:r>
      <w:r w:rsidR="00AD5A50" w:rsidRPr="00D15AFB">
        <w:rPr>
          <w:sz w:val="24"/>
          <w:szCs w:val="24"/>
        </w:rPr>
        <w:t>public success.</w:t>
      </w:r>
    </w:p>
    <w:p w:rsidR="004B4947" w:rsidRPr="004B3007" w:rsidRDefault="00F61DB7" w:rsidP="008772E7">
      <w:pPr>
        <w:spacing w:line="240" w:lineRule="auto"/>
        <w:rPr>
          <w:rFonts w:cs="Helvetica"/>
          <w:color w:val="0D0D0D" w:themeColor="text1" w:themeTint="F2"/>
          <w:sz w:val="24"/>
          <w:szCs w:val="24"/>
          <w:shd w:val="clear" w:color="auto" w:fill="FFFFFF"/>
        </w:rPr>
      </w:pPr>
      <w:r w:rsidRPr="00D15AFB">
        <w:rPr>
          <w:sz w:val="24"/>
          <w:szCs w:val="24"/>
        </w:rPr>
        <w:t xml:space="preserve">With </w:t>
      </w:r>
      <w:r w:rsidR="00E51877">
        <w:rPr>
          <w:sz w:val="24"/>
          <w:szCs w:val="24"/>
        </w:rPr>
        <w:t xml:space="preserve">the Plaza Accord viewed </w:t>
      </w:r>
      <w:r w:rsidR="00743B7F" w:rsidRPr="00D15AFB">
        <w:rPr>
          <w:sz w:val="24"/>
          <w:szCs w:val="24"/>
        </w:rPr>
        <w:t xml:space="preserve">favorably, </w:t>
      </w:r>
      <w:r w:rsidR="00A83101" w:rsidRPr="00D15AFB">
        <w:rPr>
          <w:sz w:val="24"/>
          <w:szCs w:val="24"/>
        </w:rPr>
        <w:t>it is s</w:t>
      </w:r>
      <w:r w:rsidRPr="00D15AFB">
        <w:rPr>
          <w:sz w:val="24"/>
          <w:szCs w:val="24"/>
        </w:rPr>
        <w:t>obering</w:t>
      </w:r>
      <w:r w:rsidR="00A83101" w:rsidRPr="00D15AFB">
        <w:rPr>
          <w:sz w:val="24"/>
          <w:szCs w:val="24"/>
        </w:rPr>
        <w:t xml:space="preserve"> </w:t>
      </w:r>
      <w:r w:rsidRPr="00D15AFB">
        <w:rPr>
          <w:sz w:val="24"/>
          <w:szCs w:val="24"/>
        </w:rPr>
        <w:t xml:space="preserve">to realize </w:t>
      </w:r>
      <w:r w:rsidR="00A83101" w:rsidRPr="00D15AFB">
        <w:rPr>
          <w:sz w:val="24"/>
          <w:szCs w:val="24"/>
        </w:rPr>
        <w:t xml:space="preserve">that the essence of the </w:t>
      </w:r>
      <w:r w:rsidR="00743B7F" w:rsidRPr="00D15AFB">
        <w:rPr>
          <w:sz w:val="24"/>
          <w:szCs w:val="24"/>
        </w:rPr>
        <w:t>initiative</w:t>
      </w:r>
      <w:r w:rsidR="00A83101" w:rsidRPr="00D15AFB">
        <w:rPr>
          <w:sz w:val="24"/>
          <w:szCs w:val="24"/>
        </w:rPr>
        <w:t xml:space="preserve"> -- a deliberate effort to depreciate a major </w:t>
      </w:r>
      <w:r w:rsidR="0010274C" w:rsidRPr="00D15AFB">
        <w:rPr>
          <w:sz w:val="24"/>
          <w:szCs w:val="24"/>
        </w:rPr>
        <w:t>currency -- would</w:t>
      </w:r>
      <w:r w:rsidR="00A83101" w:rsidRPr="00D15AFB">
        <w:rPr>
          <w:sz w:val="24"/>
          <w:szCs w:val="24"/>
        </w:rPr>
        <w:t xml:space="preserve"> be anathema today.  In recent years, policy action</w:t>
      </w:r>
      <w:r w:rsidRPr="00D15AFB">
        <w:rPr>
          <w:sz w:val="24"/>
          <w:szCs w:val="24"/>
        </w:rPr>
        <w:t>s by a central bank that have</w:t>
      </w:r>
      <w:r w:rsidR="00A83101" w:rsidRPr="00D15AFB">
        <w:rPr>
          <w:sz w:val="24"/>
          <w:szCs w:val="24"/>
        </w:rPr>
        <w:t xml:space="preserve"> the effect of keeping the value of its currency lower than it would otherwise </w:t>
      </w:r>
      <w:r w:rsidR="00842CAC" w:rsidRPr="00D15AFB">
        <w:rPr>
          <w:sz w:val="24"/>
          <w:szCs w:val="24"/>
        </w:rPr>
        <w:t xml:space="preserve">be </w:t>
      </w:r>
      <w:r w:rsidRPr="00D15AFB">
        <w:rPr>
          <w:sz w:val="24"/>
          <w:szCs w:val="24"/>
        </w:rPr>
        <w:t>ar</w:t>
      </w:r>
      <w:r w:rsidR="00A83101" w:rsidRPr="00D15AFB">
        <w:rPr>
          <w:sz w:val="24"/>
          <w:szCs w:val="24"/>
        </w:rPr>
        <w:t xml:space="preserve">e likely to be called “currency manipulation” and to be considered an aggressive assault in the “currency wars.“  </w:t>
      </w:r>
      <w:r w:rsidR="00161FB4" w:rsidRPr="00D15AFB">
        <w:rPr>
          <w:sz w:val="24"/>
          <w:szCs w:val="24"/>
        </w:rPr>
        <w:t xml:space="preserve"> </w:t>
      </w:r>
      <w:r w:rsidR="00DC4BA0" w:rsidRPr="00D15AFB">
        <w:rPr>
          <w:sz w:val="24"/>
          <w:szCs w:val="24"/>
        </w:rPr>
        <w:t>In</w:t>
      </w:r>
      <w:r w:rsidRPr="00D15AFB">
        <w:rPr>
          <w:sz w:val="24"/>
          <w:szCs w:val="24"/>
        </w:rPr>
        <w:t xml:space="preserve"> light of the currency war concerns, the G-7</w:t>
      </w:r>
      <w:r w:rsidR="006B1B07" w:rsidRPr="00D15AFB">
        <w:rPr>
          <w:sz w:val="24"/>
          <w:szCs w:val="24"/>
        </w:rPr>
        <w:t xml:space="preserve"> has refrained from foreign exchange intervention in recent years.  </w:t>
      </w:r>
      <w:r w:rsidR="007C2BD6" w:rsidRPr="00D15AFB">
        <w:rPr>
          <w:rFonts w:cs="Helvetica"/>
          <w:color w:val="0D0D0D" w:themeColor="text1" w:themeTint="F2"/>
          <w:sz w:val="24"/>
          <w:szCs w:val="24"/>
          <w:shd w:val="clear" w:color="auto" w:fill="FFFFFF"/>
        </w:rPr>
        <w:t>T</w:t>
      </w:r>
      <w:r w:rsidR="006B1B07" w:rsidRPr="00D15AFB">
        <w:rPr>
          <w:rFonts w:cs="Helvetica"/>
          <w:color w:val="0D0D0D" w:themeColor="text1" w:themeTint="F2"/>
          <w:sz w:val="24"/>
          <w:szCs w:val="24"/>
          <w:shd w:val="clear" w:color="auto" w:fill="FFFFFF"/>
        </w:rPr>
        <w:t xml:space="preserve">he G-7 partners in February 2013 </w:t>
      </w:r>
      <w:r w:rsidR="007C2BD6" w:rsidRPr="00D15AFB">
        <w:rPr>
          <w:rFonts w:cs="Helvetica"/>
          <w:color w:val="0D0D0D" w:themeColor="text1" w:themeTint="F2"/>
          <w:sz w:val="24"/>
          <w:szCs w:val="24"/>
          <w:shd w:val="clear" w:color="auto" w:fill="FFFFFF"/>
        </w:rPr>
        <w:t xml:space="preserve">even </w:t>
      </w:r>
      <w:r w:rsidR="006B1B07" w:rsidRPr="00D15AFB">
        <w:rPr>
          <w:rFonts w:cs="Helvetica"/>
          <w:color w:val="0D0D0D" w:themeColor="text1" w:themeTint="F2"/>
          <w:sz w:val="24"/>
          <w:szCs w:val="24"/>
          <w:shd w:val="clear" w:color="auto" w:fill="FFFFFF"/>
        </w:rPr>
        <w:t>accepted a proposal by the US Treasury to</w:t>
      </w:r>
      <w:r w:rsidR="00CA08CD" w:rsidRPr="00D15AFB">
        <w:rPr>
          <w:rFonts w:cs="Helvetica"/>
          <w:color w:val="0D0D0D" w:themeColor="text1" w:themeTint="F2"/>
          <w:sz w:val="24"/>
          <w:szCs w:val="24"/>
          <w:shd w:val="clear" w:color="auto" w:fill="FFFFFF"/>
        </w:rPr>
        <w:t xml:space="preserve"> </w:t>
      </w:r>
      <w:r w:rsidR="007877B8" w:rsidRPr="00D15AFB">
        <w:rPr>
          <w:rFonts w:cs="Helvetica"/>
          <w:color w:val="0D0D0D" w:themeColor="text1" w:themeTint="F2"/>
          <w:sz w:val="24"/>
          <w:szCs w:val="24"/>
          <w:shd w:val="clear" w:color="auto" w:fill="FFFFFF"/>
        </w:rPr>
        <w:t>agree to</w:t>
      </w:r>
      <w:r w:rsidR="006B1B07" w:rsidRPr="00D15AFB">
        <w:rPr>
          <w:rFonts w:cs="Helvetica"/>
          <w:color w:val="0D0D0D" w:themeColor="text1" w:themeTint="F2"/>
          <w:sz w:val="24"/>
          <w:szCs w:val="24"/>
          <w:shd w:val="clear" w:color="auto" w:fill="FFFFFF"/>
        </w:rPr>
        <w:t xml:space="preserve"> refrain from unilateral foreign exchange intervention, in an </w:t>
      </w:r>
      <w:r w:rsidR="00962B77">
        <w:rPr>
          <w:rFonts w:cs="Helvetica"/>
          <w:color w:val="0D0D0D" w:themeColor="text1" w:themeTint="F2"/>
          <w:sz w:val="24"/>
          <w:szCs w:val="24"/>
          <w:shd w:val="clear" w:color="auto" w:fill="FFFFFF"/>
        </w:rPr>
        <w:t>insufficiently discussed</w:t>
      </w:r>
      <w:r w:rsidR="006B1B07" w:rsidRPr="00D15AFB">
        <w:rPr>
          <w:rStyle w:val="apple-converted-space"/>
          <w:rFonts w:cs="Helvetica"/>
          <w:color w:val="0D0D0D" w:themeColor="text1" w:themeTint="F2"/>
          <w:sz w:val="24"/>
          <w:szCs w:val="24"/>
          <w:shd w:val="clear" w:color="auto" w:fill="FFFFFF"/>
        </w:rPr>
        <w:t> </w:t>
      </w:r>
      <w:hyperlink r:id="rId9" w:history="1">
        <w:r w:rsidR="006B1B07" w:rsidRPr="00D15AFB">
          <w:rPr>
            <w:rStyle w:val="Hyperlink"/>
            <w:rFonts w:cs="Helvetica"/>
            <w:color w:val="0D0D0D" w:themeColor="text1" w:themeTint="F2"/>
            <w:sz w:val="24"/>
            <w:szCs w:val="24"/>
            <w:u w:val="none"/>
            <w:bdr w:val="none" w:sz="0" w:space="0" w:color="auto" w:frame="1"/>
            <w:shd w:val="clear" w:color="auto" w:fill="FFFFFF"/>
          </w:rPr>
          <w:t>ministers’ agreement</w:t>
        </w:r>
      </w:hyperlink>
      <w:r w:rsidR="00070A6B" w:rsidRPr="00D15AFB">
        <w:rPr>
          <w:rFonts w:cs="Helvetica"/>
          <w:color w:val="0D0D0D" w:themeColor="text1" w:themeTint="F2"/>
          <w:sz w:val="24"/>
          <w:szCs w:val="24"/>
          <w:shd w:val="clear" w:color="auto" w:fill="FFFFFF"/>
        </w:rPr>
        <w:t xml:space="preserve"> that we could call</w:t>
      </w:r>
      <w:r w:rsidR="00A353A8" w:rsidRPr="00D15AFB">
        <w:rPr>
          <w:rFonts w:cs="Helvetica"/>
          <w:color w:val="0D0D0D" w:themeColor="text1" w:themeTint="F2"/>
          <w:sz w:val="24"/>
          <w:szCs w:val="24"/>
          <w:shd w:val="clear" w:color="auto" w:fill="FFFFFF"/>
        </w:rPr>
        <w:t xml:space="preserve"> the “</w:t>
      </w:r>
      <w:r w:rsidR="007877B8" w:rsidRPr="00D15AFB">
        <w:rPr>
          <w:rFonts w:cs="Helvetica"/>
          <w:color w:val="0D0D0D" w:themeColor="text1" w:themeTint="F2"/>
          <w:sz w:val="24"/>
          <w:szCs w:val="24"/>
          <w:shd w:val="clear" w:color="auto" w:fill="FFFFFF"/>
        </w:rPr>
        <w:t>anti</w:t>
      </w:r>
      <w:r w:rsidR="00070A6B" w:rsidRPr="00D15AFB">
        <w:rPr>
          <w:rFonts w:cs="Helvetica"/>
          <w:color w:val="0D0D0D" w:themeColor="text1" w:themeTint="F2"/>
          <w:sz w:val="24"/>
          <w:szCs w:val="24"/>
          <w:shd w:val="clear" w:color="auto" w:fill="FFFFFF"/>
        </w:rPr>
        <w:t>-Plaza</w:t>
      </w:r>
      <w:r w:rsidR="00A353A8" w:rsidRPr="00D15AFB">
        <w:rPr>
          <w:rFonts w:cs="Helvetica"/>
          <w:color w:val="0D0D0D" w:themeColor="text1" w:themeTint="F2"/>
          <w:sz w:val="24"/>
          <w:szCs w:val="24"/>
          <w:shd w:val="clear" w:color="auto" w:fill="FFFFFF"/>
        </w:rPr>
        <w:t>”</w:t>
      </w:r>
      <w:r w:rsidR="00070A6B" w:rsidRPr="00D15AFB">
        <w:rPr>
          <w:rFonts w:cs="Helvetica"/>
          <w:color w:val="0D0D0D" w:themeColor="text1" w:themeTint="F2"/>
          <w:sz w:val="24"/>
          <w:szCs w:val="24"/>
          <w:shd w:val="clear" w:color="auto" w:fill="FFFFFF"/>
        </w:rPr>
        <w:t xml:space="preserve"> </w:t>
      </w:r>
      <w:r w:rsidR="001D3086" w:rsidRPr="00D15AFB">
        <w:rPr>
          <w:rFonts w:cs="Helvetica"/>
          <w:color w:val="0D0D0D" w:themeColor="text1" w:themeTint="F2"/>
          <w:sz w:val="24"/>
          <w:szCs w:val="24"/>
          <w:shd w:val="clear" w:color="auto" w:fill="FFFFFF"/>
        </w:rPr>
        <w:t>a</w:t>
      </w:r>
      <w:r w:rsidR="00A353A8" w:rsidRPr="00D15AFB">
        <w:rPr>
          <w:rFonts w:cs="Helvetica"/>
          <w:color w:val="0D0D0D" w:themeColor="text1" w:themeTint="F2"/>
          <w:sz w:val="24"/>
          <w:szCs w:val="24"/>
          <w:shd w:val="clear" w:color="auto" w:fill="FFFFFF"/>
        </w:rPr>
        <w:t>ccord.</w:t>
      </w:r>
      <w:r w:rsidR="006B1B07" w:rsidRPr="00D15AFB">
        <w:rPr>
          <w:rStyle w:val="FootnoteReference"/>
          <w:rFonts w:cs="Helvetica"/>
          <w:color w:val="0D0D0D" w:themeColor="text1" w:themeTint="F2"/>
          <w:sz w:val="24"/>
          <w:szCs w:val="24"/>
          <w:shd w:val="clear" w:color="auto" w:fill="FFFFFF"/>
        </w:rPr>
        <w:footnoteReference w:id="3"/>
      </w:r>
    </w:p>
    <w:p w:rsidR="00445FD4" w:rsidRPr="00D15AFB" w:rsidRDefault="00647402" w:rsidP="008772E7">
      <w:pPr>
        <w:spacing w:line="240" w:lineRule="auto"/>
        <w:rPr>
          <w:sz w:val="24"/>
          <w:szCs w:val="24"/>
        </w:rPr>
      </w:pPr>
      <w:r w:rsidRPr="00D15AFB">
        <w:rPr>
          <w:sz w:val="24"/>
          <w:szCs w:val="24"/>
        </w:rPr>
        <w:lastRenderedPageBreak/>
        <w:tab/>
        <w:t>P</w:t>
      </w:r>
      <w:r w:rsidR="009D6D55" w:rsidRPr="00D15AFB">
        <w:rPr>
          <w:sz w:val="24"/>
          <w:szCs w:val="24"/>
        </w:rPr>
        <w:t xml:space="preserve">art </w:t>
      </w:r>
      <w:r w:rsidRPr="00D15AFB">
        <w:rPr>
          <w:sz w:val="24"/>
          <w:szCs w:val="24"/>
        </w:rPr>
        <w:t xml:space="preserve">1 </w:t>
      </w:r>
      <w:r w:rsidR="009D6D55" w:rsidRPr="00D15AFB">
        <w:rPr>
          <w:sz w:val="24"/>
          <w:szCs w:val="24"/>
        </w:rPr>
        <w:t>of this paper reviews what actually happened at the Plaza in September 1985 and during the months leading up to it.</w:t>
      </w:r>
      <w:r w:rsidR="00D43D95" w:rsidRPr="00D15AFB">
        <w:rPr>
          <w:rStyle w:val="FootnoteReference"/>
          <w:sz w:val="24"/>
          <w:szCs w:val="24"/>
        </w:rPr>
        <w:footnoteReference w:id="4"/>
      </w:r>
      <w:r w:rsidR="009D6D55" w:rsidRPr="00D15AFB">
        <w:rPr>
          <w:sz w:val="24"/>
          <w:szCs w:val="24"/>
        </w:rPr>
        <w:t xml:space="preserve"> </w:t>
      </w:r>
      <w:r w:rsidR="00403F81" w:rsidRPr="00D15AFB">
        <w:rPr>
          <w:sz w:val="24"/>
          <w:szCs w:val="24"/>
        </w:rPr>
        <w:t xml:space="preserve"> P</w:t>
      </w:r>
      <w:r w:rsidR="00070A7A" w:rsidRPr="00D15AFB">
        <w:rPr>
          <w:sz w:val="24"/>
          <w:szCs w:val="24"/>
        </w:rPr>
        <w:t>arts</w:t>
      </w:r>
      <w:r w:rsidR="00403F81" w:rsidRPr="00D15AFB">
        <w:rPr>
          <w:sz w:val="24"/>
          <w:szCs w:val="24"/>
        </w:rPr>
        <w:t xml:space="preserve"> 2 and 3</w:t>
      </w:r>
      <w:r w:rsidR="00070A7A" w:rsidRPr="00D15AFB">
        <w:rPr>
          <w:sz w:val="24"/>
          <w:szCs w:val="24"/>
        </w:rPr>
        <w:t xml:space="preserve"> of the paper consider the </w:t>
      </w:r>
      <w:r w:rsidR="009D6D55" w:rsidRPr="00D15AFB">
        <w:rPr>
          <w:sz w:val="24"/>
          <w:szCs w:val="24"/>
        </w:rPr>
        <w:t>effects</w:t>
      </w:r>
      <w:r w:rsidR="00070A7A" w:rsidRPr="00D15AFB">
        <w:rPr>
          <w:sz w:val="24"/>
          <w:szCs w:val="24"/>
        </w:rPr>
        <w:t xml:space="preserve"> of foreign exchange interv</w:t>
      </w:r>
      <w:r w:rsidR="004B3007">
        <w:rPr>
          <w:sz w:val="24"/>
          <w:szCs w:val="24"/>
        </w:rPr>
        <w:t xml:space="preserve">ention and then the current worries regarding </w:t>
      </w:r>
      <w:r w:rsidR="00070A7A" w:rsidRPr="00D15AFB">
        <w:rPr>
          <w:sz w:val="24"/>
          <w:szCs w:val="24"/>
        </w:rPr>
        <w:t xml:space="preserve">currency manipulation </w:t>
      </w:r>
      <w:r w:rsidR="004B3007">
        <w:rPr>
          <w:sz w:val="24"/>
          <w:szCs w:val="24"/>
        </w:rPr>
        <w:t xml:space="preserve">and currency wars.   Part 4 concludes with a consideration of intervention policy and the dollar as of </w:t>
      </w:r>
      <w:r w:rsidR="00070A7A" w:rsidRPr="00D15AFB">
        <w:rPr>
          <w:sz w:val="24"/>
          <w:szCs w:val="24"/>
        </w:rPr>
        <w:t>2015.</w:t>
      </w:r>
    </w:p>
    <w:p w:rsidR="00D2136F" w:rsidRPr="00D15AFB" w:rsidRDefault="00F74EBF" w:rsidP="008772E7">
      <w:pPr>
        <w:spacing w:line="240" w:lineRule="auto"/>
        <w:rPr>
          <w:b/>
          <w:sz w:val="24"/>
          <w:szCs w:val="24"/>
        </w:rPr>
      </w:pPr>
      <w:r w:rsidRPr="00D15AFB">
        <w:rPr>
          <w:b/>
          <w:sz w:val="24"/>
          <w:szCs w:val="24"/>
        </w:rPr>
        <w:br/>
      </w:r>
      <w:r w:rsidR="00D2136F" w:rsidRPr="00D15AFB">
        <w:rPr>
          <w:b/>
          <w:sz w:val="24"/>
          <w:szCs w:val="24"/>
        </w:rPr>
        <w:t>Figure 1: The dollar</w:t>
      </w:r>
      <w:r w:rsidR="00181F24" w:rsidRPr="00D15AFB">
        <w:rPr>
          <w:b/>
          <w:sz w:val="24"/>
          <w:szCs w:val="24"/>
        </w:rPr>
        <w:t>’</w:t>
      </w:r>
      <w:r w:rsidR="00D2136F" w:rsidRPr="00D15AFB">
        <w:rPr>
          <w:b/>
          <w:sz w:val="24"/>
          <w:szCs w:val="24"/>
        </w:rPr>
        <w:t>s</w:t>
      </w:r>
      <w:r w:rsidR="00181F24" w:rsidRPr="00D15AFB">
        <w:rPr>
          <w:b/>
          <w:sz w:val="24"/>
          <w:szCs w:val="24"/>
        </w:rPr>
        <w:t xml:space="preserve"> value (1973-2015).</w:t>
      </w:r>
      <w:r w:rsidR="00D2136F" w:rsidRPr="00D15AFB">
        <w:rPr>
          <w:b/>
          <w:sz w:val="24"/>
          <w:szCs w:val="24"/>
        </w:rPr>
        <w:t xml:space="preserve"> </w:t>
      </w:r>
      <w:r w:rsidR="00181F24" w:rsidRPr="00D15AFB">
        <w:rPr>
          <w:b/>
          <w:sz w:val="24"/>
          <w:szCs w:val="24"/>
        </w:rPr>
        <w:t xml:space="preserve"> </w:t>
      </w:r>
      <w:r w:rsidR="00827F59">
        <w:rPr>
          <w:b/>
          <w:sz w:val="24"/>
          <w:szCs w:val="24"/>
        </w:rPr>
        <w:br/>
      </w:r>
      <w:r w:rsidR="00181F24" w:rsidRPr="00D15AFB">
        <w:rPr>
          <w:b/>
          <w:sz w:val="24"/>
          <w:szCs w:val="24"/>
        </w:rPr>
        <w:t xml:space="preserve">The 1985 peak </w:t>
      </w:r>
      <w:r w:rsidR="00D2136F" w:rsidRPr="00D15AFB">
        <w:rPr>
          <w:b/>
          <w:sz w:val="24"/>
          <w:szCs w:val="24"/>
        </w:rPr>
        <w:t>was far higher than any other point in the last 40 years</w:t>
      </w:r>
      <w:r w:rsidR="00181F24" w:rsidRPr="00D15AFB">
        <w:rPr>
          <w:b/>
          <w:sz w:val="24"/>
          <w:szCs w:val="24"/>
        </w:rPr>
        <w:t>.</w:t>
      </w:r>
    </w:p>
    <w:p w:rsidR="00E50AFD" w:rsidRPr="00D15AFB" w:rsidRDefault="003F2E01" w:rsidP="008772E7">
      <w:pPr>
        <w:spacing w:line="240" w:lineRule="auto"/>
        <w:rPr>
          <w:sz w:val="24"/>
          <w:szCs w:val="24"/>
        </w:rPr>
      </w:pPr>
      <w:r>
        <w:rPr>
          <w:noProof/>
          <w:sz w:val="24"/>
          <w:szCs w:val="24"/>
        </w:rPr>
        <w:pict>
          <v:rect id="_x0000_s1027" style="position:absolute;margin-left:-.75pt;margin-top:9.2pt;width:78.6pt;height:15.6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" fillcolor="#daeef3 [664]" stroked="f" strokeweight="2pt"/>
        </w:pict>
      </w:r>
      <w:r>
        <w:rPr>
          <w:noProof/>
          <w:sz w:val="24"/>
          <w:szCs w:val="24"/>
          <w:lang w:eastAsia="ko-KR"/>
        </w:rPr>
        <w:pict>
          <v:rect id="Rectangle 2" o:spid="_x0000_s1026" style="position:absolute;margin-left:6pt;margin-top:4.3pt;width:78.6pt;height:15.6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" fillcolor="#daeef3 [664]" stroked="f" strokeweight="2pt"/>
        </w:pict>
      </w:r>
      <w:r w:rsidR="00547A89">
        <w:rPr>
          <w:noProof/>
          <w:sz w:val="24"/>
          <w:szCs w:val="24"/>
        </w:rPr>
        <w:drawing>
          <wp:inline distT="0" distB="0" distL="0" distR="0">
            <wp:extent cx="5934075" cy="3429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za$2015fredgraph.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3600" cy="3434504"/>
                    </a:xfrm>
                    <a:prstGeom prst="rect">
                      <a:avLst/>
                    </a:prstGeom>
                  </pic:spPr>
                </pic:pic>
              </a:graphicData>
            </a:graphic>
          </wp:inline>
        </w:drawing>
      </w:r>
    </w:p>
    <w:p w:rsidR="00E50AFD" w:rsidRPr="00D15AFB" w:rsidRDefault="00E50AFD" w:rsidP="008772E7">
      <w:pPr>
        <w:spacing w:line="240" w:lineRule="auto"/>
        <w:rPr>
          <w:sz w:val="24"/>
          <w:szCs w:val="24"/>
        </w:rPr>
      </w:pPr>
    </w:p>
    <w:p w:rsidR="00506D6D" w:rsidRPr="00D15AFB" w:rsidRDefault="00506D6D" w:rsidP="008772E7">
      <w:pPr>
        <w:pStyle w:val="ListParagraph"/>
        <w:numPr>
          <w:ilvl w:val="0"/>
          <w:numId w:val="2"/>
        </w:numPr>
        <w:spacing w:line="240" w:lineRule="auto"/>
        <w:rPr>
          <w:b/>
          <w:sz w:val="24"/>
          <w:szCs w:val="24"/>
        </w:rPr>
      </w:pPr>
      <w:r w:rsidRPr="00D15AFB">
        <w:rPr>
          <w:b/>
          <w:sz w:val="24"/>
          <w:szCs w:val="24"/>
        </w:rPr>
        <w:t>History of the Plaza A</w:t>
      </w:r>
      <w:r w:rsidR="00A11CDC" w:rsidRPr="00D15AFB">
        <w:rPr>
          <w:b/>
          <w:sz w:val="24"/>
          <w:szCs w:val="24"/>
        </w:rPr>
        <w:t>greement</w:t>
      </w:r>
      <w:r w:rsidR="00AA2412">
        <w:rPr>
          <w:b/>
          <w:sz w:val="24"/>
          <w:szCs w:val="24"/>
        </w:rPr>
        <w:t xml:space="preserve"> </w:t>
      </w:r>
    </w:p>
    <w:p w:rsidR="0002604B" w:rsidRPr="00D15AFB" w:rsidRDefault="00A11CDC" w:rsidP="008772E7">
      <w:pPr>
        <w:spacing w:line="240" w:lineRule="auto"/>
        <w:rPr>
          <w:b/>
          <w:sz w:val="24"/>
          <w:szCs w:val="24"/>
        </w:rPr>
      </w:pPr>
      <w:r w:rsidRPr="00D15AFB">
        <w:rPr>
          <w:b/>
          <w:sz w:val="24"/>
          <w:szCs w:val="24"/>
        </w:rPr>
        <w:t xml:space="preserve">1.1 </w:t>
      </w:r>
      <w:r w:rsidR="0002604B" w:rsidRPr="00D15AFB">
        <w:rPr>
          <w:b/>
          <w:sz w:val="24"/>
          <w:szCs w:val="24"/>
        </w:rPr>
        <w:t>The appreciation of the dollar in the early 1980s</w:t>
      </w:r>
    </w:p>
    <w:p w:rsidR="00403F81" w:rsidRPr="00D15AFB" w:rsidRDefault="004B3007" w:rsidP="008772E7">
      <w:pPr>
        <w:spacing w:line="240" w:lineRule="auto"/>
        <w:rPr>
          <w:sz w:val="24"/>
          <w:szCs w:val="24"/>
        </w:rPr>
      </w:pPr>
      <w:r>
        <w:rPr>
          <w:sz w:val="24"/>
          <w:szCs w:val="24"/>
        </w:rPr>
        <w:t>At first, w</w:t>
      </w:r>
      <w:r w:rsidR="00506D6D" w:rsidRPr="00D15AFB">
        <w:rPr>
          <w:sz w:val="24"/>
          <w:szCs w:val="24"/>
        </w:rPr>
        <w:t xml:space="preserve">hen the dollar appreciated </w:t>
      </w:r>
      <w:r>
        <w:rPr>
          <w:sz w:val="24"/>
          <w:szCs w:val="24"/>
        </w:rPr>
        <w:t>by some 26%</w:t>
      </w:r>
      <w:r w:rsidRPr="00D15AFB">
        <w:rPr>
          <w:sz w:val="24"/>
          <w:szCs w:val="24"/>
        </w:rPr>
        <w:t xml:space="preserve"> </w:t>
      </w:r>
      <w:r w:rsidR="006C0CF8" w:rsidRPr="00D15AFB">
        <w:rPr>
          <w:sz w:val="24"/>
          <w:szCs w:val="24"/>
        </w:rPr>
        <w:t>during the period</w:t>
      </w:r>
      <w:r w:rsidR="00506D6D" w:rsidRPr="00D15AFB">
        <w:rPr>
          <w:sz w:val="24"/>
          <w:szCs w:val="24"/>
        </w:rPr>
        <w:t xml:space="preserve"> 1980 to 1984, it was not difficult to explain the movement by the traditional macroeconom</w:t>
      </w:r>
      <w:r w:rsidR="00763179">
        <w:rPr>
          <w:sz w:val="24"/>
          <w:szCs w:val="24"/>
        </w:rPr>
        <w:t xml:space="preserve">ic fundamentals of textbooks.  </w:t>
      </w:r>
      <w:r w:rsidR="00506D6D" w:rsidRPr="00D15AFB">
        <w:rPr>
          <w:sz w:val="24"/>
          <w:szCs w:val="24"/>
        </w:rPr>
        <w:t xml:space="preserve">A combination of tight monetary policy </w:t>
      </w:r>
      <w:r w:rsidR="00E57C68" w:rsidRPr="00D15AFB">
        <w:rPr>
          <w:sz w:val="24"/>
          <w:szCs w:val="24"/>
        </w:rPr>
        <w:t xml:space="preserve">associated with Federal Reserve Chairman Paul Volcker </w:t>
      </w:r>
      <w:r w:rsidR="003E0092">
        <w:rPr>
          <w:sz w:val="24"/>
          <w:szCs w:val="24"/>
        </w:rPr>
        <w:t>during 1980-82</w:t>
      </w:r>
      <w:r w:rsidR="006C0CF8" w:rsidRPr="00D15AFB">
        <w:rPr>
          <w:sz w:val="24"/>
          <w:szCs w:val="24"/>
        </w:rPr>
        <w:t xml:space="preserve"> </w:t>
      </w:r>
      <w:r w:rsidR="00506D6D" w:rsidRPr="00D15AFB">
        <w:rPr>
          <w:sz w:val="24"/>
          <w:szCs w:val="24"/>
        </w:rPr>
        <w:t xml:space="preserve">and expansionary fiscal policy </w:t>
      </w:r>
      <w:r w:rsidR="00E57C68" w:rsidRPr="00D15AFB">
        <w:rPr>
          <w:sz w:val="24"/>
          <w:szCs w:val="24"/>
        </w:rPr>
        <w:t xml:space="preserve">associated with President Ronald Reagan </w:t>
      </w:r>
      <w:r w:rsidR="003E0092">
        <w:rPr>
          <w:sz w:val="24"/>
          <w:szCs w:val="24"/>
        </w:rPr>
        <w:t>during 1981-84</w:t>
      </w:r>
      <w:r w:rsidR="006C0CF8" w:rsidRPr="00D15AFB">
        <w:rPr>
          <w:sz w:val="24"/>
          <w:szCs w:val="24"/>
        </w:rPr>
        <w:t xml:space="preserve"> </w:t>
      </w:r>
      <w:r w:rsidR="00506D6D" w:rsidRPr="00D15AFB">
        <w:rPr>
          <w:sz w:val="24"/>
          <w:szCs w:val="24"/>
        </w:rPr>
        <w:t xml:space="preserve">pushed up long-term interest rates, </w:t>
      </w:r>
      <w:r w:rsidR="00E57C68" w:rsidRPr="00D15AFB">
        <w:rPr>
          <w:sz w:val="24"/>
          <w:szCs w:val="24"/>
        </w:rPr>
        <w:t xml:space="preserve">which in turn </w:t>
      </w:r>
      <w:r w:rsidR="00506D6D" w:rsidRPr="00D15AFB">
        <w:rPr>
          <w:sz w:val="24"/>
          <w:szCs w:val="24"/>
        </w:rPr>
        <w:t xml:space="preserve">attracted a capital </w:t>
      </w:r>
      <w:r w:rsidR="00E57C68" w:rsidRPr="00D15AFB">
        <w:rPr>
          <w:sz w:val="24"/>
          <w:szCs w:val="24"/>
        </w:rPr>
        <w:lastRenderedPageBreak/>
        <w:t xml:space="preserve">inflow </w:t>
      </w:r>
      <w:r w:rsidR="00E57C68" w:rsidRPr="00920E3F">
        <w:rPr>
          <w:sz w:val="24"/>
          <w:szCs w:val="24"/>
        </w:rPr>
        <w:t xml:space="preserve">and </w:t>
      </w:r>
      <w:r w:rsidR="00506D6D" w:rsidRPr="00920E3F">
        <w:rPr>
          <w:sz w:val="24"/>
          <w:szCs w:val="24"/>
        </w:rPr>
        <w:t>appreciated the currency.</w:t>
      </w:r>
      <w:r w:rsidR="00403F81" w:rsidRPr="00920E3F">
        <w:rPr>
          <w:sz w:val="24"/>
          <w:szCs w:val="24"/>
        </w:rPr>
        <w:t xml:space="preserve"> </w:t>
      </w:r>
      <w:r w:rsidR="003E0092" w:rsidRPr="00920E3F">
        <w:rPr>
          <w:sz w:val="24"/>
          <w:szCs w:val="24"/>
        </w:rPr>
        <w:t xml:space="preserve"> This is what the famous Mundell-Fleming model predicted would happen.</w:t>
      </w:r>
    </w:p>
    <w:p w:rsidR="00CF10DD" w:rsidRPr="00D15AFB" w:rsidRDefault="002D2F04" w:rsidP="008772E7">
      <w:pPr>
        <w:spacing w:line="240" w:lineRule="auto"/>
        <w:rPr>
          <w:sz w:val="24"/>
          <w:szCs w:val="24"/>
        </w:rPr>
      </w:pPr>
      <w:r w:rsidRPr="00D15AFB">
        <w:rPr>
          <w:sz w:val="24"/>
          <w:szCs w:val="24"/>
        </w:rPr>
        <w:t>Martin Feldstein</w:t>
      </w:r>
      <w:r w:rsidR="00403F81" w:rsidRPr="00D15AFB">
        <w:rPr>
          <w:sz w:val="24"/>
          <w:szCs w:val="24"/>
        </w:rPr>
        <w:t>, Chairman of the Council of Economic Advisers</w:t>
      </w:r>
      <w:r w:rsidR="00CF10DD" w:rsidRPr="00D15AFB">
        <w:rPr>
          <w:sz w:val="24"/>
          <w:szCs w:val="24"/>
        </w:rPr>
        <w:t>,</w:t>
      </w:r>
      <w:r w:rsidRPr="00D15AFB">
        <w:rPr>
          <w:sz w:val="24"/>
          <w:szCs w:val="24"/>
        </w:rPr>
        <w:t xml:space="preserve"> popularized the “twin deficits” view</w:t>
      </w:r>
      <w:r w:rsidR="003E0092">
        <w:rPr>
          <w:sz w:val="24"/>
          <w:szCs w:val="24"/>
        </w:rPr>
        <w:t xml:space="preserve"> of this causal chain</w:t>
      </w:r>
      <w:r w:rsidRPr="00D15AFB">
        <w:rPr>
          <w:sz w:val="24"/>
          <w:szCs w:val="24"/>
        </w:rPr>
        <w:t>.  As a result of the fiscal expansion – tax cuts and increased spending – the budget deficit rose</w:t>
      </w:r>
      <w:r w:rsidR="00403F81" w:rsidRPr="00D15AFB">
        <w:rPr>
          <w:sz w:val="24"/>
          <w:szCs w:val="24"/>
        </w:rPr>
        <w:t xml:space="preserve"> (and national saving fell)</w:t>
      </w:r>
      <w:r w:rsidRPr="00D15AFB">
        <w:rPr>
          <w:sz w:val="24"/>
          <w:szCs w:val="24"/>
        </w:rPr>
        <w:t>.  As a result of the strong do</w:t>
      </w:r>
      <w:r w:rsidR="003E0092">
        <w:rPr>
          <w:sz w:val="24"/>
          <w:szCs w:val="24"/>
        </w:rPr>
        <w:t xml:space="preserve">llar, the trade deficit rose.  </w:t>
      </w:r>
      <w:r w:rsidRPr="00D15AFB">
        <w:rPr>
          <w:sz w:val="24"/>
          <w:szCs w:val="24"/>
        </w:rPr>
        <w:t xml:space="preserve">The </w:t>
      </w:r>
      <w:r w:rsidR="003E0092">
        <w:rPr>
          <w:sz w:val="24"/>
          <w:szCs w:val="24"/>
        </w:rPr>
        <w:t>budget</w:t>
      </w:r>
      <w:r w:rsidR="00403F81" w:rsidRPr="00D15AFB">
        <w:rPr>
          <w:sz w:val="24"/>
          <w:szCs w:val="24"/>
        </w:rPr>
        <w:t xml:space="preserve"> </w:t>
      </w:r>
      <w:r w:rsidRPr="00D15AFB">
        <w:rPr>
          <w:sz w:val="24"/>
          <w:szCs w:val="24"/>
        </w:rPr>
        <w:t>deficit</w:t>
      </w:r>
      <w:r w:rsidR="00403F81" w:rsidRPr="00D15AFB">
        <w:rPr>
          <w:sz w:val="24"/>
          <w:szCs w:val="24"/>
        </w:rPr>
        <w:t xml:space="preserve"> and trade deficit</w:t>
      </w:r>
      <w:r w:rsidRPr="00D15AFB">
        <w:rPr>
          <w:sz w:val="24"/>
          <w:szCs w:val="24"/>
        </w:rPr>
        <w:t xml:space="preserve"> were thus linked.</w:t>
      </w:r>
      <w:r w:rsidR="00403F81" w:rsidRPr="00D15AFB">
        <w:rPr>
          <w:sz w:val="24"/>
          <w:szCs w:val="24"/>
        </w:rPr>
        <w:t xml:space="preserve">  The exchange rate in this view is not the fundamental problem, but only the natural symptom of the monetary/fiscal policy mix</w:t>
      </w:r>
      <w:r w:rsidR="00920E3F">
        <w:rPr>
          <w:sz w:val="24"/>
          <w:szCs w:val="24"/>
        </w:rPr>
        <w:t>,</w:t>
      </w:r>
      <w:r w:rsidR="003E0092">
        <w:rPr>
          <w:sz w:val="24"/>
          <w:szCs w:val="24"/>
        </w:rPr>
        <w:t xml:space="preserve"> the channel whereby it is transmitted to the trade deficit</w:t>
      </w:r>
      <w:r w:rsidR="00403F81" w:rsidRPr="00D15AFB">
        <w:rPr>
          <w:sz w:val="24"/>
          <w:szCs w:val="24"/>
        </w:rPr>
        <w:t>.</w:t>
      </w:r>
      <w:r w:rsidR="00403F81" w:rsidRPr="00D15AFB">
        <w:rPr>
          <w:rStyle w:val="FootnoteReference"/>
          <w:sz w:val="24"/>
          <w:szCs w:val="24"/>
        </w:rPr>
        <w:footnoteReference w:id="5"/>
      </w:r>
      <w:r w:rsidRPr="00D15AFB">
        <w:rPr>
          <w:sz w:val="24"/>
          <w:szCs w:val="24"/>
        </w:rPr>
        <w:t xml:space="preserve">  </w:t>
      </w:r>
    </w:p>
    <w:p w:rsidR="001E2D5D" w:rsidRPr="00D15AFB" w:rsidRDefault="002D2F04" w:rsidP="008772E7">
      <w:pPr>
        <w:spacing w:line="240" w:lineRule="auto"/>
        <w:rPr>
          <w:sz w:val="24"/>
          <w:szCs w:val="24"/>
        </w:rPr>
      </w:pPr>
      <w:r w:rsidRPr="00D15AFB">
        <w:rPr>
          <w:sz w:val="24"/>
          <w:szCs w:val="24"/>
        </w:rPr>
        <w:t>Some trading partners expressed concerns</w:t>
      </w:r>
      <w:r w:rsidR="00B10F55" w:rsidRPr="00D15AFB">
        <w:rPr>
          <w:sz w:val="24"/>
          <w:szCs w:val="24"/>
        </w:rPr>
        <w:t xml:space="preserve"> at the magnitude of the </w:t>
      </w:r>
      <w:r w:rsidR="00CF10DD" w:rsidRPr="00D15AFB">
        <w:rPr>
          <w:sz w:val="24"/>
          <w:szCs w:val="24"/>
        </w:rPr>
        <w:t>dollar appreciation.  The French, in particular, favored intervention in the foreign exchange market to dampen such movements.  But Treasury Secretary Donald Regan and other Administrati</w:t>
      </w:r>
      <w:r w:rsidR="00420D85" w:rsidRPr="00D15AFB">
        <w:rPr>
          <w:sz w:val="24"/>
          <w:szCs w:val="24"/>
        </w:rPr>
        <w:t>on</w:t>
      </w:r>
      <w:r w:rsidR="00CF10DD" w:rsidRPr="00D15AFB">
        <w:rPr>
          <w:sz w:val="24"/>
          <w:szCs w:val="24"/>
        </w:rPr>
        <w:t xml:space="preserve"> officials rejected the view that the </w:t>
      </w:r>
      <w:r w:rsidR="00185214" w:rsidRPr="00D15AFB">
        <w:rPr>
          <w:sz w:val="24"/>
          <w:szCs w:val="24"/>
        </w:rPr>
        <w:t xml:space="preserve">US </w:t>
      </w:r>
      <w:r w:rsidR="00CF10DD" w:rsidRPr="00D15AFB">
        <w:rPr>
          <w:sz w:val="24"/>
          <w:szCs w:val="24"/>
        </w:rPr>
        <w:t>trade deficit was a problem, argued instead t</w:t>
      </w:r>
      <w:r w:rsidR="00420D85" w:rsidRPr="00D15AFB">
        <w:rPr>
          <w:sz w:val="24"/>
          <w:szCs w:val="24"/>
        </w:rPr>
        <w:t>hat the strong dollar reflected</w:t>
      </w:r>
      <w:r w:rsidR="00CF10DD" w:rsidRPr="00D15AFB">
        <w:rPr>
          <w:sz w:val="24"/>
          <w:szCs w:val="24"/>
        </w:rPr>
        <w:t xml:space="preserve"> a global vote of confidence in the US economy, and opposed proposals for intervention in the foreig</w:t>
      </w:r>
      <w:r w:rsidR="00420D85" w:rsidRPr="00D15AFB">
        <w:rPr>
          <w:sz w:val="24"/>
          <w:szCs w:val="24"/>
        </w:rPr>
        <w:t xml:space="preserve">n exchange market to bring </w:t>
      </w:r>
      <w:r w:rsidR="00CF10DD" w:rsidRPr="00D15AFB">
        <w:rPr>
          <w:sz w:val="24"/>
          <w:szCs w:val="24"/>
        </w:rPr>
        <w:t>the dollar</w:t>
      </w:r>
      <w:r w:rsidR="00420D85" w:rsidRPr="00D15AFB">
        <w:rPr>
          <w:sz w:val="24"/>
          <w:szCs w:val="24"/>
        </w:rPr>
        <w:t xml:space="preserve"> down</w:t>
      </w:r>
      <w:r w:rsidR="00CF10DD" w:rsidRPr="00D15AFB">
        <w:rPr>
          <w:sz w:val="24"/>
          <w:szCs w:val="24"/>
        </w:rPr>
        <w:t xml:space="preserve">. </w:t>
      </w:r>
      <w:r w:rsidR="00721815" w:rsidRPr="00D15AFB">
        <w:rPr>
          <w:sz w:val="24"/>
          <w:szCs w:val="24"/>
        </w:rPr>
        <w:t xml:space="preserve"> Their policy was “benign neglect” of the exchange rate.</w:t>
      </w:r>
      <w:r w:rsidR="00CF10DD" w:rsidRPr="00D15AFB">
        <w:rPr>
          <w:sz w:val="24"/>
          <w:szCs w:val="24"/>
        </w:rPr>
        <w:t xml:space="preserve">  </w:t>
      </w:r>
      <w:r w:rsidR="001E2D5D" w:rsidRPr="00D15AFB">
        <w:rPr>
          <w:sz w:val="24"/>
          <w:szCs w:val="24"/>
        </w:rPr>
        <w:t xml:space="preserve"> The Under Secretary for Monetary Affairs, Beryl Sprinkel, </w:t>
      </w:r>
      <w:r w:rsidR="00040436" w:rsidRPr="00D15AFB">
        <w:rPr>
          <w:sz w:val="24"/>
          <w:szCs w:val="24"/>
        </w:rPr>
        <w:t xml:space="preserve">had </w:t>
      </w:r>
      <w:r w:rsidR="001E2D5D" w:rsidRPr="00D15AFB">
        <w:rPr>
          <w:sz w:val="24"/>
          <w:szCs w:val="24"/>
        </w:rPr>
        <w:t>announced in the third month of the Administration that its intention was not to undertake such intervention at all, except in the case of "disorderly markets." For Sprinkel, a long-time member of the monetarist "Shadow Open Market Committee" and follower of Milton Friedman, the matter was a simple case of the virtues of the free market.</w:t>
      </w:r>
    </w:p>
    <w:p w:rsidR="00721815" w:rsidRPr="00D15AFB" w:rsidRDefault="00CF10DD" w:rsidP="008772E7">
      <w:pPr>
        <w:spacing w:line="240" w:lineRule="auto"/>
        <w:rPr>
          <w:sz w:val="24"/>
          <w:szCs w:val="24"/>
        </w:rPr>
      </w:pPr>
      <w:r w:rsidRPr="00D15AFB">
        <w:rPr>
          <w:sz w:val="24"/>
          <w:szCs w:val="24"/>
        </w:rPr>
        <w:t xml:space="preserve">At the Versailles Summit of G-7 leaders in 1982, the US </w:t>
      </w:r>
      <w:r w:rsidR="001E2D5D" w:rsidRPr="00D15AFB">
        <w:rPr>
          <w:sz w:val="24"/>
          <w:szCs w:val="24"/>
        </w:rPr>
        <w:t xml:space="preserve">responded to complaints </w:t>
      </w:r>
      <w:r w:rsidR="00846DA6">
        <w:rPr>
          <w:sz w:val="24"/>
          <w:szCs w:val="24"/>
        </w:rPr>
        <w:t xml:space="preserve">about excessive exchange rate movements </w:t>
      </w:r>
      <w:r w:rsidR="001E2D5D" w:rsidRPr="00D15AFB">
        <w:rPr>
          <w:sz w:val="24"/>
          <w:szCs w:val="24"/>
        </w:rPr>
        <w:t xml:space="preserve">by </w:t>
      </w:r>
      <w:r w:rsidRPr="00D15AFB">
        <w:rPr>
          <w:sz w:val="24"/>
          <w:szCs w:val="24"/>
        </w:rPr>
        <w:t>agree</w:t>
      </w:r>
      <w:r w:rsidR="001E2D5D" w:rsidRPr="00D15AFB">
        <w:rPr>
          <w:sz w:val="24"/>
          <w:szCs w:val="24"/>
        </w:rPr>
        <w:t>ing</w:t>
      </w:r>
      <w:r w:rsidRPr="00D15AFB">
        <w:rPr>
          <w:sz w:val="24"/>
          <w:szCs w:val="24"/>
        </w:rPr>
        <w:t xml:space="preserve"> to </w:t>
      </w:r>
      <w:r w:rsidR="00846DA6">
        <w:rPr>
          <w:sz w:val="24"/>
          <w:szCs w:val="24"/>
        </w:rPr>
        <w:t xml:space="preserve">request </w:t>
      </w:r>
      <w:r w:rsidRPr="00D15AFB">
        <w:rPr>
          <w:sz w:val="24"/>
          <w:szCs w:val="24"/>
        </w:rPr>
        <w:t xml:space="preserve">an expert study of the effectiveness of foreign exchange intervention.  </w:t>
      </w:r>
      <w:r w:rsidR="00185214" w:rsidRPr="00D15AFB">
        <w:rPr>
          <w:sz w:val="24"/>
          <w:szCs w:val="24"/>
        </w:rPr>
        <w:t>But</w:t>
      </w:r>
      <w:r w:rsidRPr="00D15AFB">
        <w:rPr>
          <w:sz w:val="24"/>
          <w:szCs w:val="24"/>
        </w:rPr>
        <w:t xml:space="preserve"> </w:t>
      </w:r>
      <w:r w:rsidR="00185214" w:rsidRPr="00D15AFB">
        <w:rPr>
          <w:sz w:val="24"/>
          <w:szCs w:val="24"/>
        </w:rPr>
        <w:t>when th</w:t>
      </w:r>
      <w:r w:rsidR="00721815" w:rsidRPr="00D15AFB">
        <w:rPr>
          <w:sz w:val="24"/>
          <w:szCs w:val="24"/>
        </w:rPr>
        <w:t>e resulting</w:t>
      </w:r>
      <w:r w:rsidR="00185214" w:rsidRPr="00D15AFB">
        <w:rPr>
          <w:sz w:val="24"/>
          <w:szCs w:val="24"/>
        </w:rPr>
        <w:t xml:space="preserve"> </w:t>
      </w:r>
      <w:r w:rsidRPr="00D15AFB">
        <w:rPr>
          <w:sz w:val="24"/>
          <w:szCs w:val="24"/>
        </w:rPr>
        <w:t xml:space="preserve">Jurgensen Report </w:t>
      </w:r>
      <w:r w:rsidR="00185214" w:rsidRPr="00D15AFB">
        <w:rPr>
          <w:sz w:val="24"/>
          <w:szCs w:val="24"/>
        </w:rPr>
        <w:t xml:space="preserve">was submitted to the G-7 leaders at the Williamsburg Summit </w:t>
      </w:r>
      <w:r w:rsidR="00920E3F">
        <w:rPr>
          <w:sz w:val="24"/>
          <w:szCs w:val="24"/>
        </w:rPr>
        <w:t xml:space="preserve">in </w:t>
      </w:r>
      <w:r w:rsidR="00185214" w:rsidRPr="00D15AFB">
        <w:rPr>
          <w:sz w:val="24"/>
          <w:szCs w:val="24"/>
        </w:rPr>
        <w:t xml:space="preserve">1983, </w:t>
      </w:r>
      <w:r w:rsidR="00920E3F">
        <w:rPr>
          <w:sz w:val="24"/>
          <w:szCs w:val="24"/>
        </w:rPr>
        <w:t>its</w:t>
      </w:r>
      <w:r w:rsidR="00185214" w:rsidRPr="00D15AFB">
        <w:rPr>
          <w:sz w:val="24"/>
          <w:szCs w:val="24"/>
        </w:rPr>
        <w:t xml:space="preserve"> finding</w:t>
      </w:r>
      <w:r w:rsidR="00D21C7A">
        <w:rPr>
          <w:sz w:val="24"/>
          <w:szCs w:val="24"/>
        </w:rPr>
        <w:t xml:space="preserve">s were </w:t>
      </w:r>
      <w:r w:rsidR="002978F9">
        <w:rPr>
          <w:sz w:val="24"/>
          <w:szCs w:val="24"/>
        </w:rPr>
        <w:t>not as supportive of in</w:t>
      </w:r>
      <w:r w:rsidRPr="00D15AFB">
        <w:rPr>
          <w:sz w:val="24"/>
          <w:szCs w:val="24"/>
        </w:rPr>
        <w:t xml:space="preserve">tervention </w:t>
      </w:r>
      <w:r w:rsidR="002978F9">
        <w:rPr>
          <w:sz w:val="24"/>
          <w:szCs w:val="24"/>
        </w:rPr>
        <w:t>as the other countries had hoped</w:t>
      </w:r>
      <w:r w:rsidRPr="00D15AFB">
        <w:rPr>
          <w:sz w:val="24"/>
          <w:szCs w:val="24"/>
        </w:rPr>
        <w:t>.</w:t>
      </w:r>
      <w:r w:rsidR="00185214" w:rsidRPr="00D15AFB">
        <w:rPr>
          <w:rStyle w:val="FootnoteReference"/>
          <w:sz w:val="24"/>
          <w:szCs w:val="24"/>
        </w:rPr>
        <w:footnoteReference w:id="6"/>
      </w:r>
      <w:r w:rsidRPr="00D15AFB">
        <w:rPr>
          <w:sz w:val="24"/>
          <w:szCs w:val="24"/>
        </w:rPr>
        <w:t xml:space="preserve">  </w:t>
      </w:r>
      <w:r w:rsidR="00B72ED2" w:rsidRPr="00D15AFB">
        <w:rPr>
          <w:sz w:val="24"/>
          <w:szCs w:val="24"/>
        </w:rPr>
        <w:t>The basic argument</w:t>
      </w:r>
      <w:r w:rsidR="00207EE9">
        <w:rPr>
          <w:sz w:val="24"/>
          <w:szCs w:val="24"/>
        </w:rPr>
        <w:t xml:space="preserve"> of the underlying research</w:t>
      </w:r>
      <w:r w:rsidR="002978F9">
        <w:rPr>
          <w:sz w:val="24"/>
          <w:szCs w:val="24"/>
        </w:rPr>
        <w:t xml:space="preserve">, </w:t>
      </w:r>
      <w:r w:rsidR="004F509D" w:rsidRPr="00D15AFB">
        <w:rPr>
          <w:sz w:val="24"/>
          <w:szCs w:val="24"/>
        </w:rPr>
        <w:t>common a</w:t>
      </w:r>
      <w:r w:rsidR="00846DA6">
        <w:rPr>
          <w:sz w:val="24"/>
          <w:szCs w:val="24"/>
        </w:rPr>
        <w:t>mong economists,</w:t>
      </w:r>
      <w:r w:rsidR="004F509D" w:rsidRPr="00D15AFB">
        <w:rPr>
          <w:sz w:val="24"/>
          <w:szCs w:val="24"/>
        </w:rPr>
        <w:t xml:space="preserve"> </w:t>
      </w:r>
      <w:r w:rsidR="00B72ED2" w:rsidRPr="00D15AFB">
        <w:rPr>
          <w:sz w:val="24"/>
          <w:szCs w:val="24"/>
        </w:rPr>
        <w:t>was that sterilized intervention ha</w:t>
      </w:r>
      <w:r w:rsidR="00846DA6">
        <w:rPr>
          <w:sz w:val="24"/>
          <w:szCs w:val="24"/>
        </w:rPr>
        <w:t>s</w:t>
      </w:r>
      <w:r w:rsidR="00B72ED2" w:rsidRPr="00D15AFB">
        <w:rPr>
          <w:sz w:val="24"/>
          <w:szCs w:val="24"/>
        </w:rPr>
        <w:t xml:space="preserve"> no </w:t>
      </w:r>
      <w:r w:rsidR="002978F9">
        <w:rPr>
          <w:sz w:val="24"/>
          <w:szCs w:val="24"/>
        </w:rPr>
        <w:t xml:space="preserve">long-lasting </w:t>
      </w:r>
      <w:r w:rsidR="00B72ED2" w:rsidRPr="00D15AFB">
        <w:rPr>
          <w:sz w:val="24"/>
          <w:szCs w:val="24"/>
        </w:rPr>
        <w:t>effect and unsteriliz</w:t>
      </w:r>
      <w:r w:rsidR="004F509D" w:rsidRPr="00D15AFB">
        <w:rPr>
          <w:sz w:val="24"/>
          <w:szCs w:val="24"/>
        </w:rPr>
        <w:t xml:space="preserve">ed intervention </w:t>
      </w:r>
      <w:r w:rsidR="00846DA6">
        <w:rPr>
          <w:sz w:val="24"/>
          <w:szCs w:val="24"/>
        </w:rPr>
        <w:t>i</w:t>
      </w:r>
      <w:r w:rsidR="00B72ED2" w:rsidRPr="00D15AFB">
        <w:rPr>
          <w:sz w:val="24"/>
          <w:szCs w:val="24"/>
        </w:rPr>
        <w:t>s</w:t>
      </w:r>
      <w:r w:rsidR="004F509D" w:rsidRPr="00D15AFB">
        <w:rPr>
          <w:sz w:val="24"/>
          <w:szCs w:val="24"/>
        </w:rPr>
        <w:t xml:space="preserve"> just another kind of monetary policy.</w:t>
      </w:r>
    </w:p>
    <w:p w:rsidR="0002604B" w:rsidRPr="00D15AFB" w:rsidRDefault="00185214" w:rsidP="008772E7">
      <w:pPr>
        <w:spacing w:line="240" w:lineRule="auto"/>
        <w:rPr>
          <w:sz w:val="24"/>
          <w:szCs w:val="24"/>
        </w:rPr>
      </w:pPr>
      <w:r w:rsidRPr="00D15AFB">
        <w:rPr>
          <w:sz w:val="24"/>
          <w:szCs w:val="24"/>
        </w:rPr>
        <w:t>F</w:t>
      </w:r>
      <w:r w:rsidR="00B72ED2" w:rsidRPr="00D15AFB">
        <w:rPr>
          <w:sz w:val="24"/>
          <w:szCs w:val="24"/>
        </w:rPr>
        <w:t>rom March</w:t>
      </w:r>
      <w:r w:rsidR="00506D6D" w:rsidRPr="00D15AFB">
        <w:rPr>
          <w:sz w:val="24"/>
          <w:szCs w:val="24"/>
        </w:rPr>
        <w:t xml:space="preserve"> 1984 to February 1985 the dollar appreciated another </w:t>
      </w:r>
      <w:r w:rsidR="00B72ED2" w:rsidRPr="00D15AFB">
        <w:rPr>
          <w:sz w:val="24"/>
          <w:szCs w:val="24"/>
        </w:rPr>
        <w:t>17</w:t>
      </w:r>
      <w:r w:rsidR="00506D6D" w:rsidRPr="00D15AFB">
        <w:rPr>
          <w:sz w:val="24"/>
          <w:szCs w:val="24"/>
        </w:rPr>
        <w:t xml:space="preserve"> percent. This final phase of the currency’s ascent differed from the earlier phases, not only in that the appreciation was at an accelerated rate, but also in that it could not readily be explained on the basis of economic fundamentals, whether by means of the textbook theories or otherwise. The interest rate differential peaked in June </w:t>
      </w:r>
      <w:r w:rsidR="00E57C68" w:rsidRPr="00D15AFB">
        <w:rPr>
          <w:sz w:val="24"/>
          <w:szCs w:val="24"/>
        </w:rPr>
        <w:t xml:space="preserve">1984 </w:t>
      </w:r>
      <w:r w:rsidR="00506D6D" w:rsidRPr="00D15AFB">
        <w:rPr>
          <w:sz w:val="24"/>
          <w:szCs w:val="24"/>
        </w:rPr>
        <w:t xml:space="preserve">and thereafter moved in the wrong direction to explain the remainder of the upswing. Some economists argued </w:t>
      </w:r>
      <w:r w:rsidR="00E57C68" w:rsidRPr="00D15AFB">
        <w:rPr>
          <w:sz w:val="24"/>
          <w:szCs w:val="24"/>
        </w:rPr>
        <w:t xml:space="preserve">at the time </w:t>
      </w:r>
      <w:r w:rsidR="00506D6D" w:rsidRPr="00D15AFB">
        <w:rPr>
          <w:sz w:val="24"/>
          <w:szCs w:val="24"/>
        </w:rPr>
        <w:t xml:space="preserve">that the foreign exchange market </w:t>
      </w:r>
      <w:r w:rsidR="00F457C5">
        <w:rPr>
          <w:sz w:val="24"/>
          <w:szCs w:val="24"/>
        </w:rPr>
        <w:t xml:space="preserve">was “misaligned” or </w:t>
      </w:r>
      <w:r w:rsidR="00506D6D" w:rsidRPr="00D15AFB">
        <w:rPr>
          <w:sz w:val="24"/>
          <w:szCs w:val="24"/>
        </w:rPr>
        <w:t>had been carried away by an irrational “speculative bubble” (</w:t>
      </w:r>
      <w:r w:rsidR="006C0CF8" w:rsidRPr="00D15AFB">
        <w:rPr>
          <w:sz w:val="24"/>
          <w:szCs w:val="24"/>
        </w:rPr>
        <w:t xml:space="preserve">Bergsten 1984; </w:t>
      </w:r>
      <w:r w:rsidR="00506D6D" w:rsidRPr="00D15AFB">
        <w:rPr>
          <w:sz w:val="24"/>
          <w:szCs w:val="24"/>
        </w:rPr>
        <w:t>Krugman 1985; Cooper 1985</w:t>
      </w:r>
      <w:r w:rsidR="00E57C68" w:rsidRPr="00D15AFB">
        <w:rPr>
          <w:sz w:val="24"/>
          <w:szCs w:val="24"/>
        </w:rPr>
        <w:t>; Frankel 1985</w:t>
      </w:r>
      <w:r w:rsidR="00506D6D" w:rsidRPr="00D15AFB">
        <w:rPr>
          <w:sz w:val="24"/>
          <w:szCs w:val="24"/>
        </w:rPr>
        <w:t xml:space="preserve">). </w:t>
      </w:r>
      <w:r w:rsidR="00E57C68" w:rsidRPr="00D15AFB">
        <w:rPr>
          <w:sz w:val="24"/>
          <w:szCs w:val="24"/>
        </w:rPr>
        <w:t>In any case, t</w:t>
      </w:r>
      <w:r w:rsidR="00506D6D" w:rsidRPr="00D15AFB">
        <w:rPr>
          <w:sz w:val="24"/>
          <w:szCs w:val="24"/>
        </w:rPr>
        <w:t xml:space="preserve">he trade deficit reached $112 billion in 1984 and continued to widen. </w:t>
      </w:r>
      <w:r w:rsidR="0007788B">
        <w:rPr>
          <w:sz w:val="24"/>
          <w:szCs w:val="24"/>
        </w:rPr>
        <w:t>Some</w:t>
      </w:r>
      <w:r w:rsidR="00506D6D" w:rsidRPr="00D15AFB">
        <w:rPr>
          <w:sz w:val="24"/>
          <w:szCs w:val="24"/>
        </w:rPr>
        <w:t xml:space="preserve"> who had hitherto supported </w:t>
      </w:r>
      <w:r w:rsidR="0007788B">
        <w:rPr>
          <w:sz w:val="24"/>
          <w:szCs w:val="24"/>
        </w:rPr>
        <w:t xml:space="preserve">a </w:t>
      </w:r>
      <w:r w:rsidR="00506D6D" w:rsidRPr="00D15AFB">
        <w:rPr>
          <w:sz w:val="24"/>
          <w:szCs w:val="24"/>
        </w:rPr>
        <w:t xml:space="preserve">freely floating </w:t>
      </w:r>
      <w:r w:rsidR="0007788B">
        <w:rPr>
          <w:sz w:val="24"/>
          <w:szCs w:val="24"/>
        </w:rPr>
        <w:t xml:space="preserve">exchange rate for the dollar </w:t>
      </w:r>
      <w:r w:rsidR="00506D6D" w:rsidRPr="00D15AFB">
        <w:rPr>
          <w:sz w:val="24"/>
          <w:szCs w:val="24"/>
        </w:rPr>
        <w:t xml:space="preserve">began to change their minds. </w:t>
      </w:r>
      <w:r w:rsidR="002D2F04" w:rsidRPr="00D15AFB">
        <w:rPr>
          <w:sz w:val="24"/>
          <w:szCs w:val="24"/>
        </w:rPr>
        <w:t xml:space="preserve"> </w:t>
      </w:r>
    </w:p>
    <w:p w:rsidR="0002604B" w:rsidRPr="00D15AFB" w:rsidRDefault="00A11CDC" w:rsidP="008772E7">
      <w:pPr>
        <w:spacing w:line="240" w:lineRule="auto"/>
        <w:rPr>
          <w:b/>
          <w:sz w:val="24"/>
          <w:szCs w:val="24"/>
        </w:rPr>
      </w:pPr>
      <w:r w:rsidRPr="00D15AFB">
        <w:rPr>
          <w:b/>
          <w:sz w:val="24"/>
          <w:szCs w:val="24"/>
        </w:rPr>
        <w:lastRenderedPageBreak/>
        <w:t xml:space="preserve">1.2 </w:t>
      </w:r>
      <w:r w:rsidR="0002604B" w:rsidRPr="00D15AFB">
        <w:rPr>
          <w:b/>
          <w:sz w:val="24"/>
          <w:szCs w:val="24"/>
        </w:rPr>
        <w:t>Dating t</w:t>
      </w:r>
      <w:r w:rsidR="005E55C3" w:rsidRPr="00D15AFB">
        <w:rPr>
          <w:b/>
          <w:sz w:val="24"/>
          <w:szCs w:val="24"/>
        </w:rPr>
        <w:t>he 1985 shift i</w:t>
      </w:r>
      <w:r w:rsidR="0002604B" w:rsidRPr="00D15AFB">
        <w:rPr>
          <w:b/>
          <w:sz w:val="24"/>
          <w:szCs w:val="24"/>
        </w:rPr>
        <w:t>n dollar policy</w:t>
      </w:r>
    </w:p>
    <w:p w:rsidR="00E35DF2" w:rsidRPr="00D15AFB" w:rsidRDefault="00E57C68" w:rsidP="008772E7">
      <w:pPr>
        <w:spacing w:line="240" w:lineRule="auto"/>
        <w:rPr>
          <w:sz w:val="24"/>
          <w:szCs w:val="24"/>
        </w:rPr>
      </w:pPr>
      <w:r w:rsidRPr="00D15AFB">
        <w:rPr>
          <w:sz w:val="24"/>
          <w:szCs w:val="24"/>
        </w:rPr>
        <w:t>Between the first Reagan Administration and the second, there was</w:t>
      </w:r>
      <w:r w:rsidR="00E35DF2" w:rsidRPr="00D15AFB">
        <w:rPr>
          <w:sz w:val="24"/>
          <w:szCs w:val="24"/>
        </w:rPr>
        <w:t xml:space="preserve"> a change in policy with respect to the exchange rate, a shift from a relatively doctrinaire laiss</w:t>
      </w:r>
      <w:r w:rsidR="00040436" w:rsidRPr="00D15AFB">
        <w:rPr>
          <w:sz w:val="24"/>
          <w:szCs w:val="24"/>
        </w:rPr>
        <w:t>ez-faire policy during</w:t>
      </w:r>
      <w:r w:rsidR="00E35DF2" w:rsidRPr="00D15AFB">
        <w:rPr>
          <w:sz w:val="24"/>
          <w:szCs w:val="24"/>
        </w:rPr>
        <w:t xml:space="preserve"> </w:t>
      </w:r>
      <w:r w:rsidRPr="00D15AFB">
        <w:rPr>
          <w:sz w:val="24"/>
          <w:szCs w:val="24"/>
        </w:rPr>
        <w:t xml:space="preserve">1981-84, </w:t>
      </w:r>
      <w:r w:rsidR="00E35DF2" w:rsidRPr="00D15AFB">
        <w:rPr>
          <w:sz w:val="24"/>
          <w:szCs w:val="24"/>
        </w:rPr>
        <w:t xml:space="preserve">to a more flexible policy of activism during </w:t>
      </w:r>
      <w:r w:rsidRPr="00D15AFB">
        <w:rPr>
          <w:sz w:val="24"/>
          <w:szCs w:val="24"/>
        </w:rPr>
        <w:t>1985-88</w:t>
      </w:r>
      <w:r w:rsidR="00E35DF2" w:rsidRPr="00D15AFB">
        <w:rPr>
          <w:sz w:val="24"/>
          <w:szCs w:val="24"/>
        </w:rPr>
        <w:t>.</w:t>
      </w:r>
    </w:p>
    <w:p w:rsidR="007F62FF" w:rsidRDefault="00E35DF2" w:rsidP="008772E7">
      <w:pPr>
        <w:spacing w:line="240" w:lineRule="auto"/>
        <w:rPr>
          <w:sz w:val="24"/>
          <w:szCs w:val="24"/>
        </w:rPr>
      </w:pPr>
      <w:r w:rsidRPr="00D15AFB">
        <w:rPr>
          <w:sz w:val="24"/>
          <w:szCs w:val="24"/>
        </w:rPr>
        <w:t xml:space="preserve"> An obvious point from which to date the switch is 22 September 1985, when finance ministers and central bank g</w:t>
      </w:r>
      <w:r w:rsidR="00E57C68" w:rsidRPr="00D15AFB">
        <w:rPr>
          <w:sz w:val="24"/>
          <w:szCs w:val="24"/>
        </w:rPr>
        <w:t xml:space="preserve">overnors </w:t>
      </w:r>
      <w:r w:rsidRPr="00D15AFB">
        <w:rPr>
          <w:sz w:val="24"/>
          <w:szCs w:val="24"/>
        </w:rPr>
        <w:t>met at the Plaza Hotel and agreed t</w:t>
      </w:r>
      <w:r w:rsidR="00F9417E">
        <w:rPr>
          <w:sz w:val="24"/>
          <w:szCs w:val="24"/>
        </w:rPr>
        <w:t>o try to bring the dollar down.</w:t>
      </w:r>
      <w:r w:rsidRPr="00D15AFB">
        <w:rPr>
          <w:rStyle w:val="FootnoteReference"/>
          <w:sz w:val="24"/>
          <w:szCs w:val="24"/>
        </w:rPr>
        <w:footnoteReference w:id="7"/>
      </w:r>
      <w:r w:rsidRPr="00D15AFB">
        <w:rPr>
          <w:sz w:val="24"/>
          <w:szCs w:val="24"/>
        </w:rPr>
        <w:t xml:space="preserve">  The Plaza Accord was certainly the embodiment of the new regime. But I would prefer to date the start of the new era from the beginning of that year. With the inauguration of th</w:t>
      </w:r>
      <w:r w:rsidR="00634646" w:rsidRPr="00D15AFB">
        <w:rPr>
          <w:sz w:val="24"/>
          <w:szCs w:val="24"/>
        </w:rPr>
        <w:t>e second Reagan administration</w:t>
      </w:r>
      <w:r w:rsidR="00EE5841" w:rsidRPr="00D15AFB">
        <w:rPr>
          <w:sz w:val="24"/>
          <w:szCs w:val="24"/>
        </w:rPr>
        <w:t xml:space="preserve"> </w:t>
      </w:r>
      <w:r w:rsidR="00101A1B" w:rsidRPr="00D15AFB">
        <w:rPr>
          <w:sz w:val="24"/>
          <w:szCs w:val="24"/>
        </w:rPr>
        <w:t xml:space="preserve">in January 1985, </w:t>
      </w:r>
      <w:r w:rsidR="00040436" w:rsidRPr="00D15AFB">
        <w:rPr>
          <w:sz w:val="24"/>
          <w:szCs w:val="24"/>
        </w:rPr>
        <w:t xml:space="preserve">Don </w:t>
      </w:r>
      <w:r w:rsidR="00634646" w:rsidRPr="00D15AFB">
        <w:rPr>
          <w:sz w:val="24"/>
          <w:szCs w:val="24"/>
        </w:rPr>
        <w:t xml:space="preserve">Regan and James Baker, </w:t>
      </w:r>
      <w:r w:rsidR="00EE5841" w:rsidRPr="00D15AFB">
        <w:rPr>
          <w:sz w:val="24"/>
          <w:szCs w:val="24"/>
        </w:rPr>
        <w:t xml:space="preserve">decided to </w:t>
      </w:r>
      <w:r w:rsidR="00101A1B" w:rsidRPr="00D15AFB">
        <w:rPr>
          <w:sz w:val="24"/>
          <w:szCs w:val="24"/>
        </w:rPr>
        <w:t>tra</w:t>
      </w:r>
      <w:r w:rsidR="00EE5841" w:rsidRPr="00D15AFB">
        <w:rPr>
          <w:sz w:val="24"/>
          <w:szCs w:val="24"/>
        </w:rPr>
        <w:t>de</w:t>
      </w:r>
      <w:r w:rsidR="00634646" w:rsidRPr="00D15AFB">
        <w:rPr>
          <w:sz w:val="24"/>
          <w:szCs w:val="24"/>
        </w:rPr>
        <w:t xml:space="preserve"> jobs</w:t>
      </w:r>
      <w:r w:rsidR="00D07DFA" w:rsidRPr="00D15AFB">
        <w:rPr>
          <w:sz w:val="24"/>
          <w:szCs w:val="24"/>
        </w:rPr>
        <w:t>, Regan becoming White House Chief of Staff and Baker taking Regan’s job leading the Treasury Department</w:t>
      </w:r>
      <w:r w:rsidR="00101A1B" w:rsidRPr="00D15AFB">
        <w:rPr>
          <w:sz w:val="24"/>
          <w:szCs w:val="24"/>
        </w:rPr>
        <w:t>.</w:t>
      </w:r>
      <w:r w:rsidR="00886E7F" w:rsidRPr="00D15AFB">
        <w:rPr>
          <w:rStyle w:val="FootnoteReference"/>
          <w:sz w:val="24"/>
          <w:szCs w:val="24"/>
        </w:rPr>
        <w:footnoteReference w:id="8"/>
      </w:r>
      <w:r w:rsidR="00101A1B" w:rsidRPr="00D15AFB">
        <w:rPr>
          <w:sz w:val="24"/>
          <w:szCs w:val="24"/>
        </w:rPr>
        <w:t xml:space="preserve">  A</w:t>
      </w:r>
      <w:r w:rsidR="00920E3F">
        <w:rPr>
          <w:sz w:val="24"/>
          <w:szCs w:val="24"/>
        </w:rPr>
        <w:t>t the same time, Beryl Sprinkel</w:t>
      </w:r>
      <w:r w:rsidR="00101A1B" w:rsidRPr="00D15AFB">
        <w:rPr>
          <w:sz w:val="24"/>
          <w:szCs w:val="24"/>
        </w:rPr>
        <w:t xml:space="preserve"> </w:t>
      </w:r>
      <w:r w:rsidRPr="00D15AFB">
        <w:rPr>
          <w:sz w:val="24"/>
          <w:szCs w:val="24"/>
        </w:rPr>
        <w:t xml:space="preserve">left </w:t>
      </w:r>
      <w:r w:rsidR="00D07DFA" w:rsidRPr="00D15AFB">
        <w:rPr>
          <w:sz w:val="24"/>
          <w:szCs w:val="24"/>
        </w:rPr>
        <w:t>Treasury</w:t>
      </w:r>
      <w:r w:rsidR="00920E3F">
        <w:rPr>
          <w:sz w:val="24"/>
          <w:szCs w:val="24"/>
        </w:rPr>
        <w:t xml:space="preserve">.  </w:t>
      </w:r>
      <w:r w:rsidR="00101A1B" w:rsidRPr="00D15AFB">
        <w:rPr>
          <w:sz w:val="24"/>
          <w:szCs w:val="24"/>
        </w:rPr>
        <w:t xml:space="preserve">Baker’s </w:t>
      </w:r>
      <w:r w:rsidR="00D07DFA" w:rsidRPr="00D15AFB">
        <w:rPr>
          <w:sz w:val="24"/>
          <w:szCs w:val="24"/>
        </w:rPr>
        <w:t>aide Richard Darman became D</w:t>
      </w:r>
      <w:r w:rsidRPr="00D15AFB">
        <w:rPr>
          <w:sz w:val="24"/>
          <w:szCs w:val="24"/>
        </w:rPr>
        <w:t xml:space="preserve">eputy </w:t>
      </w:r>
      <w:r w:rsidR="00D07DFA" w:rsidRPr="00D15AFB">
        <w:rPr>
          <w:sz w:val="24"/>
          <w:szCs w:val="24"/>
        </w:rPr>
        <w:t>S</w:t>
      </w:r>
      <w:r w:rsidR="00101A1B" w:rsidRPr="00D15AFB">
        <w:rPr>
          <w:sz w:val="24"/>
          <w:szCs w:val="24"/>
        </w:rPr>
        <w:t>ecretary</w:t>
      </w:r>
      <w:r w:rsidR="00634646" w:rsidRPr="00D15AFB">
        <w:rPr>
          <w:sz w:val="24"/>
          <w:szCs w:val="24"/>
        </w:rPr>
        <w:t xml:space="preserve"> at </w:t>
      </w:r>
      <w:r w:rsidR="00D07DFA" w:rsidRPr="00D15AFB">
        <w:rPr>
          <w:sz w:val="24"/>
          <w:szCs w:val="24"/>
        </w:rPr>
        <w:t>the Department</w:t>
      </w:r>
      <w:r w:rsidR="00101A1B" w:rsidRPr="00D15AFB">
        <w:rPr>
          <w:sz w:val="24"/>
          <w:szCs w:val="24"/>
        </w:rPr>
        <w:t>.</w:t>
      </w:r>
      <w:r w:rsidR="00376220" w:rsidRPr="00D15AFB">
        <w:rPr>
          <w:sz w:val="24"/>
          <w:szCs w:val="24"/>
        </w:rPr>
        <w:t xml:space="preserve">  </w:t>
      </w:r>
      <w:r w:rsidR="00547E46">
        <w:rPr>
          <w:sz w:val="24"/>
          <w:szCs w:val="24"/>
        </w:rPr>
        <w:t xml:space="preserve">David Mulford </w:t>
      </w:r>
      <w:r w:rsidR="00725214">
        <w:rPr>
          <w:sz w:val="24"/>
          <w:szCs w:val="24"/>
        </w:rPr>
        <w:t xml:space="preserve">happened to </w:t>
      </w:r>
      <w:r w:rsidR="0010274C">
        <w:rPr>
          <w:sz w:val="24"/>
          <w:szCs w:val="24"/>
        </w:rPr>
        <w:t>join</w:t>
      </w:r>
      <w:r w:rsidR="00547E46">
        <w:rPr>
          <w:sz w:val="24"/>
          <w:szCs w:val="24"/>
        </w:rPr>
        <w:t xml:space="preserve"> the team</w:t>
      </w:r>
      <w:r w:rsidR="00725214">
        <w:rPr>
          <w:sz w:val="24"/>
          <w:szCs w:val="24"/>
        </w:rPr>
        <w:t xml:space="preserve"> in January as well</w:t>
      </w:r>
      <w:r w:rsidR="00547E46">
        <w:rPr>
          <w:sz w:val="24"/>
          <w:szCs w:val="24"/>
        </w:rPr>
        <w:t>, as the new</w:t>
      </w:r>
      <w:r w:rsidR="00547E46" w:rsidRPr="00D15AFB">
        <w:rPr>
          <w:sz w:val="24"/>
          <w:szCs w:val="24"/>
        </w:rPr>
        <w:t xml:space="preserve"> Assistant Secretary for International Affairs</w:t>
      </w:r>
      <w:r w:rsidR="007F62FF">
        <w:rPr>
          <w:sz w:val="24"/>
          <w:szCs w:val="24"/>
        </w:rPr>
        <w:t>.</w:t>
      </w:r>
      <w:r w:rsidR="00725214">
        <w:rPr>
          <w:rStyle w:val="FootnoteReference"/>
          <w:sz w:val="24"/>
          <w:szCs w:val="24"/>
        </w:rPr>
        <w:footnoteReference w:id="9"/>
      </w:r>
    </w:p>
    <w:p w:rsidR="00506D6D" w:rsidRPr="00D15AFB" w:rsidRDefault="00547E46" w:rsidP="008772E7">
      <w:pPr>
        <w:spacing w:line="240" w:lineRule="auto"/>
        <w:rPr>
          <w:sz w:val="24"/>
          <w:szCs w:val="24"/>
        </w:rPr>
      </w:pPr>
      <w:r>
        <w:rPr>
          <w:sz w:val="24"/>
          <w:szCs w:val="24"/>
        </w:rPr>
        <w:t xml:space="preserve">Baker </w:t>
      </w:r>
      <w:r w:rsidR="00376220" w:rsidRPr="00D15AFB">
        <w:rPr>
          <w:sz w:val="24"/>
          <w:szCs w:val="24"/>
        </w:rPr>
        <w:t>had developed at the White House a reputation for greater pragmatism than other, more ideological members of the administration. In Janu</w:t>
      </w:r>
      <w:r>
        <w:rPr>
          <w:sz w:val="24"/>
          <w:szCs w:val="24"/>
        </w:rPr>
        <w:t>ary confirmation hearings, the incoming cabinet official</w:t>
      </w:r>
      <w:r w:rsidR="00376220" w:rsidRPr="00D15AFB">
        <w:rPr>
          <w:sz w:val="24"/>
          <w:szCs w:val="24"/>
        </w:rPr>
        <w:t xml:space="preserve"> explicitly showed signs of the departure with respect to exchange rate policy, stating at one point that the Treasury’s previous stance against intervention was “obviously something that should be looked at</w:t>
      </w:r>
      <w:r w:rsidR="00D07DFA" w:rsidRPr="00D15AFB">
        <w:rPr>
          <w:sz w:val="24"/>
          <w:szCs w:val="24"/>
        </w:rPr>
        <w:t>.</w:t>
      </w:r>
      <w:r w:rsidR="00376220" w:rsidRPr="00D15AFB">
        <w:rPr>
          <w:sz w:val="24"/>
          <w:szCs w:val="24"/>
        </w:rPr>
        <w:t>”</w:t>
      </w:r>
      <w:r w:rsidR="00D07DFA" w:rsidRPr="00D15AFB">
        <w:rPr>
          <w:rStyle w:val="FootnoteReference"/>
          <w:sz w:val="24"/>
          <w:szCs w:val="24"/>
        </w:rPr>
        <w:footnoteReference w:id="10"/>
      </w:r>
      <w:r w:rsidR="00376220" w:rsidRPr="00D15AFB">
        <w:rPr>
          <w:sz w:val="24"/>
          <w:szCs w:val="24"/>
        </w:rPr>
        <w:t xml:space="preserve"> </w:t>
      </w:r>
      <w:r>
        <w:rPr>
          <w:sz w:val="24"/>
          <w:szCs w:val="24"/>
        </w:rPr>
        <w:t xml:space="preserve">  </w:t>
      </w:r>
    </w:p>
    <w:p w:rsidR="009158F1" w:rsidRDefault="00376220" w:rsidP="008772E7">
      <w:pPr>
        <w:spacing w:line="240" w:lineRule="auto"/>
        <w:rPr>
          <w:sz w:val="24"/>
          <w:szCs w:val="24"/>
        </w:rPr>
      </w:pPr>
      <w:r w:rsidRPr="00D15AFB">
        <w:rPr>
          <w:sz w:val="24"/>
          <w:szCs w:val="24"/>
        </w:rPr>
        <w:t>Another reason to date the change from early in the year is that the dollar peaked in February and had already depreciated by 13 percent by the time of the Plaza meeting. Some, such as Feldstein (1986)</w:t>
      </w:r>
      <w:r w:rsidR="00D453EF">
        <w:rPr>
          <w:sz w:val="24"/>
          <w:szCs w:val="24"/>
        </w:rPr>
        <w:t xml:space="preserve"> and Taylor (2015)</w:t>
      </w:r>
      <w:r w:rsidRPr="00D15AFB">
        <w:rPr>
          <w:sz w:val="24"/>
          <w:szCs w:val="24"/>
        </w:rPr>
        <w:t xml:space="preserve">, have argued that the gap in timing shows that exchange rate “policy” had in fact little connection with the actual decline of the dollar, which was instead determined in the private marketplace regardless of what efforts governments made to influence it. </w:t>
      </w:r>
      <w:r w:rsidR="009158F1">
        <w:rPr>
          <w:sz w:val="24"/>
          <w:szCs w:val="24"/>
        </w:rPr>
        <w:t>N</w:t>
      </w:r>
      <w:r w:rsidRPr="00D15AFB">
        <w:rPr>
          <w:sz w:val="24"/>
          <w:szCs w:val="24"/>
        </w:rPr>
        <w:t>otwithstanding that official policy d</w:t>
      </w:r>
      <w:r w:rsidR="00A37392" w:rsidRPr="00D15AFB">
        <w:rPr>
          <w:sz w:val="24"/>
          <w:szCs w:val="24"/>
        </w:rPr>
        <w:t xml:space="preserve">id not change until September,  </w:t>
      </w:r>
      <w:r w:rsidR="009158F1">
        <w:rPr>
          <w:sz w:val="24"/>
          <w:szCs w:val="24"/>
        </w:rPr>
        <w:t xml:space="preserve">however, </w:t>
      </w:r>
      <w:r w:rsidR="00482CB5" w:rsidRPr="00D15AFB">
        <w:rPr>
          <w:sz w:val="24"/>
          <w:szCs w:val="24"/>
        </w:rPr>
        <w:t xml:space="preserve">there are two persuasive </w:t>
      </w:r>
      <w:r w:rsidRPr="00D15AFB">
        <w:rPr>
          <w:sz w:val="24"/>
          <w:szCs w:val="24"/>
        </w:rPr>
        <w:t xml:space="preserve">respects in which the bursting of the bubble at the end of February may have been in part caused by policy change. First, it was widely anticipated that Baker and Darman would probably be more receptive to the idea of trying to bring down the dollar than their predecessors had been. If market participants have reason to believe that policy changes to reduce the value of the dollar will be made in the future, they will move to sell dollars today in order to protect themselves against future losses, which will have the effect of causing the dollar to depreciate today. </w:t>
      </w:r>
    </w:p>
    <w:p w:rsidR="00B10F55" w:rsidRPr="00D15AFB" w:rsidRDefault="00376220" w:rsidP="008772E7">
      <w:pPr>
        <w:spacing w:line="240" w:lineRule="auto"/>
        <w:rPr>
          <w:sz w:val="24"/>
          <w:szCs w:val="24"/>
        </w:rPr>
      </w:pPr>
      <w:r w:rsidRPr="00D15AFB">
        <w:rPr>
          <w:sz w:val="24"/>
          <w:szCs w:val="24"/>
        </w:rPr>
        <w:t xml:space="preserve">Second, some intervention was agreed on at a G-5 meeting on 17 January </w:t>
      </w:r>
      <w:r w:rsidR="009158F1">
        <w:rPr>
          <w:sz w:val="24"/>
          <w:szCs w:val="24"/>
        </w:rPr>
        <w:t xml:space="preserve">– Baker attended the dinner -- </w:t>
      </w:r>
      <w:r w:rsidRPr="00D15AFB">
        <w:rPr>
          <w:sz w:val="24"/>
          <w:szCs w:val="24"/>
        </w:rPr>
        <w:t>and d</w:t>
      </w:r>
      <w:r w:rsidR="00B10F55" w:rsidRPr="00D15AFB">
        <w:rPr>
          <w:sz w:val="24"/>
          <w:szCs w:val="24"/>
        </w:rPr>
        <w:t xml:space="preserve">id take place subsequently (Funabashi 1988, 10). Surprisingly, the G-5 public announcement in January used language that, on the surface at least, sounds more pro-intervention than was used later in the Plaza announcement: “in light of recent developments </w:t>
      </w:r>
      <w:r w:rsidR="00B10F55" w:rsidRPr="00D15AFB">
        <w:rPr>
          <w:sz w:val="24"/>
          <w:szCs w:val="24"/>
        </w:rPr>
        <w:lastRenderedPageBreak/>
        <w:t>in foreign exchange markets,” the G-5 “reaffirmed their commitment made at the Williamsburg Summit to undertake coordinated intervention in the markets as necessary.”</w:t>
      </w:r>
    </w:p>
    <w:p w:rsidR="00376220" w:rsidRPr="00D15AFB" w:rsidRDefault="00376220" w:rsidP="008772E7">
      <w:pPr>
        <w:spacing w:line="240" w:lineRule="auto"/>
        <w:rPr>
          <w:sz w:val="24"/>
          <w:szCs w:val="24"/>
        </w:rPr>
      </w:pPr>
      <w:r w:rsidRPr="00D15AFB">
        <w:rPr>
          <w:sz w:val="24"/>
          <w:szCs w:val="24"/>
        </w:rPr>
        <w:t xml:space="preserve">The U.S. intervention </w:t>
      </w:r>
      <w:r w:rsidR="00C1706D" w:rsidRPr="00D15AFB">
        <w:rPr>
          <w:sz w:val="24"/>
          <w:szCs w:val="24"/>
        </w:rPr>
        <w:t>that winter was small in magnitude.</w:t>
      </w:r>
      <w:r w:rsidR="00C1706D" w:rsidRPr="00D15AFB">
        <w:rPr>
          <w:rStyle w:val="FootnoteReference"/>
          <w:sz w:val="24"/>
          <w:szCs w:val="24"/>
        </w:rPr>
        <w:footnoteReference w:id="11"/>
      </w:r>
      <w:r w:rsidRPr="00D15AFB">
        <w:rPr>
          <w:sz w:val="24"/>
          <w:szCs w:val="24"/>
        </w:rPr>
        <w:t xml:space="preserve"> But the German monetary authorities, in particular, intervened heavily to sell dollars in foreign exchange </w:t>
      </w:r>
      <w:r w:rsidR="00C1706D" w:rsidRPr="00D15AFB">
        <w:rPr>
          <w:sz w:val="24"/>
          <w:szCs w:val="24"/>
        </w:rPr>
        <w:t>markets in February and March.</w:t>
      </w:r>
      <w:r w:rsidR="00C1706D" w:rsidRPr="00D15AFB">
        <w:rPr>
          <w:rStyle w:val="FootnoteReference"/>
          <w:sz w:val="24"/>
          <w:szCs w:val="24"/>
        </w:rPr>
        <w:footnoteReference w:id="12"/>
      </w:r>
      <w:r w:rsidRPr="00D15AFB">
        <w:rPr>
          <w:sz w:val="24"/>
          <w:szCs w:val="24"/>
        </w:rPr>
        <w:t xml:space="preserve"> The February intervention was reported in the newspapers and, by virtue of timing, appears a likely candidate for the instrument that pricked the bubble. It is in turn likely that the accession of Baker to the Treasury in January and the G-5 meeting were the developments that encouraged the Germans to renew their intervention efforts at that time. </w:t>
      </w:r>
    </w:p>
    <w:p w:rsidR="00B14A28" w:rsidRPr="00D15AFB" w:rsidRDefault="004D20DC" w:rsidP="008772E7">
      <w:pPr>
        <w:spacing w:line="240" w:lineRule="auto"/>
        <w:rPr>
          <w:sz w:val="24"/>
          <w:szCs w:val="24"/>
        </w:rPr>
      </w:pPr>
      <w:r w:rsidRPr="00D15AFB">
        <w:rPr>
          <w:sz w:val="24"/>
          <w:szCs w:val="24"/>
        </w:rPr>
        <w:t xml:space="preserve">One could take a narrow viewpoint and </w:t>
      </w:r>
      <w:r w:rsidR="001C6400">
        <w:rPr>
          <w:sz w:val="24"/>
          <w:szCs w:val="24"/>
        </w:rPr>
        <w:t>define</w:t>
      </w:r>
      <w:r w:rsidRPr="00D15AFB">
        <w:rPr>
          <w:sz w:val="24"/>
          <w:szCs w:val="24"/>
        </w:rPr>
        <w:t xml:space="preserve"> the </w:t>
      </w:r>
      <w:r w:rsidR="00A25210" w:rsidRPr="00D15AFB">
        <w:rPr>
          <w:sz w:val="24"/>
          <w:szCs w:val="24"/>
        </w:rPr>
        <w:t xml:space="preserve">“Plaza Accord” to include only the </w:t>
      </w:r>
      <w:r w:rsidRPr="00D15AFB">
        <w:rPr>
          <w:sz w:val="24"/>
          <w:szCs w:val="24"/>
        </w:rPr>
        <w:t xml:space="preserve">deliberations </w:t>
      </w:r>
      <w:r w:rsidR="00F41E42" w:rsidRPr="00D15AFB">
        <w:rPr>
          <w:sz w:val="24"/>
          <w:szCs w:val="24"/>
        </w:rPr>
        <w:t>made on September 22</w:t>
      </w:r>
      <w:r w:rsidR="00A25210" w:rsidRPr="00D15AFB">
        <w:rPr>
          <w:sz w:val="24"/>
          <w:szCs w:val="24"/>
        </w:rPr>
        <w:t xml:space="preserve"> at the Pl</w:t>
      </w:r>
      <w:r w:rsidR="00F41E42" w:rsidRPr="00D15AFB">
        <w:rPr>
          <w:sz w:val="24"/>
          <w:szCs w:val="24"/>
        </w:rPr>
        <w:t xml:space="preserve">aza Hotel and not other </w:t>
      </w:r>
      <w:r w:rsidR="00A25210" w:rsidRPr="00D15AFB">
        <w:rPr>
          <w:sz w:val="24"/>
          <w:szCs w:val="24"/>
        </w:rPr>
        <w:t xml:space="preserve">developments in 1985.   But my view is that it is appropriate to use the term to include all the elements of the shift in dollar policy that occurred when Baker became Treasury Secretary that year: the other meetings, public statements, perceptions and – especially – foreign exchange market interventions.   </w:t>
      </w:r>
    </w:p>
    <w:p w:rsidR="00713B50" w:rsidRDefault="00A25210" w:rsidP="008772E7">
      <w:pPr>
        <w:spacing w:line="240" w:lineRule="auto"/>
        <w:rPr>
          <w:sz w:val="24"/>
          <w:szCs w:val="24"/>
        </w:rPr>
      </w:pPr>
      <w:r w:rsidRPr="00D15AFB">
        <w:rPr>
          <w:sz w:val="24"/>
          <w:szCs w:val="24"/>
        </w:rPr>
        <w:t xml:space="preserve">History routinely uses this sort of short-hand. </w:t>
      </w:r>
      <w:r w:rsidR="00134194" w:rsidRPr="00D15AFB">
        <w:rPr>
          <w:sz w:val="24"/>
          <w:szCs w:val="24"/>
        </w:rPr>
        <w:t xml:space="preserve">  We also celebrate 2015 as the 800</w:t>
      </w:r>
      <w:r w:rsidR="00134194" w:rsidRPr="00D15AFB">
        <w:rPr>
          <w:sz w:val="24"/>
          <w:szCs w:val="24"/>
          <w:vertAlign w:val="superscript"/>
        </w:rPr>
        <w:t>th</w:t>
      </w:r>
      <w:r w:rsidR="00134194" w:rsidRPr="00D15AFB">
        <w:rPr>
          <w:sz w:val="24"/>
          <w:szCs w:val="24"/>
        </w:rPr>
        <w:t xml:space="preserve"> anniversary of the Magna Carta</w:t>
      </w:r>
      <w:r w:rsidR="000C633F" w:rsidRPr="00D15AFB">
        <w:rPr>
          <w:sz w:val="24"/>
          <w:szCs w:val="24"/>
        </w:rPr>
        <w:t>, even</w:t>
      </w:r>
      <w:r w:rsidR="00B32553" w:rsidRPr="00D15AFB">
        <w:rPr>
          <w:sz w:val="24"/>
          <w:szCs w:val="24"/>
        </w:rPr>
        <w:t xml:space="preserve"> though the precise paper signed at Runnymede in 1215 had no immediate effect </w:t>
      </w:r>
      <w:r w:rsidR="005E55C3" w:rsidRPr="00D15AFB">
        <w:rPr>
          <w:sz w:val="24"/>
          <w:szCs w:val="24"/>
        </w:rPr>
        <w:t xml:space="preserve">in England </w:t>
      </w:r>
      <w:r w:rsidR="00B32553" w:rsidRPr="00D15AFB">
        <w:rPr>
          <w:sz w:val="24"/>
          <w:szCs w:val="24"/>
        </w:rPr>
        <w:t>and did not even bear that name.  Versions were reissued in subsequent years (a 1217 version is the one that was first called “Magna Carta”) and eventually came to represent the principle that the king was bound by law.</w:t>
      </w:r>
      <w:r w:rsidR="00B14A28" w:rsidRPr="00D15AFB">
        <w:rPr>
          <w:sz w:val="24"/>
          <w:szCs w:val="24"/>
        </w:rPr>
        <w:t xml:space="preserve">  </w:t>
      </w:r>
    </w:p>
    <w:p w:rsidR="0002604B" w:rsidRPr="00D15AFB" w:rsidRDefault="00B14A28" w:rsidP="008772E7">
      <w:pPr>
        <w:spacing w:line="240" w:lineRule="auto"/>
        <w:rPr>
          <w:sz w:val="24"/>
          <w:szCs w:val="24"/>
        </w:rPr>
      </w:pPr>
      <w:r w:rsidRPr="00D15AFB">
        <w:rPr>
          <w:sz w:val="24"/>
          <w:szCs w:val="24"/>
        </w:rPr>
        <w:t>To take another example closer to home, we use “Bretton Woods” to denote the postwar monetary system based on pegged exchange rates</w:t>
      </w:r>
      <w:r w:rsidR="00F41E42" w:rsidRPr="00D15AFB">
        <w:rPr>
          <w:sz w:val="24"/>
          <w:szCs w:val="24"/>
        </w:rPr>
        <w:t xml:space="preserve"> facilitated by the IMF</w:t>
      </w:r>
      <w:r w:rsidRPr="00D15AFB">
        <w:rPr>
          <w:sz w:val="24"/>
          <w:szCs w:val="24"/>
        </w:rPr>
        <w:t xml:space="preserve">, with </w:t>
      </w:r>
      <w:r w:rsidR="005E55C3" w:rsidRPr="00D15AFB">
        <w:rPr>
          <w:sz w:val="24"/>
          <w:szCs w:val="24"/>
        </w:rPr>
        <w:t xml:space="preserve">gold and </w:t>
      </w:r>
      <w:r w:rsidRPr="00D15AFB">
        <w:rPr>
          <w:sz w:val="24"/>
          <w:szCs w:val="24"/>
        </w:rPr>
        <w:t>the dollar as the international reserve asset</w:t>
      </w:r>
      <w:r w:rsidR="005E55C3" w:rsidRPr="00D15AFB">
        <w:rPr>
          <w:sz w:val="24"/>
          <w:szCs w:val="24"/>
        </w:rPr>
        <w:t>s</w:t>
      </w:r>
      <w:r w:rsidRPr="00D15AFB">
        <w:rPr>
          <w:sz w:val="24"/>
          <w:szCs w:val="24"/>
        </w:rPr>
        <w:t xml:space="preserve">.  But the system that was agreed at Bretton Woods, New Hampshire, in 1944 </w:t>
      </w:r>
      <w:r w:rsidR="005E55C3" w:rsidRPr="00D15AFB">
        <w:rPr>
          <w:sz w:val="24"/>
          <w:szCs w:val="24"/>
        </w:rPr>
        <w:t xml:space="preserve">had been negotiated over the preceding two years, </w:t>
      </w:r>
      <w:r w:rsidRPr="00D15AFB">
        <w:rPr>
          <w:sz w:val="24"/>
          <w:szCs w:val="24"/>
        </w:rPr>
        <w:t xml:space="preserve">did not really come into </w:t>
      </w:r>
      <w:r w:rsidR="005E55C3" w:rsidRPr="00D15AFB">
        <w:rPr>
          <w:sz w:val="24"/>
          <w:szCs w:val="24"/>
        </w:rPr>
        <w:t>full operation until some 15 years later (initially the IMF had little role to play and European countries delayed restoring currency convertibility), and by then was already beginning to break down (as the convertibility of the dollar into gold was increasingly in question).</w:t>
      </w:r>
      <w:r w:rsidR="005E55C3" w:rsidRPr="00D15AFB">
        <w:rPr>
          <w:rStyle w:val="FootnoteReference"/>
          <w:sz w:val="24"/>
          <w:szCs w:val="24"/>
        </w:rPr>
        <w:footnoteReference w:id="13"/>
      </w:r>
      <w:r w:rsidR="005E55C3" w:rsidRPr="00D15AFB">
        <w:rPr>
          <w:sz w:val="24"/>
          <w:szCs w:val="24"/>
        </w:rPr>
        <w:t xml:space="preserve">  Nevertheless </w:t>
      </w:r>
      <w:r w:rsidR="00026929" w:rsidRPr="00D15AFB">
        <w:rPr>
          <w:sz w:val="24"/>
          <w:szCs w:val="24"/>
        </w:rPr>
        <w:t xml:space="preserve">“Bretton Woods” is a useful shorthand, like “Magna Carta.”   </w:t>
      </w:r>
      <w:bookmarkStart w:id="0" w:name="_GoBack"/>
      <w:bookmarkEnd w:id="0"/>
      <w:r w:rsidR="00026929" w:rsidRPr="00D15AFB">
        <w:rPr>
          <w:sz w:val="24"/>
          <w:szCs w:val="24"/>
        </w:rPr>
        <w:t>It is similarly useful to apply “Plaza Accord” to the set of changes in policy with respect to the dollar that took place in 1985.</w:t>
      </w:r>
    </w:p>
    <w:p w:rsidR="0002604B" w:rsidRPr="00D15AFB" w:rsidRDefault="00A11CDC" w:rsidP="008772E7">
      <w:pPr>
        <w:spacing w:line="240" w:lineRule="auto"/>
        <w:rPr>
          <w:b/>
          <w:sz w:val="24"/>
          <w:szCs w:val="24"/>
        </w:rPr>
      </w:pPr>
      <w:r w:rsidRPr="00D15AFB">
        <w:rPr>
          <w:b/>
          <w:sz w:val="24"/>
          <w:szCs w:val="24"/>
        </w:rPr>
        <w:t xml:space="preserve">1.3 </w:t>
      </w:r>
      <w:r w:rsidR="004D241B" w:rsidRPr="00D15AFB">
        <w:rPr>
          <w:b/>
          <w:sz w:val="24"/>
          <w:szCs w:val="24"/>
        </w:rPr>
        <w:t>The Plaza meeting itself</w:t>
      </w:r>
    </w:p>
    <w:p w:rsidR="0002604B" w:rsidRPr="00D15AFB" w:rsidRDefault="0002604B" w:rsidP="008772E7">
      <w:pPr>
        <w:spacing w:line="240" w:lineRule="auto"/>
        <w:rPr>
          <w:sz w:val="24"/>
          <w:szCs w:val="24"/>
        </w:rPr>
      </w:pPr>
      <w:r w:rsidRPr="00D15AFB">
        <w:rPr>
          <w:sz w:val="24"/>
          <w:szCs w:val="24"/>
        </w:rPr>
        <w:t>In April</w:t>
      </w:r>
      <w:r w:rsidR="00026929" w:rsidRPr="00D15AFB">
        <w:rPr>
          <w:sz w:val="24"/>
          <w:szCs w:val="24"/>
        </w:rPr>
        <w:t xml:space="preserve"> 1985</w:t>
      </w:r>
      <w:r w:rsidRPr="00D15AFB">
        <w:rPr>
          <w:sz w:val="24"/>
          <w:szCs w:val="24"/>
        </w:rPr>
        <w:t xml:space="preserve">, at an Organization of Economic Cooperation and Development (OECD) meeting, Baker announced, “The US is prepared to consider the possible value of hosting a high-level meeting of the major industrial countries” on the subject of international monetary reform.  </w:t>
      </w:r>
      <w:r w:rsidRPr="00D15AFB">
        <w:rPr>
          <w:sz w:val="24"/>
          <w:szCs w:val="24"/>
        </w:rPr>
        <w:lastRenderedPageBreak/>
        <w:t>Similar trial balloons were floated in the Congress.</w:t>
      </w:r>
      <w:r w:rsidR="004D241B" w:rsidRPr="00D15AFB">
        <w:rPr>
          <w:rStyle w:val="FootnoteReference"/>
          <w:sz w:val="24"/>
          <w:szCs w:val="24"/>
        </w:rPr>
        <w:footnoteReference w:id="14"/>
      </w:r>
      <w:r w:rsidRPr="00D15AFB">
        <w:rPr>
          <w:sz w:val="24"/>
          <w:szCs w:val="24"/>
        </w:rPr>
        <w:t xml:space="preserve">  But </w:t>
      </w:r>
      <w:r w:rsidR="004D241B" w:rsidRPr="00D15AFB">
        <w:rPr>
          <w:sz w:val="24"/>
          <w:szCs w:val="24"/>
        </w:rPr>
        <w:t>the other shoe was yet to drop.  M</w:t>
      </w:r>
      <w:r w:rsidRPr="00D15AFB">
        <w:rPr>
          <w:sz w:val="24"/>
          <w:szCs w:val="24"/>
        </w:rPr>
        <w:t xml:space="preserve">onetary </w:t>
      </w:r>
      <w:r w:rsidR="00E64C15">
        <w:rPr>
          <w:sz w:val="24"/>
          <w:szCs w:val="24"/>
        </w:rPr>
        <w:t xml:space="preserve">and exchange rate </w:t>
      </w:r>
      <w:r w:rsidRPr="00D15AFB">
        <w:rPr>
          <w:sz w:val="24"/>
          <w:szCs w:val="24"/>
        </w:rPr>
        <w:t>issues were not extensively discussed at the Bonn Summit of G-7 leaders in May 1985.</w:t>
      </w:r>
      <w:r w:rsidRPr="00D15AFB">
        <w:rPr>
          <w:rStyle w:val="FootnoteReference"/>
          <w:sz w:val="24"/>
          <w:szCs w:val="24"/>
        </w:rPr>
        <w:footnoteReference w:id="15"/>
      </w:r>
      <w:r w:rsidRPr="00D15AFB">
        <w:rPr>
          <w:sz w:val="24"/>
          <w:szCs w:val="24"/>
        </w:rPr>
        <w:t xml:space="preserve"> </w:t>
      </w:r>
    </w:p>
    <w:p w:rsidR="00CB6050" w:rsidRDefault="00E64C15" w:rsidP="008772E7">
      <w:pPr>
        <w:spacing w:line="240" w:lineRule="auto"/>
        <w:rPr>
          <w:sz w:val="24"/>
          <w:szCs w:val="24"/>
        </w:rPr>
      </w:pPr>
      <w:r>
        <w:rPr>
          <w:sz w:val="24"/>
          <w:szCs w:val="24"/>
        </w:rPr>
        <w:t>P</w:t>
      </w:r>
      <w:r w:rsidR="00CB6050">
        <w:rPr>
          <w:sz w:val="24"/>
          <w:szCs w:val="24"/>
        </w:rPr>
        <w:t xml:space="preserve">reparations for the Plaza meeting </w:t>
      </w:r>
      <w:r>
        <w:rPr>
          <w:sz w:val="24"/>
          <w:szCs w:val="24"/>
        </w:rPr>
        <w:t xml:space="preserve">began soon thereafter, but </w:t>
      </w:r>
      <w:r w:rsidR="00CB6050">
        <w:rPr>
          <w:sz w:val="24"/>
          <w:szCs w:val="24"/>
        </w:rPr>
        <w:t>were kept closely guarded.  In June, top Treasury officials discussed the possibility of concerted intervention with top officials in Japan’s Ministry of Finance.</w:t>
      </w:r>
      <w:r w:rsidR="00CB6050">
        <w:rPr>
          <w:rStyle w:val="FootnoteReference"/>
          <w:sz w:val="24"/>
          <w:szCs w:val="24"/>
        </w:rPr>
        <w:footnoteReference w:id="16"/>
      </w:r>
      <w:r w:rsidR="00CB6050">
        <w:rPr>
          <w:sz w:val="24"/>
          <w:szCs w:val="24"/>
        </w:rPr>
        <w:t xml:space="preserve">  </w:t>
      </w:r>
      <w:r w:rsidR="00F9417E">
        <w:rPr>
          <w:sz w:val="24"/>
          <w:szCs w:val="24"/>
        </w:rPr>
        <w:t xml:space="preserve">The </w:t>
      </w:r>
      <w:r w:rsidR="00237EF7">
        <w:rPr>
          <w:sz w:val="24"/>
          <w:szCs w:val="24"/>
        </w:rPr>
        <w:t xml:space="preserve">G-5 Deputies met </w:t>
      </w:r>
      <w:r w:rsidR="00F9417E">
        <w:rPr>
          <w:sz w:val="24"/>
          <w:szCs w:val="24"/>
        </w:rPr>
        <w:t>secret</w:t>
      </w:r>
      <w:r w:rsidR="00237EF7">
        <w:rPr>
          <w:sz w:val="24"/>
          <w:szCs w:val="24"/>
        </w:rPr>
        <w:t xml:space="preserve">ly </w:t>
      </w:r>
      <w:r w:rsidR="00F9417E">
        <w:rPr>
          <w:sz w:val="24"/>
          <w:szCs w:val="24"/>
        </w:rPr>
        <w:t>in July and August, led by Assistant Secretary Mulford.</w:t>
      </w:r>
      <w:r w:rsidR="00F9417E">
        <w:rPr>
          <w:rStyle w:val="FootnoteReference"/>
          <w:sz w:val="24"/>
          <w:szCs w:val="24"/>
        </w:rPr>
        <w:footnoteReference w:id="17"/>
      </w:r>
      <w:r w:rsidR="00F9417E">
        <w:rPr>
          <w:sz w:val="24"/>
          <w:szCs w:val="24"/>
        </w:rPr>
        <w:t xml:space="preserve">  </w:t>
      </w:r>
      <w:r w:rsidR="00CB6050">
        <w:rPr>
          <w:sz w:val="24"/>
          <w:szCs w:val="24"/>
        </w:rPr>
        <w:t>Details were worked out in a</w:t>
      </w:r>
      <w:r w:rsidR="00F9417E">
        <w:rPr>
          <w:sz w:val="24"/>
          <w:szCs w:val="24"/>
        </w:rPr>
        <w:t xml:space="preserve"> final</w:t>
      </w:r>
      <w:r w:rsidR="00CB6050" w:rsidRPr="00D15AFB">
        <w:rPr>
          <w:sz w:val="24"/>
          <w:szCs w:val="24"/>
        </w:rPr>
        <w:t xml:space="preserve"> preparatory meeting of G-5 deputies in London on 15 September</w:t>
      </w:r>
      <w:r w:rsidR="00F9417E">
        <w:rPr>
          <w:sz w:val="24"/>
          <w:szCs w:val="24"/>
        </w:rPr>
        <w:t>.</w:t>
      </w:r>
    </w:p>
    <w:p w:rsidR="001A0F74" w:rsidRPr="00D15AFB" w:rsidRDefault="001A0F74" w:rsidP="008772E7">
      <w:pPr>
        <w:spacing w:line="240" w:lineRule="auto"/>
        <w:rPr>
          <w:sz w:val="24"/>
          <w:szCs w:val="24"/>
        </w:rPr>
      </w:pPr>
      <w:r w:rsidRPr="00D15AFB">
        <w:rPr>
          <w:sz w:val="24"/>
          <w:szCs w:val="24"/>
        </w:rPr>
        <w:t>Finally, on 22 September, the G-5 ministers</w:t>
      </w:r>
      <w:r w:rsidR="00BB7057">
        <w:rPr>
          <w:sz w:val="24"/>
          <w:szCs w:val="24"/>
        </w:rPr>
        <w:t xml:space="preserve"> and </w:t>
      </w:r>
      <w:r w:rsidR="00237EF7">
        <w:rPr>
          <w:sz w:val="24"/>
          <w:szCs w:val="24"/>
        </w:rPr>
        <w:t xml:space="preserve">central bankers </w:t>
      </w:r>
      <w:r w:rsidRPr="00D15AFB">
        <w:rPr>
          <w:sz w:val="24"/>
          <w:szCs w:val="24"/>
        </w:rPr>
        <w:t>met at the Plaza and agreed on an announcement that “some further orderly appreciation of the non-dollar currencies is desirable” and that they “stand ready to cooperate more closely to encourage this when to do so would be helpful,” language that by the standards of such communiques was considered (at least in retrospect) to have constituted strong support for concerted intervention, even though the word intervention did not appear.  A figure of 10-12 percent depreciation of the dollar over the near term had been specified as the aim in a never-released “non</w:t>
      </w:r>
      <w:r w:rsidR="0002604B" w:rsidRPr="00D15AFB">
        <w:rPr>
          <w:sz w:val="24"/>
          <w:szCs w:val="24"/>
        </w:rPr>
        <w:t>-</w:t>
      </w:r>
      <w:r w:rsidR="00F9417E">
        <w:rPr>
          <w:sz w:val="24"/>
          <w:szCs w:val="24"/>
        </w:rPr>
        <w:t>paper” drafted by</w:t>
      </w:r>
      <w:r w:rsidRPr="00D15AFB">
        <w:rPr>
          <w:sz w:val="24"/>
          <w:szCs w:val="24"/>
        </w:rPr>
        <w:t xml:space="preserve"> Mulford, </w:t>
      </w:r>
      <w:r w:rsidR="002F7FEC">
        <w:rPr>
          <w:sz w:val="24"/>
          <w:szCs w:val="24"/>
        </w:rPr>
        <w:t>for the September 15 meeting in London.</w:t>
      </w:r>
      <w:r w:rsidR="00F9417E">
        <w:rPr>
          <w:rStyle w:val="FootnoteReference"/>
          <w:sz w:val="24"/>
          <w:szCs w:val="24"/>
        </w:rPr>
        <w:footnoteReference w:id="18"/>
      </w:r>
      <w:r w:rsidR="002F7FEC">
        <w:rPr>
          <w:sz w:val="24"/>
          <w:szCs w:val="24"/>
        </w:rPr>
        <w:t xml:space="preserve"> </w:t>
      </w:r>
      <w:r w:rsidR="00BF12C2">
        <w:rPr>
          <w:sz w:val="24"/>
          <w:szCs w:val="24"/>
        </w:rPr>
        <w:t xml:space="preserve">The numbers were </w:t>
      </w:r>
      <w:r w:rsidRPr="00D15AFB">
        <w:rPr>
          <w:sz w:val="24"/>
          <w:szCs w:val="24"/>
        </w:rPr>
        <w:t>accepted as the ai</w:t>
      </w:r>
      <w:r w:rsidR="00CB6050">
        <w:rPr>
          <w:sz w:val="24"/>
          <w:szCs w:val="24"/>
        </w:rPr>
        <w:t>m by the G-5 ministers at the Pl</w:t>
      </w:r>
      <w:r w:rsidRPr="00D15AFB">
        <w:rPr>
          <w:sz w:val="24"/>
          <w:szCs w:val="24"/>
        </w:rPr>
        <w:t>aza</w:t>
      </w:r>
      <w:r w:rsidR="00BF12C2">
        <w:rPr>
          <w:sz w:val="24"/>
          <w:szCs w:val="24"/>
        </w:rPr>
        <w:t xml:space="preserve"> </w:t>
      </w:r>
      <w:r w:rsidR="00BF12C2" w:rsidRPr="00D15AFB">
        <w:rPr>
          <w:sz w:val="24"/>
          <w:szCs w:val="24"/>
        </w:rPr>
        <w:t>(according to American government sources)</w:t>
      </w:r>
      <w:r w:rsidRPr="00D15AFB">
        <w:rPr>
          <w:sz w:val="24"/>
          <w:szCs w:val="24"/>
        </w:rPr>
        <w:t>.</w:t>
      </w:r>
      <w:r w:rsidRPr="00D15AFB">
        <w:rPr>
          <w:rStyle w:val="FootnoteReference"/>
          <w:sz w:val="24"/>
          <w:szCs w:val="24"/>
        </w:rPr>
        <w:footnoteReference w:id="19"/>
      </w:r>
      <w:r w:rsidRPr="00D15AFB">
        <w:rPr>
          <w:sz w:val="24"/>
          <w:szCs w:val="24"/>
        </w:rPr>
        <w:t xml:space="preserve"> There was, apparently, little discussion among the participants </w:t>
      </w:r>
      <w:r w:rsidR="00BF12C2">
        <w:rPr>
          <w:sz w:val="24"/>
          <w:szCs w:val="24"/>
        </w:rPr>
        <w:t xml:space="preserve">at the Plaza </w:t>
      </w:r>
      <w:r w:rsidRPr="00D15AFB">
        <w:rPr>
          <w:sz w:val="24"/>
          <w:szCs w:val="24"/>
        </w:rPr>
        <w:t xml:space="preserve">as to whether changes in monetary policy would be required to achieve the aim of depreciating the dollar, suggesting that the agreed intervention </w:t>
      </w:r>
      <w:r w:rsidR="004B475A">
        <w:rPr>
          <w:sz w:val="24"/>
          <w:szCs w:val="24"/>
        </w:rPr>
        <w:t>w</w:t>
      </w:r>
      <w:r w:rsidRPr="00D15AFB">
        <w:rPr>
          <w:sz w:val="24"/>
          <w:szCs w:val="24"/>
        </w:rPr>
        <w:t xml:space="preserve">ould probably be </w:t>
      </w:r>
      <w:r w:rsidR="004B475A">
        <w:rPr>
          <w:sz w:val="24"/>
          <w:szCs w:val="24"/>
        </w:rPr>
        <w:t xml:space="preserve">appropriately </w:t>
      </w:r>
      <w:r w:rsidRPr="00D15AFB">
        <w:rPr>
          <w:sz w:val="24"/>
          <w:szCs w:val="24"/>
        </w:rPr>
        <w:t xml:space="preserve">classified as sterilized. </w:t>
      </w:r>
    </w:p>
    <w:p w:rsidR="0002604B" w:rsidRPr="00D15AFB" w:rsidRDefault="001A0F74" w:rsidP="008772E7">
      <w:pPr>
        <w:spacing w:line="240" w:lineRule="auto"/>
        <w:rPr>
          <w:sz w:val="24"/>
          <w:szCs w:val="24"/>
        </w:rPr>
      </w:pPr>
      <w:r w:rsidRPr="00D15AFB">
        <w:rPr>
          <w:sz w:val="24"/>
          <w:szCs w:val="24"/>
        </w:rPr>
        <w:t xml:space="preserve">On the Monday that the Plaza announcement was made public, the dollar fell a sudden 4 percent against a weighted average of other currencies (slightly more against the mark and the </w:t>
      </w:r>
      <w:r w:rsidRPr="00D15AFB">
        <w:rPr>
          <w:sz w:val="24"/>
          <w:szCs w:val="24"/>
        </w:rPr>
        <w:lastRenderedPageBreak/>
        <w:t>yen). Subsequently, it resumed a gradual depreciation at a rate similar to that of the preceding seven months.</w:t>
      </w:r>
      <w:r w:rsidRPr="00D15AFB">
        <w:rPr>
          <w:rStyle w:val="FootnoteReference"/>
          <w:sz w:val="24"/>
          <w:szCs w:val="24"/>
        </w:rPr>
        <w:footnoteReference w:id="20"/>
      </w:r>
      <w:r w:rsidRPr="00D15AFB">
        <w:rPr>
          <w:sz w:val="24"/>
          <w:szCs w:val="24"/>
        </w:rPr>
        <w:t xml:space="preserve"> </w:t>
      </w:r>
    </w:p>
    <w:p w:rsidR="006C2AEF" w:rsidRPr="00D15AFB" w:rsidRDefault="00A11CDC" w:rsidP="008772E7">
      <w:pPr>
        <w:pStyle w:val="ListParagraph"/>
        <w:numPr>
          <w:ilvl w:val="0"/>
          <w:numId w:val="2"/>
        </w:numPr>
        <w:spacing w:line="240" w:lineRule="auto"/>
        <w:rPr>
          <w:b/>
          <w:sz w:val="24"/>
          <w:szCs w:val="24"/>
        </w:rPr>
      </w:pPr>
      <w:r w:rsidRPr="00D15AFB">
        <w:rPr>
          <w:b/>
          <w:sz w:val="24"/>
          <w:szCs w:val="24"/>
        </w:rPr>
        <w:t>I</w:t>
      </w:r>
      <w:r w:rsidR="001E2D5D" w:rsidRPr="00D15AFB">
        <w:rPr>
          <w:b/>
          <w:sz w:val="24"/>
          <w:szCs w:val="24"/>
        </w:rPr>
        <w:t xml:space="preserve">s </w:t>
      </w:r>
      <w:r w:rsidR="00721815" w:rsidRPr="00D15AFB">
        <w:rPr>
          <w:b/>
          <w:sz w:val="24"/>
          <w:szCs w:val="24"/>
        </w:rPr>
        <w:t>Intervention</w:t>
      </w:r>
      <w:r w:rsidR="001E2D5D" w:rsidRPr="00D15AFB">
        <w:rPr>
          <w:b/>
          <w:sz w:val="24"/>
          <w:szCs w:val="24"/>
        </w:rPr>
        <w:t xml:space="preserve"> Effective?</w:t>
      </w:r>
    </w:p>
    <w:p w:rsidR="006C2AEF" w:rsidRPr="00D15AFB" w:rsidRDefault="006C2AEF" w:rsidP="008772E7">
      <w:pPr>
        <w:spacing w:line="240" w:lineRule="auto"/>
        <w:ind w:firstLine="360"/>
        <w:rPr>
          <w:sz w:val="24"/>
          <w:szCs w:val="24"/>
        </w:rPr>
      </w:pPr>
      <w:r w:rsidRPr="00D15AFB">
        <w:rPr>
          <w:sz w:val="24"/>
          <w:szCs w:val="24"/>
        </w:rPr>
        <w:t xml:space="preserve">Those who question that the Plaza was in fact effective are skeptical of the answer to one or the other of two separate questions regarding the effects of foreign exchange intervention.   First, is intervention effective at </w:t>
      </w:r>
      <w:r w:rsidR="00E079FE" w:rsidRPr="00D15AFB">
        <w:rPr>
          <w:sz w:val="24"/>
          <w:szCs w:val="24"/>
        </w:rPr>
        <w:t>changing the exchange rate</w:t>
      </w:r>
      <w:r w:rsidR="00E10896">
        <w:rPr>
          <w:sz w:val="24"/>
          <w:szCs w:val="24"/>
        </w:rPr>
        <w:t xml:space="preserve"> even</w:t>
      </w:r>
      <w:r w:rsidR="00E079FE" w:rsidRPr="00D15AFB">
        <w:rPr>
          <w:sz w:val="24"/>
          <w:szCs w:val="24"/>
        </w:rPr>
        <w:t xml:space="preserve"> </w:t>
      </w:r>
      <w:r w:rsidRPr="00D15AFB">
        <w:rPr>
          <w:sz w:val="24"/>
          <w:szCs w:val="24"/>
        </w:rPr>
        <w:t xml:space="preserve">if it </w:t>
      </w:r>
      <w:r w:rsidR="00E079FE" w:rsidRPr="00D15AFB">
        <w:rPr>
          <w:sz w:val="24"/>
          <w:szCs w:val="24"/>
        </w:rPr>
        <w:t xml:space="preserve">is sterilized, that is, even if it </w:t>
      </w:r>
      <w:r w:rsidRPr="00D15AFB">
        <w:rPr>
          <w:sz w:val="24"/>
          <w:szCs w:val="24"/>
        </w:rPr>
        <w:t xml:space="preserve">does not take the form of </w:t>
      </w:r>
      <w:r w:rsidR="00E079FE" w:rsidRPr="00D15AFB">
        <w:rPr>
          <w:sz w:val="24"/>
          <w:szCs w:val="24"/>
        </w:rPr>
        <w:t>a change in the money supply</w:t>
      </w:r>
      <w:r w:rsidRPr="00D15AFB">
        <w:rPr>
          <w:sz w:val="24"/>
          <w:szCs w:val="24"/>
        </w:rPr>
        <w:t>?</w:t>
      </w:r>
      <w:r w:rsidR="00E079FE" w:rsidRPr="00D15AFB">
        <w:rPr>
          <w:sz w:val="24"/>
          <w:szCs w:val="24"/>
        </w:rPr>
        <w:t xml:space="preserve">   Second, if it does change the exchange rate, doe</w:t>
      </w:r>
      <w:r w:rsidR="00F457C5">
        <w:rPr>
          <w:sz w:val="24"/>
          <w:szCs w:val="24"/>
        </w:rPr>
        <w:t>s that change the trade balance?</w:t>
      </w:r>
      <w:r w:rsidR="00E079FE" w:rsidRPr="00D15AFB">
        <w:rPr>
          <w:sz w:val="24"/>
          <w:szCs w:val="24"/>
        </w:rPr>
        <w:t xml:space="preserve">   Both questions remain of general interest, well beyond the events of 30 years ago.  We briefly consider each in turn.</w:t>
      </w:r>
    </w:p>
    <w:p w:rsidR="00AD1CC3" w:rsidRPr="00D15AFB" w:rsidRDefault="00AD1CC3" w:rsidP="008772E7">
      <w:pPr>
        <w:spacing w:line="240" w:lineRule="auto"/>
        <w:rPr>
          <w:b/>
          <w:sz w:val="24"/>
          <w:szCs w:val="24"/>
        </w:rPr>
      </w:pPr>
      <w:r w:rsidRPr="00D15AFB">
        <w:rPr>
          <w:b/>
          <w:sz w:val="24"/>
          <w:szCs w:val="24"/>
        </w:rPr>
        <w:t>2.1 Is intervention effective at moving the exchange rate?</w:t>
      </w:r>
    </w:p>
    <w:p w:rsidR="00721815" w:rsidRPr="00D15AFB" w:rsidRDefault="00721815" w:rsidP="008772E7">
      <w:pPr>
        <w:spacing w:line="240" w:lineRule="auto"/>
        <w:rPr>
          <w:sz w:val="24"/>
          <w:szCs w:val="24"/>
        </w:rPr>
      </w:pPr>
      <w:r w:rsidRPr="00D15AFB">
        <w:rPr>
          <w:sz w:val="24"/>
          <w:szCs w:val="24"/>
        </w:rPr>
        <w:t xml:space="preserve">In the decade following the Plaza, the U.S. and other major governments continued periodically to intervene in the dollar market, sometimes in one direction, sometimes in the other. During most of this period, market participants believed that such interventions were important: traders would leap for their terminals when reports on central bank sales or purchases came out.   But a majority of American economists </w:t>
      </w:r>
      <w:r w:rsidR="00DA2E15">
        <w:rPr>
          <w:sz w:val="24"/>
          <w:szCs w:val="24"/>
        </w:rPr>
        <w:t xml:space="preserve">and central bankers </w:t>
      </w:r>
      <w:r w:rsidRPr="00D15AFB">
        <w:rPr>
          <w:sz w:val="24"/>
          <w:szCs w:val="24"/>
        </w:rPr>
        <w:t>retain</w:t>
      </w:r>
      <w:r w:rsidR="000C59CA">
        <w:rPr>
          <w:sz w:val="24"/>
          <w:szCs w:val="24"/>
        </w:rPr>
        <w:t>ed the view of the early 1980s</w:t>
      </w:r>
      <w:r w:rsidR="00DA2E15">
        <w:rPr>
          <w:sz w:val="24"/>
          <w:szCs w:val="24"/>
        </w:rPr>
        <w:t>, that</w:t>
      </w:r>
      <w:r w:rsidRPr="00D15AFB">
        <w:rPr>
          <w:sz w:val="24"/>
          <w:szCs w:val="24"/>
        </w:rPr>
        <w:t xml:space="preserve"> intervention is ineffective except to the extent it changes money supplies.</w:t>
      </w:r>
      <w:r w:rsidR="00DA2E15">
        <w:rPr>
          <w:rStyle w:val="FootnoteReference"/>
          <w:sz w:val="24"/>
          <w:szCs w:val="24"/>
        </w:rPr>
        <w:footnoteReference w:id="21"/>
      </w:r>
    </w:p>
    <w:p w:rsidR="00721815" w:rsidRPr="00D15AFB" w:rsidRDefault="00721815" w:rsidP="008772E7">
      <w:pPr>
        <w:spacing w:line="240" w:lineRule="auto"/>
        <w:rPr>
          <w:sz w:val="24"/>
          <w:szCs w:val="24"/>
        </w:rPr>
      </w:pPr>
      <w:r w:rsidRPr="00D15AFB">
        <w:rPr>
          <w:sz w:val="24"/>
          <w:szCs w:val="24"/>
        </w:rPr>
        <w:t xml:space="preserve">Using previously-unavailable data on daily intervention by the </w:t>
      </w:r>
      <w:r w:rsidR="00445FD4">
        <w:rPr>
          <w:sz w:val="24"/>
          <w:szCs w:val="24"/>
        </w:rPr>
        <w:t>Bundesbank and Federal Reserve in the 1980s</w:t>
      </w:r>
      <w:r w:rsidRPr="00D15AFB">
        <w:rPr>
          <w:sz w:val="24"/>
          <w:szCs w:val="24"/>
        </w:rPr>
        <w:t>, Dom</w:t>
      </w:r>
      <w:r w:rsidR="00445FD4">
        <w:rPr>
          <w:sz w:val="24"/>
          <w:szCs w:val="24"/>
        </w:rPr>
        <w:t xml:space="preserve">inguez and Frankel (1993 a,b,c) </w:t>
      </w:r>
      <w:r w:rsidRPr="00D15AFB">
        <w:rPr>
          <w:sz w:val="24"/>
          <w:szCs w:val="24"/>
        </w:rPr>
        <w:t xml:space="preserve">re-examined the issue.   We found statistically significant effects.  </w:t>
      </w:r>
      <w:r w:rsidR="00DA1EFE" w:rsidRPr="00D15AFB">
        <w:rPr>
          <w:sz w:val="24"/>
          <w:szCs w:val="24"/>
        </w:rPr>
        <w:t>For example i</w:t>
      </w:r>
      <w:r w:rsidRPr="00D15AFB">
        <w:rPr>
          <w:sz w:val="24"/>
          <w:szCs w:val="24"/>
        </w:rPr>
        <w:t xml:space="preserve">n ten out of eleven major episodes during the period 1985-1991, the DM/$ rate in the month subsequent to the episode moved the direction in which the monetary authorities were trying to push it.  </w:t>
      </w:r>
      <w:r w:rsidR="00DA1EFE" w:rsidRPr="00D15AFB">
        <w:rPr>
          <w:sz w:val="24"/>
          <w:szCs w:val="24"/>
        </w:rPr>
        <w:t>Some others found similar results on broader data sets.</w:t>
      </w:r>
      <w:r w:rsidR="00DA1EFE" w:rsidRPr="00D15AFB">
        <w:rPr>
          <w:rStyle w:val="FootnoteReference"/>
          <w:sz w:val="24"/>
          <w:szCs w:val="24"/>
        </w:rPr>
        <w:footnoteReference w:id="22"/>
      </w:r>
      <w:r w:rsidR="00DA1EFE" w:rsidRPr="00D15AFB">
        <w:rPr>
          <w:sz w:val="24"/>
          <w:szCs w:val="24"/>
        </w:rPr>
        <w:t xml:space="preserve"> </w:t>
      </w:r>
      <w:r w:rsidR="0035274D">
        <w:rPr>
          <w:sz w:val="24"/>
          <w:szCs w:val="24"/>
        </w:rPr>
        <w:t xml:space="preserve"> Others reported more negative findings</w:t>
      </w:r>
      <w:r w:rsidR="00474124">
        <w:rPr>
          <w:sz w:val="24"/>
          <w:szCs w:val="24"/>
        </w:rPr>
        <w:t xml:space="preserve"> regarding the effectiveness of intervention</w:t>
      </w:r>
      <w:r w:rsidR="0035274D">
        <w:rPr>
          <w:sz w:val="24"/>
          <w:szCs w:val="24"/>
        </w:rPr>
        <w:t>.</w:t>
      </w:r>
      <w:r w:rsidR="0035274D">
        <w:rPr>
          <w:rStyle w:val="FootnoteReference"/>
          <w:sz w:val="24"/>
          <w:szCs w:val="24"/>
        </w:rPr>
        <w:footnoteReference w:id="23"/>
      </w:r>
      <w:r w:rsidR="00DA1EFE" w:rsidRPr="00D15AFB">
        <w:rPr>
          <w:sz w:val="24"/>
          <w:szCs w:val="24"/>
        </w:rPr>
        <w:t xml:space="preserve"> </w:t>
      </w:r>
      <w:r w:rsidR="00BB7057">
        <w:rPr>
          <w:sz w:val="24"/>
          <w:szCs w:val="24"/>
        </w:rPr>
        <w:t xml:space="preserve">The literature grew.  </w:t>
      </w:r>
      <w:r w:rsidR="00DA1EFE" w:rsidRPr="00D15AFB">
        <w:rPr>
          <w:sz w:val="24"/>
          <w:szCs w:val="24"/>
        </w:rPr>
        <w:t>Edison (1993) and Sa</w:t>
      </w:r>
      <w:r w:rsidR="00167EB0">
        <w:rPr>
          <w:sz w:val="24"/>
          <w:szCs w:val="24"/>
        </w:rPr>
        <w:t xml:space="preserve">rno and Taylor (2001) surveyed </w:t>
      </w:r>
      <w:r w:rsidR="00DA1EFE" w:rsidRPr="00D15AFB">
        <w:rPr>
          <w:sz w:val="24"/>
          <w:szCs w:val="24"/>
        </w:rPr>
        <w:t xml:space="preserve">empirical research up to those </w:t>
      </w:r>
      <w:r w:rsidR="00474124">
        <w:rPr>
          <w:sz w:val="24"/>
          <w:szCs w:val="24"/>
        </w:rPr>
        <w:t xml:space="preserve">respective </w:t>
      </w:r>
      <w:r w:rsidR="00DA1EFE" w:rsidRPr="00D15AFB">
        <w:rPr>
          <w:sz w:val="24"/>
          <w:szCs w:val="24"/>
        </w:rPr>
        <w:t>dates.</w:t>
      </w:r>
      <w:r w:rsidR="003B748A" w:rsidRPr="00D15AFB">
        <w:rPr>
          <w:sz w:val="24"/>
          <w:szCs w:val="24"/>
        </w:rPr>
        <w:t xml:space="preserve">  </w:t>
      </w:r>
    </w:p>
    <w:p w:rsidR="00AD1CC3" w:rsidRPr="00D15AFB" w:rsidRDefault="00721815" w:rsidP="008772E7">
      <w:pPr>
        <w:spacing w:line="240" w:lineRule="auto"/>
        <w:rPr>
          <w:sz w:val="24"/>
          <w:szCs w:val="24"/>
        </w:rPr>
      </w:pPr>
      <w:r w:rsidRPr="00D15AFB">
        <w:rPr>
          <w:sz w:val="24"/>
          <w:szCs w:val="24"/>
        </w:rPr>
        <w:t>The econometric par</w:t>
      </w:r>
      <w:r w:rsidR="00AD1CC3" w:rsidRPr="00D15AFB">
        <w:rPr>
          <w:sz w:val="24"/>
          <w:szCs w:val="24"/>
        </w:rPr>
        <w:t>t of the Dominguez-Frankel research</w:t>
      </w:r>
      <w:r w:rsidRPr="00D15AFB">
        <w:rPr>
          <w:sz w:val="24"/>
          <w:szCs w:val="24"/>
        </w:rPr>
        <w:t xml:space="preserve"> s</w:t>
      </w:r>
      <w:r w:rsidR="00DA1EFE" w:rsidRPr="00D15AFB">
        <w:rPr>
          <w:sz w:val="24"/>
          <w:szCs w:val="24"/>
        </w:rPr>
        <w:t>ought</w:t>
      </w:r>
      <w:r w:rsidRPr="00D15AFB">
        <w:rPr>
          <w:sz w:val="24"/>
          <w:szCs w:val="24"/>
        </w:rPr>
        <w:t xml:space="preserve"> to disentangle two distinct possible effects of intervention. First is the portfolio effect that may result from actual purchases and sales of marks and dollars in the marketplace (regardless whether the central bank's actions are publicly known at the time, or are kept secret). Second is the additional expectations effect, whereby public reports of intervention may alter expectations of the future exchange rate (regardless whether the intervention has in fact taken place), which will feed </w:t>
      </w:r>
      <w:r w:rsidRPr="00D15AFB">
        <w:rPr>
          <w:sz w:val="24"/>
          <w:szCs w:val="24"/>
        </w:rPr>
        <w:lastRenderedPageBreak/>
        <w:t>back to the current equilibrium price. The study use</w:t>
      </w:r>
      <w:r w:rsidR="003B748A" w:rsidRPr="00D15AFB">
        <w:rPr>
          <w:sz w:val="24"/>
          <w:szCs w:val="24"/>
        </w:rPr>
        <w:t>d</w:t>
      </w:r>
      <w:r w:rsidRPr="00D15AFB">
        <w:rPr>
          <w:sz w:val="24"/>
          <w:szCs w:val="24"/>
        </w:rPr>
        <w:t xml:space="preserve"> data that had not been widely used by other </w:t>
      </w:r>
      <w:r w:rsidR="00AD1CC3" w:rsidRPr="00D15AFB">
        <w:rPr>
          <w:sz w:val="24"/>
          <w:szCs w:val="24"/>
        </w:rPr>
        <w:t xml:space="preserve">researchers: in addition to </w:t>
      </w:r>
      <w:r w:rsidRPr="00D15AFB">
        <w:rPr>
          <w:sz w:val="24"/>
          <w:szCs w:val="24"/>
        </w:rPr>
        <w:t>daily intervention data, it use</w:t>
      </w:r>
      <w:r w:rsidR="003B748A" w:rsidRPr="00D15AFB">
        <w:rPr>
          <w:sz w:val="24"/>
          <w:szCs w:val="24"/>
        </w:rPr>
        <w:t>d</w:t>
      </w:r>
      <w:r w:rsidRPr="00D15AFB">
        <w:rPr>
          <w:sz w:val="24"/>
          <w:szCs w:val="24"/>
        </w:rPr>
        <w:t xml:space="preserve"> newspaper reports on intervention, survey data on the expectations of market participants, and a measure of portfolio risk. Results show</w:t>
      </w:r>
      <w:r w:rsidR="003B748A" w:rsidRPr="00D15AFB">
        <w:rPr>
          <w:sz w:val="24"/>
          <w:szCs w:val="24"/>
        </w:rPr>
        <w:t>ed</w:t>
      </w:r>
      <w:r w:rsidRPr="00D15AFB">
        <w:rPr>
          <w:sz w:val="24"/>
          <w:szCs w:val="24"/>
        </w:rPr>
        <w:t xml:space="preserve"> significant effects of intervention through both of the two channels, though only in the c</w:t>
      </w:r>
      <w:r w:rsidR="003B748A" w:rsidRPr="00D15AFB">
        <w:rPr>
          <w:sz w:val="24"/>
          <w:szCs w:val="24"/>
        </w:rPr>
        <w:t>ase of the expectations effect wa</w:t>
      </w:r>
      <w:r w:rsidRPr="00D15AFB">
        <w:rPr>
          <w:sz w:val="24"/>
          <w:szCs w:val="24"/>
        </w:rPr>
        <w:t xml:space="preserve">s the impact estimated to be quantitatively large. </w:t>
      </w:r>
    </w:p>
    <w:p w:rsidR="00721815" w:rsidRPr="00D15AFB" w:rsidRDefault="005B559E" w:rsidP="008772E7">
      <w:pPr>
        <w:spacing w:line="240" w:lineRule="auto"/>
        <w:rPr>
          <w:sz w:val="24"/>
          <w:szCs w:val="24"/>
        </w:rPr>
      </w:pPr>
      <w:r>
        <w:rPr>
          <w:sz w:val="24"/>
          <w:szCs w:val="24"/>
        </w:rPr>
        <w:t>Not all attempts at f</w:t>
      </w:r>
      <w:r w:rsidR="004E6688">
        <w:rPr>
          <w:sz w:val="24"/>
          <w:szCs w:val="24"/>
        </w:rPr>
        <w:t>oreign exchange intervention w</w:t>
      </w:r>
      <w:r>
        <w:rPr>
          <w:sz w:val="24"/>
          <w:szCs w:val="24"/>
        </w:rPr>
        <w:t>ere</w:t>
      </w:r>
      <w:r w:rsidR="00715F15">
        <w:rPr>
          <w:sz w:val="24"/>
          <w:szCs w:val="24"/>
        </w:rPr>
        <w:t xml:space="preserve"> found to be successful</w:t>
      </w:r>
      <w:r w:rsidR="004E6688">
        <w:rPr>
          <w:sz w:val="24"/>
          <w:szCs w:val="24"/>
        </w:rPr>
        <w:t xml:space="preserve">.  </w:t>
      </w:r>
      <w:r w:rsidR="00AD1CC3" w:rsidRPr="00D15AFB">
        <w:rPr>
          <w:sz w:val="24"/>
          <w:szCs w:val="24"/>
        </w:rPr>
        <w:t xml:space="preserve">A </w:t>
      </w:r>
      <w:r w:rsidR="00721815" w:rsidRPr="00D15AFB">
        <w:rPr>
          <w:sz w:val="24"/>
          <w:szCs w:val="24"/>
        </w:rPr>
        <w:t xml:space="preserve">number of lessons </w:t>
      </w:r>
      <w:r w:rsidR="00AD1CC3" w:rsidRPr="00D15AFB">
        <w:rPr>
          <w:sz w:val="24"/>
          <w:szCs w:val="24"/>
        </w:rPr>
        <w:t xml:space="preserve">were drawn </w:t>
      </w:r>
      <w:r w:rsidR="00721815" w:rsidRPr="00D15AFB">
        <w:rPr>
          <w:sz w:val="24"/>
          <w:szCs w:val="24"/>
        </w:rPr>
        <w:t xml:space="preserve">as to </w:t>
      </w:r>
      <w:r w:rsidR="00AD1CC3" w:rsidRPr="00D15AFB">
        <w:rPr>
          <w:sz w:val="24"/>
          <w:szCs w:val="24"/>
        </w:rPr>
        <w:t xml:space="preserve">the circumstances under </w:t>
      </w:r>
      <w:r w:rsidR="00D664E1">
        <w:rPr>
          <w:sz w:val="24"/>
          <w:szCs w:val="24"/>
        </w:rPr>
        <w:t>which</w:t>
      </w:r>
      <w:r w:rsidR="00474124">
        <w:rPr>
          <w:sz w:val="24"/>
          <w:szCs w:val="24"/>
        </w:rPr>
        <w:t xml:space="preserve"> </w:t>
      </w:r>
      <w:r w:rsidR="00721815" w:rsidRPr="00D15AFB">
        <w:rPr>
          <w:sz w:val="24"/>
          <w:szCs w:val="24"/>
        </w:rPr>
        <w:t xml:space="preserve">intervention was most likely to be </w:t>
      </w:r>
      <w:r w:rsidR="004E6688">
        <w:rPr>
          <w:sz w:val="24"/>
          <w:szCs w:val="24"/>
        </w:rPr>
        <w:t>work</w:t>
      </w:r>
      <w:r w:rsidR="00721815" w:rsidRPr="00D15AFB">
        <w:rPr>
          <w:sz w:val="24"/>
          <w:szCs w:val="24"/>
        </w:rPr>
        <w:t>.</w:t>
      </w:r>
      <w:r w:rsidR="00F72472">
        <w:rPr>
          <w:rStyle w:val="FootnoteReference"/>
          <w:sz w:val="24"/>
          <w:szCs w:val="24"/>
        </w:rPr>
        <w:footnoteReference w:id="24"/>
      </w:r>
    </w:p>
    <w:p w:rsidR="00721815" w:rsidRPr="00D15AFB" w:rsidRDefault="00721815" w:rsidP="008772E7">
      <w:pPr>
        <w:spacing w:line="240" w:lineRule="auto"/>
        <w:rPr>
          <w:sz w:val="24"/>
          <w:szCs w:val="24"/>
        </w:rPr>
      </w:pPr>
      <w:r w:rsidRPr="00D15AFB">
        <w:rPr>
          <w:sz w:val="24"/>
          <w:szCs w:val="24"/>
        </w:rPr>
        <w:t>* First, the conventional wisdom is correct that, because the foreign exchange market is now so large (</w:t>
      </w:r>
      <w:r w:rsidR="007A44FA" w:rsidRPr="00D15AFB">
        <w:rPr>
          <w:sz w:val="24"/>
          <w:szCs w:val="24"/>
        </w:rPr>
        <w:t>several</w:t>
      </w:r>
      <w:r w:rsidRPr="00D15AFB">
        <w:rPr>
          <w:sz w:val="24"/>
          <w:szCs w:val="24"/>
        </w:rPr>
        <w:t xml:space="preserve"> trillion dollars in daily turnover, worldwide), purchases and sales on the scale that governments are generally prepared to make will not have much effect if the market is already firmly convinced of the proper value of the currency.</w:t>
      </w:r>
      <w:r w:rsidR="00D664E1">
        <w:rPr>
          <w:sz w:val="24"/>
          <w:szCs w:val="24"/>
        </w:rPr>
        <w:t xml:space="preserve"> </w:t>
      </w:r>
      <w:r w:rsidR="00205406" w:rsidRPr="00D15AFB">
        <w:rPr>
          <w:sz w:val="24"/>
          <w:szCs w:val="24"/>
        </w:rPr>
        <w:t>The authorities will lose the battle if the market is determined t</w:t>
      </w:r>
      <w:r w:rsidR="00635C9C">
        <w:rPr>
          <w:sz w:val="24"/>
          <w:szCs w:val="24"/>
        </w:rPr>
        <w:t>o be on the other side.</w:t>
      </w:r>
      <w:r w:rsidR="00205406" w:rsidRPr="00D15AFB">
        <w:rPr>
          <w:sz w:val="24"/>
          <w:szCs w:val="24"/>
        </w:rPr>
        <w:t xml:space="preserve"> </w:t>
      </w:r>
      <w:r w:rsidRPr="00D15AFB">
        <w:rPr>
          <w:sz w:val="24"/>
          <w:szCs w:val="24"/>
        </w:rPr>
        <w:t>This is particularly relevant when the government is trying to support a parity that is no longer justified by mac</w:t>
      </w:r>
      <w:r w:rsidR="00205406" w:rsidRPr="00D15AFB">
        <w:rPr>
          <w:sz w:val="24"/>
          <w:szCs w:val="24"/>
        </w:rPr>
        <w:t>roeconomic fundamentals</w:t>
      </w:r>
      <w:r w:rsidRPr="00D15AFB">
        <w:rPr>
          <w:sz w:val="24"/>
          <w:szCs w:val="24"/>
        </w:rPr>
        <w:t xml:space="preserve">. The successful effect of intervention comes when the market holds weak views as to the true worth of the currency, </w:t>
      </w:r>
      <w:r w:rsidR="00205406" w:rsidRPr="00D15AFB">
        <w:rPr>
          <w:sz w:val="24"/>
          <w:szCs w:val="24"/>
        </w:rPr>
        <w:t xml:space="preserve">particularly in the case of a speculative bubble, </w:t>
      </w:r>
      <w:r w:rsidRPr="00D15AFB">
        <w:rPr>
          <w:sz w:val="24"/>
          <w:szCs w:val="24"/>
        </w:rPr>
        <w:t xml:space="preserve">and is willing to be led by the authorities. A good example of this was the dollar in 1985. </w:t>
      </w:r>
    </w:p>
    <w:p w:rsidR="00721815" w:rsidRPr="00D15AFB" w:rsidRDefault="00721815" w:rsidP="008772E7">
      <w:pPr>
        <w:spacing w:line="240" w:lineRule="auto"/>
        <w:rPr>
          <w:sz w:val="24"/>
          <w:szCs w:val="24"/>
        </w:rPr>
      </w:pPr>
      <w:r w:rsidRPr="00D15AFB">
        <w:rPr>
          <w:sz w:val="24"/>
          <w:szCs w:val="24"/>
        </w:rPr>
        <w:t xml:space="preserve">* Second, the initial intervention in any given episode during the </w:t>
      </w:r>
      <w:r w:rsidR="007A44FA" w:rsidRPr="00D15AFB">
        <w:rPr>
          <w:sz w:val="24"/>
          <w:szCs w:val="24"/>
        </w:rPr>
        <w:t xml:space="preserve">post-Plaza </w:t>
      </w:r>
      <w:r w:rsidRPr="00D15AFB">
        <w:rPr>
          <w:sz w:val="24"/>
          <w:szCs w:val="24"/>
        </w:rPr>
        <w:t xml:space="preserve">period </w:t>
      </w:r>
      <w:r w:rsidR="007A44FA" w:rsidRPr="00D15AFB">
        <w:rPr>
          <w:sz w:val="24"/>
          <w:szCs w:val="24"/>
        </w:rPr>
        <w:t>(</w:t>
      </w:r>
      <w:r w:rsidRPr="00D15AFB">
        <w:rPr>
          <w:sz w:val="24"/>
          <w:szCs w:val="24"/>
        </w:rPr>
        <w:t>1985-1991</w:t>
      </w:r>
      <w:r w:rsidR="007A44FA" w:rsidRPr="00D15AFB">
        <w:rPr>
          <w:sz w:val="24"/>
          <w:szCs w:val="24"/>
        </w:rPr>
        <w:t>)</w:t>
      </w:r>
      <w:r w:rsidRPr="00D15AFB">
        <w:rPr>
          <w:sz w:val="24"/>
          <w:szCs w:val="24"/>
        </w:rPr>
        <w:t xml:space="preserve"> had a greater effect than follow-up interventions on subsequent days. Surprise may be an important element. The effort generally has an effect within the first few days or weeks if it is going to have an effect at all. </w:t>
      </w:r>
    </w:p>
    <w:p w:rsidR="00721815" w:rsidRPr="00D15AFB" w:rsidRDefault="00721815" w:rsidP="008772E7">
      <w:pPr>
        <w:spacing w:line="240" w:lineRule="auto"/>
        <w:rPr>
          <w:sz w:val="24"/>
          <w:szCs w:val="24"/>
        </w:rPr>
      </w:pPr>
      <w:r w:rsidRPr="00D15AFB">
        <w:rPr>
          <w:sz w:val="24"/>
          <w:szCs w:val="24"/>
        </w:rPr>
        <w:t>* Third, the operations are more likely to be effective if they are "concerted," i.e., coordinated among a number of major central banks</w:t>
      </w:r>
      <w:r w:rsidR="00AD1CC3" w:rsidRPr="00D15AFB">
        <w:rPr>
          <w:sz w:val="24"/>
          <w:szCs w:val="24"/>
        </w:rPr>
        <w:t xml:space="preserve"> as they were in 1985 and subsequent years</w:t>
      </w:r>
      <w:r w:rsidRPr="00D15AFB">
        <w:rPr>
          <w:sz w:val="24"/>
          <w:szCs w:val="24"/>
        </w:rPr>
        <w:t xml:space="preserve">. It is particularly important that the U.S. be one of the countries participating. </w:t>
      </w:r>
    </w:p>
    <w:p w:rsidR="001E1A3B" w:rsidRPr="00D15AFB" w:rsidRDefault="00721815" w:rsidP="008772E7">
      <w:pPr>
        <w:spacing w:line="240" w:lineRule="auto"/>
        <w:rPr>
          <w:sz w:val="24"/>
          <w:szCs w:val="24"/>
        </w:rPr>
      </w:pPr>
      <w:r w:rsidRPr="00D15AFB">
        <w:rPr>
          <w:sz w:val="24"/>
          <w:szCs w:val="24"/>
        </w:rPr>
        <w:t xml:space="preserve">* Fourth, the major effect comes via expectations. The average effect of reports of intervention (by wire services and newspapers) on forecasts (of what the rate will be one month ahead) was </w:t>
      </w:r>
      <w:r w:rsidR="007A44FA" w:rsidRPr="00D15AFB">
        <w:rPr>
          <w:sz w:val="24"/>
          <w:szCs w:val="24"/>
        </w:rPr>
        <w:t xml:space="preserve">estimated at </w:t>
      </w:r>
      <w:r w:rsidRPr="00D15AFB">
        <w:rPr>
          <w:sz w:val="24"/>
          <w:szCs w:val="24"/>
        </w:rPr>
        <w:t xml:space="preserve">0.4 per cent, and this effect translated almost one-for-one into the contemporaneous spot exchange rate itself. Thus </w:t>
      </w:r>
      <w:r w:rsidR="00922A03">
        <w:rPr>
          <w:sz w:val="24"/>
          <w:szCs w:val="24"/>
        </w:rPr>
        <w:t xml:space="preserve">if authorities reveal intervention </w:t>
      </w:r>
      <w:r w:rsidRPr="00D15AFB">
        <w:rPr>
          <w:sz w:val="24"/>
          <w:szCs w:val="24"/>
        </w:rPr>
        <w:t xml:space="preserve">to the public </w:t>
      </w:r>
      <w:r w:rsidR="00922A03">
        <w:rPr>
          <w:sz w:val="24"/>
          <w:szCs w:val="24"/>
        </w:rPr>
        <w:t xml:space="preserve">it is more likely </w:t>
      </w:r>
      <w:r w:rsidRPr="00D15AFB">
        <w:rPr>
          <w:sz w:val="24"/>
          <w:szCs w:val="24"/>
        </w:rPr>
        <w:t>to have a major effect. Explicit ann</w:t>
      </w:r>
      <w:r w:rsidR="00D2778F" w:rsidRPr="00D15AFB">
        <w:rPr>
          <w:sz w:val="24"/>
          <w:szCs w:val="24"/>
        </w:rPr>
        <w:t>ouncements by U.S. officials had</w:t>
      </w:r>
      <w:r w:rsidRPr="00D15AFB">
        <w:rPr>
          <w:sz w:val="24"/>
          <w:szCs w:val="24"/>
        </w:rPr>
        <w:t xml:space="preserve"> even greater effects (</w:t>
      </w:r>
      <w:r w:rsidR="007A44FA" w:rsidRPr="00D15AFB">
        <w:rPr>
          <w:sz w:val="24"/>
          <w:szCs w:val="24"/>
        </w:rPr>
        <w:t xml:space="preserve">estimated </w:t>
      </w:r>
      <w:r w:rsidRPr="00D15AFB">
        <w:rPr>
          <w:sz w:val="24"/>
          <w:szCs w:val="24"/>
        </w:rPr>
        <w:t>about 0.8 per cent) than whe</w:t>
      </w:r>
      <w:r w:rsidR="001E1A3B" w:rsidRPr="00D15AFB">
        <w:rPr>
          <w:sz w:val="24"/>
          <w:szCs w:val="24"/>
        </w:rPr>
        <w:t>n the New York Fed merely allowed</w:t>
      </w:r>
      <w:r w:rsidRPr="00D15AFB">
        <w:rPr>
          <w:sz w:val="24"/>
          <w:szCs w:val="24"/>
        </w:rPr>
        <w:t xml:space="preserve"> the banks through which it trades to share the information. Examples include the Plaza statement of September 1985, the Louvre statement of February 1987, and the Bush Administration's "ambush" to reverse dol</w:t>
      </w:r>
      <w:r w:rsidR="001E1A3B" w:rsidRPr="00D15AFB">
        <w:rPr>
          <w:sz w:val="24"/>
          <w:szCs w:val="24"/>
        </w:rPr>
        <w:t>lar appreciation in July 1991.</w:t>
      </w:r>
    </w:p>
    <w:p w:rsidR="00721815" w:rsidRPr="00D15AFB" w:rsidRDefault="00721815" w:rsidP="008772E7">
      <w:pPr>
        <w:spacing w:line="240" w:lineRule="auto"/>
        <w:rPr>
          <w:sz w:val="24"/>
          <w:szCs w:val="24"/>
        </w:rPr>
      </w:pPr>
      <w:r w:rsidRPr="00D15AFB">
        <w:rPr>
          <w:sz w:val="24"/>
          <w:szCs w:val="24"/>
        </w:rPr>
        <w:t xml:space="preserve">* Fifth, the </w:t>
      </w:r>
      <w:r w:rsidR="00DA625B">
        <w:rPr>
          <w:sz w:val="24"/>
          <w:szCs w:val="24"/>
        </w:rPr>
        <w:t>authorities are not necessarily a</w:t>
      </w:r>
      <w:r w:rsidRPr="00D15AFB">
        <w:rPr>
          <w:sz w:val="24"/>
          <w:szCs w:val="24"/>
        </w:rPr>
        <w:t xml:space="preserve">ble to affect the exchange rate for a long period, absent a corresponding change in fundamentals. The effect </w:t>
      </w:r>
      <w:r w:rsidR="00DA625B" w:rsidRPr="00D15AFB">
        <w:rPr>
          <w:sz w:val="24"/>
          <w:szCs w:val="24"/>
        </w:rPr>
        <w:t xml:space="preserve">usually </w:t>
      </w:r>
      <w:r w:rsidRPr="00D15AFB">
        <w:rPr>
          <w:sz w:val="24"/>
          <w:szCs w:val="24"/>
        </w:rPr>
        <w:t>appear</w:t>
      </w:r>
      <w:r w:rsidR="007B0BD1" w:rsidRPr="00D15AFB">
        <w:rPr>
          <w:sz w:val="24"/>
          <w:szCs w:val="24"/>
        </w:rPr>
        <w:t>ed</w:t>
      </w:r>
      <w:r w:rsidRPr="00D15AFB">
        <w:rPr>
          <w:sz w:val="24"/>
          <w:szCs w:val="24"/>
        </w:rPr>
        <w:t xml:space="preserve"> still to be present one month after the intervention. Whether the effect is still there a year later </w:t>
      </w:r>
      <w:r w:rsidR="007B0BD1" w:rsidRPr="00D15AFB">
        <w:rPr>
          <w:sz w:val="24"/>
          <w:szCs w:val="24"/>
        </w:rPr>
        <w:t>wa</w:t>
      </w:r>
      <w:r w:rsidRPr="00D15AFB">
        <w:rPr>
          <w:sz w:val="24"/>
          <w:szCs w:val="24"/>
        </w:rPr>
        <w:t xml:space="preserve">s impossible </w:t>
      </w:r>
      <w:r w:rsidRPr="00D15AFB">
        <w:rPr>
          <w:sz w:val="24"/>
          <w:szCs w:val="24"/>
        </w:rPr>
        <w:lastRenderedPageBreak/>
        <w:t xml:space="preserve">to say. </w:t>
      </w:r>
      <w:r w:rsidR="00A63236">
        <w:rPr>
          <w:sz w:val="24"/>
          <w:szCs w:val="24"/>
        </w:rPr>
        <w:t xml:space="preserve">  Critics of sterilized intervention say that it can at most have an effect in the short run.  </w:t>
      </w:r>
      <w:r w:rsidRPr="00D15AFB">
        <w:rPr>
          <w:sz w:val="24"/>
          <w:szCs w:val="24"/>
        </w:rPr>
        <w:t>But even short-term effects can be useful. Examples of episodes where the effect lasted long enough to be useful include</w:t>
      </w:r>
      <w:r w:rsidR="007B0BD1" w:rsidRPr="00D15AFB">
        <w:rPr>
          <w:sz w:val="24"/>
          <w:szCs w:val="24"/>
        </w:rPr>
        <w:t>d</w:t>
      </w:r>
      <w:r w:rsidRPr="00D15AFB">
        <w:rPr>
          <w:sz w:val="24"/>
          <w:szCs w:val="24"/>
        </w:rPr>
        <w:t xml:space="preserve"> such operations as the "pricking of the dollar bubble" in 1985, the "bear squeeze" of January 1988 -- which supported the dollar as a bridge until expected improvements in the trade balance materialized -- and the successful placing of a floor and ceiling, respectively, on the dollar in February and July 1991.</w:t>
      </w:r>
    </w:p>
    <w:p w:rsidR="007501AA" w:rsidRDefault="007B0BD1" w:rsidP="008772E7">
      <w:pPr>
        <w:spacing w:line="240" w:lineRule="auto"/>
        <w:rPr>
          <w:sz w:val="24"/>
          <w:szCs w:val="24"/>
        </w:rPr>
      </w:pPr>
      <w:r w:rsidRPr="00D15AFB">
        <w:rPr>
          <w:sz w:val="24"/>
          <w:szCs w:val="24"/>
        </w:rPr>
        <w:t>Occasional intervention continued during the first Clinton Administration, 1992-95, mainly to support the dollar.</w:t>
      </w:r>
      <w:r w:rsidRPr="00D15AFB">
        <w:rPr>
          <w:rStyle w:val="FootnoteReference"/>
          <w:sz w:val="24"/>
          <w:szCs w:val="24"/>
        </w:rPr>
        <w:footnoteReference w:id="25"/>
      </w:r>
      <w:r w:rsidR="0020175C" w:rsidRPr="00D15AFB">
        <w:rPr>
          <w:sz w:val="24"/>
          <w:szCs w:val="24"/>
        </w:rPr>
        <w:t xml:space="preserve">  </w:t>
      </w:r>
      <w:r w:rsidR="007501AA" w:rsidRPr="00031956">
        <w:rPr>
          <w:sz w:val="24"/>
          <w:szCs w:val="24"/>
        </w:rPr>
        <w:t>G-7 intervention in May 1995</w:t>
      </w:r>
      <w:r w:rsidR="00031956" w:rsidRPr="00031956">
        <w:rPr>
          <w:sz w:val="24"/>
          <w:szCs w:val="24"/>
        </w:rPr>
        <w:t>, after the dollar had depreciated to a record low against the yen, at</w:t>
      </w:r>
      <w:r w:rsidR="007501AA" w:rsidRPr="00031956">
        <w:rPr>
          <w:sz w:val="24"/>
          <w:szCs w:val="24"/>
        </w:rPr>
        <w:t xml:space="preserve"> appears to have been successful in turning </w:t>
      </w:r>
      <w:r w:rsidR="00031956" w:rsidRPr="00031956">
        <w:rPr>
          <w:sz w:val="24"/>
          <w:szCs w:val="24"/>
        </w:rPr>
        <w:t>the trend around</w:t>
      </w:r>
      <w:r w:rsidR="007501AA" w:rsidRPr="00031956">
        <w:rPr>
          <w:sz w:val="24"/>
          <w:szCs w:val="24"/>
        </w:rPr>
        <w:t>, consistent with the mantra of the new Treasury Secretary Robert Rubin “a strong dollar is in the national interest.”</w:t>
      </w:r>
    </w:p>
    <w:p w:rsidR="001E1A3B" w:rsidRPr="00D15AFB" w:rsidRDefault="0020175C" w:rsidP="008772E7">
      <w:pPr>
        <w:spacing w:line="240" w:lineRule="auto"/>
        <w:rPr>
          <w:sz w:val="24"/>
          <w:szCs w:val="24"/>
        </w:rPr>
      </w:pPr>
      <w:r w:rsidRPr="00D15AFB">
        <w:rPr>
          <w:sz w:val="24"/>
          <w:szCs w:val="24"/>
        </w:rPr>
        <w:t xml:space="preserve">Subsequently, however, </w:t>
      </w:r>
      <w:r w:rsidR="00257DC2">
        <w:rPr>
          <w:sz w:val="24"/>
          <w:szCs w:val="24"/>
        </w:rPr>
        <w:t>intervention</w:t>
      </w:r>
      <w:r w:rsidR="007B0BD1" w:rsidRPr="00D15AFB">
        <w:rPr>
          <w:sz w:val="24"/>
          <w:szCs w:val="24"/>
        </w:rPr>
        <w:t xml:space="preserve"> virtually died</w:t>
      </w:r>
      <w:r w:rsidR="00257DC2">
        <w:rPr>
          <w:sz w:val="24"/>
          <w:szCs w:val="24"/>
        </w:rPr>
        <w:t xml:space="preserve"> out among</w:t>
      </w:r>
      <w:r w:rsidRPr="00D15AFB">
        <w:rPr>
          <w:sz w:val="24"/>
          <w:szCs w:val="24"/>
        </w:rPr>
        <w:t xml:space="preserve"> the G-7</w:t>
      </w:r>
      <w:r w:rsidR="007B0BD1" w:rsidRPr="00D15AFB">
        <w:rPr>
          <w:sz w:val="24"/>
          <w:szCs w:val="24"/>
        </w:rPr>
        <w:t xml:space="preserve">.  </w:t>
      </w:r>
      <w:r w:rsidR="00257DC2">
        <w:rPr>
          <w:rFonts w:cs="Helvetica"/>
          <w:color w:val="0D0D0D" w:themeColor="text1" w:themeTint="F2"/>
          <w:sz w:val="24"/>
          <w:szCs w:val="24"/>
          <w:shd w:val="clear" w:color="auto" w:fill="FFFFFF"/>
        </w:rPr>
        <w:t>T</w:t>
      </w:r>
      <w:r w:rsidR="007B0BD1" w:rsidRPr="00D15AFB">
        <w:rPr>
          <w:rFonts w:cs="Helvetica"/>
          <w:color w:val="0D0D0D" w:themeColor="text1" w:themeTint="F2"/>
          <w:sz w:val="24"/>
          <w:szCs w:val="24"/>
          <w:shd w:val="clear" w:color="auto" w:fill="FFFFFF"/>
        </w:rPr>
        <w:t>he European Centra</w:t>
      </w:r>
      <w:r w:rsidR="00257DC2">
        <w:rPr>
          <w:rFonts w:cs="Helvetica"/>
          <w:color w:val="0D0D0D" w:themeColor="text1" w:themeTint="F2"/>
          <w:sz w:val="24"/>
          <w:szCs w:val="24"/>
          <w:shd w:val="clear" w:color="auto" w:fill="FFFFFF"/>
        </w:rPr>
        <w:t>l Bank intervened</w:t>
      </w:r>
      <w:r w:rsidR="0035274D">
        <w:rPr>
          <w:rFonts w:cs="Helvetica"/>
          <w:color w:val="0D0D0D" w:themeColor="text1" w:themeTint="F2"/>
          <w:sz w:val="24"/>
          <w:szCs w:val="24"/>
          <w:shd w:val="clear" w:color="auto" w:fill="FFFFFF"/>
        </w:rPr>
        <w:t xml:space="preserve"> in 2000</w:t>
      </w:r>
      <w:r w:rsidR="003A74C1">
        <w:rPr>
          <w:rFonts w:cs="Helvetica"/>
          <w:color w:val="0D0D0D" w:themeColor="text1" w:themeTint="F2"/>
          <w:sz w:val="24"/>
          <w:szCs w:val="24"/>
          <w:shd w:val="clear" w:color="auto" w:fill="FFFFFF"/>
        </w:rPr>
        <w:t xml:space="preserve">, </w:t>
      </w:r>
      <w:r w:rsidR="003A74C1" w:rsidRPr="00D15AFB">
        <w:rPr>
          <w:rFonts w:cs="Helvetica"/>
          <w:color w:val="0D0D0D" w:themeColor="text1" w:themeTint="F2"/>
          <w:sz w:val="24"/>
          <w:szCs w:val="24"/>
          <w:shd w:val="clear" w:color="auto" w:fill="FFFFFF"/>
        </w:rPr>
        <w:t>to support its then over-depreciated euro</w:t>
      </w:r>
      <w:r w:rsidR="003A74C1">
        <w:rPr>
          <w:rFonts w:cs="Helvetica"/>
          <w:color w:val="0D0D0D" w:themeColor="text1" w:themeTint="F2"/>
          <w:sz w:val="24"/>
          <w:szCs w:val="24"/>
          <w:shd w:val="clear" w:color="auto" w:fill="FFFFFF"/>
        </w:rPr>
        <w:t>.  (O</w:t>
      </w:r>
      <w:r w:rsidR="007B0BD1" w:rsidRPr="00D15AFB">
        <w:rPr>
          <w:rFonts w:cs="Helvetica"/>
          <w:color w:val="0D0D0D" w:themeColor="text1" w:themeTint="F2"/>
          <w:sz w:val="24"/>
          <w:szCs w:val="24"/>
          <w:shd w:val="clear" w:color="auto" w:fill="FFFFFF"/>
        </w:rPr>
        <w:t>peration</w:t>
      </w:r>
      <w:r w:rsidR="003A74C1">
        <w:rPr>
          <w:rFonts w:cs="Helvetica"/>
          <w:color w:val="0D0D0D" w:themeColor="text1" w:themeTint="F2"/>
          <w:sz w:val="24"/>
          <w:szCs w:val="24"/>
          <w:shd w:val="clear" w:color="auto" w:fill="FFFFFF"/>
        </w:rPr>
        <w:t>s in September of that year were undertaken</w:t>
      </w:r>
      <w:r w:rsidR="007B0BD1" w:rsidRPr="00D15AFB">
        <w:rPr>
          <w:rFonts w:cs="Helvetica"/>
          <w:color w:val="0D0D0D" w:themeColor="text1" w:themeTint="F2"/>
          <w:sz w:val="24"/>
          <w:szCs w:val="24"/>
          <w:shd w:val="clear" w:color="auto" w:fill="FFFFFF"/>
        </w:rPr>
        <w:t xml:space="preserve"> in cooperation with the US and others.</w:t>
      </w:r>
      <w:r w:rsidR="003A74C1">
        <w:rPr>
          <w:rFonts w:cs="Helvetica"/>
          <w:color w:val="0D0D0D" w:themeColor="text1" w:themeTint="F2"/>
          <w:sz w:val="24"/>
          <w:szCs w:val="24"/>
          <w:shd w:val="clear" w:color="auto" w:fill="FFFFFF"/>
        </w:rPr>
        <w:t>)</w:t>
      </w:r>
      <w:r w:rsidR="007B0BD1" w:rsidRPr="00D15AFB">
        <w:rPr>
          <w:rFonts w:cs="Helvetica"/>
          <w:color w:val="0D0D0D" w:themeColor="text1" w:themeTint="F2"/>
          <w:sz w:val="24"/>
          <w:szCs w:val="24"/>
          <w:shd w:val="clear" w:color="auto" w:fill="FFFFFF"/>
        </w:rPr>
        <w:t xml:space="preserve">  </w:t>
      </w:r>
      <w:r w:rsidR="007B0BD1" w:rsidRPr="00D15AFB">
        <w:rPr>
          <w:sz w:val="24"/>
          <w:szCs w:val="24"/>
        </w:rPr>
        <w:t xml:space="preserve">The last time </w:t>
      </w:r>
      <w:r w:rsidR="007B0BD1" w:rsidRPr="00D15AFB">
        <w:rPr>
          <w:rFonts w:cs="Helvetica"/>
          <w:color w:val="0D0D0D" w:themeColor="text1" w:themeTint="F2"/>
          <w:sz w:val="24"/>
          <w:szCs w:val="24"/>
          <w:shd w:val="clear" w:color="auto" w:fill="FFFFFF"/>
        </w:rPr>
        <w:t xml:space="preserve">the Bank of Japan intervened in the foreign exchange market was in </w:t>
      </w:r>
      <w:r w:rsidR="009C0F17">
        <w:rPr>
          <w:rFonts w:cs="Helvetica"/>
          <w:color w:val="0D0D0D" w:themeColor="text1" w:themeTint="F2"/>
          <w:sz w:val="24"/>
          <w:szCs w:val="24"/>
          <w:shd w:val="clear" w:color="auto" w:fill="FFFFFF"/>
        </w:rPr>
        <w:t xml:space="preserve">March </w:t>
      </w:r>
      <w:r w:rsidR="007B0BD1" w:rsidRPr="00D15AFB">
        <w:rPr>
          <w:rFonts w:cs="Helvetica"/>
          <w:color w:val="0D0D0D" w:themeColor="text1" w:themeTint="F2"/>
          <w:sz w:val="24"/>
          <w:szCs w:val="24"/>
          <w:shd w:val="clear" w:color="auto" w:fill="FFFFFF"/>
        </w:rPr>
        <w:t xml:space="preserve">2011, again in cooperation with the US and others, to dampen a strong appreciation of the yen that came in the aftermath of the </w:t>
      </w:r>
      <w:r w:rsidR="009C0F17">
        <w:rPr>
          <w:rFonts w:cs="Helvetica"/>
          <w:color w:val="0D0D0D" w:themeColor="text1" w:themeTint="F2"/>
          <w:sz w:val="24"/>
          <w:szCs w:val="24"/>
          <w:shd w:val="clear" w:color="auto" w:fill="FFFFFF"/>
        </w:rPr>
        <w:t>Tohoku</w:t>
      </w:r>
      <w:r w:rsidR="00F31878">
        <w:rPr>
          <w:rFonts w:cs="Helvetica"/>
          <w:color w:val="0D0D0D" w:themeColor="text1" w:themeTint="F2"/>
          <w:sz w:val="24"/>
          <w:szCs w:val="24"/>
          <w:shd w:val="clear" w:color="auto" w:fill="FFFFFF"/>
        </w:rPr>
        <w:t xml:space="preserve"> </w:t>
      </w:r>
      <w:r w:rsidR="007B0BD1" w:rsidRPr="00D15AFB">
        <w:rPr>
          <w:rFonts w:cs="Helvetica"/>
          <w:color w:val="0D0D0D" w:themeColor="text1" w:themeTint="F2"/>
          <w:sz w:val="24"/>
          <w:szCs w:val="24"/>
          <w:shd w:val="clear" w:color="auto" w:fill="FFFFFF"/>
        </w:rPr>
        <w:t>earthquake and tsunami.</w:t>
      </w:r>
      <w:r w:rsidR="007B0BD1" w:rsidRPr="00D15AFB">
        <w:rPr>
          <w:rStyle w:val="FootnoteReference"/>
          <w:rFonts w:cs="Helvetica"/>
          <w:color w:val="0D0D0D" w:themeColor="text1" w:themeTint="F2"/>
          <w:sz w:val="24"/>
          <w:szCs w:val="24"/>
          <w:shd w:val="clear" w:color="auto" w:fill="FFFFFF"/>
        </w:rPr>
        <w:footnoteReference w:id="26"/>
      </w:r>
      <w:r w:rsidR="007B0BD1" w:rsidRPr="00D15AFB">
        <w:rPr>
          <w:rFonts w:cs="Helvetica"/>
          <w:color w:val="0D0D0D" w:themeColor="text1" w:themeTint="F2"/>
          <w:sz w:val="24"/>
          <w:szCs w:val="24"/>
          <w:shd w:val="clear" w:color="auto" w:fill="FFFFFF"/>
        </w:rPr>
        <w:t xml:space="preserve">  </w:t>
      </w:r>
      <w:r w:rsidRPr="00D15AFB">
        <w:rPr>
          <w:rFonts w:cs="Helvetica"/>
          <w:color w:val="0D0D0D" w:themeColor="text1" w:themeTint="F2"/>
          <w:sz w:val="24"/>
          <w:szCs w:val="24"/>
          <w:shd w:val="clear" w:color="auto" w:fill="FFFFFF"/>
        </w:rPr>
        <w:t xml:space="preserve">Since then, nothing.  </w:t>
      </w:r>
      <w:r w:rsidR="007B0BD1" w:rsidRPr="00D15AFB">
        <w:rPr>
          <w:sz w:val="24"/>
          <w:szCs w:val="24"/>
        </w:rPr>
        <w:t>As noted in the introduction</w:t>
      </w:r>
      <w:r w:rsidRPr="00D15AFB">
        <w:rPr>
          <w:sz w:val="24"/>
          <w:szCs w:val="24"/>
        </w:rPr>
        <w:t>,</w:t>
      </w:r>
      <w:r w:rsidR="007B0BD1" w:rsidRPr="00D15AFB">
        <w:rPr>
          <w:sz w:val="24"/>
          <w:szCs w:val="24"/>
        </w:rPr>
        <w:t xml:space="preserve"> </w:t>
      </w:r>
      <w:r w:rsidR="007B0BD1" w:rsidRPr="00D15AFB">
        <w:rPr>
          <w:rFonts w:cs="Helvetica"/>
          <w:color w:val="0D0D0D" w:themeColor="text1" w:themeTint="F2"/>
          <w:sz w:val="24"/>
          <w:szCs w:val="24"/>
          <w:shd w:val="clear" w:color="auto" w:fill="FFFFFF"/>
        </w:rPr>
        <w:t xml:space="preserve">the G-7 partners in February 2013 agreed </w:t>
      </w:r>
      <w:r w:rsidR="00D15AFB" w:rsidRPr="00D15AFB">
        <w:rPr>
          <w:rFonts w:cs="Helvetica"/>
          <w:color w:val="0D0D0D" w:themeColor="text1" w:themeTint="F2"/>
          <w:sz w:val="24"/>
          <w:szCs w:val="24"/>
          <w:shd w:val="clear" w:color="auto" w:fill="FFFFFF"/>
        </w:rPr>
        <w:t xml:space="preserve">to refrain from </w:t>
      </w:r>
      <w:r w:rsidR="007B0BD1" w:rsidRPr="00D15AFB">
        <w:rPr>
          <w:rFonts w:cs="Helvetica"/>
          <w:color w:val="0D0D0D" w:themeColor="text1" w:themeTint="F2"/>
          <w:sz w:val="24"/>
          <w:szCs w:val="24"/>
          <w:shd w:val="clear" w:color="auto" w:fill="FFFFFF"/>
        </w:rPr>
        <w:t>foreign exchange intervention</w:t>
      </w:r>
      <w:r w:rsidR="00F10A39" w:rsidRPr="00D15AFB">
        <w:rPr>
          <w:rFonts w:cs="Helvetica"/>
          <w:color w:val="0D0D0D" w:themeColor="text1" w:themeTint="F2"/>
          <w:sz w:val="24"/>
          <w:szCs w:val="24"/>
          <w:shd w:val="clear" w:color="auto" w:fill="FFFFFF"/>
        </w:rPr>
        <w:t>.</w:t>
      </w:r>
    </w:p>
    <w:p w:rsidR="00AD2C33" w:rsidRDefault="005301BC" w:rsidP="008772E7">
      <w:pPr>
        <w:tabs>
          <w:tab w:val="num" w:pos="1440"/>
        </w:tabs>
        <w:spacing w:line="240" w:lineRule="auto"/>
        <w:rPr>
          <w:sz w:val="24"/>
          <w:szCs w:val="24"/>
        </w:rPr>
      </w:pPr>
      <w:r>
        <w:rPr>
          <w:sz w:val="24"/>
          <w:szCs w:val="24"/>
        </w:rPr>
        <w:t xml:space="preserve">One might think that </w:t>
      </w:r>
      <w:r w:rsidR="0027004A" w:rsidRPr="00D15AFB">
        <w:rPr>
          <w:sz w:val="24"/>
          <w:szCs w:val="24"/>
        </w:rPr>
        <w:t xml:space="preserve">foreign exchange </w:t>
      </w:r>
      <w:r>
        <w:rPr>
          <w:sz w:val="24"/>
          <w:szCs w:val="24"/>
        </w:rPr>
        <w:t xml:space="preserve">intervention </w:t>
      </w:r>
      <w:r w:rsidR="00F31878">
        <w:rPr>
          <w:sz w:val="24"/>
          <w:szCs w:val="24"/>
        </w:rPr>
        <w:t>is not in current use and therefore t</w:t>
      </w:r>
      <w:r w:rsidR="00F31878" w:rsidRPr="00D15AFB">
        <w:rPr>
          <w:sz w:val="24"/>
          <w:szCs w:val="24"/>
        </w:rPr>
        <w:t xml:space="preserve">he question of whether </w:t>
      </w:r>
      <w:r w:rsidR="00F31878">
        <w:rPr>
          <w:sz w:val="24"/>
          <w:szCs w:val="24"/>
        </w:rPr>
        <w:t xml:space="preserve">it </w:t>
      </w:r>
      <w:r>
        <w:rPr>
          <w:sz w:val="24"/>
          <w:szCs w:val="24"/>
        </w:rPr>
        <w:t>is effective would</w:t>
      </w:r>
      <w:r w:rsidR="0027004A" w:rsidRPr="00D15AFB">
        <w:rPr>
          <w:sz w:val="24"/>
          <w:szCs w:val="24"/>
        </w:rPr>
        <w:t xml:space="preserve"> be onl</w:t>
      </w:r>
      <w:r w:rsidR="00647402" w:rsidRPr="00D15AFB">
        <w:rPr>
          <w:sz w:val="24"/>
          <w:szCs w:val="24"/>
        </w:rPr>
        <w:t xml:space="preserve">y </w:t>
      </w:r>
      <w:r>
        <w:rPr>
          <w:sz w:val="24"/>
          <w:szCs w:val="24"/>
        </w:rPr>
        <w:t xml:space="preserve">of </w:t>
      </w:r>
      <w:r w:rsidR="00647402" w:rsidRPr="00D15AFB">
        <w:rPr>
          <w:sz w:val="24"/>
          <w:szCs w:val="24"/>
        </w:rPr>
        <w:t>historical interest.  But that w</w:t>
      </w:r>
      <w:r w:rsidR="0098316A" w:rsidRPr="00D15AFB">
        <w:rPr>
          <w:sz w:val="24"/>
          <w:szCs w:val="24"/>
        </w:rPr>
        <w:t>ould not be</w:t>
      </w:r>
      <w:r w:rsidR="0027004A" w:rsidRPr="00D15AFB">
        <w:rPr>
          <w:sz w:val="24"/>
          <w:szCs w:val="24"/>
        </w:rPr>
        <w:t xml:space="preserve"> right.</w:t>
      </w:r>
      <w:r w:rsidR="0098316A" w:rsidRPr="00D15AFB">
        <w:rPr>
          <w:rStyle w:val="FootnoteReference"/>
          <w:sz w:val="24"/>
          <w:szCs w:val="24"/>
        </w:rPr>
        <w:footnoteReference w:id="27"/>
      </w:r>
      <w:r w:rsidR="00F31878">
        <w:rPr>
          <w:sz w:val="24"/>
          <w:szCs w:val="24"/>
        </w:rPr>
        <w:t xml:space="preserve">  </w:t>
      </w:r>
      <w:r w:rsidR="0027004A" w:rsidRPr="00D15AFB">
        <w:rPr>
          <w:sz w:val="24"/>
          <w:szCs w:val="24"/>
        </w:rPr>
        <w:t xml:space="preserve">True, most big advanced countries don’t intervene in the foreign exchange market these days. </w:t>
      </w:r>
      <w:r w:rsidR="0098316A" w:rsidRPr="00D15AFB">
        <w:rPr>
          <w:sz w:val="24"/>
          <w:szCs w:val="24"/>
        </w:rPr>
        <w:t xml:space="preserve">  </w:t>
      </w:r>
      <w:r w:rsidR="0027004A" w:rsidRPr="00D15AFB">
        <w:rPr>
          <w:sz w:val="24"/>
          <w:szCs w:val="24"/>
        </w:rPr>
        <w:t>But, for one thing, major Emerging Market countries do intervene.   Around the time that the G-7 moved to the free-floating corner (i.e., stopped intervening), many emerging market countries switched to managed floating (having abandoned exchange rate t</w:t>
      </w:r>
      <w:r w:rsidR="0087243C">
        <w:rPr>
          <w:sz w:val="24"/>
          <w:szCs w:val="24"/>
        </w:rPr>
        <w:t xml:space="preserve">argets after the currency crashes of </w:t>
      </w:r>
      <w:r w:rsidR="0027004A" w:rsidRPr="00D15AFB">
        <w:rPr>
          <w:sz w:val="24"/>
          <w:szCs w:val="24"/>
        </w:rPr>
        <w:t>1994-2002).</w:t>
      </w:r>
      <w:r w:rsidR="00647402" w:rsidRPr="00D15AFB">
        <w:rPr>
          <w:sz w:val="24"/>
          <w:szCs w:val="24"/>
        </w:rPr>
        <w:t xml:space="preserve"> </w:t>
      </w:r>
    </w:p>
    <w:p w:rsidR="00AD5A50" w:rsidRPr="00D15AFB" w:rsidRDefault="00647402" w:rsidP="008772E7">
      <w:pPr>
        <w:tabs>
          <w:tab w:val="num" w:pos="1440"/>
        </w:tabs>
        <w:spacing w:line="240" w:lineRule="auto"/>
        <w:rPr>
          <w:sz w:val="24"/>
          <w:szCs w:val="24"/>
        </w:rPr>
      </w:pPr>
      <w:r w:rsidRPr="00D15AFB">
        <w:rPr>
          <w:sz w:val="24"/>
          <w:szCs w:val="24"/>
        </w:rPr>
        <w:t xml:space="preserve">We need an updating of research on the effectiveness of </w:t>
      </w:r>
      <w:r w:rsidR="009C15AF" w:rsidRPr="00D15AFB">
        <w:rPr>
          <w:sz w:val="24"/>
          <w:szCs w:val="24"/>
        </w:rPr>
        <w:t>f</w:t>
      </w:r>
      <w:r w:rsidR="009C15AF">
        <w:rPr>
          <w:sz w:val="24"/>
          <w:szCs w:val="24"/>
        </w:rPr>
        <w:t xml:space="preserve">oreign exchange </w:t>
      </w:r>
      <w:r w:rsidR="009C15AF" w:rsidRPr="00D15AFB">
        <w:rPr>
          <w:sz w:val="24"/>
          <w:szCs w:val="24"/>
        </w:rPr>
        <w:t>intervention</w:t>
      </w:r>
      <w:r w:rsidR="00AD2C33">
        <w:rPr>
          <w:sz w:val="24"/>
          <w:szCs w:val="24"/>
        </w:rPr>
        <w:t xml:space="preserve">. </w:t>
      </w:r>
      <w:r w:rsidR="009C15AF" w:rsidRPr="00D15AFB">
        <w:rPr>
          <w:sz w:val="24"/>
          <w:szCs w:val="24"/>
        </w:rPr>
        <w:t xml:space="preserve">It would </w:t>
      </w:r>
      <w:r w:rsidR="009C15AF">
        <w:rPr>
          <w:sz w:val="24"/>
          <w:szCs w:val="24"/>
        </w:rPr>
        <w:t xml:space="preserve">still </w:t>
      </w:r>
      <w:r w:rsidR="009C15AF" w:rsidRPr="00D15AFB">
        <w:rPr>
          <w:sz w:val="24"/>
          <w:szCs w:val="24"/>
        </w:rPr>
        <w:t xml:space="preserve">be useful to figure out if </w:t>
      </w:r>
      <w:r w:rsidR="009C15AF">
        <w:rPr>
          <w:sz w:val="24"/>
          <w:szCs w:val="24"/>
        </w:rPr>
        <w:t xml:space="preserve">it </w:t>
      </w:r>
      <w:r w:rsidR="009C15AF" w:rsidRPr="00D15AFB">
        <w:rPr>
          <w:sz w:val="24"/>
          <w:szCs w:val="24"/>
        </w:rPr>
        <w:t>works, as an additional tool that is at least partly independent of monetary policy</w:t>
      </w:r>
      <w:r w:rsidR="009C15AF">
        <w:rPr>
          <w:sz w:val="24"/>
          <w:szCs w:val="24"/>
        </w:rPr>
        <w:t xml:space="preserve">. </w:t>
      </w:r>
      <w:r w:rsidR="00AD2C33">
        <w:rPr>
          <w:sz w:val="24"/>
          <w:szCs w:val="24"/>
        </w:rPr>
        <w:t xml:space="preserve"> </w:t>
      </w:r>
      <w:r w:rsidR="009C15AF">
        <w:rPr>
          <w:sz w:val="24"/>
          <w:szCs w:val="24"/>
        </w:rPr>
        <w:t>An updating</w:t>
      </w:r>
      <w:r w:rsidRPr="00D15AFB">
        <w:rPr>
          <w:sz w:val="24"/>
          <w:szCs w:val="24"/>
        </w:rPr>
        <w:t xml:space="preserve"> means looking at the last 15 years of data for emerging market countries and </w:t>
      </w:r>
      <w:r w:rsidR="00D15AFB" w:rsidRPr="00D15AFB">
        <w:rPr>
          <w:sz w:val="24"/>
          <w:szCs w:val="24"/>
        </w:rPr>
        <w:t>a f</w:t>
      </w:r>
      <w:r w:rsidRPr="00D15AFB">
        <w:rPr>
          <w:sz w:val="24"/>
          <w:szCs w:val="24"/>
        </w:rPr>
        <w:t xml:space="preserve">ew of the smaller advanced countries that still intervene.  One use for such research is </w:t>
      </w:r>
      <w:r w:rsidR="0027004A" w:rsidRPr="00D15AFB">
        <w:rPr>
          <w:sz w:val="24"/>
          <w:szCs w:val="24"/>
        </w:rPr>
        <w:t xml:space="preserve">for thinking about </w:t>
      </w:r>
      <w:r w:rsidR="00D15AFB" w:rsidRPr="00D15AFB">
        <w:rPr>
          <w:sz w:val="24"/>
          <w:szCs w:val="24"/>
        </w:rPr>
        <w:t>policy alternatives</w:t>
      </w:r>
      <w:r w:rsidRPr="00D15AFB">
        <w:rPr>
          <w:sz w:val="24"/>
          <w:szCs w:val="24"/>
        </w:rPr>
        <w:t xml:space="preserve"> routinely faced by emerging markets co</w:t>
      </w:r>
      <w:r w:rsidR="0027004A" w:rsidRPr="00D15AFB">
        <w:rPr>
          <w:sz w:val="24"/>
          <w:szCs w:val="24"/>
        </w:rPr>
        <w:t>ping with inflows</w:t>
      </w:r>
      <w:r w:rsidRPr="00D15AFB">
        <w:rPr>
          <w:sz w:val="24"/>
          <w:szCs w:val="24"/>
        </w:rPr>
        <w:t xml:space="preserve"> (e.g., 2003-08 or 2010-12) </w:t>
      </w:r>
      <w:r w:rsidR="0027004A" w:rsidRPr="00D15AFB">
        <w:rPr>
          <w:sz w:val="24"/>
          <w:szCs w:val="24"/>
        </w:rPr>
        <w:t>or their reversal</w:t>
      </w:r>
      <w:r w:rsidRPr="00D15AFB">
        <w:rPr>
          <w:sz w:val="24"/>
          <w:szCs w:val="24"/>
        </w:rPr>
        <w:t xml:space="preserve"> (in the Global Financial Crisis of 2008-09 and perhaps again as the Fed ends its period of monetary easing and starts to raise interest rates).   Another use is </w:t>
      </w:r>
      <w:r w:rsidR="0027004A" w:rsidRPr="00D15AFB">
        <w:rPr>
          <w:sz w:val="24"/>
          <w:szCs w:val="24"/>
        </w:rPr>
        <w:t xml:space="preserve">for thinking about the </w:t>
      </w:r>
      <w:r w:rsidRPr="00D15AFB">
        <w:rPr>
          <w:sz w:val="24"/>
          <w:szCs w:val="24"/>
        </w:rPr>
        <w:t>major advanced</w:t>
      </w:r>
      <w:r w:rsidR="0027004A" w:rsidRPr="00D15AFB">
        <w:rPr>
          <w:sz w:val="24"/>
          <w:szCs w:val="24"/>
        </w:rPr>
        <w:t xml:space="preserve"> countries, </w:t>
      </w:r>
      <w:r w:rsidR="0010274C" w:rsidRPr="00D15AFB">
        <w:rPr>
          <w:sz w:val="24"/>
          <w:szCs w:val="24"/>
        </w:rPr>
        <w:t>which</w:t>
      </w:r>
      <w:r w:rsidRPr="00D15AFB">
        <w:rPr>
          <w:sz w:val="24"/>
          <w:szCs w:val="24"/>
        </w:rPr>
        <w:t>, someday, will intervene</w:t>
      </w:r>
      <w:r w:rsidR="0027004A" w:rsidRPr="00D15AFB">
        <w:rPr>
          <w:sz w:val="24"/>
          <w:szCs w:val="24"/>
        </w:rPr>
        <w:t xml:space="preserve"> again.</w:t>
      </w:r>
    </w:p>
    <w:p w:rsidR="0027004A" w:rsidRPr="00D15AFB" w:rsidRDefault="00D93E98" w:rsidP="008772E7">
      <w:pPr>
        <w:spacing w:line="240" w:lineRule="auto"/>
        <w:rPr>
          <w:sz w:val="24"/>
          <w:szCs w:val="24"/>
        </w:rPr>
      </w:pPr>
      <w:r w:rsidRPr="00D15AFB">
        <w:rPr>
          <w:sz w:val="24"/>
          <w:szCs w:val="24"/>
        </w:rPr>
        <w:lastRenderedPageBreak/>
        <w:t>The</w:t>
      </w:r>
      <w:r w:rsidR="0020175C" w:rsidRPr="00D15AFB">
        <w:rPr>
          <w:sz w:val="24"/>
          <w:szCs w:val="24"/>
        </w:rPr>
        <w:t>re is a</w:t>
      </w:r>
      <w:r w:rsidRPr="00D15AFB">
        <w:rPr>
          <w:sz w:val="24"/>
          <w:szCs w:val="24"/>
        </w:rPr>
        <w:t xml:space="preserve"> </w:t>
      </w:r>
      <w:r w:rsidR="00AD1CC3" w:rsidRPr="00D15AFB">
        <w:rPr>
          <w:sz w:val="24"/>
          <w:szCs w:val="24"/>
        </w:rPr>
        <w:t xml:space="preserve">growing </w:t>
      </w:r>
      <w:r w:rsidRPr="00D15AFB">
        <w:rPr>
          <w:sz w:val="24"/>
          <w:szCs w:val="24"/>
        </w:rPr>
        <w:t xml:space="preserve">empirical literature on intervention in emerging market countries </w:t>
      </w:r>
      <w:r w:rsidR="0020175C" w:rsidRPr="00D15AFB">
        <w:rPr>
          <w:sz w:val="24"/>
          <w:szCs w:val="24"/>
        </w:rPr>
        <w:t xml:space="preserve">and it </w:t>
      </w:r>
      <w:r w:rsidR="00AD1CC3" w:rsidRPr="00D15AFB">
        <w:rPr>
          <w:sz w:val="24"/>
          <w:szCs w:val="24"/>
        </w:rPr>
        <w:t>seems general</w:t>
      </w:r>
      <w:r w:rsidR="00BF46D6" w:rsidRPr="00D15AFB">
        <w:rPr>
          <w:sz w:val="24"/>
          <w:szCs w:val="24"/>
        </w:rPr>
        <w:t>ly</w:t>
      </w:r>
      <w:r w:rsidR="00AD1CC3" w:rsidRPr="00D15AFB">
        <w:rPr>
          <w:sz w:val="24"/>
          <w:szCs w:val="24"/>
        </w:rPr>
        <w:t xml:space="preserve"> to find effect</w:t>
      </w:r>
      <w:r w:rsidR="00BF46D6" w:rsidRPr="00D15AFB">
        <w:rPr>
          <w:sz w:val="24"/>
          <w:szCs w:val="24"/>
        </w:rPr>
        <w:t>s</w:t>
      </w:r>
      <w:r w:rsidRPr="00D15AFB">
        <w:rPr>
          <w:sz w:val="24"/>
          <w:szCs w:val="24"/>
        </w:rPr>
        <w:t xml:space="preserve">.  So far, most studies look at the experience of </w:t>
      </w:r>
      <w:r w:rsidR="00AD1CC3" w:rsidRPr="00D15AFB">
        <w:rPr>
          <w:sz w:val="24"/>
          <w:szCs w:val="24"/>
        </w:rPr>
        <w:t xml:space="preserve">only </w:t>
      </w:r>
      <w:r w:rsidRPr="00D15AFB">
        <w:rPr>
          <w:sz w:val="24"/>
          <w:szCs w:val="24"/>
        </w:rPr>
        <w:t>one or two individual countries.</w:t>
      </w:r>
      <w:r w:rsidRPr="00D15AFB">
        <w:rPr>
          <w:rStyle w:val="FootnoteReference"/>
          <w:sz w:val="24"/>
          <w:szCs w:val="24"/>
        </w:rPr>
        <w:footnoteReference w:id="28"/>
      </w:r>
      <w:r w:rsidRPr="00D15AFB">
        <w:rPr>
          <w:sz w:val="24"/>
          <w:szCs w:val="24"/>
        </w:rPr>
        <w:t xml:space="preserve">  The topic is crying out for panel studies.   </w:t>
      </w:r>
      <w:r w:rsidR="00693390">
        <w:rPr>
          <w:rFonts w:cs="Arial"/>
          <w:color w:val="222222"/>
          <w:sz w:val="24"/>
          <w:szCs w:val="24"/>
          <w:shd w:val="clear" w:color="auto" w:fill="FFFFFF"/>
        </w:rPr>
        <w:t>Adler</w:t>
      </w:r>
      <w:r w:rsidR="00B62F88" w:rsidRPr="00D15AFB">
        <w:rPr>
          <w:rFonts w:cs="Arial"/>
          <w:color w:val="222222"/>
          <w:sz w:val="24"/>
          <w:szCs w:val="24"/>
          <w:shd w:val="clear" w:color="auto" w:fill="FFFFFF"/>
        </w:rPr>
        <w:t xml:space="preserve"> and </w:t>
      </w:r>
      <w:r w:rsidR="00BF46D6" w:rsidRPr="00D15AFB">
        <w:rPr>
          <w:rFonts w:cs="Arial"/>
          <w:color w:val="222222"/>
          <w:sz w:val="24"/>
          <w:szCs w:val="24"/>
          <w:shd w:val="clear" w:color="auto" w:fill="FFFFFF"/>
        </w:rPr>
        <w:t>Tovar</w:t>
      </w:r>
      <w:r w:rsidR="00B62F88" w:rsidRPr="00D15AFB">
        <w:rPr>
          <w:rFonts w:cs="Arial"/>
          <w:color w:val="222222"/>
          <w:sz w:val="24"/>
          <w:szCs w:val="24"/>
          <w:shd w:val="clear" w:color="auto" w:fill="FFFFFF"/>
        </w:rPr>
        <w:t xml:space="preserve"> (2011)</w:t>
      </w:r>
      <w:r w:rsidR="00693390">
        <w:rPr>
          <w:rFonts w:cs="Arial"/>
          <w:color w:val="222222"/>
          <w:sz w:val="24"/>
          <w:szCs w:val="24"/>
          <w:shd w:val="clear" w:color="auto" w:fill="FFFFFF"/>
        </w:rPr>
        <w:t xml:space="preserve">, </w:t>
      </w:r>
      <w:r w:rsidRPr="00D15AFB">
        <w:rPr>
          <w:sz w:val="24"/>
          <w:szCs w:val="24"/>
        </w:rPr>
        <w:t xml:space="preserve">Blanchard, Adler and </w:t>
      </w:r>
      <w:r w:rsidR="00BF46D6" w:rsidRPr="00D15AFB">
        <w:rPr>
          <w:sz w:val="24"/>
          <w:szCs w:val="24"/>
        </w:rPr>
        <w:t>de Carvalho</w:t>
      </w:r>
      <w:r w:rsidR="00B62F88" w:rsidRPr="00D15AFB">
        <w:rPr>
          <w:sz w:val="24"/>
          <w:szCs w:val="24"/>
        </w:rPr>
        <w:t xml:space="preserve"> (2015)</w:t>
      </w:r>
      <w:r w:rsidR="00041CA4">
        <w:rPr>
          <w:sz w:val="24"/>
          <w:szCs w:val="24"/>
        </w:rPr>
        <w:t xml:space="preserve"> </w:t>
      </w:r>
      <w:r w:rsidR="00041CA4" w:rsidRPr="00041CA4">
        <w:rPr>
          <w:sz w:val="24"/>
          <w:szCs w:val="24"/>
        </w:rPr>
        <w:t xml:space="preserve">and </w:t>
      </w:r>
      <w:r w:rsidR="00041CA4" w:rsidRPr="00041CA4">
        <w:rPr>
          <w:rFonts w:cs="NimbusRomNo9L-Regu"/>
          <w:sz w:val="24"/>
          <w:szCs w:val="24"/>
        </w:rPr>
        <w:t xml:space="preserve">Fratzscher, </w:t>
      </w:r>
      <w:r w:rsidR="00041CA4" w:rsidRPr="00041CA4">
        <w:rPr>
          <w:sz w:val="24"/>
          <w:szCs w:val="24"/>
        </w:rPr>
        <w:t>et al,</w:t>
      </w:r>
      <w:r w:rsidR="00041CA4">
        <w:rPr>
          <w:sz w:val="24"/>
          <w:szCs w:val="24"/>
        </w:rPr>
        <w:t xml:space="preserve"> (2015)</w:t>
      </w:r>
      <w:r w:rsidR="00B62F88" w:rsidRPr="00D15AFB">
        <w:rPr>
          <w:sz w:val="24"/>
          <w:szCs w:val="24"/>
        </w:rPr>
        <w:t xml:space="preserve"> are</w:t>
      </w:r>
      <w:r w:rsidR="00D2136F" w:rsidRPr="00D15AFB">
        <w:rPr>
          <w:sz w:val="24"/>
          <w:szCs w:val="24"/>
        </w:rPr>
        <w:t xml:space="preserve"> a start.  </w:t>
      </w:r>
      <w:r w:rsidR="00B62F88" w:rsidRPr="00D15AFB">
        <w:rPr>
          <w:sz w:val="24"/>
          <w:szCs w:val="24"/>
        </w:rPr>
        <w:t xml:space="preserve">But there is room for </w:t>
      </w:r>
      <w:r w:rsidRPr="00D15AFB">
        <w:rPr>
          <w:sz w:val="24"/>
          <w:szCs w:val="24"/>
        </w:rPr>
        <w:t>more.</w:t>
      </w:r>
    </w:p>
    <w:p w:rsidR="0027004A" w:rsidRPr="00D15AFB" w:rsidRDefault="0020175C" w:rsidP="008772E7">
      <w:pPr>
        <w:spacing w:line="240" w:lineRule="auto"/>
        <w:rPr>
          <w:b/>
          <w:sz w:val="24"/>
          <w:szCs w:val="24"/>
        </w:rPr>
      </w:pPr>
      <w:r w:rsidRPr="00D15AFB">
        <w:rPr>
          <w:b/>
          <w:sz w:val="24"/>
          <w:szCs w:val="24"/>
        </w:rPr>
        <w:t>2.2 Effects on the trade balance</w:t>
      </w:r>
    </w:p>
    <w:p w:rsidR="00BF46D6" w:rsidRPr="00D15AFB" w:rsidRDefault="0020175C" w:rsidP="008772E7">
      <w:pPr>
        <w:spacing w:line="240" w:lineRule="auto"/>
        <w:rPr>
          <w:sz w:val="24"/>
          <w:szCs w:val="24"/>
        </w:rPr>
      </w:pPr>
      <w:r w:rsidRPr="00D15AFB">
        <w:rPr>
          <w:sz w:val="24"/>
          <w:szCs w:val="24"/>
        </w:rPr>
        <w:t>While some skeptics claim that intervention does not move the exchange rate, in 1985 or otherwise, other skeptics claim that the exchange rate does not move the trade balance.  The latter sort of skepti</w:t>
      </w:r>
      <w:r w:rsidR="00174D92">
        <w:rPr>
          <w:sz w:val="24"/>
          <w:szCs w:val="24"/>
        </w:rPr>
        <w:t>cism steadily gained adherents</w:t>
      </w:r>
      <w:r w:rsidRPr="00D15AFB">
        <w:rPr>
          <w:sz w:val="24"/>
          <w:szCs w:val="24"/>
        </w:rPr>
        <w:t xml:space="preserve"> in the first two years after the Plaza when, even though the dollar had depreciated, the US trade deficit in 1986 and 1987 continued</w:t>
      </w:r>
      <w:r w:rsidR="00174D92">
        <w:rPr>
          <w:sz w:val="24"/>
          <w:szCs w:val="24"/>
        </w:rPr>
        <w:t xml:space="preserve"> to worsen rather than improve</w:t>
      </w:r>
      <w:r w:rsidRPr="00D15AFB">
        <w:rPr>
          <w:sz w:val="24"/>
          <w:szCs w:val="24"/>
        </w:rPr>
        <w:t>.</w:t>
      </w:r>
      <w:r w:rsidR="00721916">
        <w:rPr>
          <w:rStyle w:val="FootnoteReference"/>
          <w:sz w:val="24"/>
          <w:szCs w:val="24"/>
        </w:rPr>
        <w:footnoteReference w:id="29"/>
      </w:r>
      <w:r w:rsidRPr="00D15AFB">
        <w:rPr>
          <w:sz w:val="24"/>
          <w:szCs w:val="24"/>
        </w:rPr>
        <w:t xml:space="preserve">  A host of explanations for the lack of trade balance response </w:t>
      </w:r>
      <w:r w:rsidR="00D15AFB" w:rsidRPr="00D15AFB">
        <w:rPr>
          <w:sz w:val="24"/>
          <w:szCs w:val="24"/>
        </w:rPr>
        <w:t>arose.  M</w:t>
      </w:r>
      <w:r w:rsidR="00E924C6" w:rsidRPr="00D15AFB">
        <w:rPr>
          <w:sz w:val="24"/>
          <w:szCs w:val="24"/>
        </w:rPr>
        <w:t xml:space="preserve">any of </w:t>
      </w:r>
      <w:r w:rsidR="00174D92">
        <w:rPr>
          <w:sz w:val="24"/>
          <w:szCs w:val="24"/>
        </w:rPr>
        <w:t>these explanations (</w:t>
      </w:r>
      <w:r w:rsidR="00E924C6" w:rsidRPr="00D15AFB">
        <w:rPr>
          <w:sz w:val="24"/>
          <w:szCs w:val="24"/>
        </w:rPr>
        <w:t>even if not entirely new</w:t>
      </w:r>
      <w:r w:rsidR="00174D92">
        <w:rPr>
          <w:sz w:val="24"/>
          <w:szCs w:val="24"/>
        </w:rPr>
        <w:t>)</w:t>
      </w:r>
      <w:r w:rsidR="00E924C6" w:rsidRPr="00D15AFB">
        <w:rPr>
          <w:sz w:val="24"/>
          <w:szCs w:val="24"/>
        </w:rPr>
        <w:t xml:space="preserve"> gave rise to new areas of academic research.</w:t>
      </w:r>
      <w:r w:rsidR="007B7E77" w:rsidRPr="00D15AFB">
        <w:rPr>
          <w:sz w:val="24"/>
          <w:szCs w:val="24"/>
        </w:rPr>
        <w:t xml:space="preserve">   One was the point that pass-through of exchange rate changes to prices of imports in domestic currency is not immediate or complete, especially when the question is passing a dollar depreciation through to higher dollar prices for imports into the large US market.</w:t>
      </w:r>
      <w:r w:rsidR="007B7E77" w:rsidRPr="00D15AFB">
        <w:rPr>
          <w:rStyle w:val="FootnoteReference"/>
          <w:sz w:val="24"/>
          <w:szCs w:val="24"/>
        </w:rPr>
        <w:footnoteReference w:id="30"/>
      </w:r>
      <w:r w:rsidR="00D034E2" w:rsidRPr="00D15AFB">
        <w:rPr>
          <w:sz w:val="24"/>
          <w:szCs w:val="24"/>
        </w:rPr>
        <w:t xml:space="preserve">  </w:t>
      </w:r>
    </w:p>
    <w:p w:rsidR="00311C61" w:rsidRPr="00D15AFB" w:rsidRDefault="00416AF2" w:rsidP="008772E7">
      <w:pPr>
        <w:spacing w:line="240" w:lineRule="auto"/>
        <w:rPr>
          <w:sz w:val="24"/>
          <w:szCs w:val="24"/>
        </w:rPr>
      </w:pPr>
      <w:r w:rsidRPr="00D15AFB">
        <w:rPr>
          <w:sz w:val="24"/>
          <w:szCs w:val="24"/>
        </w:rPr>
        <w:t xml:space="preserve">In the end, the </w:t>
      </w:r>
      <w:r w:rsidR="00BF46D6" w:rsidRPr="00D15AFB">
        <w:rPr>
          <w:sz w:val="24"/>
          <w:szCs w:val="24"/>
        </w:rPr>
        <w:t xml:space="preserve">US </w:t>
      </w:r>
      <w:r w:rsidRPr="00D15AFB">
        <w:rPr>
          <w:sz w:val="24"/>
          <w:szCs w:val="24"/>
        </w:rPr>
        <w:t>trade balance did turn around, with a lag of two years.  This was not, after all, very different from traditional estimates of the lags</w:t>
      </w:r>
      <w:r w:rsidR="00BF46D6" w:rsidRPr="00D15AFB">
        <w:rPr>
          <w:sz w:val="24"/>
          <w:szCs w:val="24"/>
        </w:rPr>
        <w:t>.  According to the</w:t>
      </w:r>
      <w:r w:rsidRPr="00D15AFB">
        <w:rPr>
          <w:sz w:val="24"/>
          <w:szCs w:val="24"/>
        </w:rPr>
        <w:t xml:space="preserve"> “J-curve</w:t>
      </w:r>
      <w:r w:rsidR="00BF46D6" w:rsidRPr="00D15AFB">
        <w:rPr>
          <w:sz w:val="24"/>
          <w:szCs w:val="24"/>
        </w:rPr>
        <w:t>,</w:t>
      </w:r>
      <w:r w:rsidRPr="00D15AFB">
        <w:rPr>
          <w:sz w:val="24"/>
          <w:szCs w:val="24"/>
        </w:rPr>
        <w:t>”</w:t>
      </w:r>
      <w:r w:rsidR="00BF46D6" w:rsidRPr="00D15AFB">
        <w:rPr>
          <w:sz w:val="24"/>
          <w:szCs w:val="24"/>
        </w:rPr>
        <w:t xml:space="preserve"> i</w:t>
      </w:r>
      <w:r w:rsidR="00311C61" w:rsidRPr="00D15AFB">
        <w:rPr>
          <w:sz w:val="24"/>
          <w:szCs w:val="24"/>
        </w:rPr>
        <w:t>n the short run the depreciation worsens the trade balance because the rising price of imports outweighs the fall in import quantity or rise in export quantity</w:t>
      </w:r>
      <w:r w:rsidRPr="00D15AFB">
        <w:rPr>
          <w:sz w:val="24"/>
          <w:szCs w:val="24"/>
        </w:rPr>
        <w:t xml:space="preserve">.  </w:t>
      </w:r>
      <w:r w:rsidR="00311C61" w:rsidRPr="00D15AFB">
        <w:rPr>
          <w:sz w:val="24"/>
          <w:szCs w:val="24"/>
        </w:rPr>
        <w:t xml:space="preserve"> After two years</w:t>
      </w:r>
      <w:r w:rsidR="00BF46D6" w:rsidRPr="00D15AFB">
        <w:rPr>
          <w:sz w:val="24"/>
          <w:szCs w:val="24"/>
        </w:rPr>
        <w:t xml:space="preserve"> or so have passed</w:t>
      </w:r>
      <w:r w:rsidR="00311C61" w:rsidRPr="00D15AFB">
        <w:rPr>
          <w:sz w:val="24"/>
          <w:szCs w:val="24"/>
        </w:rPr>
        <w:t xml:space="preserve">, the elasticities have risen enough that the quantity effects begin to outweigh the valuation effect. </w:t>
      </w:r>
      <w:r w:rsidRPr="00D15AFB">
        <w:rPr>
          <w:sz w:val="24"/>
          <w:szCs w:val="24"/>
        </w:rPr>
        <w:t xml:space="preserve"> </w:t>
      </w:r>
    </w:p>
    <w:p w:rsidR="00311C61" w:rsidRPr="00D15AFB" w:rsidRDefault="00D034E2" w:rsidP="008772E7">
      <w:pPr>
        <w:spacing w:line="240" w:lineRule="auto"/>
        <w:rPr>
          <w:sz w:val="24"/>
          <w:szCs w:val="24"/>
        </w:rPr>
      </w:pPr>
      <w:r w:rsidRPr="00D15AFB">
        <w:rPr>
          <w:sz w:val="24"/>
          <w:szCs w:val="24"/>
        </w:rPr>
        <w:t xml:space="preserve">The </w:t>
      </w:r>
      <w:r w:rsidR="00311C61" w:rsidRPr="00D15AFB">
        <w:rPr>
          <w:sz w:val="24"/>
          <w:szCs w:val="24"/>
        </w:rPr>
        <w:t xml:space="preserve">US </w:t>
      </w:r>
      <w:r w:rsidRPr="00D15AFB">
        <w:rPr>
          <w:sz w:val="24"/>
          <w:szCs w:val="24"/>
        </w:rPr>
        <w:t>trade deficit in goods and services peaked in the third quarter of 1987 at $15</w:t>
      </w:r>
      <w:r w:rsidR="00D2136F" w:rsidRPr="00D15AFB">
        <w:rPr>
          <w:sz w:val="24"/>
          <w:szCs w:val="24"/>
        </w:rPr>
        <w:t>2</w:t>
      </w:r>
      <w:r w:rsidRPr="00D15AFB">
        <w:rPr>
          <w:sz w:val="24"/>
          <w:szCs w:val="24"/>
        </w:rPr>
        <w:t xml:space="preserve"> billion per annum [</w:t>
      </w:r>
      <w:r w:rsidR="00D15AFB" w:rsidRPr="00D15AFB">
        <w:rPr>
          <w:sz w:val="24"/>
          <w:szCs w:val="24"/>
        </w:rPr>
        <w:t>$38</w:t>
      </w:r>
      <w:r w:rsidR="00D2136F" w:rsidRPr="00D15AFB">
        <w:rPr>
          <w:sz w:val="24"/>
          <w:szCs w:val="24"/>
        </w:rPr>
        <w:t xml:space="preserve"> billion per quarter</w:t>
      </w:r>
      <w:r w:rsidR="00174D92">
        <w:rPr>
          <w:sz w:val="24"/>
          <w:szCs w:val="24"/>
        </w:rPr>
        <w:t>]. B</w:t>
      </w:r>
      <w:r w:rsidRPr="00D15AFB">
        <w:rPr>
          <w:sz w:val="24"/>
          <w:szCs w:val="24"/>
        </w:rPr>
        <w:t xml:space="preserve">y 1991 </w:t>
      </w:r>
      <w:r w:rsidR="00174D92">
        <w:rPr>
          <w:sz w:val="24"/>
          <w:szCs w:val="24"/>
        </w:rPr>
        <w:t xml:space="preserve">it </w:t>
      </w:r>
      <w:r w:rsidRPr="00D15AFB">
        <w:rPr>
          <w:sz w:val="24"/>
          <w:szCs w:val="24"/>
        </w:rPr>
        <w:t>was down to $</w:t>
      </w:r>
      <w:r w:rsidR="00EF57A7" w:rsidRPr="00D15AFB">
        <w:rPr>
          <w:sz w:val="24"/>
          <w:szCs w:val="24"/>
        </w:rPr>
        <w:t>3</w:t>
      </w:r>
      <w:r w:rsidR="00D15AFB" w:rsidRPr="00D15AFB">
        <w:rPr>
          <w:sz w:val="24"/>
          <w:szCs w:val="24"/>
        </w:rPr>
        <w:t>0</w:t>
      </w:r>
      <w:r w:rsidRPr="00D15AFB">
        <w:rPr>
          <w:sz w:val="24"/>
          <w:szCs w:val="24"/>
        </w:rPr>
        <w:t xml:space="preserve"> billion</w:t>
      </w:r>
      <w:r w:rsidR="00FD1280" w:rsidRPr="00D15AFB">
        <w:rPr>
          <w:sz w:val="24"/>
          <w:szCs w:val="24"/>
        </w:rPr>
        <w:t xml:space="preserve"> per year</w:t>
      </w:r>
      <w:r w:rsidRPr="00D15AFB">
        <w:rPr>
          <w:sz w:val="24"/>
          <w:szCs w:val="24"/>
        </w:rPr>
        <w:t>.</w:t>
      </w:r>
      <w:r w:rsidR="00FD1280" w:rsidRPr="00D15AFB">
        <w:rPr>
          <w:rStyle w:val="FootnoteReference"/>
          <w:sz w:val="24"/>
          <w:szCs w:val="24"/>
        </w:rPr>
        <w:footnoteReference w:id="31"/>
      </w:r>
      <w:r w:rsidR="00416AF2" w:rsidRPr="00D15AFB">
        <w:rPr>
          <w:sz w:val="24"/>
          <w:szCs w:val="24"/>
        </w:rPr>
        <w:t xml:space="preserve">  As Krugman (1991) pointed out, adjustment in the end turned out to work pretty much as it was supposed to.</w:t>
      </w:r>
      <w:r w:rsidR="00BB3343">
        <w:rPr>
          <w:sz w:val="24"/>
          <w:szCs w:val="24"/>
        </w:rPr>
        <w:t xml:space="preserve">  Observers had been too impatient.</w:t>
      </w:r>
    </w:p>
    <w:p w:rsidR="00311C61" w:rsidRPr="00D15AFB" w:rsidRDefault="00311C61" w:rsidP="008772E7">
      <w:pPr>
        <w:spacing w:line="240" w:lineRule="auto"/>
        <w:rPr>
          <w:sz w:val="24"/>
          <w:szCs w:val="24"/>
        </w:rPr>
      </w:pPr>
      <w:r w:rsidRPr="00D15AFB">
        <w:rPr>
          <w:sz w:val="24"/>
          <w:szCs w:val="24"/>
        </w:rPr>
        <w:t xml:space="preserve">We have seen some similar developments </w:t>
      </w:r>
      <w:r w:rsidR="007011BF" w:rsidRPr="00D15AFB">
        <w:rPr>
          <w:sz w:val="24"/>
          <w:szCs w:val="24"/>
        </w:rPr>
        <w:t>in recent years</w:t>
      </w:r>
      <w:r w:rsidRPr="00D15AFB">
        <w:rPr>
          <w:sz w:val="24"/>
          <w:szCs w:val="24"/>
        </w:rPr>
        <w:t xml:space="preserve">.  An effect of Abenomics in Japan was a strong depreciation of the yen in 2013.  That was as expected.  Many </w:t>
      </w:r>
      <w:r w:rsidR="00E61E06" w:rsidRPr="00D15AFB">
        <w:rPr>
          <w:sz w:val="24"/>
          <w:szCs w:val="24"/>
        </w:rPr>
        <w:t>were disappointed</w:t>
      </w:r>
      <w:r w:rsidRPr="00D15AFB">
        <w:rPr>
          <w:sz w:val="24"/>
          <w:szCs w:val="24"/>
        </w:rPr>
        <w:t>, however, when the Japanese trade balance did not quickly improve.   Various explanations were adduced as to how “Japan</w:t>
      </w:r>
      <w:r w:rsidR="00E61E06" w:rsidRPr="00D15AFB">
        <w:rPr>
          <w:sz w:val="24"/>
          <w:szCs w:val="24"/>
        </w:rPr>
        <w:t xml:space="preserve"> is different” because it is so </w:t>
      </w:r>
      <w:r w:rsidR="00F30E1C" w:rsidRPr="00D15AFB">
        <w:rPr>
          <w:sz w:val="24"/>
          <w:szCs w:val="24"/>
        </w:rPr>
        <w:t>dependent</w:t>
      </w:r>
      <w:r w:rsidR="00E61E06" w:rsidRPr="00D15AFB">
        <w:rPr>
          <w:sz w:val="24"/>
          <w:szCs w:val="24"/>
        </w:rPr>
        <w:t xml:space="preserve"> on</w:t>
      </w:r>
      <w:r w:rsidR="007011BF" w:rsidRPr="00D15AFB">
        <w:rPr>
          <w:sz w:val="24"/>
          <w:szCs w:val="24"/>
        </w:rPr>
        <w:t xml:space="preserve"> oil and other </w:t>
      </w:r>
      <w:r w:rsidR="007011BF" w:rsidRPr="00D15AFB">
        <w:rPr>
          <w:sz w:val="24"/>
          <w:szCs w:val="24"/>
        </w:rPr>
        <w:lastRenderedPageBreak/>
        <w:t>imported inputs (</w:t>
      </w:r>
      <w:r w:rsidR="00E61E06" w:rsidRPr="00D15AFB">
        <w:rPr>
          <w:sz w:val="24"/>
          <w:szCs w:val="24"/>
        </w:rPr>
        <w:t>which are inelastically demanded</w:t>
      </w:r>
      <w:r w:rsidR="007011BF" w:rsidRPr="00D15AFB">
        <w:rPr>
          <w:sz w:val="24"/>
          <w:szCs w:val="24"/>
        </w:rPr>
        <w:t>)</w:t>
      </w:r>
      <w:r w:rsidR="00E61E06" w:rsidRPr="00D15AFB">
        <w:rPr>
          <w:sz w:val="24"/>
          <w:szCs w:val="24"/>
        </w:rPr>
        <w:t>.  But it appears that after two years passed, Japan’s trade deficit has been much reduced in the first half of 2015.</w:t>
      </w:r>
      <w:r w:rsidR="00A47AE5">
        <w:rPr>
          <w:rStyle w:val="FootnoteReference"/>
          <w:sz w:val="24"/>
          <w:szCs w:val="24"/>
        </w:rPr>
        <w:footnoteReference w:id="32"/>
      </w:r>
    </w:p>
    <w:p w:rsidR="00B72B67" w:rsidRPr="00B72B67" w:rsidRDefault="00B72B67" w:rsidP="008772E7">
      <w:pPr>
        <w:spacing w:line="240" w:lineRule="auto"/>
        <w:rPr>
          <w:b/>
          <w:sz w:val="24"/>
          <w:szCs w:val="24"/>
        </w:rPr>
      </w:pPr>
      <w:r w:rsidRPr="00B72B67">
        <w:rPr>
          <w:b/>
          <w:sz w:val="24"/>
          <w:szCs w:val="24"/>
        </w:rPr>
        <w:t>2.3 Did the Plaza Accord sabotage Japan?</w:t>
      </w:r>
    </w:p>
    <w:p w:rsidR="00B72B67" w:rsidRDefault="002E1E80" w:rsidP="008772E7">
      <w:pPr>
        <w:spacing w:line="240" w:lineRule="auto"/>
        <w:rPr>
          <w:sz w:val="24"/>
          <w:szCs w:val="24"/>
        </w:rPr>
      </w:pPr>
      <w:r w:rsidRPr="00D15AFB">
        <w:rPr>
          <w:sz w:val="24"/>
          <w:szCs w:val="24"/>
        </w:rPr>
        <w:t xml:space="preserve">One legacy of the Plaza is </w:t>
      </w:r>
      <w:r w:rsidR="00661736" w:rsidRPr="00D15AFB">
        <w:rPr>
          <w:sz w:val="24"/>
          <w:szCs w:val="24"/>
        </w:rPr>
        <w:t xml:space="preserve">a </w:t>
      </w:r>
      <w:r w:rsidR="00D7161A" w:rsidRPr="00D15AFB">
        <w:rPr>
          <w:sz w:val="24"/>
          <w:szCs w:val="24"/>
        </w:rPr>
        <w:t xml:space="preserve">sort of </w:t>
      </w:r>
      <w:r w:rsidR="00661736" w:rsidRPr="00D15AFB">
        <w:rPr>
          <w:sz w:val="24"/>
          <w:szCs w:val="24"/>
        </w:rPr>
        <w:t xml:space="preserve">conspiracy theory that </w:t>
      </w:r>
      <w:r w:rsidR="00D7161A" w:rsidRPr="00D15AFB">
        <w:rPr>
          <w:sz w:val="24"/>
          <w:szCs w:val="24"/>
        </w:rPr>
        <w:t>has continued to circulate</w:t>
      </w:r>
      <w:r w:rsidR="00661736" w:rsidRPr="00D15AFB">
        <w:rPr>
          <w:sz w:val="24"/>
          <w:szCs w:val="24"/>
        </w:rPr>
        <w:t xml:space="preserve"> widely in Asia.</w:t>
      </w:r>
      <w:r w:rsidR="00394981" w:rsidRPr="00D15AFB">
        <w:rPr>
          <w:sz w:val="24"/>
          <w:szCs w:val="24"/>
        </w:rPr>
        <w:t xml:space="preserve">  The theory is that the </w:t>
      </w:r>
      <w:r w:rsidR="00DC0140" w:rsidRPr="00D15AFB">
        <w:rPr>
          <w:sz w:val="24"/>
          <w:szCs w:val="24"/>
        </w:rPr>
        <w:t xml:space="preserve">United States </w:t>
      </w:r>
      <w:r w:rsidR="009C30DF" w:rsidRPr="00D15AFB">
        <w:rPr>
          <w:sz w:val="24"/>
          <w:szCs w:val="24"/>
        </w:rPr>
        <w:t xml:space="preserve">deliberately </w:t>
      </w:r>
      <w:r w:rsidR="00394981" w:rsidRPr="00D15AFB">
        <w:rPr>
          <w:sz w:val="24"/>
          <w:szCs w:val="24"/>
        </w:rPr>
        <w:t>sabotaged the Japanese economy.</w:t>
      </w:r>
      <w:r w:rsidR="00912246">
        <w:rPr>
          <w:sz w:val="24"/>
          <w:szCs w:val="24"/>
        </w:rPr>
        <w:t xml:space="preserve">  </w:t>
      </w:r>
      <w:r w:rsidR="00912246" w:rsidRPr="00D15AFB">
        <w:rPr>
          <w:sz w:val="24"/>
          <w:szCs w:val="24"/>
        </w:rPr>
        <w:t>The most common version is that the effect came via endaka, the strong yen, which priced Japanese manufacturing out of world markets.</w:t>
      </w:r>
      <w:r w:rsidR="00CB6050">
        <w:rPr>
          <w:rStyle w:val="FootnoteReference"/>
          <w:sz w:val="24"/>
          <w:szCs w:val="24"/>
        </w:rPr>
        <w:footnoteReference w:id="33"/>
      </w:r>
      <w:r w:rsidR="009C30DF" w:rsidRPr="00D15AFB">
        <w:rPr>
          <w:sz w:val="24"/>
          <w:szCs w:val="24"/>
        </w:rPr>
        <w:t xml:space="preserve">  The idea is that the US successfully used this weapon against Japan </w:t>
      </w:r>
      <w:r w:rsidR="00DC0140" w:rsidRPr="00D15AFB">
        <w:rPr>
          <w:sz w:val="24"/>
          <w:szCs w:val="24"/>
        </w:rPr>
        <w:t xml:space="preserve">at the Plaza </w:t>
      </w:r>
      <w:r w:rsidR="009C30DF" w:rsidRPr="00D15AFB">
        <w:rPr>
          <w:sz w:val="24"/>
          <w:szCs w:val="24"/>
        </w:rPr>
        <w:t>in 1985, then against Korea</w:t>
      </w:r>
      <w:r w:rsidR="0085156D" w:rsidRPr="00D15AFB">
        <w:rPr>
          <w:sz w:val="24"/>
          <w:szCs w:val="24"/>
        </w:rPr>
        <w:t xml:space="preserve"> </w:t>
      </w:r>
      <w:r w:rsidR="00D66B5A" w:rsidRPr="00D15AFB">
        <w:rPr>
          <w:sz w:val="24"/>
          <w:szCs w:val="24"/>
        </w:rPr>
        <w:t>in 1988-89</w:t>
      </w:r>
      <w:r w:rsidR="0085156D" w:rsidRPr="00D15AFB">
        <w:rPr>
          <w:sz w:val="24"/>
          <w:szCs w:val="24"/>
        </w:rPr>
        <w:t xml:space="preserve">, and </w:t>
      </w:r>
      <w:r w:rsidR="009C30DF" w:rsidRPr="00D15AFB">
        <w:rPr>
          <w:sz w:val="24"/>
          <w:szCs w:val="24"/>
        </w:rPr>
        <w:t>against China</w:t>
      </w:r>
      <w:r w:rsidR="0085156D" w:rsidRPr="00D15AFB">
        <w:rPr>
          <w:sz w:val="24"/>
          <w:szCs w:val="24"/>
        </w:rPr>
        <w:t xml:space="preserve"> in the years since 2004.</w:t>
      </w:r>
      <w:r w:rsidR="009C30DF" w:rsidRPr="00D15AFB">
        <w:rPr>
          <w:sz w:val="24"/>
          <w:szCs w:val="24"/>
        </w:rPr>
        <w:t xml:space="preserve"> </w:t>
      </w:r>
    </w:p>
    <w:p w:rsidR="006F2ADF" w:rsidRDefault="00660394" w:rsidP="008772E7">
      <w:pPr>
        <w:spacing w:line="240" w:lineRule="auto"/>
        <w:rPr>
          <w:sz w:val="24"/>
          <w:szCs w:val="24"/>
        </w:rPr>
      </w:pPr>
      <w:r w:rsidRPr="00D15AFB">
        <w:rPr>
          <w:sz w:val="24"/>
          <w:szCs w:val="24"/>
        </w:rPr>
        <w:t>In some ways the suspicion is understandable</w:t>
      </w:r>
      <w:r w:rsidR="008126EB" w:rsidRPr="00D15AFB">
        <w:rPr>
          <w:sz w:val="24"/>
          <w:szCs w:val="24"/>
        </w:rPr>
        <w:t>, given the long-time pattern of pressure from the US Treasury on Asian countries to appreciate their currencies</w:t>
      </w:r>
      <w:r w:rsidRPr="00D15AFB">
        <w:rPr>
          <w:sz w:val="24"/>
          <w:szCs w:val="24"/>
        </w:rPr>
        <w:t xml:space="preserve">.  </w:t>
      </w:r>
      <w:r w:rsidR="009C30DF" w:rsidRPr="00D15AFB">
        <w:rPr>
          <w:sz w:val="24"/>
          <w:szCs w:val="24"/>
        </w:rPr>
        <w:t>It is tr</w:t>
      </w:r>
      <w:r w:rsidR="0085156D" w:rsidRPr="00D15AFB">
        <w:rPr>
          <w:sz w:val="24"/>
          <w:szCs w:val="24"/>
        </w:rPr>
        <w:t>ue that the yen appreciated sharply</w:t>
      </w:r>
      <w:r w:rsidR="009C30DF" w:rsidRPr="00D15AFB">
        <w:rPr>
          <w:sz w:val="24"/>
          <w:szCs w:val="24"/>
        </w:rPr>
        <w:t xml:space="preserve"> against the dollar </w:t>
      </w:r>
      <w:r w:rsidR="0085156D" w:rsidRPr="00D15AFB">
        <w:rPr>
          <w:sz w:val="24"/>
          <w:szCs w:val="24"/>
        </w:rPr>
        <w:t xml:space="preserve">after the Plaza, more </w:t>
      </w:r>
      <w:r w:rsidR="009C30DF" w:rsidRPr="00D15AFB">
        <w:rPr>
          <w:sz w:val="24"/>
          <w:szCs w:val="24"/>
        </w:rPr>
        <w:t>than did the European currencies.</w:t>
      </w:r>
      <w:r w:rsidR="0085156D" w:rsidRPr="00D15AFB">
        <w:rPr>
          <w:sz w:val="24"/>
          <w:szCs w:val="24"/>
        </w:rPr>
        <w:t xml:space="preserve">  It is also true that Japan’s GDP has mostly stagnated since 1990</w:t>
      </w:r>
      <w:r w:rsidR="00DC0140" w:rsidRPr="00D15AFB">
        <w:rPr>
          <w:sz w:val="24"/>
          <w:szCs w:val="24"/>
        </w:rPr>
        <w:t>, after decades of strong growth</w:t>
      </w:r>
      <w:r w:rsidR="0085156D" w:rsidRPr="00D15AFB">
        <w:rPr>
          <w:sz w:val="24"/>
          <w:szCs w:val="24"/>
        </w:rPr>
        <w:t xml:space="preserve">.  But the timing is not </w:t>
      </w:r>
      <w:r w:rsidR="00D66B5A" w:rsidRPr="00D15AFB">
        <w:rPr>
          <w:sz w:val="24"/>
          <w:szCs w:val="24"/>
        </w:rPr>
        <w:t xml:space="preserve">quite </w:t>
      </w:r>
      <w:r w:rsidR="0085156D" w:rsidRPr="00D15AFB">
        <w:rPr>
          <w:sz w:val="24"/>
          <w:szCs w:val="24"/>
        </w:rPr>
        <w:t>right</w:t>
      </w:r>
      <w:r w:rsidR="00D66B5A" w:rsidRPr="00D15AFB">
        <w:rPr>
          <w:sz w:val="24"/>
          <w:szCs w:val="24"/>
        </w:rPr>
        <w:t xml:space="preserve"> for the conspiracy theory</w:t>
      </w:r>
      <w:r w:rsidR="0085156D" w:rsidRPr="00D15AFB">
        <w:rPr>
          <w:sz w:val="24"/>
          <w:szCs w:val="24"/>
        </w:rPr>
        <w:t xml:space="preserve">.   </w:t>
      </w:r>
      <w:r w:rsidR="00E60D18" w:rsidRPr="00D15AFB">
        <w:rPr>
          <w:sz w:val="24"/>
          <w:szCs w:val="24"/>
        </w:rPr>
        <w:t>In between the 1985-86 appreciation of the yen and the Japanese recessions of the 1990s came the bubble years 1987-89</w:t>
      </w:r>
      <w:r w:rsidR="00DC0140" w:rsidRPr="00D15AFB">
        <w:rPr>
          <w:sz w:val="24"/>
          <w:szCs w:val="24"/>
        </w:rPr>
        <w:t xml:space="preserve">, when exchange rate policy was no longer working to push the </w:t>
      </w:r>
      <w:r w:rsidR="00A47AE5">
        <w:rPr>
          <w:sz w:val="24"/>
          <w:szCs w:val="24"/>
        </w:rPr>
        <w:t>yen up</w:t>
      </w:r>
      <w:r w:rsidR="00DC0140" w:rsidRPr="00D15AFB">
        <w:rPr>
          <w:sz w:val="24"/>
          <w:szCs w:val="24"/>
        </w:rPr>
        <w:t xml:space="preserve">, but rather to support </w:t>
      </w:r>
      <w:r w:rsidR="00A47AE5">
        <w:rPr>
          <w:sz w:val="24"/>
          <w:szCs w:val="24"/>
        </w:rPr>
        <w:t>the dollar</w:t>
      </w:r>
      <w:r w:rsidR="00DC0140" w:rsidRPr="00D15AFB">
        <w:rPr>
          <w:sz w:val="24"/>
          <w:szCs w:val="24"/>
        </w:rPr>
        <w:t xml:space="preserve">.  A </w:t>
      </w:r>
      <w:r w:rsidR="00190197">
        <w:rPr>
          <w:sz w:val="24"/>
          <w:szCs w:val="24"/>
        </w:rPr>
        <w:t>variant</w:t>
      </w:r>
      <w:r w:rsidR="00DC0140" w:rsidRPr="00D15AFB">
        <w:rPr>
          <w:sz w:val="24"/>
          <w:szCs w:val="24"/>
        </w:rPr>
        <w:t xml:space="preserve"> of the conspiracy theory is that Japanese p</w:t>
      </w:r>
      <w:r w:rsidR="00A47AE5">
        <w:rPr>
          <w:sz w:val="24"/>
          <w:szCs w:val="24"/>
        </w:rPr>
        <w:t>urchases of dollars during the</w:t>
      </w:r>
      <w:r w:rsidR="00DC0140" w:rsidRPr="00D15AFB">
        <w:rPr>
          <w:sz w:val="24"/>
          <w:szCs w:val="24"/>
        </w:rPr>
        <w:t xml:space="preserve"> </w:t>
      </w:r>
      <w:r w:rsidR="00A47AE5">
        <w:rPr>
          <w:sz w:val="24"/>
          <w:szCs w:val="24"/>
        </w:rPr>
        <w:t xml:space="preserve">bubble </w:t>
      </w:r>
      <w:r w:rsidR="00DC0140" w:rsidRPr="00D15AFB">
        <w:rPr>
          <w:sz w:val="24"/>
          <w:szCs w:val="24"/>
        </w:rPr>
        <w:t>years led to excessive money growth and thereby to the soaring prices of equities and real estate in Japan.  The bursting of that bubble then led to the Japanese recession.  But this is virtually the opposite of the theory that the Plaza did it</w:t>
      </w:r>
      <w:r w:rsidR="00A47AE5">
        <w:rPr>
          <w:sz w:val="24"/>
          <w:szCs w:val="24"/>
        </w:rPr>
        <w:t xml:space="preserve">:  </w:t>
      </w:r>
      <w:r w:rsidR="005A65A8" w:rsidRPr="00D15AFB">
        <w:rPr>
          <w:sz w:val="24"/>
          <w:szCs w:val="24"/>
        </w:rPr>
        <w:t>buying dollars is the opposite of selling dollars</w:t>
      </w:r>
      <w:r w:rsidR="00DC0140" w:rsidRPr="00D15AFB">
        <w:rPr>
          <w:sz w:val="24"/>
          <w:szCs w:val="24"/>
        </w:rPr>
        <w:t>.</w:t>
      </w:r>
      <w:r w:rsidR="00E02DF4">
        <w:rPr>
          <w:rStyle w:val="FootnoteReference"/>
          <w:sz w:val="24"/>
          <w:szCs w:val="24"/>
        </w:rPr>
        <w:footnoteReference w:id="34"/>
      </w:r>
      <w:r w:rsidR="00DC0140" w:rsidRPr="00D15AFB">
        <w:rPr>
          <w:sz w:val="24"/>
          <w:szCs w:val="24"/>
        </w:rPr>
        <w:t xml:space="preserve"> </w:t>
      </w:r>
    </w:p>
    <w:p w:rsidR="00763179" w:rsidRPr="00F9417E" w:rsidRDefault="00763179" w:rsidP="008772E7">
      <w:pPr>
        <w:spacing w:line="240" w:lineRule="auto"/>
        <w:rPr>
          <w:sz w:val="24"/>
          <w:szCs w:val="24"/>
        </w:rPr>
      </w:pPr>
    </w:p>
    <w:p w:rsidR="001E4786" w:rsidRPr="001E4786" w:rsidRDefault="001E4786" w:rsidP="008772E7">
      <w:pPr>
        <w:spacing w:line="240" w:lineRule="auto"/>
        <w:rPr>
          <w:b/>
          <w:sz w:val="24"/>
          <w:szCs w:val="24"/>
        </w:rPr>
      </w:pPr>
      <w:r>
        <w:rPr>
          <w:b/>
          <w:sz w:val="24"/>
          <w:szCs w:val="24"/>
        </w:rPr>
        <w:t xml:space="preserve">3. </w:t>
      </w:r>
      <w:r w:rsidRPr="001E4786">
        <w:rPr>
          <w:b/>
          <w:sz w:val="24"/>
          <w:szCs w:val="24"/>
        </w:rPr>
        <w:t>Currency manipulation</w:t>
      </w:r>
    </w:p>
    <w:p w:rsidR="00962B77" w:rsidRPr="006543D7" w:rsidRDefault="0058346B" w:rsidP="008772E7">
      <w:pPr>
        <w:spacing w:line="240" w:lineRule="auto"/>
        <w:rPr>
          <w:sz w:val="24"/>
          <w:szCs w:val="24"/>
        </w:rPr>
      </w:pPr>
      <w:r w:rsidRPr="006543D7">
        <w:rPr>
          <w:sz w:val="24"/>
          <w:szCs w:val="24"/>
        </w:rPr>
        <w:t xml:space="preserve">In 1985, G7 coordination meant joint intervention in the foreign exchange market.  Today G7 coordination means refraining from intervention, which is </w:t>
      </w:r>
      <w:r w:rsidR="00423B2F">
        <w:rPr>
          <w:sz w:val="24"/>
          <w:szCs w:val="24"/>
        </w:rPr>
        <w:t xml:space="preserve">called currency manipulation.  </w:t>
      </w:r>
      <w:r w:rsidR="004A50B5">
        <w:rPr>
          <w:sz w:val="24"/>
          <w:szCs w:val="24"/>
        </w:rPr>
        <w:t>Some</w:t>
      </w:r>
      <w:r w:rsidR="00962B77" w:rsidRPr="006543D7">
        <w:rPr>
          <w:sz w:val="24"/>
          <w:szCs w:val="24"/>
        </w:rPr>
        <w:t xml:space="preserve"> specify that foreign exchange intervention is a necessary criterion in the definition of currency manipulation.  </w:t>
      </w:r>
      <w:r w:rsidR="004A50B5">
        <w:rPr>
          <w:sz w:val="24"/>
          <w:szCs w:val="24"/>
        </w:rPr>
        <w:t xml:space="preserve">Others think that </w:t>
      </w:r>
      <w:r w:rsidR="00962B77" w:rsidRPr="006543D7">
        <w:rPr>
          <w:sz w:val="24"/>
          <w:szCs w:val="24"/>
        </w:rPr>
        <w:t xml:space="preserve">it can </w:t>
      </w:r>
      <w:r w:rsidR="00166ED4">
        <w:rPr>
          <w:sz w:val="24"/>
          <w:szCs w:val="24"/>
        </w:rPr>
        <w:t>qualify as</w:t>
      </w:r>
      <w:r w:rsidR="00962B77" w:rsidRPr="006543D7">
        <w:rPr>
          <w:sz w:val="24"/>
          <w:szCs w:val="24"/>
        </w:rPr>
        <w:t xml:space="preserve"> currency manipulation even if the policy</w:t>
      </w:r>
      <w:r w:rsidR="004A50B5">
        <w:rPr>
          <w:sz w:val="24"/>
          <w:szCs w:val="24"/>
        </w:rPr>
        <w:t xml:space="preserve"> that is used is monetary stimulus</w:t>
      </w:r>
      <w:r w:rsidR="00962B77" w:rsidRPr="006543D7">
        <w:rPr>
          <w:sz w:val="24"/>
          <w:szCs w:val="24"/>
        </w:rPr>
        <w:t xml:space="preserve"> rather than intervention.   </w:t>
      </w:r>
    </w:p>
    <w:p w:rsidR="00962B77" w:rsidRPr="006543D7" w:rsidRDefault="00962B77" w:rsidP="008772E7">
      <w:pPr>
        <w:spacing w:line="240" w:lineRule="auto"/>
        <w:rPr>
          <w:rFonts w:cs="Arial"/>
          <w:color w:val="000000"/>
          <w:sz w:val="24"/>
          <w:szCs w:val="24"/>
          <w:shd w:val="clear" w:color="auto" w:fill="FFFFFF"/>
        </w:rPr>
      </w:pPr>
      <w:r w:rsidRPr="006543D7">
        <w:rPr>
          <w:sz w:val="24"/>
          <w:szCs w:val="24"/>
        </w:rPr>
        <w:t>The first sentence of the 2013 communique (G7, 2013) delegitimizes foreign exchange intervention: “</w:t>
      </w:r>
      <w:r w:rsidRPr="006543D7">
        <w:rPr>
          <w:rFonts w:cs="Arial"/>
          <w:color w:val="000000"/>
          <w:sz w:val="24"/>
          <w:szCs w:val="24"/>
          <w:shd w:val="clear" w:color="auto" w:fill="FFFFFF"/>
        </w:rPr>
        <w:t xml:space="preserve">We, the G7 Ministers and Governors, reaffirm our longstanding commitment to market determined exchange rates…”   The second sentence seems to accept the broadening of the definition of manipulation to other policies that can affect the exchange rate: “We reaffirm that our fiscal and monetary policies have been and will remain oriented towards meeting our respective domestic objectives using domestic instruments, and that we will not target exchange rates.”  The implication is that monetary stimulus is valid so long as the authorities </w:t>
      </w:r>
      <w:r w:rsidRPr="006543D7">
        <w:rPr>
          <w:rFonts w:cs="Arial"/>
          <w:color w:val="000000"/>
          <w:sz w:val="24"/>
          <w:szCs w:val="24"/>
          <w:shd w:val="clear" w:color="auto" w:fill="FFFFFF"/>
        </w:rPr>
        <w:lastRenderedPageBreak/>
        <w:t>are not aware that it is likely to depreciate their currency, or at least so long as this is no</w:t>
      </w:r>
      <w:r w:rsidR="0058346B" w:rsidRPr="006543D7">
        <w:rPr>
          <w:rFonts w:cs="Arial"/>
          <w:color w:val="000000"/>
          <w:sz w:val="24"/>
          <w:szCs w:val="24"/>
          <w:shd w:val="clear" w:color="auto" w:fill="FFFFFF"/>
        </w:rPr>
        <w:t>t their purpose.   In the absence</w:t>
      </w:r>
      <w:r w:rsidRPr="006543D7">
        <w:rPr>
          <w:rFonts w:cs="Arial"/>
          <w:color w:val="000000"/>
          <w:sz w:val="24"/>
          <w:szCs w:val="24"/>
          <w:shd w:val="clear" w:color="auto" w:fill="FFFFFF"/>
        </w:rPr>
        <w:t xml:space="preserve"> of mind-reading skills, the communique in practice rules out intervention plus statements by officials to influence currencies, but not monetary stimulus.</w:t>
      </w:r>
    </w:p>
    <w:p w:rsidR="005C2925" w:rsidRPr="006543D7" w:rsidRDefault="005C2925" w:rsidP="008772E7">
      <w:pPr>
        <w:spacing w:line="240" w:lineRule="auto"/>
        <w:rPr>
          <w:b/>
          <w:sz w:val="24"/>
          <w:szCs w:val="24"/>
        </w:rPr>
      </w:pPr>
      <w:r w:rsidRPr="006543D7">
        <w:rPr>
          <w:b/>
          <w:sz w:val="24"/>
          <w:szCs w:val="24"/>
        </w:rPr>
        <w:t>3.1 B</w:t>
      </w:r>
      <w:r w:rsidR="008503D9" w:rsidRPr="006543D7">
        <w:rPr>
          <w:b/>
          <w:sz w:val="24"/>
          <w:szCs w:val="24"/>
        </w:rPr>
        <w:t>eggar-thy-neighbor</w:t>
      </w:r>
      <w:r w:rsidR="000A467E" w:rsidRPr="006543D7">
        <w:rPr>
          <w:b/>
          <w:sz w:val="24"/>
          <w:szCs w:val="24"/>
        </w:rPr>
        <w:t xml:space="preserve"> policies</w:t>
      </w:r>
    </w:p>
    <w:p w:rsidR="007A4088" w:rsidRDefault="00080638" w:rsidP="008772E7">
      <w:pPr>
        <w:spacing w:line="240" w:lineRule="auto"/>
        <w:rPr>
          <w:sz w:val="24"/>
          <w:szCs w:val="24"/>
        </w:rPr>
      </w:pPr>
      <w:r w:rsidRPr="006543D7">
        <w:rPr>
          <w:sz w:val="24"/>
          <w:szCs w:val="24"/>
        </w:rPr>
        <w:t xml:space="preserve">Is currency depreciation a “beggar-thy-neighbor” policy </w:t>
      </w:r>
      <w:r w:rsidR="00962B77" w:rsidRPr="006543D7">
        <w:rPr>
          <w:sz w:val="24"/>
          <w:szCs w:val="24"/>
        </w:rPr>
        <w:t xml:space="preserve">that calls for </w:t>
      </w:r>
      <w:r w:rsidRPr="006543D7">
        <w:rPr>
          <w:sz w:val="24"/>
          <w:szCs w:val="24"/>
        </w:rPr>
        <w:t>enforced rules against currency manipulation?</w:t>
      </w:r>
      <w:r w:rsidR="005C2925" w:rsidRPr="006543D7">
        <w:rPr>
          <w:sz w:val="24"/>
          <w:szCs w:val="24"/>
        </w:rPr>
        <w:t xml:space="preserve">  </w:t>
      </w:r>
      <w:r w:rsidR="00962B77" w:rsidRPr="006543D7">
        <w:rPr>
          <w:sz w:val="24"/>
          <w:szCs w:val="24"/>
        </w:rPr>
        <w:t>Let us stipulate that because a depreciation of the currency raises the country’s price competitiveness on world markets, it stimulates the country’s net exports – perhaps with a delay of a year or two – and thus that it achieves a switching of world spending toward the goods and services of the originating country, which comes at the expense of spending on goods and services of other countries.  (To be careful, notice that we are assuming that the “switching” effects that the exchange rate has via the trade balance dominate any other effects that the exchange rate may have.</w:t>
      </w:r>
      <w:r w:rsidR="00962B77" w:rsidRPr="006543D7">
        <w:rPr>
          <w:rStyle w:val="FootnoteReference"/>
          <w:sz w:val="24"/>
          <w:szCs w:val="24"/>
        </w:rPr>
        <w:footnoteReference w:id="35"/>
      </w:r>
      <w:r w:rsidR="00962B77" w:rsidRPr="006543D7">
        <w:rPr>
          <w:sz w:val="24"/>
          <w:szCs w:val="24"/>
        </w:rPr>
        <w:t xml:space="preserve">)  </w:t>
      </w:r>
    </w:p>
    <w:p w:rsidR="00962B77" w:rsidRPr="006543D7" w:rsidRDefault="00962B77" w:rsidP="008772E7">
      <w:pPr>
        <w:spacing w:line="240" w:lineRule="auto"/>
        <w:rPr>
          <w:sz w:val="24"/>
          <w:szCs w:val="24"/>
        </w:rPr>
      </w:pPr>
      <w:r w:rsidRPr="006543D7">
        <w:rPr>
          <w:sz w:val="24"/>
          <w:szCs w:val="24"/>
        </w:rPr>
        <w:t xml:space="preserve">It is then easy to see why such an exchange rate policy is often viewed as a classic “beggar-thy-neighbor” policy, analogous to putting up tariffs against imports.  </w:t>
      </w:r>
      <w:r w:rsidR="00601F8B" w:rsidRPr="006543D7">
        <w:rPr>
          <w:sz w:val="24"/>
          <w:szCs w:val="24"/>
        </w:rPr>
        <w:t xml:space="preserve"> And it </w:t>
      </w:r>
      <w:r w:rsidR="007A4088">
        <w:rPr>
          <w:sz w:val="24"/>
          <w:szCs w:val="24"/>
        </w:rPr>
        <w:t>might seem</w:t>
      </w:r>
      <w:r w:rsidR="00601F8B" w:rsidRPr="006543D7">
        <w:rPr>
          <w:sz w:val="24"/>
          <w:szCs w:val="24"/>
        </w:rPr>
        <w:t xml:space="preserve"> a short step from there to the view that everyone would be better off in a cooperative regime where they all agreed to refrain from de</w:t>
      </w:r>
      <w:r w:rsidR="00F60ED5">
        <w:rPr>
          <w:sz w:val="24"/>
          <w:szCs w:val="24"/>
        </w:rPr>
        <w:t>liberate intervention</w:t>
      </w:r>
      <w:r w:rsidR="00601F8B" w:rsidRPr="006543D7">
        <w:rPr>
          <w:sz w:val="24"/>
          <w:szCs w:val="24"/>
        </w:rPr>
        <w:t xml:space="preserve"> to depreciate their currencies, by analogy with agreeing to refrain from protectionist trade barriers.  </w:t>
      </w:r>
      <w:r w:rsidRPr="006543D7">
        <w:rPr>
          <w:sz w:val="24"/>
          <w:szCs w:val="24"/>
        </w:rPr>
        <w:t>But the analogy may be misplaced.</w:t>
      </w:r>
      <w:r w:rsidR="005C2925" w:rsidRPr="006543D7">
        <w:rPr>
          <w:sz w:val="24"/>
          <w:szCs w:val="24"/>
        </w:rPr>
        <w:t xml:space="preserve">  A non-coordinated world in which each country chooses its monetary policy independently, subject to the choices of other countries, is very different from the problems of a non-coordinated world in which each country ch</w:t>
      </w:r>
      <w:r w:rsidR="00601F8B" w:rsidRPr="006543D7">
        <w:rPr>
          <w:sz w:val="24"/>
          <w:szCs w:val="24"/>
        </w:rPr>
        <w:t>ooses its tariffs independently</w:t>
      </w:r>
      <w:r w:rsidR="005C2925" w:rsidRPr="006543D7">
        <w:rPr>
          <w:sz w:val="24"/>
          <w:szCs w:val="24"/>
        </w:rPr>
        <w:t>.</w:t>
      </w:r>
    </w:p>
    <w:p w:rsidR="005C2925" w:rsidRPr="006543D7" w:rsidRDefault="005C2925" w:rsidP="008772E7">
      <w:pPr>
        <w:spacing w:line="240" w:lineRule="auto"/>
        <w:rPr>
          <w:sz w:val="24"/>
          <w:szCs w:val="24"/>
        </w:rPr>
      </w:pPr>
      <w:r w:rsidRPr="006543D7">
        <w:rPr>
          <w:sz w:val="24"/>
          <w:szCs w:val="24"/>
        </w:rPr>
        <w:t>The classic examples of both kinds of beggar-thy-neighbor policies came in the 1930s.  The Smoot-Hawley tariff enacted by the US in 1930 was emulated by other countries, collapsing global trade.   Britain, the US</w:t>
      </w:r>
      <w:r w:rsidR="00E10896">
        <w:rPr>
          <w:sz w:val="24"/>
          <w:szCs w:val="24"/>
        </w:rPr>
        <w:t>,</w:t>
      </w:r>
      <w:r w:rsidRPr="006543D7">
        <w:rPr>
          <w:sz w:val="24"/>
          <w:szCs w:val="24"/>
        </w:rPr>
        <w:t xml:space="preserve"> France</w:t>
      </w:r>
      <w:r w:rsidR="00E10896">
        <w:rPr>
          <w:sz w:val="24"/>
          <w:szCs w:val="24"/>
        </w:rPr>
        <w:t>, and others</w:t>
      </w:r>
      <w:r w:rsidRPr="006543D7">
        <w:rPr>
          <w:sz w:val="24"/>
          <w:szCs w:val="24"/>
        </w:rPr>
        <w:t xml:space="preserve"> pursued competitive devaluations</w:t>
      </w:r>
      <w:r w:rsidR="004846EC">
        <w:rPr>
          <w:sz w:val="24"/>
          <w:szCs w:val="24"/>
        </w:rPr>
        <w:t xml:space="preserve"> in the early 1930s</w:t>
      </w:r>
      <w:r w:rsidRPr="006543D7">
        <w:rPr>
          <w:sz w:val="24"/>
          <w:szCs w:val="24"/>
        </w:rPr>
        <w:t>, as each in turn took its currency off the gold standard.</w:t>
      </w:r>
      <w:r w:rsidR="004846EC">
        <w:rPr>
          <w:rStyle w:val="FootnoteReference"/>
          <w:sz w:val="24"/>
          <w:szCs w:val="24"/>
        </w:rPr>
        <w:footnoteReference w:id="36"/>
      </w:r>
      <w:r w:rsidRPr="006543D7">
        <w:rPr>
          <w:sz w:val="24"/>
          <w:szCs w:val="24"/>
        </w:rPr>
        <w:t xml:space="preserve">  The </w:t>
      </w:r>
      <w:r w:rsidR="004B3007" w:rsidRPr="006543D7">
        <w:rPr>
          <w:sz w:val="24"/>
          <w:szCs w:val="24"/>
        </w:rPr>
        <w:t>d</w:t>
      </w:r>
      <w:r w:rsidRPr="006543D7">
        <w:rPr>
          <w:sz w:val="24"/>
          <w:szCs w:val="24"/>
        </w:rPr>
        <w:t>isaster</w:t>
      </w:r>
      <w:r w:rsidR="004B3007" w:rsidRPr="006543D7">
        <w:rPr>
          <w:sz w:val="24"/>
          <w:szCs w:val="24"/>
        </w:rPr>
        <w:t>s</w:t>
      </w:r>
      <w:r w:rsidRPr="006543D7">
        <w:rPr>
          <w:sz w:val="24"/>
          <w:szCs w:val="24"/>
        </w:rPr>
        <w:t xml:space="preserve"> of the 1930s motivated the architects of the postwar system who met at Bretton Woods in 1944 to adopt </w:t>
      </w:r>
      <w:r w:rsidR="004B3007" w:rsidRPr="006543D7">
        <w:rPr>
          <w:sz w:val="24"/>
          <w:szCs w:val="24"/>
        </w:rPr>
        <w:t xml:space="preserve">both </w:t>
      </w:r>
      <w:r w:rsidRPr="006543D7">
        <w:rPr>
          <w:sz w:val="24"/>
          <w:szCs w:val="24"/>
        </w:rPr>
        <w:t>the principle of free trade and the princ</w:t>
      </w:r>
      <w:r w:rsidR="007A4088">
        <w:rPr>
          <w:sz w:val="24"/>
          <w:szCs w:val="24"/>
        </w:rPr>
        <w:t xml:space="preserve">iple of </w:t>
      </w:r>
      <w:r w:rsidR="007A4088" w:rsidRPr="006543D7">
        <w:rPr>
          <w:sz w:val="24"/>
          <w:szCs w:val="24"/>
        </w:rPr>
        <w:t>pegged</w:t>
      </w:r>
      <w:r w:rsidR="007A4088">
        <w:rPr>
          <w:sz w:val="24"/>
          <w:szCs w:val="24"/>
        </w:rPr>
        <w:t xml:space="preserve"> exchange rates</w:t>
      </w:r>
      <w:r w:rsidR="008503D9" w:rsidRPr="006543D7">
        <w:rPr>
          <w:sz w:val="24"/>
          <w:szCs w:val="24"/>
        </w:rPr>
        <w:t xml:space="preserve">.  The dollar couldn’t be devalued.  Other exchange rates were </w:t>
      </w:r>
      <w:r w:rsidRPr="006543D7">
        <w:rPr>
          <w:sz w:val="24"/>
          <w:szCs w:val="24"/>
        </w:rPr>
        <w:t>adjustable in the event o</w:t>
      </w:r>
      <w:r w:rsidR="008503D9" w:rsidRPr="006543D7">
        <w:rPr>
          <w:sz w:val="24"/>
          <w:szCs w:val="24"/>
        </w:rPr>
        <w:t>f fundamental disequilibrium; but to devalue otherwise would be unfair currency manipulation under IMF Article IV</w:t>
      </w:r>
      <w:r w:rsidRPr="006543D7">
        <w:rPr>
          <w:sz w:val="24"/>
          <w:szCs w:val="24"/>
        </w:rPr>
        <w:t>.</w:t>
      </w:r>
    </w:p>
    <w:p w:rsidR="00E34AEA" w:rsidRPr="006543D7" w:rsidRDefault="00E34AEA" w:rsidP="008772E7">
      <w:pPr>
        <w:spacing w:line="240" w:lineRule="auto"/>
        <w:rPr>
          <w:sz w:val="24"/>
          <w:szCs w:val="24"/>
        </w:rPr>
      </w:pPr>
      <w:r w:rsidRPr="006543D7">
        <w:rPr>
          <w:sz w:val="24"/>
          <w:szCs w:val="24"/>
        </w:rPr>
        <w:t xml:space="preserve">But Eichengreen and Sachs (1985, 1986) offered a powerful revisionist interpretation of the exchange rate developments of the 1930s.  They argued that (unlike the tariffs) the devaluations were not collectively damaging but may actually have been beneficial.  Each of these devaluations was not just a reduction in the value of the currency in terms of other </w:t>
      </w:r>
      <w:r w:rsidRPr="006543D7">
        <w:rPr>
          <w:sz w:val="24"/>
          <w:szCs w:val="24"/>
        </w:rPr>
        <w:lastRenderedPageBreak/>
        <w:t>currencies but also in terms of gold.  When each country had taken its turn, the net effects on exchange rates largely canceled out; but the net effects vis-à-vis gold did not.  Each country was left with a currency that was worth less in terms of gold, which is to say that the price of gold was higher in terms of their currency.  As a result the nominal value of gold reserves was raised.  Since gold reserves were the ultimate backing for the money supply, this allowed an expanded money supply in each country</w:t>
      </w:r>
      <w:r w:rsidR="00E10896">
        <w:rPr>
          <w:sz w:val="24"/>
          <w:szCs w:val="24"/>
        </w:rPr>
        <w:t xml:space="preserve"> and lower interest rates</w:t>
      </w:r>
      <w:r w:rsidRPr="006543D7">
        <w:rPr>
          <w:sz w:val="24"/>
          <w:szCs w:val="24"/>
        </w:rPr>
        <w:t xml:space="preserve">, which is just what the world needed at the time.   </w:t>
      </w:r>
    </w:p>
    <w:p w:rsidR="00080638" w:rsidRPr="006543D7" w:rsidRDefault="00B666F8" w:rsidP="008772E7">
      <w:pPr>
        <w:spacing w:line="240" w:lineRule="auto"/>
        <w:rPr>
          <w:sz w:val="24"/>
          <w:szCs w:val="24"/>
        </w:rPr>
      </w:pPr>
      <w:r w:rsidRPr="006543D7">
        <w:rPr>
          <w:sz w:val="24"/>
          <w:szCs w:val="24"/>
        </w:rPr>
        <w:t>T</w:t>
      </w:r>
      <w:r w:rsidR="008503D9" w:rsidRPr="006543D7">
        <w:rPr>
          <w:sz w:val="24"/>
          <w:szCs w:val="24"/>
        </w:rPr>
        <w:t>he Bretton Woods system came crashing down</w:t>
      </w:r>
      <w:r w:rsidRPr="006543D7">
        <w:rPr>
          <w:sz w:val="24"/>
          <w:szCs w:val="24"/>
        </w:rPr>
        <w:t xml:space="preserve"> in the early 1970s.  After the Members of the Fund ratified the move to floating exchange rates in the Jamaica Communique of January 1976, they agreed a framework for mutual surveillance under what is called the “1977 Decision on Surveillance over Exchange Rate Policies,” and they amended Article IV in 1978. Principle (A) of the 1977 Decision and Clause 3 of Section 1 of Article IV both require that each member shall “avoid manipulating exchange rates or the international monetary system in order to prevent effective balance of payments adjustment or to gain an unfair competitive advantage over other members.”</w:t>
      </w:r>
      <w:r w:rsidR="00E34AEA" w:rsidRPr="006543D7">
        <w:rPr>
          <w:sz w:val="24"/>
          <w:szCs w:val="24"/>
        </w:rPr>
        <w:t xml:space="preserve">  </w:t>
      </w:r>
      <w:r w:rsidR="00470C18" w:rsidRPr="006543D7">
        <w:rPr>
          <w:sz w:val="24"/>
          <w:szCs w:val="24"/>
        </w:rPr>
        <w:t>[</w:t>
      </w:r>
      <w:r w:rsidR="00E34AEA" w:rsidRPr="006543D7">
        <w:rPr>
          <w:sz w:val="24"/>
          <w:szCs w:val="24"/>
        </w:rPr>
        <w:t>It is almost as if they shifted from interpreting manipulation as failure to intervene sufficiently in the foreign exchange market</w:t>
      </w:r>
      <w:r w:rsidR="00470C18" w:rsidRPr="006543D7">
        <w:rPr>
          <w:sz w:val="24"/>
          <w:szCs w:val="24"/>
        </w:rPr>
        <w:t xml:space="preserve"> to interpreting it as </w:t>
      </w:r>
      <w:r w:rsidR="00B8331F">
        <w:rPr>
          <w:sz w:val="24"/>
          <w:szCs w:val="24"/>
        </w:rPr>
        <w:t>excessive</w:t>
      </w:r>
      <w:r w:rsidR="00470C18" w:rsidRPr="006543D7">
        <w:rPr>
          <w:sz w:val="24"/>
          <w:szCs w:val="24"/>
        </w:rPr>
        <w:t xml:space="preserve"> intervention in the foreign exchange market.]</w:t>
      </w:r>
    </w:p>
    <w:p w:rsidR="00493A4D" w:rsidRPr="006543D7" w:rsidRDefault="00A97990" w:rsidP="008772E7">
      <w:pPr>
        <w:spacing w:line="240" w:lineRule="auto"/>
        <w:rPr>
          <w:b/>
          <w:sz w:val="24"/>
          <w:szCs w:val="24"/>
        </w:rPr>
      </w:pPr>
      <w:r w:rsidRPr="006543D7">
        <w:rPr>
          <w:b/>
          <w:sz w:val="24"/>
          <w:szCs w:val="24"/>
        </w:rPr>
        <w:t xml:space="preserve">3.2 </w:t>
      </w:r>
      <w:r w:rsidR="00E4645D" w:rsidRPr="006543D7">
        <w:rPr>
          <w:b/>
          <w:sz w:val="24"/>
          <w:szCs w:val="24"/>
        </w:rPr>
        <w:t>US complaints about currency manipulation by others</w:t>
      </w:r>
    </w:p>
    <w:p w:rsidR="00E4645D" w:rsidRPr="006543D7" w:rsidRDefault="00E4645D" w:rsidP="008772E7">
      <w:pPr>
        <w:spacing w:line="240" w:lineRule="auto"/>
        <w:rPr>
          <w:sz w:val="24"/>
          <w:szCs w:val="24"/>
        </w:rPr>
      </w:pPr>
      <w:r w:rsidRPr="006543D7">
        <w:rPr>
          <w:sz w:val="24"/>
          <w:szCs w:val="24"/>
        </w:rPr>
        <w:t xml:space="preserve">Congressional concerns about US trade in the mid-1980s did result in one major piece of currency legislation.  </w:t>
      </w:r>
      <w:r w:rsidR="00B8331F">
        <w:rPr>
          <w:sz w:val="24"/>
          <w:szCs w:val="24"/>
        </w:rPr>
        <w:t>I</w:t>
      </w:r>
      <w:r w:rsidRPr="006543D7">
        <w:rPr>
          <w:sz w:val="24"/>
          <w:szCs w:val="24"/>
        </w:rPr>
        <w:t xml:space="preserve">n its Omnibus Trade and Competitiveness Act of 1988 </w:t>
      </w:r>
      <w:r w:rsidR="00B8331F">
        <w:rPr>
          <w:sz w:val="24"/>
          <w:szCs w:val="24"/>
        </w:rPr>
        <w:t>t</w:t>
      </w:r>
      <w:r w:rsidR="00B8331F" w:rsidRPr="006543D7">
        <w:rPr>
          <w:sz w:val="24"/>
          <w:szCs w:val="24"/>
        </w:rPr>
        <w:t xml:space="preserve">he US Congress mandated </w:t>
      </w:r>
      <w:r w:rsidRPr="006543D7">
        <w:rPr>
          <w:sz w:val="24"/>
          <w:szCs w:val="24"/>
        </w:rPr>
        <w:t>biannual reports from the US Treasury regarding whether trading partners were manipulating currencies. More specifically, in Section 3004, the Treasury is required to “consider whether countries manipulate the rate of exchange between their currency and the United States dollar for purposes of preventing effective balance of payments adjustments or gaining unfair competitive advantage in international trade.'' The law says the US must hold talks with governments deemed to be breaking the rules.</w:t>
      </w:r>
    </w:p>
    <w:p w:rsidR="00E4645D" w:rsidRPr="006543D7" w:rsidRDefault="00E4645D" w:rsidP="008772E7">
      <w:pPr>
        <w:spacing w:line="240" w:lineRule="auto"/>
        <w:rPr>
          <w:sz w:val="24"/>
          <w:szCs w:val="24"/>
        </w:rPr>
      </w:pPr>
      <w:r w:rsidRPr="006543D7">
        <w:rPr>
          <w:sz w:val="24"/>
          <w:szCs w:val="24"/>
        </w:rPr>
        <w:t>In the first of the Reports to Congress on International Economics and Exchange Rate Policy, filed in October 1988, Korea and Taiwan, Province of China, were found to be guilty of manipulation, while Singapore and Hong Kong SAR “got off with a warning” in that policy changes were recommended. In subsequent years, those countries pronounced manipulators, or given warnings, have always been Asian.</w:t>
      </w:r>
    </w:p>
    <w:p w:rsidR="005A72D4" w:rsidRPr="006543D7" w:rsidRDefault="00E34AEA" w:rsidP="008772E7">
      <w:pPr>
        <w:spacing w:line="240" w:lineRule="auto"/>
        <w:rPr>
          <w:sz w:val="24"/>
          <w:szCs w:val="24"/>
        </w:rPr>
      </w:pPr>
      <w:r w:rsidRPr="006543D7">
        <w:rPr>
          <w:sz w:val="24"/>
          <w:szCs w:val="24"/>
        </w:rPr>
        <w:t xml:space="preserve">In 2003 the United States began to put increasing pressure on China to </w:t>
      </w:r>
      <w:r w:rsidR="00B666F8" w:rsidRPr="006543D7">
        <w:rPr>
          <w:sz w:val="24"/>
          <w:szCs w:val="24"/>
        </w:rPr>
        <w:t>revalue its currency upward.</w:t>
      </w:r>
      <w:r w:rsidR="00493A4D" w:rsidRPr="006543D7">
        <w:rPr>
          <w:rStyle w:val="FootnoteReference"/>
          <w:sz w:val="24"/>
          <w:szCs w:val="24"/>
        </w:rPr>
        <w:footnoteReference w:id="37"/>
      </w:r>
      <w:r w:rsidR="00B666F8" w:rsidRPr="006543D7">
        <w:rPr>
          <w:sz w:val="24"/>
          <w:szCs w:val="24"/>
        </w:rPr>
        <w:t xml:space="preserve"> </w:t>
      </w:r>
      <w:r w:rsidR="00036CE6">
        <w:rPr>
          <w:sz w:val="24"/>
          <w:szCs w:val="24"/>
        </w:rPr>
        <w:t xml:space="preserve"> Persuasive </w:t>
      </w:r>
      <w:r w:rsidR="00B666F8" w:rsidRPr="006543D7">
        <w:rPr>
          <w:sz w:val="24"/>
          <w:szCs w:val="24"/>
        </w:rPr>
        <w:t xml:space="preserve">arguments </w:t>
      </w:r>
      <w:r w:rsidR="00036CE6">
        <w:rPr>
          <w:sz w:val="24"/>
          <w:szCs w:val="24"/>
        </w:rPr>
        <w:t xml:space="preserve">were made for </w:t>
      </w:r>
      <w:r w:rsidR="00B666F8" w:rsidRPr="006543D7">
        <w:rPr>
          <w:sz w:val="24"/>
          <w:szCs w:val="24"/>
        </w:rPr>
        <w:t xml:space="preserve">China </w:t>
      </w:r>
      <w:r w:rsidR="00036CE6">
        <w:rPr>
          <w:sz w:val="24"/>
          <w:szCs w:val="24"/>
        </w:rPr>
        <w:t>to move</w:t>
      </w:r>
      <w:r w:rsidR="00B666F8" w:rsidRPr="006543D7">
        <w:rPr>
          <w:sz w:val="24"/>
          <w:szCs w:val="24"/>
        </w:rPr>
        <w:t xml:space="preserve"> in the direction of increasing exchange rate flexibility and/or allowing its currency to appreciate. </w:t>
      </w:r>
      <w:r w:rsidR="00814EFE">
        <w:rPr>
          <w:sz w:val="24"/>
          <w:szCs w:val="24"/>
        </w:rPr>
        <w:t>(</w:t>
      </w:r>
      <w:r w:rsidR="00B666F8" w:rsidRPr="006543D7">
        <w:rPr>
          <w:sz w:val="24"/>
          <w:szCs w:val="24"/>
        </w:rPr>
        <w:t>This</w:t>
      </w:r>
      <w:r w:rsidR="001808B3">
        <w:rPr>
          <w:sz w:val="24"/>
          <w:szCs w:val="24"/>
        </w:rPr>
        <w:t xml:space="preserve"> wa</w:t>
      </w:r>
      <w:r w:rsidR="00D2298D">
        <w:rPr>
          <w:sz w:val="24"/>
          <w:szCs w:val="24"/>
        </w:rPr>
        <w:t>s true whether the criterion was China’s own economic interest</w:t>
      </w:r>
      <w:r w:rsidR="00B666F8" w:rsidRPr="006543D7">
        <w:rPr>
          <w:sz w:val="24"/>
          <w:szCs w:val="24"/>
        </w:rPr>
        <w:t xml:space="preserve"> or facilitating an orderly unwinding of record global current account imbalances.</w:t>
      </w:r>
      <w:r w:rsidR="00814EFE">
        <w:rPr>
          <w:sz w:val="24"/>
          <w:szCs w:val="24"/>
        </w:rPr>
        <w:t>)</w:t>
      </w:r>
      <w:r w:rsidR="00B666F8" w:rsidRPr="006543D7">
        <w:rPr>
          <w:sz w:val="24"/>
          <w:szCs w:val="24"/>
        </w:rPr>
        <w:t xml:space="preserve"> </w:t>
      </w:r>
      <w:r w:rsidR="00493A4D" w:rsidRPr="006543D7">
        <w:rPr>
          <w:sz w:val="24"/>
          <w:szCs w:val="24"/>
        </w:rPr>
        <w:t xml:space="preserve"> But</w:t>
      </w:r>
      <w:r w:rsidR="00B666F8" w:rsidRPr="006543D7">
        <w:rPr>
          <w:sz w:val="24"/>
          <w:szCs w:val="24"/>
        </w:rPr>
        <w:t xml:space="preserve"> </w:t>
      </w:r>
      <w:r w:rsidR="00470C18" w:rsidRPr="006543D7">
        <w:rPr>
          <w:sz w:val="24"/>
          <w:szCs w:val="24"/>
        </w:rPr>
        <w:t xml:space="preserve">especially in election years, such as 2004, </w:t>
      </w:r>
      <w:r w:rsidR="00B666F8" w:rsidRPr="006543D7">
        <w:rPr>
          <w:sz w:val="24"/>
          <w:szCs w:val="24"/>
        </w:rPr>
        <w:t xml:space="preserve">much of the </w:t>
      </w:r>
      <w:r w:rsidR="00470C18" w:rsidRPr="006543D7">
        <w:rPr>
          <w:sz w:val="24"/>
          <w:szCs w:val="24"/>
        </w:rPr>
        <w:t xml:space="preserve">political </w:t>
      </w:r>
      <w:r w:rsidR="00B666F8" w:rsidRPr="006543D7">
        <w:rPr>
          <w:sz w:val="24"/>
          <w:szCs w:val="24"/>
        </w:rPr>
        <w:t xml:space="preserve">pressure </w:t>
      </w:r>
      <w:r w:rsidR="00493A4D" w:rsidRPr="006543D7">
        <w:rPr>
          <w:sz w:val="24"/>
          <w:szCs w:val="24"/>
        </w:rPr>
        <w:t>was</w:t>
      </w:r>
      <w:r w:rsidR="00B666F8" w:rsidRPr="006543D7">
        <w:rPr>
          <w:sz w:val="24"/>
          <w:szCs w:val="24"/>
        </w:rPr>
        <w:t xml:space="preserve"> tied to the</w:t>
      </w:r>
      <w:r w:rsidR="00493A4D" w:rsidRPr="006543D7">
        <w:rPr>
          <w:sz w:val="24"/>
          <w:szCs w:val="24"/>
        </w:rPr>
        <w:t xml:space="preserve"> bilateral </w:t>
      </w:r>
      <w:r w:rsidR="00B666F8" w:rsidRPr="006543D7">
        <w:rPr>
          <w:sz w:val="24"/>
          <w:szCs w:val="24"/>
        </w:rPr>
        <w:t>US</w:t>
      </w:r>
      <w:r w:rsidR="00493A4D" w:rsidRPr="006543D7">
        <w:rPr>
          <w:sz w:val="24"/>
          <w:szCs w:val="24"/>
        </w:rPr>
        <w:t>-China</w:t>
      </w:r>
      <w:r w:rsidR="00B666F8" w:rsidRPr="006543D7">
        <w:rPr>
          <w:sz w:val="24"/>
          <w:szCs w:val="24"/>
        </w:rPr>
        <w:t xml:space="preserve"> trade deficits and loss of </w:t>
      </w:r>
      <w:r w:rsidR="00493A4D" w:rsidRPr="006543D7">
        <w:rPr>
          <w:sz w:val="24"/>
          <w:szCs w:val="24"/>
        </w:rPr>
        <w:t xml:space="preserve">American </w:t>
      </w:r>
      <w:r w:rsidR="00B666F8" w:rsidRPr="006543D7">
        <w:rPr>
          <w:sz w:val="24"/>
          <w:szCs w:val="24"/>
        </w:rPr>
        <w:t>jobs in manufacturing</w:t>
      </w:r>
      <w:r w:rsidR="00D2298D">
        <w:rPr>
          <w:sz w:val="24"/>
          <w:szCs w:val="24"/>
        </w:rPr>
        <w:t xml:space="preserve">, </w:t>
      </w:r>
      <w:r w:rsidR="00470C18" w:rsidRPr="006543D7">
        <w:rPr>
          <w:sz w:val="24"/>
          <w:szCs w:val="24"/>
        </w:rPr>
        <w:t xml:space="preserve">criteria that have </w:t>
      </w:r>
      <w:r w:rsidR="00D2298D">
        <w:rPr>
          <w:sz w:val="24"/>
          <w:szCs w:val="24"/>
        </w:rPr>
        <w:t xml:space="preserve">little basis either in </w:t>
      </w:r>
      <w:r w:rsidR="00470C18" w:rsidRPr="006543D7">
        <w:rPr>
          <w:sz w:val="24"/>
          <w:szCs w:val="24"/>
        </w:rPr>
        <w:t xml:space="preserve">IMF </w:t>
      </w:r>
      <w:r w:rsidR="00D2298D">
        <w:rPr>
          <w:sz w:val="24"/>
          <w:szCs w:val="24"/>
        </w:rPr>
        <w:t>agreements or in economic logic</w:t>
      </w:r>
      <w:r w:rsidR="00B666F8" w:rsidRPr="006543D7">
        <w:rPr>
          <w:sz w:val="24"/>
          <w:szCs w:val="24"/>
        </w:rPr>
        <w:t xml:space="preserve">.  </w:t>
      </w:r>
      <w:r w:rsidR="00B666F8" w:rsidRPr="006543D7">
        <w:rPr>
          <w:sz w:val="24"/>
          <w:szCs w:val="24"/>
        </w:rPr>
        <w:lastRenderedPageBreak/>
        <w:t>Much of the pressure on the Treasury to name China a manipulator c</w:t>
      </w:r>
      <w:r w:rsidRPr="006543D7">
        <w:rPr>
          <w:sz w:val="24"/>
          <w:szCs w:val="24"/>
        </w:rPr>
        <w:t xml:space="preserve">ame </w:t>
      </w:r>
      <w:r w:rsidR="00B666F8" w:rsidRPr="006543D7">
        <w:rPr>
          <w:sz w:val="24"/>
          <w:szCs w:val="24"/>
        </w:rPr>
        <w:t xml:space="preserve">from Capitol Hill. The Schumer-Graham bill, originally proposed in February 2005, would have imposed </w:t>
      </w:r>
      <w:r w:rsidR="00493A4D" w:rsidRPr="006543D7">
        <w:rPr>
          <w:sz w:val="24"/>
          <w:szCs w:val="24"/>
        </w:rPr>
        <w:t>(</w:t>
      </w:r>
      <w:r w:rsidR="00B666F8" w:rsidRPr="006543D7">
        <w:rPr>
          <w:sz w:val="24"/>
          <w:szCs w:val="24"/>
        </w:rPr>
        <w:t>WTO-illegal</w:t>
      </w:r>
      <w:r w:rsidR="00493A4D" w:rsidRPr="006543D7">
        <w:rPr>
          <w:sz w:val="24"/>
          <w:szCs w:val="24"/>
        </w:rPr>
        <w:t>)</w:t>
      </w:r>
      <w:r w:rsidR="00B666F8" w:rsidRPr="006543D7">
        <w:rPr>
          <w:sz w:val="24"/>
          <w:szCs w:val="24"/>
        </w:rPr>
        <w:t xml:space="preserve"> tariffs of 27.5 percent against all Chinese goods if China did not substantially revalue its currency.  It did not pass, but other proposed versions followed.</w:t>
      </w:r>
    </w:p>
    <w:p w:rsidR="005A72D4" w:rsidRDefault="005A72D4" w:rsidP="008772E7">
      <w:pPr>
        <w:spacing w:line="240" w:lineRule="auto"/>
        <w:rPr>
          <w:sz w:val="24"/>
          <w:szCs w:val="24"/>
        </w:rPr>
      </w:pPr>
      <w:r w:rsidRPr="006543D7">
        <w:rPr>
          <w:sz w:val="24"/>
          <w:szCs w:val="24"/>
        </w:rPr>
        <w:t xml:space="preserve">Many in the US congress in 2015 would not support giving Trade Promotion Authority (TPA) </w:t>
      </w:r>
      <w:r w:rsidR="004F61FA">
        <w:rPr>
          <w:sz w:val="24"/>
          <w:szCs w:val="24"/>
        </w:rPr>
        <w:t xml:space="preserve">to </w:t>
      </w:r>
      <w:r w:rsidR="004F61FA" w:rsidRPr="006543D7">
        <w:rPr>
          <w:sz w:val="24"/>
          <w:szCs w:val="24"/>
        </w:rPr>
        <w:t xml:space="preserve">President </w:t>
      </w:r>
      <w:r w:rsidR="004F61FA">
        <w:rPr>
          <w:sz w:val="24"/>
          <w:szCs w:val="24"/>
        </w:rPr>
        <w:t xml:space="preserve">Barack </w:t>
      </w:r>
      <w:r w:rsidR="004F61FA" w:rsidRPr="006543D7">
        <w:rPr>
          <w:sz w:val="24"/>
          <w:szCs w:val="24"/>
        </w:rPr>
        <w:t xml:space="preserve">Obama </w:t>
      </w:r>
      <w:r w:rsidRPr="006543D7">
        <w:rPr>
          <w:sz w:val="24"/>
          <w:szCs w:val="24"/>
        </w:rPr>
        <w:t>because the legislation did not include language to enforce prohibition of currency manipulation by other countries.</w:t>
      </w:r>
      <w:r w:rsidR="007A67B0">
        <w:rPr>
          <w:rStyle w:val="FootnoteReference"/>
          <w:sz w:val="24"/>
          <w:szCs w:val="24"/>
        </w:rPr>
        <w:footnoteReference w:id="38"/>
      </w:r>
      <w:r w:rsidR="007A67B0">
        <w:rPr>
          <w:sz w:val="24"/>
          <w:szCs w:val="24"/>
        </w:rPr>
        <w:t xml:space="preserve"> </w:t>
      </w:r>
      <w:r w:rsidRPr="006543D7">
        <w:rPr>
          <w:sz w:val="24"/>
          <w:szCs w:val="24"/>
        </w:rPr>
        <w:t>TPA is the same “fast track” authority th</w:t>
      </w:r>
      <w:r w:rsidR="00805E85">
        <w:rPr>
          <w:sz w:val="24"/>
          <w:szCs w:val="24"/>
        </w:rPr>
        <w:t>at every president since</w:t>
      </w:r>
      <w:r w:rsidRPr="006543D7">
        <w:rPr>
          <w:sz w:val="24"/>
          <w:szCs w:val="24"/>
        </w:rPr>
        <w:t xml:space="preserve"> Nixon has been granted to allow international trade negotiations to </w:t>
      </w:r>
      <w:r w:rsidR="0010274C" w:rsidRPr="006543D7">
        <w:rPr>
          <w:sz w:val="24"/>
          <w:szCs w:val="24"/>
        </w:rPr>
        <w:t>precede</w:t>
      </w:r>
      <w:r w:rsidRPr="006543D7">
        <w:rPr>
          <w:sz w:val="24"/>
          <w:szCs w:val="24"/>
        </w:rPr>
        <w:t>.  Obama wanted it, in particular, to be able t</w:t>
      </w:r>
      <w:r w:rsidR="007314EE" w:rsidRPr="006543D7">
        <w:rPr>
          <w:sz w:val="24"/>
          <w:szCs w:val="24"/>
        </w:rPr>
        <w:t>o finish negotiations for a Trans Pacific Partnership (TPP) with Asian countries and the Transatlantic Trade and Investment Partnership (TPP) with Europe.</w:t>
      </w:r>
      <w:r w:rsidRPr="006543D7">
        <w:rPr>
          <w:sz w:val="24"/>
          <w:szCs w:val="24"/>
        </w:rPr>
        <w:t xml:space="preserve"> </w:t>
      </w:r>
    </w:p>
    <w:p w:rsidR="00730EF9" w:rsidRPr="00730EF9" w:rsidRDefault="00730EF9" w:rsidP="00730EF9">
      <w:pPr>
        <w:spacing w:after="0" w:line="240" w:lineRule="auto"/>
        <w:rPr>
          <w:rFonts w:ascii="Times New Roman" w:eastAsia="Times New Roman" w:hAnsi="Times New Roman" w:cs="Times New Roman"/>
          <w:color w:val="000000"/>
          <w:sz w:val="16"/>
          <w:szCs w:val="16"/>
          <w:lang w:eastAsia="ko-KR"/>
        </w:rPr>
      </w:pPr>
      <w:r w:rsidRPr="00572B5D">
        <w:rPr>
          <w:rFonts w:ascii="Calibri" w:eastAsia="Times New Roman" w:hAnsi="Calibri" w:cs="Times New Roman"/>
          <w:color w:val="1F497D"/>
          <w:sz w:val="24"/>
          <w:szCs w:val="24"/>
          <w:lang w:eastAsia="ko-KR"/>
        </w:rPr>
        <w:t>T</w:t>
      </w:r>
      <w:r w:rsidRPr="00730EF9">
        <w:rPr>
          <w:rFonts w:ascii="Calibri" w:eastAsia="Times New Roman" w:hAnsi="Calibri" w:cs="Times New Roman"/>
          <w:color w:val="1F497D"/>
          <w:sz w:val="24"/>
          <w:szCs w:val="24"/>
          <w:lang w:eastAsia="ko-KR"/>
        </w:rPr>
        <w:t xml:space="preserve">he issue is best addressed in other forums: bilateral, G-20, IMF surveillance. </w:t>
      </w:r>
      <w:r w:rsidRPr="00572B5D">
        <w:rPr>
          <w:rFonts w:ascii="Calibri" w:eastAsia="Times New Roman" w:hAnsi="Calibri" w:cs="Times New Roman"/>
          <w:color w:val="1F497D"/>
          <w:sz w:val="24"/>
          <w:szCs w:val="24"/>
          <w:lang w:eastAsia="ko-KR"/>
        </w:rPr>
        <w:t>C</w:t>
      </w:r>
      <w:r w:rsidRPr="00730EF9">
        <w:rPr>
          <w:rFonts w:ascii="Calibri" w:eastAsia="Times New Roman" w:hAnsi="Calibri" w:cs="Times New Roman"/>
          <w:color w:val="1F497D"/>
          <w:sz w:val="24"/>
          <w:szCs w:val="24"/>
          <w:lang w:eastAsia="ko-KR"/>
        </w:rPr>
        <w:t xml:space="preserve">ritics think those venues are too weak and </w:t>
      </w:r>
      <w:r w:rsidRPr="00572B5D">
        <w:rPr>
          <w:rFonts w:ascii="Calibri" w:eastAsia="Times New Roman" w:hAnsi="Calibri" w:cs="Times New Roman"/>
          <w:color w:val="1F497D"/>
          <w:sz w:val="24"/>
          <w:szCs w:val="24"/>
          <w:lang w:eastAsia="ko-KR"/>
        </w:rPr>
        <w:t>w</w:t>
      </w:r>
      <w:r w:rsidRPr="00730EF9">
        <w:rPr>
          <w:rFonts w:ascii="Calibri" w:eastAsia="Times New Roman" w:hAnsi="Calibri" w:cs="Times New Roman"/>
          <w:color w:val="1F497D"/>
          <w:sz w:val="24"/>
          <w:szCs w:val="24"/>
          <w:lang w:eastAsia="ko-KR"/>
        </w:rPr>
        <w:t>ant to be able to apply the penalty of trade sanctions.  My view is that if the US had insisted that strong currency manipulation language go into the TPP, then (1) oth</w:t>
      </w:r>
      <w:r w:rsidRPr="00572B5D">
        <w:rPr>
          <w:rFonts w:ascii="Calibri" w:eastAsia="Times New Roman" w:hAnsi="Calibri" w:cs="Times New Roman"/>
          <w:color w:val="1F497D"/>
          <w:sz w:val="24"/>
          <w:szCs w:val="24"/>
          <w:lang w:eastAsia="ko-KR"/>
        </w:rPr>
        <w:t>er countries would have refused</w:t>
      </w:r>
      <w:r w:rsidRPr="00730EF9">
        <w:rPr>
          <w:rFonts w:ascii="Calibri" w:eastAsia="Times New Roman" w:hAnsi="Calibri" w:cs="Times New Roman"/>
          <w:color w:val="1F497D"/>
          <w:sz w:val="24"/>
          <w:szCs w:val="24"/>
          <w:lang w:eastAsia="ko-KR"/>
        </w:rPr>
        <w:t xml:space="preserve"> and so there would have been no TPP, and (2) they would have had good reasons for refusing.  There is too much disagreement over what constitutes unfair currency manipulation.   </w:t>
      </w:r>
      <w:r w:rsidRPr="00572B5D">
        <w:rPr>
          <w:rFonts w:ascii="Calibri" w:eastAsia="Times New Roman" w:hAnsi="Calibri" w:cs="Times New Roman"/>
          <w:color w:val="1F497D"/>
          <w:sz w:val="24"/>
          <w:szCs w:val="24"/>
          <w:lang w:eastAsia="ko-KR"/>
        </w:rPr>
        <w:t xml:space="preserve">Some US </w:t>
      </w:r>
      <w:r w:rsidR="00572B5D" w:rsidRPr="00572B5D">
        <w:rPr>
          <w:rFonts w:ascii="Calibri" w:eastAsia="Times New Roman" w:hAnsi="Calibri" w:cs="Times New Roman"/>
          <w:color w:val="1F497D"/>
          <w:sz w:val="24"/>
          <w:szCs w:val="24"/>
          <w:lang w:eastAsia="ko-KR"/>
        </w:rPr>
        <w:t xml:space="preserve">interest groups and </w:t>
      </w:r>
      <w:r w:rsidRPr="00572B5D">
        <w:rPr>
          <w:rFonts w:ascii="Calibri" w:eastAsia="Times New Roman" w:hAnsi="Calibri" w:cs="Times New Roman"/>
          <w:color w:val="1F497D"/>
          <w:sz w:val="24"/>
          <w:szCs w:val="24"/>
          <w:lang w:eastAsia="ko-KR"/>
        </w:rPr>
        <w:t xml:space="preserve">congressmen, for example, think that China and </w:t>
      </w:r>
      <w:r w:rsidRPr="00730EF9">
        <w:rPr>
          <w:rFonts w:ascii="Calibri" w:eastAsia="Times New Roman" w:hAnsi="Calibri" w:cs="Times New Roman"/>
          <w:color w:val="1F497D"/>
          <w:sz w:val="24"/>
          <w:szCs w:val="24"/>
          <w:lang w:eastAsia="ko-KR"/>
        </w:rPr>
        <w:t>Japan</w:t>
      </w:r>
      <w:r w:rsidRPr="00572B5D">
        <w:rPr>
          <w:rFonts w:ascii="Calibri" w:eastAsia="Times New Roman" w:hAnsi="Calibri" w:cs="Times New Roman"/>
          <w:color w:val="1F497D"/>
          <w:sz w:val="24"/>
          <w:szCs w:val="24"/>
          <w:lang w:eastAsia="ko-KR"/>
        </w:rPr>
        <w:t xml:space="preserve"> </w:t>
      </w:r>
      <w:r w:rsidRPr="00730EF9">
        <w:rPr>
          <w:rFonts w:ascii="Calibri" w:eastAsia="Times New Roman" w:hAnsi="Calibri" w:cs="Times New Roman"/>
          <w:color w:val="1F497D"/>
          <w:sz w:val="24"/>
          <w:szCs w:val="24"/>
          <w:lang w:eastAsia="ko-KR"/>
        </w:rPr>
        <w:t xml:space="preserve">are </w:t>
      </w:r>
      <w:r w:rsidR="00572B5D" w:rsidRPr="00572B5D">
        <w:rPr>
          <w:rFonts w:ascii="Calibri" w:eastAsia="Times New Roman" w:hAnsi="Calibri" w:cs="Times New Roman"/>
          <w:color w:val="1F497D"/>
          <w:sz w:val="24"/>
          <w:szCs w:val="24"/>
          <w:lang w:eastAsia="ko-KR"/>
        </w:rPr>
        <w:t>manipulating their currencies</w:t>
      </w:r>
      <w:r w:rsidRPr="00730EF9">
        <w:rPr>
          <w:rFonts w:ascii="Calibri" w:eastAsia="Times New Roman" w:hAnsi="Calibri" w:cs="Times New Roman"/>
          <w:color w:val="1F497D"/>
          <w:sz w:val="24"/>
          <w:szCs w:val="24"/>
          <w:lang w:eastAsia="ko-KR"/>
        </w:rPr>
        <w:t xml:space="preserve"> right now.  So the provision would likely be mis-used.  </w:t>
      </w:r>
    </w:p>
    <w:p w:rsidR="00730EF9" w:rsidRPr="00730EF9" w:rsidRDefault="00730EF9" w:rsidP="00730EF9">
      <w:pPr>
        <w:spacing w:after="0" w:line="240" w:lineRule="auto"/>
        <w:rPr>
          <w:rFonts w:ascii="Times New Roman" w:eastAsia="Times New Roman" w:hAnsi="Times New Roman" w:cs="Times New Roman"/>
          <w:color w:val="000000"/>
          <w:sz w:val="16"/>
          <w:szCs w:val="16"/>
          <w:lang w:eastAsia="ko-KR"/>
        </w:rPr>
      </w:pPr>
      <w:r w:rsidRPr="00730EF9">
        <w:rPr>
          <w:rFonts w:ascii="Calibri" w:eastAsia="Times New Roman" w:hAnsi="Calibri" w:cs="Times New Roman"/>
          <w:color w:val="1F497D"/>
          <w:sz w:val="16"/>
          <w:szCs w:val="16"/>
          <w:lang w:eastAsia="ko-KR"/>
        </w:rPr>
        <w:t> </w:t>
      </w:r>
    </w:p>
    <w:p w:rsidR="00730EF9" w:rsidRPr="00572B5D" w:rsidRDefault="00730EF9" w:rsidP="00730EF9">
      <w:pPr>
        <w:spacing w:after="100" w:line="240" w:lineRule="auto"/>
        <w:rPr>
          <w:rFonts w:ascii="Times New Roman" w:eastAsia="Times New Roman" w:hAnsi="Times New Roman" w:cs="Times New Roman"/>
          <w:color w:val="000000"/>
          <w:sz w:val="24"/>
          <w:szCs w:val="24"/>
          <w:lang w:eastAsia="ko-KR"/>
        </w:rPr>
      </w:pPr>
      <w:r w:rsidRPr="00572B5D">
        <w:rPr>
          <w:rFonts w:ascii="Calibri" w:eastAsia="Times New Roman" w:hAnsi="Calibri" w:cs="Times New Roman"/>
          <w:color w:val="1F497D"/>
          <w:sz w:val="24"/>
          <w:szCs w:val="24"/>
          <w:lang w:eastAsia="ko-KR"/>
        </w:rPr>
        <w:t>An</w:t>
      </w:r>
      <w:r w:rsidRPr="00730EF9">
        <w:rPr>
          <w:rFonts w:ascii="Calibri" w:eastAsia="Times New Roman" w:hAnsi="Calibri" w:cs="Times New Roman"/>
          <w:color w:val="1F497D"/>
          <w:sz w:val="24"/>
          <w:szCs w:val="24"/>
          <w:lang w:eastAsia="ko-KR"/>
        </w:rPr>
        <w:t xml:space="preserve"> analogy </w:t>
      </w:r>
      <w:r w:rsidRPr="00572B5D">
        <w:rPr>
          <w:rFonts w:ascii="Calibri" w:eastAsia="Times New Roman" w:hAnsi="Calibri" w:cs="Times New Roman"/>
          <w:color w:val="1F497D"/>
          <w:sz w:val="24"/>
          <w:szCs w:val="24"/>
          <w:lang w:eastAsia="ko-KR"/>
        </w:rPr>
        <w:t xml:space="preserve">could be made </w:t>
      </w:r>
      <w:r w:rsidRPr="00730EF9">
        <w:rPr>
          <w:rFonts w:ascii="Calibri" w:eastAsia="Times New Roman" w:hAnsi="Calibri" w:cs="Times New Roman"/>
          <w:color w:val="1F497D"/>
          <w:sz w:val="24"/>
          <w:szCs w:val="24"/>
          <w:lang w:eastAsia="ko-KR"/>
        </w:rPr>
        <w:t>with anti-dumping legislation.  The original intellectual rationale for the legislation was predatory pricing.  And yet the way the laws ended up being written and</w:t>
      </w:r>
      <w:r w:rsidR="00572B5D">
        <w:rPr>
          <w:rFonts w:ascii="Calibri" w:eastAsia="Times New Roman" w:hAnsi="Calibri" w:cs="Times New Roman"/>
          <w:color w:val="1F497D"/>
          <w:sz w:val="24"/>
          <w:szCs w:val="24"/>
          <w:lang w:eastAsia="ko-KR"/>
        </w:rPr>
        <w:t xml:space="preserve"> enforced, the cases seldom</w:t>
      </w:r>
      <w:r w:rsidRPr="00730EF9">
        <w:rPr>
          <w:rFonts w:ascii="Calibri" w:eastAsia="Times New Roman" w:hAnsi="Calibri" w:cs="Times New Roman"/>
          <w:color w:val="1F497D"/>
          <w:sz w:val="24"/>
          <w:szCs w:val="24"/>
          <w:lang w:eastAsia="ko-KR"/>
        </w:rPr>
        <w:t xml:space="preserve"> involve predatory pricing.  AD countermeasures in practice are </w:t>
      </w:r>
      <w:r w:rsidRPr="00572B5D">
        <w:rPr>
          <w:rFonts w:ascii="Calibri" w:eastAsia="Times New Roman" w:hAnsi="Calibri" w:cs="Times New Roman"/>
          <w:color w:val="1F497D"/>
          <w:sz w:val="24"/>
          <w:szCs w:val="24"/>
          <w:lang w:eastAsia="ko-KR"/>
        </w:rPr>
        <w:t xml:space="preserve">usually a </w:t>
      </w:r>
      <w:r w:rsidRPr="00730EF9">
        <w:rPr>
          <w:rFonts w:ascii="Calibri" w:eastAsia="Times New Roman" w:hAnsi="Calibri" w:cs="Times New Roman"/>
          <w:color w:val="1F497D"/>
          <w:sz w:val="24"/>
          <w:szCs w:val="24"/>
          <w:lang w:eastAsia="ko-KR"/>
        </w:rPr>
        <w:t>disguised form of pr</w:t>
      </w:r>
      <w:r w:rsidRPr="00572B5D">
        <w:rPr>
          <w:rFonts w:ascii="Calibri" w:eastAsia="Times New Roman" w:hAnsi="Calibri" w:cs="Times New Roman"/>
          <w:color w:val="1F497D"/>
          <w:sz w:val="24"/>
          <w:szCs w:val="24"/>
          <w:lang w:eastAsia="ko-KR"/>
        </w:rPr>
        <w:t>otectionism.  The same c</w:t>
      </w:r>
      <w:r w:rsidRPr="00730EF9">
        <w:rPr>
          <w:rFonts w:ascii="Calibri" w:eastAsia="Times New Roman" w:hAnsi="Calibri" w:cs="Times New Roman"/>
          <w:color w:val="1F497D"/>
          <w:sz w:val="24"/>
          <w:szCs w:val="24"/>
          <w:lang w:eastAsia="ko-KR"/>
        </w:rPr>
        <w:t>ould happen with currency manipulation rules.</w:t>
      </w:r>
    </w:p>
    <w:p w:rsidR="004A648A" w:rsidRPr="004F61FA" w:rsidRDefault="00805E85" w:rsidP="008772E7">
      <w:pPr>
        <w:spacing w:line="240" w:lineRule="auto"/>
        <w:rPr>
          <w:color w:val="000000"/>
          <w:sz w:val="24"/>
          <w:szCs w:val="24"/>
          <w:shd w:val="clear" w:color="auto" w:fill="FFFFFF"/>
        </w:rPr>
      </w:pPr>
      <w:r>
        <w:rPr>
          <w:color w:val="000000"/>
          <w:sz w:val="24"/>
          <w:szCs w:val="24"/>
          <w:shd w:val="clear" w:color="auto" w:fill="FFFFFF"/>
        </w:rPr>
        <w:t>It is t</w:t>
      </w:r>
      <w:r w:rsidR="00BF1167" w:rsidRPr="004F61FA">
        <w:rPr>
          <w:color w:val="000000"/>
          <w:sz w:val="24"/>
          <w:szCs w:val="24"/>
          <w:shd w:val="clear" w:color="auto" w:fill="FFFFFF"/>
        </w:rPr>
        <w:t>rue</w:t>
      </w:r>
      <w:r>
        <w:rPr>
          <w:color w:val="000000"/>
          <w:sz w:val="24"/>
          <w:szCs w:val="24"/>
          <w:shd w:val="clear" w:color="auto" w:fill="FFFFFF"/>
        </w:rPr>
        <w:t xml:space="preserve"> that</w:t>
      </w:r>
      <w:r w:rsidR="00BF1167" w:rsidRPr="004F61FA">
        <w:rPr>
          <w:color w:val="000000"/>
          <w:sz w:val="24"/>
          <w:szCs w:val="24"/>
          <w:shd w:val="clear" w:color="auto" w:fill="FFFFFF"/>
        </w:rPr>
        <w:t xml:space="preserve"> there are times when </w:t>
      </w:r>
      <w:r>
        <w:rPr>
          <w:color w:val="000000"/>
          <w:sz w:val="24"/>
          <w:szCs w:val="24"/>
          <w:shd w:val="clear" w:color="auto" w:fill="FFFFFF"/>
        </w:rPr>
        <w:t xml:space="preserve">a </w:t>
      </w:r>
      <w:r w:rsidR="00BF1167" w:rsidRPr="004F61FA">
        <w:rPr>
          <w:color w:val="000000"/>
          <w:sz w:val="24"/>
          <w:szCs w:val="24"/>
          <w:shd w:val="clear" w:color="auto" w:fill="FFFFFF"/>
        </w:rPr>
        <w:t>particular countr</w:t>
      </w:r>
      <w:r>
        <w:rPr>
          <w:color w:val="000000"/>
          <w:sz w:val="24"/>
          <w:szCs w:val="24"/>
          <w:shd w:val="clear" w:color="auto" w:fill="FFFFFF"/>
        </w:rPr>
        <w:t>y’s currency</w:t>
      </w:r>
      <w:r w:rsidR="00BF1167" w:rsidRPr="004F61FA">
        <w:rPr>
          <w:color w:val="000000"/>
          <w:sz w:val="24"/>
          <w:szCs w:val="24"/>
          <w:shd w:val="clear" w:color="auto" w:fill="FFFFFF"/>
        </w:rPr>
        <w:t xml:space="preserve"> can be judged undervalued or overvalued and times when </w:t>
      </w:r>
      <w:r>
        <w:rPr>
          <w:color w:val="000000"/>
          <w:sz w:val="24"/>
          <w:szCs w:val="24"/>
          <w:shd w:val="clear" w:color="auto" w:fill="FFFFFF"/>
        </w:rPr>
        <w:t>its</w:t>
      </w:r>
      <w:r w:rsidR="00BF1167" w:rsidRPr="004F61FA">
        <w:rPr>
          <w:color w:val="000000"/>
          <w:sz w:val="24"/>
          <w:szCs w:val="24"/>
          <w:shd w:val="clear" w:color="auto" w:fill="FFFFFF"/>
        </w:rPr>
        <w:t xml:space="preserve"> trading partners have a legitimate interest in raising the</w:t>
      </w:r>
      <w:r w:rsidR="004A7B9A">
        <w:rPr>
          <w:color w:val="000000"/>
          <w:sz w:val="24"/>
          <w:szCs w:val="24"/>
          <w:shd w:val="clear" w:color="auto" w:fill="FFFFFF"/>
        </w:rPr>
        <w:t xml:space="preserve"> question with its government</w:t>
      </w:r>
      <w:r w:rsidR="00BF1167" w:rsidRPr="004F61FA">
        <w:rPr>
          <w:color w:val="000000"/>
          <w:sz w:val="24"/>
          <w:szCs w:val="24"/>
          <w:shd w:val="clear" w:color="auto" w:fill="FFFFFF"/>
        </w:rPr>
        <w:t xml:space="preserve">.  But </w:t>
      </w:r>
      <w:r w:rsidR="004A7B9A">
        <w:rPr>
          <w:color w:val="000000"/>
          <w:sz w:val="24"/>
          <w:szCs w:val="24"/>
          <w:shd w:val="clear" w:color="auto" w:fill="FFFFFF"/>
        </w:rPr>
        <w:t>in my view,</w:t>
      </w:r>
      <w:r w:rsidR="004A7B9A" w:rsidRPr="004F61FA">
        <w:rPr>
          <w:color w:val="000000"/>
          <w:sz w:val="24"/>
          <w:szCs w:val="24"/>
          <w:shd w:val="clear" w:color="auto" w:fill="FFFFFF"/>
        </w:rPr>
        <w:t xml:space="preserve"> </w:t>
      </w:r>
      <w:r w:rsidR="00BF1167" w:rsidRPr="004F61FA">
        <w:rPr>
          <w:color w:val="000000"/>
          <w:sz w:val="24"/>
          <w:szCs w:val="24"/>
          <w:shd w:val="clear" w:color="auto" w:fill="FFFFFF"/>
        </w:rPr>
        <w:t xml:space="preserve">even in those </w:t>
      </w:r>
      <w:r w:rsidR="004A7B9A">
        <w:rPr>
          <w:color w:val="000000"/>
          <w:sz w:val="24"/>
          <w:szCs w:val="24"/>
          <w:shd w:val="clear" w:color="auto" w:fill="FFFFFF"/>
        </w:rPr>
        <w:t xml:space="preserve">rare </w:t>
      </w:r>
      <w:r w:rsidR="00BF1167" w:rsidRPr="004F61FA">
        <w:rPr>
          <w:color w:val="000000"/>
          <w:sz w:val="24"/>
          <w:szCs w:val="24"/>
          <w:shd w:val="clear" w:color="auto" w:fill="FFFFFF"/>
        </w:rPr>
        <w:t>cases when the currency misalignment is relatively clear, trade agreements are not the right venue to address</w:t>
      </w:r>
      <w:r w:rsidR="004A7B9A">
        <w:rPr>
          <w:color w:val="000000"/>
          <w:sz w:val="24"/>
          <w:szCs w:val="24"/>
          <w:shd w:val="clear" w:color="auto" w:fill="FFFFFF"/>
        </w:rPr>
        <w:t xml:space="preserve"> it</w:t>
      </w:r>
      <w:r w:rsidR="004F61FA">
        <w:rPr>
          <w:color w:val="000000"/>
          <w:sz w:val="24"/>
          <w:szCs w:val="24"/>
          <w:shd w:val="clear" w:color="auto" w:fill="FFFFFF"/>
        </w:rPr>
        <w:t>.  The</w:t>
      </w:r>
      <w:r w:rsidR="007A67B0">
        <w:rPr>
          <w:color w:val="000000"/>
          <w:sz w:val="24"/>
          <w:szCs w:val="24"/>
          <w:shd w:val="clear" w:color="auto" w:fill="FFFFFF"/>
        </w:rPr>
        <w:t xml:space="preserve"> </w:t>
      </w:r>
      <w:r w:rsidR="00BF1167" w:rsidRPr="004F61FA">
        <w:rPr>
          <w:color w:val="000000"/>
          <w:sz w:val="24"/>
          <w:szCs w:val="24"/>
          <w:bdr w:val="none" w:sz="0" w:space="0" w:color="auto" w:frame="1"/>
          <w:shd w:val="clear" w:color="auto" w:fill="FFFFFF"/>
        </w:rPr>
        <w:t>undervalued RMB</w:t>
      </w:r>
      <w:r w:rsidR="004A648A" w:rsidRPr="004F61FA">
        <w:rPr>
          <w:color w:val="000000"/>
          <w:sz w:val="24"/>
          <w:szCs w:val="24"/>
          <w:shd w:val="clear" w:color="auto" w:fill="FFFFFF"/>
        </w:rPr>
        <w:t xml:space="preserve"> </w:t>
      </w:r>
      <w:r w:rsidR="00BF1167" w:rsidRPr="004F61FA">
        <w:rPr>
          <w:color w:val="000000"/>
          <w:sz w:val="24"/>
          <w:szCs w:val="24"/>
          <w:shd w:val="clear" w:color="auto" w:fill="FFFFFF"/>
        </w:rPr>
        <w:t>was </w:t>
      </w:r>
      <w:r w:rsidR="00BF1167" w:rsidRPr="004F61FA">
        <w:rPr>
          <w:color w:val="000000"/>
          <w:sz w:val="24"/>
          <w:szCs w:val="24"/>
          <w:bdr w:val="none" w:sz="0" w:space="0" w:color="auto" w:frame="1"/>
          <w:shd w:val="clear" w:color="auto" w:fill="FFFFFF"/>
        </w:rPr>
        <w:t>addressed</w:t>
      </w:r>
      <w:r w:rsidR="004A648A" w:rsidRPr="004F61FA">
        <w:rPr>
          <w:color w:val="000000"/>
          <w:sz w:val="24"/>
          <w:szCs w:val="24"/>
          <w:shd w:val="clear" w:color="auto" w:fill="FFFFFF"/>
        </w:rPr>
        <w:t xml:space="preserve"> </w:t>
      </w:r>
      <w:r w:rsidR="00BF1167" w:rsidRPr="004F61FA">
        <w:rPr>
          <w:color w:val="000000"/>
          <w:sz w:val="24"/>
          <w:szCs w:val="24"/>
          <w:shd w:val="clear" w:color="auto" w:fill="FFFFFF"/>
        </w:rPr>
        <w:t>in bilateral China-US discussions, 2</w:t>
      </w:r>
      <w:r w:rsidR="007A67B0">
        <w:rPr>
          <w:color w:val="000000"/>
          <w:sz w:val="24"/>
          <w:szCs w:val="24"/>
          <w:shd w:val="clear" w:color="auto" w:fill="FFFFFF"/>
        </w:rPr>
        <w:t>004-11, eventually with success:</w:t>
      </w:r>
      <w:r w:rsidR="00BF1167" w:rsidRPr="004F61FA">
        <w:rPr>
          <w:color w:val="000000"/>
          <w:sz w:val="24"/>
          <w:szCs w:val="24"/>
          <w:shd w:val="clear" w:color="auto" w:fill="FFFFFF"/>
        </w:rPr>
        <w:t xml:space="preserve"> China allowed the currency to appreciate 35% over time. </w:t>
      </w:r>
      <w:r w:rsidR="00BF1167" w:rsidRPr="004F61FA">
        <w:rPr>
          <w:rStyle w:val="apple-converted-space"/>
          <w:color w:val="000000"/>
          <w:sz w:val="24"/>
          <w:szCs w:val="24"/>
          <w:shd w:val="clear" w:color="auto" w:fill="FFFFFF"/>
        </w:rPr>
        <w:t> </w:t>
      </w:r>
      <w:r w:rsidR="00BF1167" w:rsidRPr="004F61FA">
        <w:rPr>
          <w:color w:val="000000"/>
          <w:sz w:val="24"/>
          <w:szCs w:val="24"/>
          <w:bdr w:val="none" w:sz="0" w:space="0" w:color="auto" w:frame="1"/>
          <w:shd w:val="clear" w:color="auto" w:fill="FFFFFF"/>
        </w:rPr>
        <w:t>Today</w:t>
      </w:r>
      <w:r w:rsidR="00BF1167" w:rsidRPr="004F61FA">
        <w:rPr>
          <w:rStyle w:val="apple-converted-space"/>
          <w:color w:val="000000"/>
          <w:sz w:val="24"/>
          <w:szCs w:val="24"/>
          <w:shd w:val="clear" w:color="auto" w:fill="FFFFFF"/>
        </w:rPr>
        <w:t> </w:t>
      </w:r>
      <w:r w:rsidR="00BF1167" w:rsidRPr="004F61FA">
        <w:rPr>
          <w:color w:val="000000"/>
          <w:sz w:val="24"/>
          <w:szCs w:val="24"/>
          <w:shd w:val="clear" w:color="auto" w:fill="FFFFFF"/>
        </w:rPr>
        <w:t>it is well within a</w:t>
      </w:r>
      <w:r w:rsidR="00BF1167" w:rsidRPr="004F61FA">
        <w:rPr>
          <w:rStyle w:val="apple-converted-space"/>
          <w:color w:val="000000"/>
          <w:sz w:val="24"/>
          <w:szCs w:val="24"/>
          <w:shd w:val="clear" w:color="auto" w:fill="FFFFFF"/>
        </w:rPr>
        <w:t> </w:t>
      </w:r>
      <w:r w:rsidR="00BF1167" w:rsidRPr="004F61FA">
        <w:rPr>
          <w:color w:val="000000"/>
          <w:sz w:val="24"/>
          <w:szCs w:val="24"/>
          <w:bdr w:val="none" w:sz="0" w:space="0" w:color="auto" w:frame="1"/>
          <w:shd w:val="clear" w:color="auto" w:fill="FFFFFF"/>
        </w:rPr>
        <w:t>normal range</w:t>
      </w:r>
      <w:r w:rsidR="00BF1167" w:rsidRPr="004F61FA">
        <w:rPr>
          <w:color w:val="000000"/>
          <w:sz w:val="24"/>
          <w:szCs w:val="24"/>
          <w:shd w:val="clear" w:color="auto" w:fill="FFFFFF"/>
        </w:rPr>
        <w:t>.</w:t>
      </w:r>
      <w:r w:rsidR="00534577" w:rsidRPr="004F61FA">
        <w:rPr>
          <w:rStyle w:val="FootnoteReference"/>
          <w:color w:val="000000"/>
          <w:sz w:val="24"/>
          <w:szCs w:val="24"/>
          <w:shd w:val="clear" w:color="auto" w:fill="FFFFFF"/>
        </w:rPr>
        <w:footnoteReference w:id="39"/>
      </w:r>
      <w:r w:rsidR="004A648A" w:rsidRPr="004F61FA">
        <w:rPr>
          <w:color w:val="000000"/>
          <w:sz w:val="24"/>
          <w:szCs w:val="24"/>
          <w:shd w:val="clear" w:color="auto" w:fill="FFFFFF"/>
        </w:rPr>
        <w:t xml:space="preserve">  Although </w:t>
      </w:r>
      <w:r w:rsidR="004A648A" w:rsidRPr="004F61FA">
        <w:rPr>
          <w:rStyle w:val="apple-converted-space"/>
          <w:color w:val="000000"/>
          <w:sz w:val="24"/>
          <w:szCs w:val="24"/>
          <w:shd w:val="clear" w:color="auto" w:fill="FFFFFF"/>
        </w:rPr>
        <w:t>t</w:t>
      </w:r>
      <w:r w:rsidR="004A648A" w:rsidRPr="004F61FA">
        <w:rPr>
          <w:color w:val="000000"/>
          <w:sz w:val="24"/>
          <w:szCs w:val="24"/>
          <w:shd w:val="clear" w:color="auto" w:fill="FFFFFF"/>
        </w:rPr>
        <w:t xml:space="preserve">he People’s Bank of China did indeed buy up huge quantities of dollars in exchange for renminbi from 2004 to 2014, and thereby kept its currency from appreciating as fast as it otherwise would have, </w:t>
      </w:r>
      <w:r w:rsidR="00E4645D" w:rsidRPr="004F61FA">
        <w:rPr>
          <w:color w:val="000000"/>
          <w:sz w:val="24"/>
          <w:szCs w:val="24"/>
          <w:shd w:val="clear" w:color="auto" w:fill="FFFFFF"/>
        </w:rPr>
        <w:t xml:space="preserve">it </w:t>
      </w:r>
      <w:r w:rsidR="004A648A" w:rsidRPr="004F61FA">
        <w:rPr>
          <w:color w:val="000000"/>
          <w:sz w:val="24"/>
          <w:szCs w:val="24"/>
          <w:shd w:val="clear" w:color="auto" w:fill="FFFFFF"/>
        </w:rPr>
        <w:t>stopped doing that in 2014.</w:t>
      </w:r>
      <w:r w:rsidR="004A648A" w:rsidRPr="004F61FA">
        <w:rPr>
          <w:rStyle w:val="FootnoteReference"/>
          <w:color w:val="000000"/>
          <w:sz w:val="24"/>
          <w:szCs w:val="24"/>
          <w:shd w:val="clear" w:color="auto" w:fill="FFFFFF"/>
        </w:rPr>
        <w:footnoteReference w:id="40"/>
      </w:r>
      <w:r w:rsidR="004A648A" w:rsidRPr="004F61FA">
        <w:rPr>
          <w:color w:val="000000"/>
          <w:sz w:val="24"/>
          <w:szCs w:val="24"/>
          <w:shd w:val="clear" w:color="auto" w:fill="FFFFFF"/>
        </w:rPr>
        <w:t xml:space="preserve">  </w:t>
      </w:r>
    </w:p>
    <w:p w:rsidR="005A72D4" w:rsidRPr="004F61FA" w:rsidRDefault="005A72D4" w:rsidP="008772E7">
      <w:pPr>
        <w:shd w:val="clear" w:color="auto" w:fill="FFFFFF"/>
        <w:spacing w:before="100" w:beforeAutospacing="1" w:after="100" w:afterAutospacing="1" w:line="240" w:lineRule="auto"/>
        <w:textAlignment w:val="baseline"/>
        <w:rPr>
          <w:color w:val="000000"/>
          <w:sz w:val="24"/>
          <w:szCs w:val="24"/>
        </w:rPr>
      </w:pPr>
      <w:r w:rsidRPr="004F61FA">
        <w:rPr>
          <w:rStyle w:val="apple-converted-space"/>
          <w:color w:val="000000"/>
          <w:sz w:val="24"/>
          <w:szCs w:val="24"/>
        </w:rPr>
        <w:lastRenderedPageBreak/>
        <w:t xml:space="preserve">China </w:t>
      </w:r>
      <w:r w:rsidRPr="004F61FA">
        <w:rPr>
          <w:color w:val="000000"/>
          <w:sz w:val="24"/>
          <w:szCs w:val="24"/>
        </w:rPr>
        <w:t>isn’t even in the TPP, nor in the TTIP.</w:t>
      </w:r>
      <w:r w:rsidR="004A648A" w:rsidRPr="004F61FA">
        <w:rPr>
          <w:color w:val="000000"/>
          <w:sz w:val="24"/>
          <w:szCs w:val="24"/>
        </w:rPr>
        <w:t xml:space="preserve"> </w:t>
      </w:r>
      <w:r w:rsidRPr="004F61FA">
        <w:rPr>
          <w:color w:val="000000"/>
          <w:sz w:val="24"/>
          <w:szCs w:val="24"/>
        </w:rPr>
        <w:t xml:space="preserve"> </w:t>
      </w:r>
      <w:r w:rsidRPr="004F61FA">
        <w:rPr>
          <w:rStyle w:val="Emphasis"/>
          <w:color w:val="000000"/>
          <w:sz w:val="24"/>
          <w:szCs w:val="24"/>
          <w:bdr w:val="none" w:sz="0" w:space="0" w:color="auto" w:frame="1"/>
        </w:rPr>
        <w:t>Japan</w:t>
      </w:r>
      <w:r w:rsidRPr="004F61FA">
        <w:rPr>
          <w:rStyle w:val="apple-converted-space"/>
          <w:color w:val="000000"/>
          <w:sz w:val="24"/>
          <w:szCs w:val="24"/>
        </w:rPr>
        <w:t> </w:t>
      </w:r>
      <w:r w:rsidRPr="004F61FA">
        <w:rPr>
          <w:color w:val="000000"/>
          <w:sz w:val="24"/>
          <w:szCs w:val="24"/>
        </w:rPr>
        <w:t xml:space="preserve">is in the TPP and it is true that the yen depreciated a lot over 2014-15.  Some US economic interests, particularly the auto industry, accuse Japan of manipulation to keep the yen unfairly undervalued.  Many congressional critics cite Japan as the target of their proposals to insist that currency manipulation language be part of the TPP.  But </w:t>
      </w:r>
      <w:r w:rsidR="007A67B0">
        <w:rPr>
          <w:color w:val="000000"/>
          <w:sz w:val="24"/>
          <w:szCs w:val="24"/>
        </w:rPr>
        <w:t xml:space="preserve">as </w:t>
      </w:r>
      <w:r w:rsidR="007314EE" w:rsidRPr="004F61FA">
        <w:rPr>
          <w:color w:val="000000"/>
          <w:sz w:val="24"/>
          <w:szCs w:val="24"/>
        </w:rPr>
        <w:t xml:space="preserve">we have already noted that </w:t>
      </w:r>
      <w:r w:rsidRPr="004F61FA">
        <w:rPr>
          <w:color w:val="000000"/>
          <w:sz w:val="24"/>
          <w:szCs w:val="24"/>
        </w:rPr>
        <w:t xml:space="preserve">the Bank of Japan </w:t>
      </w:r>
      <w:r w:rsidR="00E4645D" w:rsidRPr="004F61FA">
        <w:rPr>
          <w:color w:val="000000"/>
          <w:sz w:val="24"/>
          <w:szCs w:val="24"/>
        </w:rPr>
        <w:t>has stopped intervening</w:t>
      </w:r>
      <w:r w:rsidRPr="004F61FA">
        <w:rPr>
          <w:color w:val="000000"/>
          <w:sz w:val="24"/>
          <w:szCs w:val="24"/>
        </w:rPr>
        <w:t xml:space="preserve"> in the for</w:t>
      </w:r>
      <w:r w:rsidR="007314EE" w:rsidRPr="004F61FA">
        <w:rPr>
          <w:color w:val="000000"/>
          <w:sz w:val="24"/>
          <w:szCs w:val="24"/>
        </w:rPr>
        <w:t>eign exchange market</w:t>
      </w:r>
      <w:r w:rsidR="00E4645D" w:rsidRPr="004F61FA">
        <w:rPr>
          <w:color w:val="000000"/>
          <w:sz w:val="24"/>
          <w:szCs w:val="24"/>
        </w:rPr>
        <w:t>, beyond one episode in</w:t>
      </w:r>
      <w:r w:rsidR="007314EE" w:rsidRPr="004F61FA">
        <w:rPr>
          <w:color w:val="000000"/>
          <w:sz w:val="24"/>
          <w:szCs w:val="24"/>
        </w:rPr>
        <w:t xml:space="preserve"> 2011.</w:t>
      </w:r>
      <w:r w:rsidRPr="004F61FA">
        <w:rPr>
          <w:color w:val="000000"/>
          <w:sz w:val="24"/>
          <w:szCs w:val="24"/>
        </w:rPr>
        <w:t xml:space="preserve"> In 2013 Japan joined </w:t>
      </w:r>
      <w:r w:rsidR="007A67B0">
        <w:rPr>
          <w:color w:val="000000"/>
          <w:sz w:val="24"/>
          <w:szCs w:val="24"/>
        </w:rPr>
        <w:t xml:space="preserve">the </w:t>
      </w:r>
      <w:r w:rsidRPr="004F61FA">
        <w:rPr>
          <w:color w:val="000000"/>
          <w:sz w:val="24"/>
          <w:szCs w:val="24"/>
        </w:rPr>
        <w:t>othe</w:t>
      </w:r>
      <w:r w:rsidR="007314EE" w:rsidRPr="004F61FA">
        <w:rPr>
          <w:color w:val="000000"/>
          <w:sz w:val="24"/>
          <w:szCs w:val="24"/>
        </w:rPr>
        <w:t xml:space="preserve">r G-7 countries in agreeing to </w:t>
      </w:r>
      <w:r w:rsidRPr="004F61FA">
        <w:rPr>
          <w:color w:val="000000"/>
          <w:sz w:val="24"/>
          <w:szCs w:val="24"/>
        </w:rPr>
        <w:t xml:space="preserve">refrain from </w:t>
      </w:r>
      <w:r w:rsidR="007A67B0">
        <w:rPr>
          <w:color w:val="000000"/>
          <w:sz w:val="24"/>
          <w:szCs w:val="24"/>
        </w:rPr>
        <w:t>foreign exchange intervention.</w:t>
      </w:r>
    </w:p>
    <w:p w:rsidR="002222A0" w:rsidRPr="00572B5D" w:rsidRDefault="005A72D4" w:rsidP="008772E7">
      <w:pPr>
        <w:pStyle w:val="NormalWeb"/>
        <w:shd w:val="clear" w:color="auto" w:fill="FFFFFF"/>
        <w:textAlignment w:val="baseline"/>
        <w:rPr>
          <w:rFonts w:asciiTheme="minorHAnsi" w:hAnsiTheme="minorHAnsi"/>
          <w:color w:val="000000"/>
        </w:rPr>
      </w:pPr>
      <w:r w:rsidRPr="004F61FA">
        <w:rPr>
          <w:rFonts w:asciiTheme="minorHAnsi" w:hAnsiTheme="minorHAnsi"/>
          <w:color w:val="000000"/>
        </w:rPr>
        <w:t>Similarly with Europe: members of the Eurozone are in the TTIP negotiations; the euro too has depre</w:t>
      </w:r>
      <w:r w:rsidR="00814EFE">
        <w:rPr>
          <w:rFonts w:asciiTheme="minorHAnsi" w:hAnsiTheme="minorHAnsi"/>
          <w:color w:val="000000"/>
        </w:rPr>
        <w:t>ciated a lot over the last year.</w:t>
      </w:r>
      <w:r w:rsidRPr="004F61FA">
        <w:rPr>
          <w:rFonts w:asciiTheme="minorHAnsi" w:hAnsiTheme="minorHAnsi"/>
          <w:color w:val="000000"/>
        </w:rPr>
        <w:t xml:space="preserve"> But the European Central Bank has not intervened </w:t>
      </w:r>
      <w:r w:rsidR="00814EFE">
        <w:rPr>
          <w:rFonts w:asciiTheme="minorHAnsi" w:hAnsiTheme="minorHAnsi"/>
          <w:color w:val="000000"/>
        </w:rPr>
        <w:t>to push down the euro</w:t>
      </w:r>
      <w:r w:rsidRPr="004F61FA">
        <w:rPr>
          <w:rFonts w:asciiTheme="minorHAnsi" w:hAnsiTheme="minorHAnsi"/>
          <w:color w:val="000000"/>
        </w:rPr>
        <w:t>.  The ECB was party to the 2013 agreement not to intervene as well.</w:t>
      </w:r>
      <w:r w:rsidR="004A648A" w:rsidRPr="004F61FA">
        <w:rPr>
          <w:rFonts w:asciiTheme="minorHAnsi" w:hAnsiTheme="minorHAnsi"/>
          <w:color w:val="000000"/>
        </w:rPr>
        <w:t xml:space="preserve"> </w:t>
      </w:r>
    </w:p>
    <w:p w:rsidR="00284EC9" w:rsidRPr="002222A0" w:rsidRDefault="00284EC9" w:rsidP="008772E7">
      <w:pPr>
        <w:pStyle w:val="NormalWeb"/>
        <w:shd w:val="clear" w:color="auto" w:fill="FFFFFF"/>
        <w:textAlignment w:val="baseline"/>
        <w:rPr>
          <w:rFonts w:asciiTheme="minorHAnsi" w:hAnsiTheme="minorHAnsi"/>
          <w:b/>
          <w:color w:val="444444"/>
        </w:rPr>
      </w:pPr>
      <w:r w:rsidRPr="002222A0">
        <w:rPr>
          <w:rFonts w:asciiTheme="minorHAnsi" w:hAnsiTheme="minorHAnsi"/>
          <w:b/>
          <w:color w:val="444444"/>
        </w:rPr>
        <w:t>3.3  Does</w:t>
      </w:r>
      <w:r w:rsidR="000A467E" w:rsidRPr="002222A0">
        <w:rPr>
          <w:rFonts w:asciiTheme="minorHAnsi" w:hAnsiTheme="minorHAnsi"/>
          <w:b/>
          <w:color w:val="444444"/>
        </w:rPr>
        <w:t xml:space="preserve"> m</w:t>
      </w:r>
      <w:r w:rsidRPr="002222A0">
        <w:rPr>
          <w:rFonts w:asciiTheme="minorHAnsi" w:hAnsiTheme="minorHAnsi"/>
          <w:b/>
          <w:color w:val="444444"/>
        </w:rPr>
        <w:t xml:space="preserve">onetary </w:t>
      </w:r>
      <w:r w:rsidR="000A467E" w:rsidRPr="002222A0">
        <w:rPr>
          <w:rFonts w:asciiTheme="minorHAnsi" w:hAnsiTheme="minorHAnsi"/>
          <w:b/>
          <w:color w:val="444444"/>
        </w:rPr>
        <w:t>s</w:t>
      </w:r>
      <w:r w:rsidRPr="002222A0">
        <w:rPr>
          <w:rFonts w:asciiTheme="minorHAnsi" w:hAnsiTheme="minorHAnsi"/>
          <w:b/>
          <w:color w:val="444444"/>
        </w:rPr>
        <w:t xml:space="preserve">timulus </w:t>
      </w:r>
      <w:r w:rsidR="000A467E" w:rsidRPr="002222A0">
        <w:rPr>
          <w:rFonts w:asciiTheme="minorHAnsi" w:hAnsiTheme="minorHAnsi"/>
          <w:b/>
          <w:color w:val="444444"/>
        </w:rPr>
        <w:t>c</w:t>
      </w:r>
      <w:r w:rsidRPr="002222A0">
        <w:rPr>
          <w:rFonts w:asciiTheme="minorHAnsi" w:hAnsiTheme="minorHAnsi"/>
          <w:b/>
          <w:color w:val="444444"/>
        </w:rPr>
        <w:t xml:space="preserve">onstitute </w:t>
      </w:r>
      <w:r w:rsidR="000A467E" w:rsidRPr="002222A0">
        <w:rPr>
          <w:rFonts w:asciiTheme="minorHAnsi" w:hAnsiTheme="minorHAnsi"/>
          <w:b/>
          <w:color w:val="444444"/>
        </w:rPr>
        <w:t>c</w:t>
      </w:r>
      <w:r w:rsidRPr="002222A0">
        <w:rPr>
          <w:rFonts w:asciiTheme="minorHAnsi" w:hAnsiTheme="minorHAnsi"/>
          <w:b/>
          <w:color w:val="444444"/>
        </w:rPr>
        <w:t xml:space="preserve">urrency </w:t>
      </w:r>
      <w:r w:rsidR="000A467E" w:rsidRPr="002222A0">
        <w:rPr>
          <w:rFonts w:asciiTheme="minorHAnsi" w:hAnsiTheme="minorHAnsi"/>
          <w:b/>
          <w:color w:val="444444"/>
        </w:rPr>
        <w:t>m</w:t>
      </w:r>
      <w:r w:rsidRPr="002222A0">
        <w:rPr>
          <w:rFonts w:asciiTheme="minorHAnsi" w:hAnsiTheme="minorHAnsi"/>
          <w:b/>
          <w:color w:val="444444"/>
        </w:rPr>
        <w:t>anipulation?</w:t>
      </w:r>
    </w:p>
    <w:p w:rsidR="002222A0" w:rsidRPr="002222A0" w:rsidRDefault="002222A0" w:rsidP="008772E7">
      <w:pPr>
        <w:spacing w:line="240" w:lineRule="auto"/>
        <w:rPr>
          <w:color w:val="444444"/>
          <w:sz w:val="24"/>
          <w:szCs w:val="24"/>
        </w:rPr>
      </w:pPr>
      <w:r w:rsidRPr="002222A0">
        <w:rPr>
          <w:sz w:val="24"/>
          <w:szCs w:val="24"/>
        </w:rPr>
        <w:t>Of those who focus on currency manipulation some, such as Gagnon (2012, 2013), specify that foreign exchange intervention is a necessary criterion in the definition of currency manipulation (not a sufficient condition, of course; nobody expects all countries to float freely all the time).   Others believe that monetary stimulus even without intervention can qualify as currency manipulation.   The latter sort of policy was not at stake at the Plaza.</w:t>
      </w:r>
    </w:p>
    <w:p w:rsidR="002222A0" w:rsidRPr="002222A0" w:rsidRDefault="002222A0" w:rsidP="008772E7">
      <w:pPr>
        <w:spacing w:line="240" w:lineRule="auto"/>
        <w:rPr>
          <w:color w:val="444444"/>
          <w:sz w:val="24"/>
          <w:szCs w:val="24"/>
        </w:rPr>
      </w:pPr>
      <w:r w:rsidRPr="004A7B9A">
        <w:rPr>
          <w:sz w:val="24"/>
          <w:szCs w:val="24"/>
        </w:rPr>
        <w:t xml:space="preserve">Both Japan and the ECB have undertaken substantial monetary easing since 2013, which explains some of the depreciation of their currencies.  This is what US critics of TPA, TPP and TTIP have in mind when they accuse Japan and Europe of currency manipulation.  But monetary expansion is not currency manipulation.  For one thing, countries can hardly be blamed for undertaking monetary stimulus when domestic economic conditions require it.   As the US Treasury explains to the domestic critics, that is what the United States did with its Quantitative Easing of 2008-2012, which is the context in which </w:t>
      </w:r>
      <w:r w:rsidRPr="002222A0">
        <w:rPr>
          <w:sz w:val="24"/>
          <w:szCs w:val="24"/>
        </w:rPr>
        <w:t xml:space="preserve">Brazilian Minister Guido Mantega, </w:t>
      </w:r>
      <w:r w:rsidR="00730EF9">
        <w:rPr>
          <w:sz w:val="24"/>
          <w:szCs w:val="24"/>
        </w:rPr>
        <w:t xml:space="preserve">backed up by President Dilma Rousseff, </w:t>
      </w:r>
      <w:r w:rsidRPr="002222A0">
        <w:rPr>
          <w:sz w:val="24"/>
          <w:szCs w:val="24"/>
        </w:rPr>
        <w:t xml:space="preserve">originally coined the term “currency war.”  </w:t>
      </w:r>
    </w:p>
    <w:p w:rsidR="002222A0" w:rsidRPr="004A7B9A" w:rsidRDefault="002222A0" w:rsidP="008772E7">
      <w:pPr>
        <w:spacing w:line="240" w:lineRule="auto"/>
        <w:rPr>
          <w:sz w:val="24"/>
          <w:szCs w:val="24"/>
        </w:rPr>
      </w:pPr>
      <w:r w:rsidRPr="004A7B9A">
        <w:rPr>
          <w:sz w:val="24"/>
          <w:szCs w:val="24"/>
        </w:rPr>
        <w:t>Furthermore, when monetary stimulus is the cause of currency manipulation, as opposed to sterilized foreign exchange intervention, the presumption of a negative impact on other countries’ economies via the trade balance disappears.  Counteracting the effect via the exchange rate and consequent expenditure-switching is the intended increase in income and consequent boost to imports.</w:t>
      </w:r>
    </w:p>
    <w:p w:rsidR="002222A0" w:rsidRPr="004A7B9A" w:rsidRDefault="002222A0" w:rsidP="008772E7">
      <w:pPr>
        <w:spacing w:line="240" w:lineRule="auto"/>
        <w:rPr>
          <w:sz w:val="24"/>
          <w:szCs w:val="24"/>
        </w:rPr>
      </w:pPr>
      <w:r w:rsidRPr="004A7B9A">
        <w:rPr>
          <w:sz w:val="24"/>
          <w:szCs w:val="24"/>
        </w:rPr>
        <w:t xml:space="preserve">Finally is the point that even if the expenditure-switching effect of monetary stimulus dominates the expenditure-increasing effect, so that there is an overall loss of demand to trading partner countries, this is not the end of the question.   Countries need not be passive.   They can respond to a loss in demand with macroeconomic stimulus of their own.   </w:t>
      </w:r>
    </w:p>
    <w:p w:rsidR="001E4786" w:rsidRPr="002222A0" w:rsidRDefault="00284EC9" w:rsidP="008772E7">
      <w:pPr>
        <w:spacing w:line="240" w:lineRule="auto"/>
        <w:rPr>
          <w:sz w:val="24"/>
          <w:szCs w:val="24"/>
        </w:rPr>
      </w:pPr>
      <w:r w:rsidRPr="002222A0">
        <w:rPr>
          <w:sz w:val="24"/>
          <w:szCs w:val="24"/>
        </w:rPr>
        <w:t xml:space="preserve">There is an </w:t>
      </w:r>
      <w:r w:rsidR="001E4786" w:rsidRPr="002222A0">
        <w:rPr>
          <w:sz w:val="24"/>
          <w:szCs w:val="24"/>
        </w:rPr>
        <w:t xml:space="preserve">argument </w:t>
      </w:r>
      <w:r w:rsidRPr="002222A0">
        <w:rPr>
          <w:sz w:val="24"/>
          <w:szCs w:val="24"/>
        </w:rPr>
        <w:t xml:space="preserve">for </w:t>
      </w:r>
      <w:r w:rsidR="001E4786" w:rsidRPr="002222A0">
        <w:rPr>
          <w:sz w:val="24"/>
          <w:szCs w:val="24"/>
        </w:rPr>
        <w:t>our time</w:t>
      </w:r>
      <w:r w:rsidR="00E34AEA" w:rsidRPr="002222A0">
        <w:rPr>
          <w:sz w:val="24"/>
          <w:szCs w:val="24"/>
        </w:rPr>
        <w:t xml:space="preserve"> </w:t>
      </w:r>
      <w:r w:rsidRPr="002222A0">
        <w:rPr>
          <w:sz w:val="24"/>
          <w:szCs w:val="24"/>
        </w:rPr>
        <w:t xml:space="preserve">that is </w:t>
      </w:r>
      <w:r w:rsidR="00E34AEA" w:rsidRPr="002222A0">
        <w:rPr>
          <w:sz w:val="24"/>
          <w:szCs w:val="24"/>
        </w:rPr>
        <w:t xml:space="preserve">analogous to the Eichengreen-Sachs </w:t>
      </w:r>
      <w:r w:rsidR="007F7279" w:rsidRPr="002222A0">
        <w:rPr>
          <w:sz w:val="24"/>
          <w:szCs w:val="24"/>
        </w:rPr>
        <w:t xml:space="preserve">(1985, </w:t>
      </w:r>
      <w:r w:rsidR="002222A0">
        <w:rPr>
          <w:sz w:val="24"/>
          <w:szCs w:val="24"/>
        </w:rPr>
        <w:t>19</w:t>
      </w:r>
      <w:r w:rsidR="007F7279" w:rsidRPr="002222A0">
        <w:rPr>
          <w:sz w:val="24"/>
          <w:szCs w:val="24"/>
        </w:rPr>
        <w:t xml:space="preserve">86) </w:t>
      </w:r>
      <w:r w:rsidR="00E34AEA" w:rsidRPr="002222A0">
        <w:rPr>
          <w:sz w:val="24"/>
          <w:szCs w:val="24"/>
        </w:rPr>
        <w:t>reinterpretation of the 1930s</w:t>
      </w:r>
      <w:r w:rsidR="001E4786" w:rsidRPr="002222A0">
        <w:rPr>
          <w:sz w:val="24"/>
          <w:szCs w:val="24"/>
        </w:rPr>
        <w:t>.</w:t>
      </w:r>
      <w:r w:rsidR="00965AA9" w:rsidRPr="002222A0">
        <w:rPr>
          <w:rStyle w:val="FootnoteReference"/>
          <w:sz w:val="24"/>
          <w:szCs w:val="24"/>
        </w:rPr>
        <w:footnoteReference w:id="41"/>
      </w:r>
      <w:r w:rsidR="001E4786" w:rsidRPr="002222A0">
        <w:rPr>
          <w:sz w:val="24"/>
          <w:szCs w:val="24"/>
        </w:rPr>
        <w:t xml:space="preserve"> </w:t>
      </w:r>
      <w:r w:rsidR="007F7279" w:rsidRPr="002222A0">
        <w:rPr>
          <w:sz w:val="24"/>
          <w:szCs w:val="24"/>
        </w:rPr>
        <w:t xml:space="preserve"> </w:t>
      </w:r>
      <w:r w:rsidR="002222A0">
        <w:rPr>
          <w:sz w:val="24"/>
          <w:szCs w:val="24"/>
        </w:rPr>
        <w:t>Yes, U.S. developments</w:t>
      </w:r>
      <w:r w:rsidR="00E34AEA" w:rsidRPr="002222A0">
        <w:rPr>
          <w:sz w:val="24"/>
          <w:szCs w:val="24"/>
        </w:rPr>
        <w:t xml:space="preserve"> have major impacts on other countries even when exchange rates are floating.</w:t>
      </w:r>
      <w:r w:rsidR="00E34AEA" w:rsidRPr="002222A0">
        <w:rPr>
          <w:rStyle w:val="FootnoteReference"/>
          <w:sz w:val="24"/>
          <w:szCs w:val="24"/>
        </w:rPr>
        <w:footnoteReference w:id="42"/>
      </w:r>
      <w:r w:rsidR="00E34AEA" w:rsidRPr="002222A0">
        <w:rPr>
          <w:sz w:val="24"/>
          <w:szCs w:val="24"/>
        </w:rPr>
        <w:t xml:space="preserve">  But i</w:t>
      </w:r>
      <w:r w:rsidR="001E4786" w:rsidRPr="002222A0">
        <w:rPr>
          <w:sz w:val="24"/>
          <w:szCs w:val="24"/>
        </w:rPr>
        <w:t xml:space="preserve">f trading partners don’t like the implications for </w:t>
      </w:r>
      <w:r w:rsidR="001E4786" w:rsidRPr="002222A0">
        <w:rPr>
          <w:sz w:val="24"/>
          <w:szCs w:val="24"/>
        </w:rPr>
        <w:lastRenderedPageBreak/>
        <w:t>them of a dollar depreciati</w:t>
      </w:r>
      <w:r w:rsidR="007F7279" w:rsidRPr="002222A0">
        <w:rPr>
          <w:sz w:val="24"/>
          <w:szCs w:val="24"/>
        </w:rPr>
        <w:t xml:space="preserve">on such as resulted in 2010-11 </w:t>
      </w:r>
      <w:r w:rsidR="001E4786" w:rsidRPr="002222A0">
        <w:rPr>
          <w:sz w:val="24"/>
          <w:szCs w:val="24"/>
        </w:rPr>
        <w:t xml:space="preserve">from the second round of US quantitative easing, their central banks are free to ease their own monetary policies </w:t>
      </w:r>
      <w:r w:rsidR="007F7279" w:rsidRPr="002222A0">
        <w:rPr>
          <w:sz w:val="24"/>
          <w:szCs w:val="24"/>
        </w:rPr>
        <w:t xml:space="preserve">in return </w:t>
      </w:r>
      <w:r w:rsidR="001E4786" w:rsidRPr="002222A0">
        <w:rPr>
          <w:sz w:val="24"/>
          <w:szCs w:val="24"/>
        </w:rPr>
        <w:t xml:space="preserve">(buying domestic assets) or even intervene in the foreign exchange market (buying dollars) and thus </w:t>
      </w:r>
      <w:r w:rsidR="007F7279" w:rsidRPr="002222A0">
        <w:rPr>
          <w:sz w:val="24"/>
          <w:szCs w:val="24"/>
        </w:rPr>
        <w:t xml:space="preserve">to </w:t>
      </w:r>
      <w:r w:rsidR="001E4786" w:rsidRPr="002222A0">
        <w:rPr>
          <w:sz w:val="24"/>
          <w:szCs w:val="24"/>
        </w:rPr>
        <w:t xml:space="preserve">prevent the </w:t>
      </w:r>
      <w:r w:rsidR="007F7279" w:rsidRPr="002222A0">
        <w:rPr>
          <w:sz w:val="24"/>
          <w:szCs w:val="24"/>
        </w:rPr>
        <w:t xml:space="preserve">unwanted </w:t>
      </w:r>
      <w:r w:rsidR="001E4786" w:rsidRPr="002222A0">
        <w:rPr>
          <w:sz w:val="24"/>
          <w:szCs w:val="24"/>
        </w:rPr>
        <w:t>appreciatio</w:t>
      </w:r>
      <w:r w:rsidR="002222A0">
        <w:rPr>
          <w:sz w:val="24"/>
          <w:szCs w:val="24"/>
        </w:rPr>
        <w:t>n of their own currencies.  Th</w:t>
      </w:r>
      <w:r w:rsidR="001E4786" w:rsidRPr="002222A0">
        <w:rPr>
          <w:sz w:val="24"/>
          <w:szCs w:val="24"/>
        </w:rPr>
        <w:t xml:space="preserve">is </w:t>
      </w:r>
      <w:r w:rsidR="004A7B9A">
        <w:rPr>
          <w:sz w:val="24"/>
          <w:szCs w:val="24"/>
        </w:rPr>
        <w:t xml:space="preserve">is </w:t>
      </w:r>
      <w:r w:rsidR="001E4786" w:rsidRPr="002222A0">
        <w:rPr>
          <w:sz w:val="24"/>
          <w:szCs w:val="24"/>
        </w:rPr>
        <w:t xml:space="preserve">what China and many other emerging market countries did during that period.   The currency wars critique is right in the indisputable respect that not every country can depreciate its currency, by definition.   But it does not follow that a system in which every central bank is buying assets (domestic or foreign) is a system in which everybody is worse off.   To the contrary, it may </w:t>
      </w:r>
      <w:r w:rsidR="002222A0">
        <w:rPr>
          <w:sz w:val="24"/>
          <w:szCs w:val="24"/>
        </w:rPr>
        <w:t xml:space="preserve">even be </w:t>
      </w:r>
      <w:r w:rsidR="001E4786" w:rsidRPr="002222A0">
        <w:rPr>
          <w:sz w:val="24"/>
          <w:szCs w:val="24"/>
        </w:rPr>
        <w:t xml:space="preserve">the sort of global monetary </w:t>
      </w:r>
      <w:r w:rsidR="007F7279" w:rsidRPr="002222A0">
        <w:rPr>
          <w:sz w:val="24"/>
          <w:szCs w:val="24"/>
        </w:rPr>
        <w:t xml:space="preserve">expansion that the world needs </w:t>
      </w:r>
      <w:r w:rsidR="001E4786" w:rsidRPr="002222A0">
        <w:rPr>
          <w:sz w:val="24"/>
          <w:szCs w:val="24"/>
        </w:rPr>
        <w:t xml:space="preserve">during a time </w:t>
      </w:r>
      <w:r w:rsidR="007F7279" w:rsidRPr="002222A0">
        <w:rPr>
          <w:sz w:val="24"/>
          <w:szCs w:val="24"/>
        </w:rPr>
        <w:t xml:space="preserve">such as the 1930s or </w:t>
      </w:r>
      <w:r w:rsidR="001E4786" w:rsidRPr="002222A0">
        <w:rPr>
          <w:sz w:val="24"/>
          <w:szCs w:val="24"/>
        </w:rPr>
        <w:t>such as the aftermath of</w:t>
      </w:r>
      <w:r w:rsidRPr="002222A0">
        <w:rPr>
          <w:sz w:val="24"/>
          <w:szCs w:val="24"/>
        </w:rPr>
        <w:t xml:space="preserve"> the 2008-09 global recession.</w:t>
      </w:r>
      <w:r w:rsidR="007E551B">
        <w:rPr>
          <w:sz w:val="24"/>
          <w:szCs w:val="24"/>
        </w:rPr>
        <w:br/>
      </w:r>
    </w:p>
    <w:p w:rsidR="00E9077B" w:rsidRPr="006543D7" w:rsidRDefault="001E4786" w:rsidP="008772E7">
      <w:pPr>
        <w:spacing w:line="240" w:lineRule="auto"/>
        <w:rPr>
          <w:sz w:val="24"/>
          <w:szCs w:val="24"/>
        </w:rPr>
      </w:pPr>
      <w:r w:rsidRPr="006543D7">
        <w:rPr>
          <w:b/>
          <w:sz w:val="24"/>
          <w:szCs w:val="24"/>
        </w:rPr>
        <w:t xml:space="preserve">4. </w:t>
      </w:r>
      <w:r w:rsidR="00095AF8" w:rsidRPr="006543D7">
        <w:rPr>
          <w:b/>
          <w:sz w:val="24"/>
          <w:szCs w:val="24"/>
        </w:rPr>
        <w:t>Conclusion</w:t>
      </w:r>
      <w:r w:rsidR="00BA0D2A">
        <w:rPr>
          <w:b/>
          <w:sz w:val="24"/>
          <w:szCs w:val="24"/>
        </w:rPr>
        <w:t>: Is It</w:t>
      </w:r>
      <w:r w:rsidR="006543D7">
        <w:rPr>
          <w:b/>
          <w:sz w:val="24"/>
          <w:szCs w:val="24"/>
        </w:rPr>
        <w:t xml:space="preserve"> Time for Another Plaza</w:t>
      </w:r>
      <w:r w:rsidR="009C0D8F">
        <w:rPr>
          <w:b/>
          <w:sz w:val="24"/>
          <w:szCs w:val="24"/>
        </w:rPr>
        <w:t>, 30 Years Later</w:t>
      </w:r>
      <w:r w:rsidR="006543D7">
        <w:rPr>
          <w:b/>
          <w:sz w:val="24"/>
          <w:szCs w:val="24"/>
        </w:rPr>
        <w:t>?</w:t>
      </w:r>
    </w:p>
    <w:p w:rsidR="00580558" w:rsidRDefault="00034E2E" w:rsidP="008772E7">
      <w:pPr>
        <w:spacing w:line="240" w:lineRule="auto"/>
        <w:rPr>
          <w:sz w:val="24"/>
          <w:szCs w:val="24"/>
        </w:rPr>
      </w:pPr>
      <w:r w:rsidRPr="006543D7">
        <w:rPr>
          <w:sz w:val="24"/>
          <w:szCs w:val="24"/>
        </w:rPr>
        <w:t>Although the G-7 countries have not found a need to intervene in their foreign exchange markets in recent years, it would be short-sighted to think that this will always be the state of affairs.   C</w:t>
      </w:r>
      <w:r w:rsidR="00095AF8" w:rsidRPr="006543D7">
        <w:rPr>
          <w:sz w:val="24"/>
          <w:szCs w:val="24"/>
        </w:rPr>
        <w:t xml:space="preserve">oordinated intervention </w:t>
      </w:r>
      <w:r w:rsidR="00A72174">
        <w:rPr>
          <w:sz w:val="24"/>
          <w:szCs w:val="24"/>
        </w:rPr>
        <w:t xml:space="preserve">is </w:t>
      </w:r>
      <w:r w:rsidR="00095AF8" w:rsidRPr="006543D7">
        <w:rPr>
          <w:sz w:val="24"/>
          <w:szCs w:val="24"/>
        </w:rPr>
        <w:t xml:space="preserve">a legitimate option.   </w:t>
      </w:r>
      <w:r w:rsidRPr="006543D7">
        <w:rPr>
          <w:sz w:val="24"/>
          <w:szCs w:val="24"/>
        </w:rPr>
        <w:t xml:space="preserve">Almost by definition, if a set of major countries jointly agree to intervention operations, they must believe it is in their interests.   </w:t>
      </w:r>
      <w:r w:rsidR="00A72174">
        <w:rPr>
          <w:sz w:val="24"/>
          <w:szCs w:val="24"/>
        </w:rPr>
        <w:t>We do not need a</w:t>
      </w:r>
      <w:r w:rsidR="003F7EA4" w:rsidRPr="006543D7">
        <w:rPr>
          <w:sz w:val="24"/>
          <w:szCs w:val="24"/>
        </w:rPr>
        <w:t xml:space="preserve"> set of rigid multilateral rules either prohibiting intervention </w:t>
      </w:r>
      <w:r w:rsidR="00A72174">
        <w:rPr>
          <w:sz w:val="24"/>
          <w:szCs w:val="24"/>
        </w:rPr>
        <w:t>or requiring</w:t>
      </w:r>
      <w:r w:rsidR="003F7EA4" w:rsidRPr="006543D7">
        <w:rPr>
          <w:sz w:val="24"/>
          <w:szCs w:val="24"/>
        </w:rPr>
        <w:t xml:space="preserve">, particularly not in the context of trade rules.  </w:t>
      </w:r>
    </w:p>
    <w:p w:rsidR="00034E2E" w:rsidRPr="006543D7" w:rsidRDefault="00034E2E" w:rsidP="008772E7">
      <w:pPr>
        <w:spacing w:line="240" w:lineRule="auto"/>
        <w:rPr>
          <w:sz w:val="24"/>
          <w:szCs w:val="24"/>
        </w:rPr>
      </w:pPr>
      <w:r w:rsidRPr="006543D7">
        <w:rPr>
          <w:sz w:val="24"/>
          <w:szCs w:val="24"/>
        </w:rPr>
        <w:t>Intervention is most likely to make sense in those infrequent occasions when the exchange rate has wandered far away from macroeconomic fundamentals</w:t>
      </w:r>
      <w:r w:rsidR="00521555" w:rsidRPr="006543D7">
        <w:rPr>
          <w:sz w:val="24"/>
          <w:szCs w:val="24"/>
        </w:rPr>
        <w:t xml:space="preserve"> as it had by early 1985.</w:t>
      </w:r>
      <w:r w:rsidRPr="006543D7">
        <w:rPr>
          <w:sz w:val="24"/>
          <w:szCs w:val="24"/>
        </w:rPr>
        <w:t xml:space="preserve"> The weakness of the euro in 2000-2001 and the strength of the yen in 2011</w:t>
      </w:r>
      <w:r w:rsidR="00521555" w:rsidRPr="006543D7">
        <w:rPr>
          <w:sz w:val="24"/>
          <w:szCs w:val="24"/>
        </w:rPr>
        <w:t xml:space="preserve"> were two such</w:t>
      </w:r>
      <w:r w:rsidR="00080638" w:rsidRPr="006543D7">
        <w:rPr>
          <w:sz w:val="24"/>
          <w:szCs w:val="24"/>
        </w:rPr>
        <w:t xml:space="preserve"> “misalignments</w:t>
      </w:r>
      <w:r w:rsidR="00891BF0">
        <w:rPr>
          <w:sz w:val="24"/>
          <w:szCs w:val="24"/>
        </w:rPr>
        <w:t>.</w:t>
      </w:r>
      <w:r w:rsidR="00080638" w:rsidRPr="006543D7">
        <w:rPr>
          <w:sz w:val="24"/>
          <w:szCs w:val="24"/>
        </w:rPr>
        <w:t>”</w:t>
      </w:r>
      <w:r w:rsidR="00080638" w:rsidRPr="006543D7">
        <w:rPr>
          <w:rStyle w:val="FootnoteReference"/>
          <w:sz w:val="24"/>
          <w:szCs w:val="24"/>
        </w:rPr>
        <w:footnoteReference w:id="43"/>
      </w:r>
      <w:r w:rsidR="00521555" w:rsidRPr="006543D7">
        <w:rPr>
          <w:sz w:val="24"/>
          <w:szCs w:val="24"/>
        </w:rPr>
        <w:t xml:space="preserve"> </w:t>
      </w:r>
      <w:r w:rsidRPr="006543D7">
        <w:rPr>
          <w:sz w:val="24"/>
          <w:szCs w:val="24"/>
        </w:rPr>
        <w:t xml:space="preserve"> As it happens they are also the most recent two </w:t>
      </w:r>
      <w:r w:rsidR="00080638" w:rsidRPr="006543D7">
        <w:rPr>
          <w:sz w:val="24"/>
          <w:szCs w:val="24"/>
        </w:rPr>
        <w:t xml:space="preserve">occasions on which </w:t>
      </w:r>
      <w:r w:rsidRPr="006543D7">
        <w:rPr>
          <w:sz w:val="24"/>
          <w:szCs w:val="24"/>
        </w:rPr>
        <w:t>the US joined with partners in concerted foreign exchange intervention.</w:t>
      </w:r>
      <w:r w:rsidR="00080638" w:rsidRPr="006543D7">
        <w:rPr>
          <w:sz w:val="24"/>
          <w:szCs w:val="24"/>
        </w:rPr>
        <w:t xml:space="preserve">   </w:t>
      </w:r>
      <w:r w:rsidR="00521555" w:rsidRPr="006543D7">
        <w:rPr>
          <w:sz w:val="24"/>
          <w:szCs w:val="24"/>
        </w:rPr>
        <w:t xml:space="preserve">One might have argued that the euro was again getting close to meeting the criterion </w:t>
      </w:r>
      <w:r w:rsidR="00080638" w:rsidRPr="006543D7">
        <w:rPr>
          <w:sz w:val="24"/>
          <w:szCs w:val="24"/>
        </w:rPr>
        <w:t>(</w:t>
      </w:r>
      <w:r w:rsidR="00521555" w:rsidRPr="006543D7">
        <w:rPr>
          <w:sz w:val="24"/>
          <w:szCs w:val="24"/>
        </w:rPr>
        <w:t>in the</w:t>
      </w:r>
      <w:r w:rsidR="00080638" w:rsidRPr="006543D7">
        <w:rPr>
          <w:sz w:val="24"/>
          <w:szCs w:val="24"/>
        </w:rPr>
        <w:t xml:space="preserve"> </w:t>
      </w:r>
      <w:r w:rsidR="00521555" w:rsidRPr="006543D7">
        <w:rPr>
          <w:sz w:val="24"/>
          <w:szCs w:val="24"/>
        </w:rPr>
        <w:t>other direction</w:t>
      </w:r>
      <w:r w:rsidR="00580558">
        <w:rPr>
          <w:sz w:val="24"/>
          <w:szCs w:val="24"/>
        </w:rPr>
        <w:t>)</w:t>
      </w:r>
      <w:r w:rsidR="002222A0">
        <w:rPr>
          <w:sz w:val="24"/>
          <w:szCs w:val="24"/>
        </w:rPr>
        <w:t xml:space="preserve"> when</w:t>
      </w:r>
      <w:r w:rsidR="00521555" w:rsidRPr="006543D7">
        <w:rPr>
          <w:sz w:val="24"/>
          <w:szCs w:val="24"/>
        </w:rPr>
        <w:t xml:space="preserve"> it strengthened in early 2014 despite v</w:t>
      </w:r>
      <w:r w:rsidR="00891BF0">
        <w:rPr>
          <w:sz w:val="24"/>
          <w:szCs w:val="24"/>
        </w:rPr>
        <w:t xml:space="preserve">ery low growth </w:t>
      </w:r>
      <w:r w:rsidR="00521555" w:rsidRPr="006543D7">
        <w:rPr>
          <w:sz w:val="24"/>
          <w:szCs w:val="24"/>
        </w:rPr>
        <w:t>in the eurozone.</w:t>
      </w:r>
      <w:r w:rsidR="00942DEC" w:rsidRPr="006543D7">
        <w:rPr>
          <w:rStyle w:val="FootnoteReference"/>
          <w:sz w:val="24"/>
          <w:szCs w:val="24"/>
        </w:rPr>
        <w:footnoteReference w:id="44"/>
      </w:r>
      <w:r w:rsidR="00521555" w:rsidRPr="006543D7">
        <w:rPr>
          <w:sz w:val="24"/>
          <w:szCs w:val="24"/>
        </w:rPr>
        <w:t xml:space="preserve">   But on that occasion ECB plans for quantitative easing</w:t>
      </w:r>
      <w:r w:rsidR="00580558">
        <w:rPr>
          <w:sz w:val="24"/>
          <w:szCs w:val="24"/>
        </w:rPr>
        <w:t xml:space="preserve">, </w:t>
      </w:r>
      <w:r w:rsidR="00521555" w:rsidRPr="006543D7">
        <w:rPr>
          <w:sz w:val="24"/>
          <w:szCs w:val="24"/>
        </w:rPr>
        <w:t>which eventually went into effect in January 2015</w:t>
      </w:r>
      <w:r w:rsidR="00580558">
        <w:rPr>
          <w:sz w:val="24"/>
          <w:szCs w:val="24"/>
        </w:rPr>
        <w:t>,</w:t>
      </w:r>
      <w:r w:rsidR="00521555" w:rsidRPr="006543D7">
        <w:rPr>
          <w:sz w:val="24"/>
          <w:szCs w:val="24"/>
        </w:rPr>
        <w:t xml:space="preserve"> </w:t>
      </w:r>
      <w:r w:rsidR="00942DEC" w:rsidRPr="006543D7">
        <w:rPr>
          <w:sz w:val="24"/>
          <w:szCs w:val="24"/>
        </w:rPr>
        <w:t xml:space="preserve">soon </w:t>
      </w:r>
      <w:r w:rsidR="00521555" w:rsidRPr="006543D7">
        <w:rPr>
          <w:sz w:val="24"/>
          <w:szCs w:val="24"/>
        </w:rPr>
        <w:t>succeeded in depreciating the euro to a more appropriate level.</w:t>
      </w:r>
    </w:p>
    <w:p w:rsidR="00034E2E" w:rsidRPr="006543D7" w:rsidRDefault="00306D5D" w:rsidP="008772E7">
      <w:pPr>
        <w:spacing w:line="240" w:lineRule="auto"/>
        <w:rPr>
          <w:sz w:val="24"/>
          <w:szCs w:val="24"/>
        </w:rPr>
      </w:pPr>
      <w:r w:rsidRPr="006543D7">
        <w:rPr>
          <w:sz w:val="24"/>
          <w:szCs w:val="24"/>
        </w:rPr>
        <w:t>The dollar appreciated 18% from mid-2014 to mid-2015. The US trade balance is expected to deteriorate as a result.</w:t>
      </w:r>
      <w:r w:rsidR="00E9077B" w:rsidRPr="006543D7">
        <w:rPr>
          <w:sz w:val="24"/>
          <w:szCs w:val="24"/>
        </w:rPr>
        <w:t xml:space="preserve">  Congressional worries over trade</w:t>
      </w:r>
      <w:r w:rsidR="00580558">
        <w:rPr>
          <w:sz w:val="24"/>
          <w:szCs w:val="24"/>
        </w:rPr>
        <w:t xml:space="preserve"> have again been strong enough </w:t>
      </w:r>
      <w:r w:rsidR="00E9077B" w:rsidRPr="006543D7">
        <w:rPr>
          <w:sz w:val="24"/>
          <w:szCs w:val="24"/>
        </w:rPr>
        <w:t xml:space="preserve">in recent years to seriously endanger President Obama efforts to negotiate trade agreements.   </w:t>
      </w:r>
      <w:r w:rsidRPr="006543D7">
        <w:rPr>
          <w:sz w:val="24"/>
          <w:szCs w:val="24"/>
        </w:rPr>
        <w:t xml:space="preserve">Some have asked whether </w:t>
      </w:r>
      <w:r w:rsidR="00E9077B" w:rsidRPr="006543D7">
        <w:rPr>
          <w:sz w:val="24"/>
          <w:szCs w:val="24"/>
        </w:rPr>
        <w:t xml:space="preserve">the dollar </w:t>
      </w:r>
      <w:r w:rsidRPr="006543D7">
        <w:rPr>
          <w:sz w:val="24"/>
          <w:szCs w:val="24"/>
        </w:rPr>
        <w:t>might be getting</w:t>
      </w:r>
      <w:r w:rsidR="00E9077B" w:rsidRPr="006543D7">
        <w:rPr>
          <w:sz w:val="24"/>
          <w:szCs w:val="24"/>
        </w:rPr>
        <w:t xml:space="preserve"> close to the level where “another Plaza” is called for, to bring down the dollar as in 1985.</w:t>
      </w:r>
      <w:r w:rsidR="00552AAE">
        <w:rPr>
          <w:rStyle w:val="FootnoteReference"/>
          <w:sz w:val="24"/>
          <w:szCs w:val="24"/>
        </w:rPr>
        <w:footnoteReference w:id="45"/>
      </w:r>
      <w:r w:rsidR="00E9077B" w:rsidRPr="006543D7">
        <w:rPr>
          <w:sz w:val="24"/>
          <w:szCs w:val="24"/>
        </w:rPr>
        <w:t xml:space="preserve">   The answer is no. </w:t>
      </w:r>
      <w:r w:rsidR="00ED773E">
        <w:rPr>
          <w:sz w:val="24"/>
          <w:szCs w:val="24"/>
        </w:rPr>
        <w:t xml:space="preserve">  The situation is rather different.</w:t>
      </w:r>
      <w:r w:rsidR="00ED773E">
        <w:rPr>
          <w:rStyle w:val="FootnoteReference"/>
          <w:sz w:val="24"/>
          <w:szCs w:val="24"/>
        </w:rPr>
        <w:footnoteReference w:id="46"/>
      </w:r>
    </w:p>
    <w:p w:rsidR="00B93569" w:rsidRPr="006543D7" w:rsidRDefault="009705D2" w:rsidP="008772E7">
      <w:pPr>
        <w:pStyle w:val="NormalWeb"/>
        <w:shd w:val="clear" w:color="auto" w:fill="FFFFFF"/>
        <w:spacing w:before="0" w:beforeAutospacing="0" w:after="0" w:afterAutospacing="0"/>
        <w:textAlignment w:val="baseline"/>
        <w:rPr>
          <w:rFonts w:asciiTheme="minorHAnsi" w:hAnsiTheme="minorHAnsi"/>
          <w:color w:val="000000"/>
        </w:rPr>
      </w:pPr>
      <w:r w:rsidRPr="006543D7">
        <w:rPr>
          <w:rFonts w:asciiTheme="minorHAnsi" w:hAnsiTheme="minorHAnsi"/>
          <w:color w:val="000000"/>
        </w:rPr>
        <w:lastRenderedPageBreak/>
        <w:t xml:space="preserve">For one thing, the dollar's recent appreciation is nowhere near as big as it was leading up to 1985, or </w:t>
      </w:r>
      <w:r w:rsidR="00ED12B5" w:rsidRPr="006543D7">
        <w:rPr>
          <w:rFonts w:asciiTheme="minorHAnsi" w:hAnsiTheme="minorHAnsi"/>
          <w:color w:val="000000"/>
        </w:rPr>
        <w:t>even 2001</w:t>
      </w:r>
      <w:r w:rsidR="006543D7">
        <w:rPr>
          <w:rFonts w:asciiTheme="minorHAnsi" w:hAnsiTheme="minorHAnsi"/>
          <w:color w:val="000000"/>
        </w:rPr>
        <w:t xml:space="preserve">.  </w:t>
      </w:r>
      <w:r w:rsidRPr="006543D7">
        <w:rPr>
          <w:rFonts w:asciiTheme="minorHAnsi" w:hAnsiTheme="minorHAnsi"/>
          <w:color w:val="000000"/>
        </w:rPr>
        <w:t xml:space="preserve">For another thing, unlike </w:t>
      </w:r>
      <w:r w:rsidR="00ED12B5" w:rsidRPr="006543D7">
        <w:rPr>
          <w:rFonts w:asciiTheme="minorHAnsi" w:hAnsiTheme="minorHAnsi"/>
          <w:color w:val="000000"/>
        </w:rPr>
        <w:t>then</w:t>
      </w:r>
      <w:r w:rsidRPr="006543D7">
        <w:rPr>
          <w:rFonts w:asciiTheme="minorHAnsi" w:hAnsiTheme="minorHAnsi"/>
          <w:color w:val="000000"/>
        </w:rPr>
        <w:t xml:space="preserve">, </w:t>
      </w:r>
      <w:r w:rsidR="00B93569" w:rsidRPr="006543D7">
        <w:rPr>
          <w:rFonts w:asciiTheme="minorHAnsi" w:hAnsiTheme="minorHAnsi"/>
          <w:color w:val="000000"/>
        </w:rPr>
        <w:t xml:space="preserve">the </w:t>
      </w:r>
      <w:r w:rsidRPr="006543D7">
        <w:rPr>
          <w:rFonts w:asciiTheme="minorHAnsi" w:hAnsiTheme="minorHAnsi"/>
          <w:color w:val="000000"/>
        </w:rPr>
        <w:t xml:space="preserve">elementary </w:t>
      </w:r>
      <w:r w:rsidR="00B93569" w:rsidRPr="006543D7">
        <w:rPr>
          <w:rFonts w:asciiTheme="minorHAnsi" w:hAnsiTheme="minorHAnsi"/>
          <w:color w:val="000000"/>
        </w:rPr>
        <w:t xml:space="preserve">macroeconomic fundamentals </w:t>
      </w:r>
      <w:r w:rsidRPr="006543D7">
        <w:rPr>
          <w:rFonts w:asciiTheme="minorHAnsi" w:hAnsiTheme="minorHAnsi"/>
          <w:color w:val="000000"/>
        </w:rPr>
        <w:t>of textbook theories explain the recent appreciation</w:t>
      </w:r>
      <w:r w:rsidR="00B93569" w:rsidRPr="006543D7">
        <w:rPr>
          <w:rFonts w:asciiTheme="minorHAnsi" w:hAnsiTheme="minorHAnsi"/>
          <w:color w:val="000000"/>
        </w:rPr>
        <w:t xml:space="preserve"> episode unusu</w:t>
      </w:r>
      <w:r w:rsidRPr="006543D7">
        <w:rPr>
          <w:rFonts w:asciiTheme="minorHAnsi" w:hAnsiTheme="minorHAnsi"/>
          <w:color w:val="000000"/>
        </w:rPr>
        <w:t xml:space="preserve">ally well. The U.S. economy </w:t>
      </w:r>
      <w:r w:rsidR="00B93569" w:rsidRPr="006543D7">
        <w:rPr>
          <w:rFonts w:asciiTheme="minorHAnsi" w:hAnsiTheme="minorHAnsi"/>
          <w:color w:val="000000"/>
        </w:rPr>
        <w:t>performed re</w:t>
      </w:r>
      <w:r w:rsidRPr="006543D7">
        <w:rPr>
          <w:rFonts w:asciiTheme="minorHAnsi" w:hAnsiTheme="minorHAnsi"/>
          <w:color w:val="000000"/>
        </w:rPr>
        <w:t xml:space="preserve">latively strongly from mid-2014 to mid-2015 -- </w:t>
      </w:r>
      <w:r w:rsidR="00B93569" w:rsidRPr="006543D7">
        <w:rPr>
          <w:rFonts w:asciiTheme="minorHAnsi" w:hAnsiTheme="minorHAnsi"/>
          <w:color w:val="000000"/>
        </w:rPr>
        <w:t xml:space="preserve">compared to </w:t>
      </w:r>
      <w:r w:rsidR="00ED12B5" w:rsidRPr="006543D7">
        <w:rPr>
          <w:rFonts w:asciiTheme="minorHAnsi" w:hAnsiTheme="minorHAnsi"/>
          <w:color w:val="000000"/>
        </w:rPr>
        <w:t xml:space="preserve">the </w:t>
      </w:r>
      <w:r w:rsidR="00B93569" w:rsidRPr="006543D7">
        <w:rPr>
          <w:rFonts w:asciiTheme="minorHAnsi" w:hAnsiTheme="minorHAnsi"/>
          <w:color w:val="000000"/>
        </w:rPr>
        <w:t>preceding</w:t>
      </w:r>
      <w:r w:rsidRPr="006543D7">
        <w:rPr>
          <w:rFonts w:asciiTheme="minorHAnsi" w:hAnsiTheme="minorHAnsi"/>
          <w:color w:val="000000"/>
        </w:rPr>
        <w:t xml:space="preserve"> </w:t>
      </w:r>
      <w:r w:rsidR="00ED12B5" w:rsidRPr="006543D7">
        <w:rPr>
          <w:rFonts w:asciiTheme="minorHAnsi" w:hAnsiTheme="minorHAnsi"/>
          <w:color w:val="000000"/>
        </w:rPr>
        <w:t xml:space="preserve">six years or compared to </w:t>
      </w:r>
      <w:r w:rsidRPr="006543D7">
        <w:rPr>
          <w:rFonts w:asciiTheme="minorHAnsi" w:hAnsiTheme="minorHAnsi"/>
          <w:color w:val="000000"/>
        </w:rPr>
        <w:t>other countries</w:t>
      </w:r>
      <w:r w:rsidR="00B93569" w:rsidRPr="006543D7">
        <w:rPr>
          <w:rFonts w:asciiTheme="minorHAnsi" w:hAnsiTheme="minorHAnsi"/>
          <w:color w:val="000000"/>
        </w:rPr>
        <w:t xml:space="preserve">. </w:t>
      </w:r>
      <w:r w:rsidRPr="006543D7">
        <w:rPr>
          <w:rFonts w:asciiTheme="minorHAnsi" w:hAnsiTheme="minorHAnsi"/>
          <w:color w:val="000000"/>
        </w:rPr>
        <w:t xml:space="preserve"> </w:t>
      </w:r>
      <w:r w:rsidR="00B93569" w:rsidRPr="006543D7">
        <w:rPr>
          <w:rFonts w:asciiTheme="minorHAnsi" w:hAnsiTheme="minorHAnsi"/>
          <w:color w:val="000000"/>
        </w:rPr>
        <w:t>This is why</w:t>
      </w:r>
      <w:r w:rsidR="00D33EB2">
        <w:rPr>
          <w:rFonts w:asciiTheme="minorHAnsi" w:hAnsiTheme="minorHAnsi"/>
          <w:color w:val="000000"/>
        </w:rPr>
        <w:t xml:space="preserve"> </w:t>
      </w:r>
      <w:r w:rsidR="00B93569" w:rsidRPr="006543D7">
        <w:rPr>
          <w:rFonts w:asciiTheme="minorHAnsi" w:hAnsiTheme="minorHAnsi"/>
          <w:color w:val="000000"/>
        </w:rPr>
        <w:t xml:space="preserve">the Fed </w:t>
      </w:r>
      <w:r w:rsidR="00D33EB2">
        <w:rPr>
          <w:rFonts w:asciiTheme="minorHAnsi" w:hAnsiTheme="minorHAnsi"/>
          <w:color w:val="000000"/>
        </w:rPr>
        <w:t xml:space="preserve">ended quantitative </w:t>
      </w:r>
      <w:r w:rsidR="00814EFE">
        <w:rPr>
          <w:rFonts w:asciiTheme="minorHAnsi" w:hAnsiTheme="minorHAnsi"/>
          <w:color w:val="000000"/>
        </w:rPr>
        <w:t>easing in 2014 and</w:t>
      </w:r>
      <w:r w:rsidR="00D33EB2">
        <w:rPr>
          <w:rFonts w:asciiTheme="minorHAnsi" w:hAnsiTheme="minorHAnsi"/>
          <w:color w:val="000000"/>
        </w:rPr>
        <w:t xml:space="preserve"> </w:t>
      </w:r>
      <w:r w:rsidR="00B93569" w:rsidRPr="006543D7">
        <w:rPr>
          <w:rFonts w:asciiTheme="minorHAnsi" w:hAnsiTheme="minorHAnsi"/>
          <w:color w:val="000000"/>
        </w:rPr>
        <w:t xml:space="preserve">is </w:t>
      </w:r>
      <w:r w:rsidR="00D33EB2">
        <w:rPr>
          <w:rFonts w:asciiTheme="minorHAnsi" w:hAnsiTheme="minorHAnsi"/>
          <w:color w:val="000000"/>
        </w:rPr>
        <w:t xml:space="preserve">said to be </w:t>
      </w:r>
      <w:r w:rsidR="00B93569" w:rsidRPr="006543D7">
        <w:rPr>
          <w:rFonts w:asciiTheme="minorHAnsi" w:hAnsiTheme="minorHAnsi"/>
          <w:color w:val="000000"/>
        </w:rPr>
        <w:t xml:space="preserve">getting ready to raise interest rates </w:t>
      </w:r>
      <w:r w:rsidR="00ED12B5" w:rsidRPr="006543D7">
        <w:rPr>
          <w:rFonts w:asciiTheme="minorHAnsi" w:hAnsiTheme="minorHAnsi"/>
          <w:color w:val="000000"/>
        </w:rPr>
        <w:t>-- again</w:t>
      </w:r>
      <w:r w:rsidR="00B93569" w:rsidRPr="006543D7">
        <w:rPr>
          <w:rFonts w:asciiTheme="minorHAnsi" w:hAnsiTheme="minorHAnsi"/>
          <w:color w:val="000000"/>
        </w:rPr>
        <w:t xml:space="preserve"> in contrast to </w:t>
      </w:r>
      <w:r w:rsidR="00D33EB2">
        <w:rPr>
          <w:rFonts w:asciiTheme="minorHAnsi" w:hAnsiTheme="minorHAnsi"/>
          <w:color w:val="000000"/>
        </w:rPr>
        <w:t>other countries,</w:t>
      </w:r>
      <w:r w:rsidR="002222A0">
        <w:rPr>
          <w:rFonts w:asciiTheme="minorHAnsi" w:hAnsiTheme="minorHAnsi"/>
          <w:color w:val="000000"/>
        </w:rPr>
        <w:t xml:space="preserve"> </w:t>
      </w:r>
      <w:r w:rsidR="00ED12B5" w:rsidRPr="006543D7">
        <w:rPr>
          <w:rFonts w:asciiTheme="minorHAnsi" w:hAnsiTheme="minorHAnsi"/>
          <w:color w:val="000000"/>
        </w:rPr>
        <w:t>whe</w:t>
      </w:r>
      <w:r w:rsidR="00D33EB2">
        <w:rPr>
          <w:rFonts w:asciiTheme="minorHAnsi" w:hAnsiTheme="minorHAnsi"/>
          <w:color w:val="000000"/>
        </w:rPr>
        <w:t>re</w:t>
      </w:r>
      <w:r w:rsidR="00ED12B5" w:rsidRPr="006543D7">
        <w:rPr>
          <w:rFonts w:asciiTheme="minorHAnsi" w:hAnsiTheme="minorHAnsi"/>
          <w:color w:val="000000"/>
        </w:rPr>
        <w:t xml:space="preserve"> central banks have moved toward monetary stimulus r</w:t>
      </w:r>
      <w:r w:rsidR="002222A0">
        <w:rPr>
          <w:rFonts w:asciiTheme="minorHAnsi" w:hAnsiTheme="minorHAnsi"/>
          <w:color w:val="000000"/>
        </w:rPr>
        <w:t>ather than the other way around</w:t>
      </w:r>
      <w:r w:rsidR="00B93569" w:rsidRPr="006543D7">
        <w:rPr>
          <w:rFonts w:asciiTheme="minorHAnsi" w:hAnsiTheme="minorHAnsi"/>
          <w:color w:val="000000"/>
        </w:rPr>
        <w:t>.</w:t>
      </w:r>
      <w:r w:rsidRPr="006543D7">
        <w:rPr>
          <w:rFonts w:asciiTheme="minorHAnsi" w:hAnsiTheme="minorHAnsi"/>
          <w:color w:val="000000"/>
        </w:rPr>
        <w:t xml:space="preserve"> </w:t>
      </w:r>
      <w:r w:rsidR="00B93569" w:rsidRPr="006543D7">
        <w:rPr>
          <w:rFonts w:asciiTheme="minorHAnsi" w:hAnsiTheme="minorHAnsi"/>
          <w:color w:val="000000"/>
        </w:rPr>
        <w:t>American economic performance and the change in mo</w:t>
      </w:r>
      <w:r w:rsidR="00291894">
        <w:rPr>
          <w:rFonts w:asciiTheme="minorHAnsi" w:hAnsiTheme="minorHAnsi"/>
          <w:color w:val="000000"/>
        </w:rPr>
        <w:t>netary policy are both explanation</w:t>
      </w:r>
      <w:r w:rsidR="00B93569" w:rsidRPr="006543D7">
        <w:rPr>
          <w:rFonts w:asciiTheme="minorHAnsi" w:hAnsiTheme="minorHAnsi"/>
          <w:color w:val="000000"/>
        </w:rPr>
        <w:t xml:space="preserve">s for the strong dollar. These developments </w:t>
      </w:r>
      <w:r w:rsidR="00AC517D">
        <w:rPr>
          <w:rFonts w:asciiTheme="minorHAnsi" w:hAnsiTheme="minorHAnsi"/>
          <w:color w:val="000000"/>
        </w:rPr>
        <w:t>are good news</w:t>
      </w:r>
      <w:r w:rsidR="00B93569" w:rsidRPr="006543D7">
        <w:rPr>
          <w:rFonts w:asciiTheme="minorHAnsi" w:hAnsiTheme="minorHAnsi"/>
          <w:color w:val="000000"/>
        </w:rPr>
        <w:t>, taken as a whole, notwithstanding the effect on exports.</w:t>
      </w:r>
      <w:r w:rsidR="00ED12B5" w:rsidRPr="006543D7">
        <w:rPr>
          <w:rFonts w:asciiTheme="minorHAnsi" w:hAnsiTheme="minorHAnsi"/>
          <w:color w:val="000000"/>
        </w:rPr>
        <w:br/>
      </w:r>
    </w:p>
    <w:p w:rsidR="00B93569" w:rsidRPr="006543D7" w:rsidRDefault="00ED12B5" w:rsidP="008772E7">
      <w:pPr>
        <w:pStyle w:val="NormalWeb"/>
        <w:shd w:val="clear" w:color="auto" w:fill="FFFFFF"/>
        <w:spacing w:before="0" w:beforeAutospacing="0" w:after="240" w:afterAutospacing="0"/>
        <w:textAlignment w:val="baseline"/>
        <w:rPr>
          <w:rFonts w:asciiTheme="minorHAnsi" w:hAnsiTheme="minorHAnsi"/>
          <w:color w:val="000000"/>
        </w:rPr>
      </w:pPr>
      <w:r w:rsidRPr="006543D7">
        <w:rPr>
          <w:rFonts w:asciiTheme="minorHAnsi" w:hAnsiTheme="minorHAnsi"/>
          <w:color w:val="000000"/>
        </w:rPr>
        <w:t xml:space="preserve">Won’t a rising trade deficit have a negative effect on US growth?  </w:t>
      </w:r>
      <w:r w:rsidR="00887D3E">
        <w:rPr>
          <w:rFonts w:asciiTheme="minorHAnsi" w:hAnsiTheme="minorHAnsi"/>
          <w:color w:val="000000"/>
        </w:rPr>
        <w:t xml:space="preserve">Not really.  </w:t>
      </w:r>
      <w:r w:rsidR="009705D2" w:rsidRPr="006543D7">
        <w:rPr>
          <w:rFonts w:asciiTheme="minorHAnsi" w:hAnsiTheme="minorHAnsi"/>
          <w:color w:val="000000"/>
        </w:rPr>
        <w:t>T</w:t>
      </w:r>
      <w:r w:rsidR="00B93569" w:rsidRPr="006543D7">
        <w:rPr>
          <w:rFonts w:asciiTheme="minorHAnsi" w:hAnsiTheme="minorHAnsi"/>
          <w:color w:val="000000"/>
        </w:rPr>
        <w:t xml:space="preserve">he dollar </w:t>
      </w:r>
      <w:r w:rsidR="009705D2" w:rsidRPr="006543D7">
        <w:rPr>
          <w:rFonts w:asciiTheme="minorHAnsi" w:hAnsiTheme="minorHAnsi"/>
          <w:color w:val="000000"/>
        </w:rPr>
        <w:t xml:space="preserve">appreciation is probably one of the major reasons why </w:t>
      </w:r>
      <w:r w:rsidR="00B93569" w:rsidRPr="006543D7">
        <w:rPr>
          <w:rFonts w:asciiTheme="minorHAnsi" w:hAnsiTheme="minorHAnsi"/>
          <w:color w:val="000000"/>
        </w:rPr>
        <w:t xml:space="preserve">the Fed </w:t>
      </w:r>
      <w:r w:rsidR="00291894">
        <w:rPr>
          <w:rFonts w:asciiTheme="minorHAnsi" w:hAnsiTheme="minorHAnsi"/>
          <w:color w:val="000000"/>
        </w:rPr>
        <w:t xml:space="preserve">held </w:t>
      </w:r>
      <w:r w:rsidR="00B93569" w:rsidRPr="006543D7">
        <w:rPr>
          <w:rFonts w:asciiTheme="minorHAnsi" w:hAnsiTheme="minorHAnsi"/>
          <w:color w:val="000000"/>
        </w:rPr>
        <w:t xml:space="preserve">off past June </w:t>
      </w:r>
      <w:r w:rsidR="009705D2" w:rsidRPr="006543D7">
        <w:rPr>
          <w:rFonts w:asciiTheme="minorHAnsi" w:hAnsiTheme="minorHAnsi"/>
          <w:color w:val="000000"/>
        </w:rPr>
        <w:t xml:space="preserve">2015 </w:t>
      </w:r>
      <w:r w:rsidR="00B93569" w:rsidRPr="006543D7">
        <w:rPr>
          <w:rFonts w:asciiTheme="minorHAnsi" w:hAnsiTheme="minorHAnsi"/>
          <w:color w:val="000000"/>
        </w:rPr>
        <w:t xml:space="preserve">on its long-anticipated decision to raise short-term interest rates, to avoid a growth slowdown or even a descent into deflation. </w:t>
      </w:r>
      <w:r w:rsidRPr="006543D7">
        <w:rPr>
          <w:rFonts w:asciiTheme="minorHAnsi" w:hAnsiTheme="minorHAnsi"/>
          <w:color w:val="000000"/>
        </w:rPr>
        <w:t xml:space="preserve">  Precisely because the Fed can be relied upon to target the overall economy, the dollar and trade balance primarily affect the composition of GDP, not the total.</w:t>
      </w:r>
    </w:p>
    <w:p w:rsidR="009D5947" w:rsidRPr="006543D7" w:rsidRDefault="00045F43" w:rsidP="008772E7">
      <w:pPr>
        <w:spacing w:line="240" w:lineRule="auto"/>
        <w:rPr>
          <w:sz w:val="24"/>
          <w:szCs w:val="24"/>
        </w:rPr>
      </w:pPr>
      <w:r>
        <w:rPr>
          <w:sz w:val="24"/>
          <w:szCs w:val="24"/>
        </w:rPr>
        <w:t xml:space="preserve">The Plaza </w:t>
      </w:r>
      <w:r w:rsidR="00ED12B5" w:rsidRPr="006543D7">
        <w:rPr>
          <w:sz w:val="24"/>
          <w:szCs w:val="24"/>
        </w:rPr>
        <w:t>remain</w:t>
      </w:r>
      <w:r>
        <w:rPr>
          <w:sz w:val="24"/>
          <w:szCs w:val="24"/>
        </w:rPr>
        <w:t>s</w:t>
      </w:r>
      <w:r w:rsidR="00ED12B5" w:rsidRPr="006543D7">
        <w:rPr>
          <w:sz w:val="24"/>
          <w:szCs w:val="24"/>
        </w:rPr>
        <w:t xml:space="preserve"> the classic precedent for coordinated G-7 intervention in the foreign exchange market when one of more of their currencies is very far out of line.  The conditions do not apply today.  But </w:t>
      </w:r>
      <w:r w:rsidR="00291894">
        <w:rPr>
          <w:sz w:val="24"/>
          <w:szCs w:val="24"/>
        </w:rPr>
        <w:t>the pendulum will swing back.  T</w:t>
      </w:r>
      <w:r w:rsidR="00ED12B5" w:rsidRPr="006543D7">
        <w:rPr>
          <w:sz w:val="24"/>
          <w:szCs w:val="24"/>
        </w:rPr>
        <w:t xml:space="preserve">he day will come </w:t>
      </w:r>
      <w:r w:rsidR="00291894">
        <w:rPr>
          <w:sz w:val="24"/>
          <w:szCs w:val="24"/>
        </w:rPr>
        <w:t>when Plaza-style intervention is again appropriate</w:t>
      </w:r>
      <w:r w:rsidR="00ED12B5" w:rsidRPr="006543D7">
        <w:rPr>
          <w:sz w:val="24"/>
          <w:szCs w:val="24"/>
        </w:rPr>
        <w:t>.</w:t>
      </w:r>
    </w:p>
    <w:p w:rsidR="001E4786" w:rsidRDefault="001E4786" w:rsidP="008772E7">
      <w:pPr>
        <w:spacing w:line="240" w:lineRule="auto"/>
        <w:rPr>
          <w:b/>
          <w:sz w:val="28"/>
          <w:szCs w:val="28"/>
        </w:rPr>
      </w:pPr>
    </w:p>
    <w:p w:rsidR="002F632E" w:rsidRDefault="00196A55" w:rsidP="002F632E">
      <w:pPr>
        <w:spacing w:line="240" w:lineRule="auto"/>
      </w:pPr>
      <w:r w:rsidRPr="00B14360">
        <w:rPr>
          <w:b/>
          <w:sz w:val="24"/>
          <w:szCs w:val="24"/>
        </w:rPr>
        <w:t>References</w:t>
      </w:r>
      <w:r w:rsidR="00AD5A50" w:rsidRPr="00B14360">
        <w:rPr>
          <w:b/>
          <w:sz w:val="24"/>
          <w:szCs w:val="24"/>
        </w:rPr>
        <w:t xml:space="preserve"> </w:t>
      </w:r>
    </w:p>
    <w:sdt>
      <w:sdtPr>
        <w:id w:val="4173089"/>
        <w:docPartObj>
          <w:docPartGallery w:val="Bibliographies"/>
          <w:docPartUnique/>
        </w:docPartObj>
      </w:sdtPr>
      <w:sdtEndPr/>
      <w:sdtContent>
        <w:p w:rsidR="002F632E" w:rsidRDefault="002F632E" w:rsidP="002F632E">
          <w:pPr>
            <w:spacing w:line="240" w:lineRule="auto"/>
          </w:pPr>
        </w:p>
        <w:sdt>
          <w:sdtPr>
            <w:id w:val="111145805"/>
            <w:bibliography/>
          </w:sdtPr>
          <w:sdtEndPr/>
          <w:sdtContent>
            <w:p w:rsidR="006641E9" w:rsidRDefault="003B244A" w:rsidP="006641E9">
              <w:pPr>
                <w:pStyle w:val="Bibliography"/>
                <w:ind w:left="720" w:hanging="720"/>
                <w:rPr>
                  <w:noProof/>
                </w:rPr>
              </w:pPr>
              <w:r>
                <w:fldChar w:fldCharType="begin"/>
              </w:r>
              <w:r w:rsidR="002F632E">
                <w:instrText xml:space="preserve"> BIBLIOGRAPHY </w:instrText>
              </w:r>
              <w:r>
                <w:fldChar w:fldCharType="separate"/>
              </w:r>
              <w:r w:rsidR="006641E9">
                <w:rPr>
                  <w:noProof/>
                </w:rPr>
                <w:t xml:space="preserve">Adler, Gustavo, and Camilo E. Trevor Mora. "Foreign exchange intervention: a shield against appreciation winds?" </w:t>
              </w:r>
              <w:r w:rsidR="006641E9">
                <w:rPr>
                  <w:i/>
                  <w:iCs/>
                  <w:noProof/>
                </w:rPr>
                <w:t>IMF Working Papers.</w:t>
              </w:r>
              <w:r w:rsidR="006641E9">
                <w:rPr>
                  <w:noProof/>
                </w:rPr>
                <w:t xml:space="preserve"> International Monetary Fund, 2011.</w:t>
              </w:r>
            </w:p>
            <w:p w:rsidR="006641E9" w:rsidRDefault="006641E9" w:rsidP="006641E9">
              <w:pPr>
                <w:pStyle w:val="Bibliography"/>
                <w:ind w:left="720" w:hanging="720"/>
                <w:rPr>
                  <w:noProof/>
                </w:rPr>
              </w:pPr>
              <w:r>
                <w:rPr>
                  <w:noProof/>
                </w:rPr>
                <w:t xml:space="preserve">Baker, James. </w:t>
              </w:r>
              <w:r>
                <w:rPr>
                  <w:i/>
                  <w:iCs/>
                  <w:noProof/>
                </w:rPr>
                <w:t>Work Hard, Study....and Keep Out of Policitics!</w:t>
              </w:r>
              <w:r>
                <w:rPr>
                  <w:noProof/>
                </w:rPr>
                <w:t xml:space="preserve"> New York: Penguin Groups, 2006.</w:t>
              </w:r>
            </w:p>
            <w:p w:rsidR="006641E9" w:rsidRDefault="006641E9" w:rsidP="006641E9">
              <w:pPr>
                <w:pStyle w:val="Bibliography"/>
                <w:ind w:left="720" w:hanging="720"/>
                <w:rPr>
                  <w:noProof/>
                </w:rPr>
              </w:pPr>
              <w:r>
                <w:rPr>
                  <w:noProof/>
                </w:rPr>
                <w:t xml:space="preserve">Beine, Michel, Agnes Bénassy-Quéré, and Christelle Lecourt. "Central Bank Intervention and Foreign Exchange Rates: New Evidence from FIGARCH Estimation." </w:t>
              </w:r>
              <w:r>
                <w:rPr>
                  <w:i/>
                  <w:iCs/>
                  <w:noProof/>
                </w:rPr>
                <w:t>Journal of International Money and Finance</w:t>
              </w:r>
              <w:r>
                <w:rPr>
                  <w:noProof/>
                </w:rPr>
                <w:t>, 2002: 115-144.</w:t>
              </w:r>
            </w:p>
            <w:p w:rsidR="006641E9" w:rsidRDefault="006641E9" w:rsidP="006641E9">
              <w:pPr>
                <w:pStyle w:val="Bibliography"/>
                <w:ind w:left="720" w:hanging="720"/>
                <w:rPr>
                  <w:noProof/>
                </w:rPr>
              </w:pPr>
              <w:r>
                <w:rPr>
                  <w:noProof/>
                </w:rPr>
                <w:t xml:space="preserve">Bénassy-Quéré, Agnès, Pierre-Olivier Gourinchas, Philippe Martin, and Guillaume Plantin. "The Euro in the 'Currency War'." </w:t>
              </w:r>
              <w:r>
                <w:rPr>
                  <w:i/>
                  <w:iCs/>
                  <w:noProof/>
                </w:rPr>
                <w:t>Les notes du conseil d' analyse économique 11</w:t>
              </w:r>
              <w:r>
                <w:rPr>
                  <w:noProof/>
                </w:rPr>
                <w:t>, 2014.</w:t>
              </w:r>
            </w:p>
            <w:p w:rsidR="006641E9" w:rsidRDefault="006641E9" w:rsidP="006641E9">
              <w:pPr>
                <w:pStyle w:val="Bibliography"/>
                <w:ind w:left="720" w:hanging="720"/>
                <w:rPr>
                  <w:noProof/>
                </w:rPr>
              </w:pPr>
              <w:r>
                <w:rPr>
                  <w:noProof/>
                </w:rPr>
                <w:t xml:space="preserve">Bergsten, Fred C. "Currency Wars, The Economy of the United STates and Reform of the International Monetary System." </w:t>
              </w:r>
              <w:r>
                <w:rPr>
                  <w:i/>
                  <w:iCs/>
                  <w:noProof/>
                </w:rPr>
                <w:t>Lecture.</w:t>
              </w:r>
              <w:r>
                <w:rPr>
                  <w:noProof/>
                </w:rPr>
                <w:t xml:space="preserve"> Washington D.C. : Peterson Institute for Internation Economics, May 16, 2013.</w:t>
              </w:r>
            </w:p>
            <w:p w:rsidR="006641E9" w:rsidRDefault="006641E9" w:rsidP="006641E9">
              <w:pPr>
                <w:pStyle w:val="Bibliography"/>
                <w:ind w:left="720" w:hanging="720"/>
                <w:rPr>
                  <w:noProof/>
                </w:rPr>
              </w:pPr>
              <w:r>
                <w:rPr>
                  <w:noProof/>
                </w:rPr>
                <w:t xml:space="preserve">—. "The Truth About Currency Manipulation." </w:t>
              </w:r>
              <w:r>
                <w:rPr>
                  <w:i/>
                  <w:iCs/>
                  <w:noProof/>
                </w:rPr>
                <w:t>Foreign Affaris</w:t>
              </w:r>
              <w:r>
                <w:rPr>
                  <w:noProof/>
                </w:rPr>
                <w:t>, January 18, 2015.</w:t>
              </w:r>
            </w:p>
            <w:p w:rsidR="006641E9" w:rsidRDefault="006641E9" w:rsidP="006641E9">
              <w:pPr>
                <w:pStyle w:val="Bibliography"/>
                <w:ind w:left="720" w:hanging="720"/>
                <w:rPr>
                  <w:noProof/>
                </w:rPr>
              </w:pPr>
              <w:r>
                <w:rPr>
                  <w:noProof/>
                </w:rPr>
                <w:lastRenderedPageBreak/>
                <w:t xml:space="preserve">—. "The United States trade deficit and the dollar." </w:t>
              </w:r>
              <w:r>
                <w:rPr>
                  <w:i/>
                  <w:iCs/>
                  <w:noProof/>
                </w:rPr>
                <w:t>Statement before the SEnate Committe on Banking, Housing and Urban Affairs, Subcommitte on International Finance and Monetary Policy.</w:t>
              </w:r>
              <w:r>
                <w:rPr>
                  <w:noProof/>
                </w:rPr>
                <w:t xml:space="preserve"> Washington, D.C., 2009.</w:t>
              </w:r>
            </w:p>
            <w:p w:rsidR="006641E9" w:rsidRDefault="006641E9" w:rsidP="006641E9">
              <w:pPr>
                <w:pStyle w:val="Bibliography"/>
                <w:ind w:left="720" w:hanging="720"/>
                <w:rPr>
                  <w:noProof/>
                </w:rPr>
              </w:pPr>
              <w:r>
                <w:rPr>
                  <w:noProof/>
                </w:rPr>
                <w:t xml:space="preserve">—. "Time for a Plaza II?" </w:t>
              </w:r>
              <w:r>
                <w:rPr>
                  <w:i/>
                  <w:iCs/>
                  <w:noProof/>
                </w:rPr>
                <w:t>Conference on The Plaza at 30.</w:t>
              </w:r>
              <w:r>
                <w:rPr>
                  <w:noProof/>
                </w:rPr>
                <w:t xml:space="preserve"> Houston, TX: Baker Institute for Public Policy, Rice University , 2015.</w:t>
              </w:r>
            </w:p>
            <w:p w:rsidR="006641E9" w:rsidRDefault="006641E9" w:rsidP="006641E9">
              <w:pPr>
                <w:pStyle w:val="Bibliography"/>
                <w:ind w:left="720" w:hanging="720"/>
                <w:rPr>
                  <w:noProof/>
                </w:rPr>
              </w:pPr>
              <w:r>
                <w:rPr>
                  <w:noProof/>
                </w:rPr>
                <w:t xml:space="preserve">Blanchard, Olivier, Gustavo Adler and Irineu de Carvalho Filho. "Can Foreign Exchange Intervention Stem Exchange Rate Pressures from Global Capital Flow Shocks." </w:t>
              </w:r>
              <w:r>
                <w:rPr>
                  <w:i/>
                  <w:iCs/>
                  <w:noProof/>
                </w:rPr>
                <w:t>International Monetary Fund Working Paper 15/159.</w:t>
              </w:r>
              <w:r>
                <w:rPr>
                  <w:noProof/>
                </w:rPr>
                <w:t xml:space="preserve"> Internations Monetary Fund, 2015.</w:t>
              </w:r>
            </w:p>
            <w:p w:rsidR="006641E9" w:rsidRDefault="006641E9" w:rsidP="006641E9">
              <w:pPr>
                <w:pStyle w:val="Bibliography"/>
                <w:ind w:left="720" w:hanging="720"/>
                <w:rPr>
                  <w:noProof/>
                </w:rPr>
              </w:pPr>
              <w:r>
                <w:rPr>
                  <w:noProof/>
                </w:rPr>
                <w:t xml:space="preserve">Bordo, Micahel, Owen Humpage and Anna Schwartz. "Foreign-Exchange-Market-Operations in the Twenty-First Century." </w:t>
              </w:r>
              <w:r>
                <w:rPr>
                  <w:i/>
                  <w:iCs/>
                  <w:noProof/>
                </w:rPr>
                <w:t>NBER Working Paper 17984.</w:t>
              </w:r>
              <w:r>
                <w:rPr>
                  <w:noProof/>
                </w:rPr>
                <w:t xml:space="preserve"> National Bureau of Economic Research, 2012.</w:t>
              </w:r>
            </w:p>
            <w:p w:rsidR="006641E9" w:rsidRDefault="006641E9" w:rsidP="006641E9">
              <w:pPr>
                <w:pStyle w:val="Bibliography"/>
                <w:ind w:left="720" w:hanging="720"/>
                <w:rPr>
                  <w:noProof/>
                </w:rPr>
              </w:pPr>
              <w:r>
                <w:rPr>
                  <w:noProof/>
                </w:rPr>
                <w:t xml:space="preserve">—. </w:t>
              </w:r>
              <w:r>
                <w:rPr>
                  <w:i/>
                  <w:iCs/>
                  <w:noProof/>
                </w:rPr>
                <w:t>US Foreign-Exchange Operations and Monetary Policy in teh Twentieth Century .</w:t>
              </w:r>
              <w:r>
                <w:rPr>
                  <w:noProof/>
                </w:rPr>
                <w:t xml:space="preserve"> Chicago: University of Chicago Press, 2015.</w:t>
              </w:r>
            </w:p>
            <w:p w:rsidR="006641E9" w:rsidRDefault="006641E9" w:rsidP="006641E9">
              <w:pPr>
                <w:pStyle w:val="Bibliography"/>
                <w:ind w:left="720" w:hanging="720"/>
                <w:rPr>
                  <w:noProof/>
                </w:rPr>
              </w:pPr>
              <w:r>
                <w:rPr>
                  <w:noProof/>
                </w:rPr>
                <w:t xml:space="preserve">Bovard, James. </w:t>
              </w:r>
              <w:r>
                <w:rPr>
                  <w:i/>
                  <w:iCs/>
                  <w:noProof/>
                </w:rPr>
                <w:t>The Fair Trade Fraud.</w:t>
              </w:r>
              <w:r>
                <w:rPr>
                  <w:noProof/>
                </w:rPr>
                <w:t xml:space="preserve"> New York: St. Martin's , 1991.</w:t>
              </w:r>
            </w:p>
            <w:p w:rsidR="006641E9" w:rsidRDefault="006641E9" w:rsidP="006641E9">
              <w:pPr>
                <w:pStyle w:val="Bibliography"/>
                <w:ind w:left="720" w:hanging="720"/>
                <w:rPr>
                  <w:noProof/>
                </w:rPr>
              </w:pPr>
              <w:r>
                <w:rPr>
                  <w:noProof/>
                </w:rPr>
                <w:t xml:space="preserve">Catte, P., G. Galli and S. Rebecchini. </w:t>
              </w:r>
              <w:r>
                <w:rPr>
                  <w:i/>
                  <w:iCs/>
                  <w:noProof/>
                </w:rPr>
                <w:t>Concerted Invtervention and the Dollar: An Analysis of Daily Data.</w:t>
              </w:r>
              <w:r>
                <w:rPr>
                  <w:noProof/>
                </w:rPr>
                <w:t xml:space="preserve"> Edited by F. Papadia and F. Saccomani P. Kenen. Cambridge, UK: Cambridge University Press, 1992.</w:t>
              </w:r>
            </w:p>
            <w:p w:rsidR="006641E9" w:rsidRDefault="006641E9" w:rsidP="006641E9">
              <w:pPr>
                <w:pStyle w:val="Bibliography"/>
                <w:ind w:left="720" w:hanging="720"/>
                <w:rPr>
                  <w:noProof/>
                </w:rPr>
              </w:pPr>
              <w:r>
                <w:rPr>
                  <w:noProof/>
                </w:rPr>
                <w:t xml:space="preserve">Cline, William. "Estimates of Fundamental Equilibrium Exchange Rates." </w:t>
              </w:r>
              <w:r>
                <w:rPr>
                  <w:i/>
                  <w:iCs/>
                  <w:noProof/>
                </w:rPr>
                <w:t>Policy Brief.</w:t>
              </w:r>
              <w:r>
                <w:rPr>
                  <w:noProof/>
                </w:rPr>
                <w:t xml:space="preserve"> Peterson Institute of International Economics, May 2015.</w:t>
              </w:r>
            </w:p>
            <w:p w:rsidR="006641E9" w:rsidRDefault="006641E9" w:rsidP="006641E9">
              <w:pPr>
                <w:pStyle w:val="Bibliography"/>
                <w:ind w:left="720" w:hanging="720"/>
                <w:rPr>
                  <w:noProof/>
                </w:rPr>
              </w:pPr>
              <w:r>
                <w:rPr>
                  <w:noProof/>
                </w:rPr>
                <w:t xml:space="preserve">Cooper, Richard. "The U.S. payments deficit and the strong dollar: Policy options." </w:t>
              </w:r>
              <w:r>
                <w:rPr>
                  <w:i/>
                  <w:iCs/>
                  <w:noProof/>
                </w:rPr>
                <w:t>The U.S. dollar-recent developments, outook, and policy options.</w:t>
              </w:r>
              <w:r>
                <w:rPr>
                  <w:noProof/>
                </w:rPr>
                <w:t xml:space="preserve"> Federal Bank of Kansas City, 1985.</w:t>
              </w:r>
            </w:p>
            <w:p w:rsidR="006641E9" w:rsidRDefault="006641E9" w:rsidP="006641E9">
              <w:pPr>
                <w:pStyle w:val="Bibliography"/>
                <w:ind w:left="720" w:hanging="720"/>
                <w:rPr>
                  <w:noProof/>
                </w:rPr>
              </w:pPr>
              <w:r>
                <w:rPr>
                  <w:noProof/>
                </w:rPr>
                <w:t xml:space="preserve">Corbett, Jenny and Takatoshi Ito. "What should the US and China learn from the past US-Japan conflict?" </w:t>
              </w:r>
              <w:r>
                <w:rPr>
                  <w:i/>
                  <w:iCs/>
                  <w:noProof/>
                </w:rPr>
                <w:t>VoxEu.</w:t>
              </w:r>
              <w:r>
                <w:rPr>
                  <w:noProof/>
                </w:rPr>
                <w:t xml:space="preserve"> April 30, 2010.</w:t>
              </w:r>
            </w:p>
            <w:p w:rsidR="006641E9" w:rsidRDefault="006641E9" w:rsidP="006641E9">
              <w:pPr>
                <w:pStyle w:val="Bibliography"/>
                <w:ind w:left="720" w:hanging="720"/>
                <w:rPr>
                  <w:noProof/>
                </w:rPr>
              </w:pPr>
              <w:r>
                <w:rPr>
                  <w:i/>
                  <w:iCs/>
                  <w:noProof/>
                </w:rPr>
                <w:t>Council of Economic Advisers.</w:t>
              </w:r>
              <w:r>
                <w:rPr>
                  <w:noProof/>
                </w:rPr>
                <w:t xml:space="preserve"> Washington, D.C: GPO: Economic Report of the President, 1984.</w:t>
              </w:r>
            </w:p>
            <w:p w:rsidR="006641E9" w:rsidRDefault="006641E9" w:rsidP="006641E9">
              <w:pPr>
                <w:pStyle w:val="Bibliography"/>
                <w:ind w:left="720" w:hanging="720"/>
                <w:rPr>
                  <w:noProof/>
                </w:rPr>
              </w:pPr>
              <w:r>
                <w:rPr>
                  <w:noProof/>
                </w:rPr>
                <w:t xml:space="preserve">Destler, I. Mac, and C. Randall Henning. "Dollar politics: Exchange rate policymaking in the United States." </w:t>
              </w:r>
              <w:r>
                <w:rPr>
                  <w:i/>
                  <w:iCs/>
                  <w:noProof/>
                </w:rPr>
                <w:t>Institute for International Economics.</w:t>
              </w:r>
              <w:r>
                <w:rPr>
                  <w:noProof/>
                </w:rPr>
                <w:t xml:space="preserve"> Washington, D.C.: Institute for International Economics, 1989 1989.</w:t>
              </w:r>
            </w:p>
            <w:p w:rsidR="006641E9" w:rsidRDefault="006641E9" w:rsidP="006641E9">
              <w:pPr>
                <w:pStyle w:val="Bibliography"/>
                <w:ind w:left="720" w:hanging="720"/>
                <w:rPr>
                  <w:noProof/>
                </w:rPr>
              </w:pPr>
              <w:r>
                <w:rPr>
                  <w:noProof/>
                </w:rPr>
                <w:t xml:space="preserve">Devereux, Michael and Charles Engle. "Exchange rate pass-through, exchange rate volatility, and exchange rate disconnect." </w:t>
              </w:r>
              <w:r>
                <w:rPr>
                  <w:i/>
                  <w:iCs/>
                  <w:noProof/>
                </w:rPr>
                <w:t>Journal of Monetary Economics 49.5</w:t>
              </w:r>
              <w:r>
                <w:rPr>
                  <w:noProof/>
                </w:rPr>
                <w:t>, 2002: 913-940.</w:t>
              </w:r>
            </w:p>
            <w:p w:rsidR="006641E9" w:rsidRDefault="006641E9" w:rsidP="006641E9">
              <w:pPr>
                <w:pStyle w:val="Bibliography"/>
                <w:ind w:left="720" w:hanging="720"/>
                <w:rPr>
                  <w:noProof/>
                </w:rPr>
              </w:pPr>
              <w:r>
                <w:rPr>
                  <w:noProof/>
                </w:rPr>
                <w:t xml:space="preserve">Disyatat, Piti, and Gabriele Galati. "The effectiveness of foreign exchange intervention in emerging market countries: Evidence from the Czech Koruna." </w:t>
              </w:r>
              <w:r>
                <w:rPr>
                  <w:i/>
                  <w:iCs/>
                  <w:noProof/>
                </w:rPr>
                <w:t>Jouranl of International Money and Finance 26.3</w:t>
              </w:r>
              <w:r>
                <w:rPr>
                  <w:noProof/>
                </w:rPr>
                <w:t>, 2007: 383-402.</w:t>
              </w:r>
            </w:p>
            <w:p w:rsidR="006641E9" w:rsidRDefault="006641E9" w:rsidP="006641E9">
              <w:pPr>
                <w:pStyle w:val="Bibliography"/>
                <w:ind w:left="720" w:hanging="720"/>
                <w:rPr>
                  <w:noProof/>
                </w:rPr>
              </w:pPr>
              <w:r>
                <w:rPr>
                  <w:noProof/>
                </w:rPr>
                <w:lastRenderedPageBreak/>
                <w:t xml:space="preserve">Dominguez, kathryn and Jeffrey Frankel. "Does Foreign Exchange Intervention Matter? The Portfolio Effect." </w:t>
              </w:r>
              <w:r>
                <w:rPr>
                  <w:i/>
                  <w:iCs/>
                  <w:noProof/>
                </w:rPr>
                <w:t>American Economic Review 83</w:t>
              </w:r>
              <w:r>
                <w:rPr>
                  <w:noProof/>
                </w:rPr>
                <w:t>, 1993: 1356-1369.</w:t>
              </w:r>
            </w:p>
            <w:p w:rsidR="006641E9" w:rsidRDefault="006641E9" w:rsidP="006641E9">
              <w:pPr>
                <w:pStyle w:val="Bibliography"/>
                <w:ind w:left="720" w:hanging="720"/>
                <w:rPr>
                  <w:noProof/>
                </w:rPr>
              </w:pPr>
              <w:r>
                <w:rPr>
                  <w:noProof/>
                </w:rPr>
                <w:t xml:space="preserve">Dominguez, Kathryn and Jeffrey Frankel. "Does Foreign Exchange Intervention Work?" </w:t>
              </w:r>
              <w:r>
                <w:rPr>
                  <w:i/>
                  <w:iCs/>
                  <w:noProof/>
                </w:rPr>
                <w:t>Institute for International Economics 83</w:t>
              </w:r>
              <w:r>
                <w:rPr>
                  <w:noProof/>
                </w:rPr>
                <w:t>, 1993: 1356-1369.</w:t>
              </w:r>
            </w:p>
            <w:p w:rsidR="006641E9" w:rsidRDefault="006641E9" w:rsidP="006641E9">
              <w:pPr>
                <w:pStyle w:val="Bibliography"/>
                <w:ind w:left="720" w:hanging="720"/>
                <w:rPr>
                  <w:noProof/>
                </w:rPr>
              </w:pPr>
              <w:r>
                <w:rPr>
                  <w:noProof/>
                </w:rPr>
                <w:t xml:space="preserve">Dominguez, Kathryn and Jeffrey Frankel. "Foreign Exchange Intervention: An Empirical Assessement." In </w:t>
              </w:r>
              <w:r>
                <w:rPr>
                  <w:i/>
                  <w:iCs/>
                  <w:noProof/>
                </w:rPr>
                <w:t>On Exchange Rates</w:t>
              </w:r>
              <w:r>
                <w:rPr>
                  <w:noProof/>
                </w:rPr>
                <w:t>, by Jeffrey Frankel. Cambridge: MIT Press, 1993.</w:t>
              </w:r>
            </w:p>
            <w:p w:rsidR="006641E9" w:rsidRDefault="006641E9" w:rsidP="006641E9">
              <w:pPr>
                <w:pStyle w:val="Bibliography"/>
                <w:ind w:left="720" w:hanging="720"/>
                <w:rPr>
                  <w:noProof/>
                </w:rPr>
              </w:pPr>
              <w:r>
                <w:rPr>
                  <w:noProof/>
                </w:rPr>
                <w:t xml:space="preserve">Dominguez, Kathryn. "Market Responses to Coordinated Central Bank Intervention." </w:t>
              </w:r>
              <w:r>
                <w:rPr>
                  <w:i/>
                  <w:iCs/>
                  <w:noProof/>
                </w:rPr>
                <w:t>Carnegie-Rochester Conference Series on Public Policy Vol. 32</w:t>
              </w:r>
              <w:r>
                <w:rPr>
                  <w:noProof/>
                </w:rPr>
                <w:t>, 1990.</w:t>
              </w:r>
            </w:p>
            <w:p w:rsidR="006641E9" w:rsidRDefault="006641E9" w:rsidP="006641E9">
              <w:pPr>
                <w:pStyle w:val="Bibliography"/>
                <w:ind w:left="720" w:hanging="720"/>
                <w:rPr>
                  <w:noProof/>
                </w:rPr>
              </w:pPr>
              <w:r>
                <w:rPr>
                  <w:noProof/>
                </w:rPr>
                <w:t xml:space="preserve">Dominguez, Kathryn. "When Do Central Bank Interventions Influence Intra-Daily and Longer-Term Exchange Rate Movements?" </w:t>
              </w:r>
              <w:r>
                <w:rPr>
                  <w:i/>
                  <w:iCs/>
                  <w:noProof/>
                </w:rPr>
                <w:t>Journal of International Money and Finance 25</w:t>
              </w:r>
              <w:r>
                <w:rPr>
                  <w:noProof/>
                </w:rPr>
                <w:t>, 2006: 1051-1071.</w:t>
              </w:r>
            </w:p>
            <w:p w:rsidR="006641E9" w:rsidRDefault="006641E9" w:rsidP="006641E9">
              <w:pPr>
                <w:pStyle w:val="Bibliography"/>
                <w:ind w:left="720" w:hanging="720"/>
                <w:rPr>
                  <w:noProof/>
                </w:rPr>
              </w:pPr>
              <w:r>
                <w:rPr>
                  <w:noProof/>
                </w:rPr>
                <w:t xml:space="preserve">Edison, Hali. "The Effectiveness of Central Bank Intervention: A Survey of the Post-1982 Literature." </w:t>
              </w:r>
              <w:r>
                <w:rPr>
                  <w:i/>
                  <w:iCs/>
                  <w:noProof/>
                </w:rPr>
                <w:t>Special Papers on International Economics.</w:t>
              </w:r>
              <w:r>
                <w:rPr>
                  <w:noProof/>
                </w:rPr>
                <w:t xml:space="preserve"> Princeton, NJ, 1993.</w:t>
              </w:r>
            </w:p>
            <w:p w:rsidR="006641E9" w:rsidRDefault="006641E9" w:rsidP="006641E9">
              <w:pPr>
                <w:pStyle w:val="Bibliography"/>
                <w:ind w:left="720" w:hanging="720"/>
                <w:rPr>
                  <w:noProof/>
                </w:rPr>
              </w:pPr>
              <w:r>
                <w:rPr>
                  <w:noProof/>
                </w:rPr>
                <w:t xml:space="preserve">Eichengreen, Barry and Jeffrey Sachs. "Exchange Rates and Economic Recovery in the 1930s." </w:t>
              </w:r>
              <w:r>
                <w:rPr>
                  <w:i/>
                  <w:iCs/>
                  <w:noProof/>
                </w:rPr>
                <w:t>Journal of Economic History</w:t>
              </w:r>
              <w:r>
                <w:rPr>
                  <w:noProof/>
                </w:rPr>
                <w:t xml:space="preserve"> 45 (1985): 925-946.</w:t>
              </w:r>
            </w:p>
            <w:p w:rsidR="006641E9" w:rsidRDefault="006641E9" w:rsidP="006641E9">
              <w:pPr>
                <w:pStyle w:val="Bibliography"/>
                <w:ind w:left="720" w:hanging="720"/>
                <w:rPr>
                  <w:noProof/>
                </w:rPr>
              </w:pPr>
              <w:r>
                <w:rPr>
                  <w:noProof/>
                </w:rPr>
                <w:t xml:space="preserve">Eichengreen, Barry and Jeffrey Sachs,. "Competitive Devaluation and the Great Depression: A Theoretical Reassessment." </w:t>
              </w:r>
              <w:r>
                <w:rPr>
                  <w:i/>
                  <w:iCs/>
                  <w:noProof/>
                </w:rPr>
                <w:t>Economic Letters</w:t>
              </w:r>
              <w:r>
                <w:rPr>
                  <w:noProof/>
                </w:rPr>
                <w:t xml:space="preserve"> (North Holland) 22 (1986): 67-71.</w:t>
              </w:r>
            </w:p>
            <w:p w:rsidR="006641E9" w:rsidRDefault="006641E9" w:rsidP="006641E9">
              <w:pPr>
                <w:pStyle w:val="Bibliography"/>
                <w:ind w:left="720" w:hanging="720"/>
                <w:rPr>
                  <w:noProof/>
                </w:rPr>
              </w:pPr>
              <w:r>
                <w:rPr>
                  <w:noProof/>
                </w:rPr>
                <w:t xml:space="preserve">Eichengreen, Barry. "Currency War on International Policy Coordination?" </w:t>
              </w:r>
              <w:r>
                <w:rPr>
                  <w:i/>
                  <w:iCs/>
                  <w:noProof/>
                </w:rPr>
                <w:t>Journal of Policy Modeling</w:t>
              </w:r>
              <w:r>
                <w:rPr>
                  <w:noProof/>
                </w:rPr>
                <w:t>, May/June 2013: 1-9.</w:t>
              </w:r>
            </w:p>
            <w:p w:rsidR="006641E9" w:rsidRDefault="006641E9" w:rsidP="006641E9">
              <w:pPr>
                <w:pStyle w:val="Bibliography"/>
                <w:ind w:left="720" w:hanging="720"/>
                <w:rPr>
                  <w:noProof/>
                </w:rPr>
              </w:pPr>
              <w:r>
                <w:rPr>
                  <w:noProof/>
                </w:rPr>
                <w:t xml:space="preserve">—. </w:t>
              </w:r>
              <w:r>
                <w:rPr>
                  <w:i/>
                  <w:iCs/>
                  <w:noProof/>
                </w:rPr>
                <w:t>Hall of Mirrors: The Great Depression, The Great Recession, and the Used-and Misuses- of History.</w:t>
              </w:r>
              <w:r>
                <w:rPr>
                  <w:noProof/>
                </w:rPr>
                <w:t xml:space="preserve"> Oxford: Oxford University Press , 2015.</w:t>
              </w:r>
            </w:p>
            <w:p w:rsidR="006641E9" w:rsidRDefault="006641E9" w:rsidP="006641E9">
              <w:pPr>
                <w:pStyle w:val="Bibliography"/>
                <w:ind w:left="720" w:hanging="720"/>
                <w:rPr>
                  <w:noProof/>
                </w:rPr>
              </w:pPr>
              <w:r>
                <w:rPr>
                  <w:noProof/>
                </w:rPr>
                <w:t xml:space="preserve">Feldstein, Martin. "New Evidence on the Effects of Exchange Rate Intervention." </w:t>
              </w:r>
              <w:r>
                <w:rPr>
                  <w:i/>
                  <w:iCs/>
                  <w:noProof/>
                </w:rPr>
                <w:t>National Bureau of Economic Research.</w:t>
              </w:r>
              <w:r>
                <w:rPr>
                  <w:noProof/>
                </w:rPr>
                <w:t xml:space="preserve"> Cambridge, MA, October 1986.</w:t>
              </w:r>
            </w:p>
            <w:p w:rsidR="006641E9" w:rsidRDefault="006641E9" w:rsidP="006641E9">
              <w:pPr>
                <w:pStyle w:val="Bibliography"/>
                <w:ind w:left="720" w:hanging="720"/>
                <w:rPr>
                  <w:noProof/>
                </w:rPr>
              </w:pPr>
              <w:r>
                <w:rPr>
                  <w:noProof/>
                </w:rPr>
                <w:t xml:space="preserve">—. "The Dollar Exchange Rate." </w:t>
              </w:r>
              <w:r>
                <w:rPr>
                  <w:i/>
                  <w:iCs/>
                  <w:noProof/>
                </w:rPr>
                <w:t>Remarks before the World Affairs Council of Philadelphia .</w:t>
              </w:r>
              <w:r>
                <w:rPr>
                  <w:noProof/>
                </w:rPr>
                <w:t xml:space="preserve"> February 29, 1984.</w:t>
              </w:r>
            </w:p>
            <w:p w:rsidR="006641E9" w:rsidRDefault="006641E9" w:rsidP="006641E9">
              <w:pPr>
                <w:pStyle w:val="Bibliography"/>
                <w:ind w:left="720" w:hanging="720"/>
                <w:rPr>
                  <w:noProof/>
                </w:rPr>
              </w:pPr>
              <w:r>
                <w:rPr>
                  <w:noProof/>
                </w:rPr>
                <w:t xml:space="preserve">Frankel, Jeffrey and Shang-Jin Wei. "Assessing China's Exchange Rate Regimes." </w:t>
              </w:r>
              <w:r>
                <w:rPr>
                  <w:i/>
                  <w:iCs/>
                  <w:noProof/>
                </w:rPr>
                <w:t>Economic Policy 51.</w:t>
              </w:r>
              <w:r>
                <w:rPr>
                  <w:noProof/>
                </w:rPr>
                <w:t xml:space="preserve"> National Bureau of Economic Research, July 2007.</w:t>
              </w:r>
            </w:p>
            <w:p w:rsidR="006641E9" w:rsidRDefault="006641E9" w:rsidP="006641E9">
              <w:pPr>
                <w:pStyle w:val="Bibliography"/>
                <w:ind w:left="720" w:hanging="720"/>
                <w:rPr>
                  <w:noProof/>
                </w:rPr>
              </w:pPr>
              <w:r>
                <w:rPr>
                  <w:noProof/>
                </w:rPr>
                <w:t xml:space="preserve">Frankel, Jeffrey. "Clinton's Dollar Policy and The Effectinvess of Foreign Exchange Intervention." </w:t>
              </w:r>
              <w:r>
                <w:rPr>
                  <w:i/>
                  <w:iCs/>
                  <w:noProof/>
                </w:rPr>
                <w:t>Revue d'Economie Financiere.</w:t>
              </w:r>
              <w:r>
                <w:rPr>
                  <w:noProof/>
                </w:rPr>
                <w:t xml:space="preserve"> December 1994.</w:t>
              </w:r>
            </w:p>
            <w:p w:rsidR="006641E9" w:rsidRDefault="006641E9" w:rsidP="006641E9">
              <w:pPr>
                <w:pStyle w:val="Bibliography"/>
                <w:ind w:left="720" w:hanging="720"/>
                <w:rPr>
                  <w:noProof/>
                </w:rPr>
              </w:pPr>
              <w:r>
                <w:rPr>
                  <w:noProof/>
                </w:rPr>
                <w:t xml:space="preserve">Frankel, Jeffrey. </w:t>
              </w:r>
              <w:r>
                <w:rPr>
                  <w:i/>
                  <w:iCs/>
                  <w:noProof/>
                </w:rPr>
                <w:t>The Chimera of Currency Manipulation.</w:t>
              </w:r>
              <w:r>
                <w:rPr>
                  <w:noProof/>
                </w:rPr>
                <w:t xml:space="preserve"> June 10, 2015.</w:t>
              </w:r>
            </w:p>
            <w:p w:rsidR="006641E9" w:rsidRDefault="006641E9" w:rsidP="006641E9">
              <w:pPr>
                <w:pStyle w:val="Bibliography"/>
                <w:ind w:left="720" w:hanging="720"/>
                <w:rPr>
                  <w:noProof/>
                </w:rPr>
              </w:pPr>
              <w:r>
                <w:rPr>
                  <w:noProof/>
                </w:rPr>
                <w:t xml:space="preserve">Frankel, Jeffrey. "The Dazzling Dollar." </w:t>
              </w:r>
              <w:r>
                <w:rPr>
                  <w:i/>
                  <w:iCs/>
                  <w:noProof/>
                </w:rPr>
                <w:t>Brookings Paper on Economic Activity</w:t>
              </w:r>
              <w:r>
                <w:rPr>
                  <w:noProof/>
                </w:rPr>
                <w:t>, 1985: 199-217.</w:t>
              </w:r>
            </w:p>
            <w:p w:rsidR="006641E9" w:rsidRDefault="006641E9" w:rsidP="006641E9">
              <w:pPr>
                <w:pStyle w:val="Bibliography"/>
                <w:ind w:left="720" w:hanging="720"/>
                <w:rPr>
                  <w:noProof/>
                </w:rPr>
              </w:pPr>
              <w:r>
                <w:rPr>
                  <w:noProof/>
                </w:rPr>
                <w:lastRenderedPageBreak/>
                <w:t xml:space="preserve">—. "The Making of Exchange Rate Policy in the 1980s." </w:t>
              </w:r>
              <w:r>
                <w:rPr>
                  <w:i/>
                  <w:iCs/>
                  <w:noProof/>
                </w:rPr>
                <w:t>American Economic Policy in the 1980s.</w:t>
              </w:r>
              <w:r>
                <w:rPr>
                  <w:noProof/>
                </w:rPr>
                <w:t xml:space="preserve"> Cambridge : University of Chicago, January 1, 1994.</w:t>
              </w:r>
            </w:p>
            <w:p w:rsidR="006641E9" w:rsidRDefault="006641E9" w:rsidP="006641E9">
              <w:pPr>
                <w:pStyle w:val="Bibliography"/>
                <w:ind w:left="720" w:hanging="720"/>
                <w:rPr>
                  <w:noProof/>
                </w:rPr>
              </w:pPr>
              <w:r>
                <w:rPr>
                  <w:noProof/>
                </w:rPr>
                <w:t xml:space="preserve">—. "Why the ECB Should Buy US Treasuries." </w:t>
              </w:r>
              <w:r>
                <w:rPr>
                  <w:i/>
                  <w:iCs/>
                  <w:noProof/>
                </w:rPr>
                <w:t>Keynote Speech, Federal Reserve Bank of Dallas and Southern Methodist University .</w:t>
              </w:r>
              <w:r>
                <w:rPr>
                  <w:noProof/>
                </w:rPr>
                <w:t xml:space="preserve"> Dallas, 2014.</w:t>
              </w:r>
            </w:p>
            <w:p w:rsidR="006641E9" w:rsidRDefault="006641E9" w:rsidP="006641E9">
              <w:pPr>
                <w:pStyle w:val="Bibliography"/>
                <w:ind w:left="720" w:hanging="720"/>
                <w:rPr>
                  <w:noProof/>
                </w:rPr>
              </w:pPr>
              <w:r>
                <w:rPr>
                  <w:noProof/>
                </w:rPr>
                <w:t xml:space="preserve">Fratzscher, Marcel, Oliver Gloede, Lukas Menkhoff, Lucio Sarno and Tobias Stohr. </w:t>
              </w:r>
              <w:r>
                <w:rPr>
                  <w:i/>
                  <w:iCs/>
                  <w:noProof/>
                </w:rPr>
                <w:t>When is Foreign Exchange Intervention Effective?</w:t>
              </w:r>
              <w:r>
                <w:rPr>
                  <w:noProof/>
                </w:rPr>
                <w:t xml:space="preserve"> Berlin , August 2015.</w:t>
              </w:r>
            </w:p>
            <w:p w:rsidR="006641E9" w:rsidRDefault="006641E9" w:rsidP="006641E9">
              <w:pPr>
                <w:pStyle w:val="Bibliography"/>
                <w:ind w:left="720" w:hanging="720"/>
                <w:rPr>
                  <w:noProof/>
                </w:rPr>
              </w:pPr>
              <w:r>
                <w:rPr>
                  <w:noProof/>
                </w:rPr>
                <w:t xml:space="preserve">Funabashi, Yoichi. </w:t>
              </w:r>
              <w:r>
                <w:rPr>
                  <w:i/>
                  <w:iCs/>
                  <w:noProof/>
                </w:rPr>
                <w:t>Managing the dollar: From the Plaza to the Louvre.</w:t>
              </w:r>
              <w:r>
                <w:rPr>
                  <w:noProof/>
                </w:rPr>
                <w:t xml:space="preserve"> Washington, D.C. , 1988.</w:t>
              </w:r>
            </w:p>
            <w:p w:rsidR="006641E9" w:rsidRDefault="006641E9" w:rsidP="006641E9">
              <w:pPr>
                <w:pStyle w:val="Bibliography"/>
                <w:ind w:left="720" w:hanging="720"/>
                <w:rPr>
                  <w:noProof/>
                </w:rPr>
              </w:pPr>
              <w:r>
                <w:rPr>
                  <w:noProof/>
                </w:rPr>
                <w:t xml:space="preserve">G7. </w:t>
              </w:r>
              <w:r>
                <w:rPr>
                  <w:i/>
                  <w:iCs/>
                  <w:noProof/>
                </w:rPr>
                <w:t>Statement by G7 Finance Ministers and Central Bank Governors.</w:t>
              </w:r>
              <w:r>
                <w:rPr>
                  <w:noProof/>
                </w:rPr>
                <w:t xml:space="preserve"> February 12, 2013. www.g8.utoronto.ca/finance/fm130212.htm.</w:t>
              </w:r>
            </w:p>
            <w:p w:rsidR="006641E9" w:rsidRDefault="006641E9" w:rsidP="006641E9">
              <w:pPr>
                <w:pStyle w:val="Bibliography"/>
                <w:ind w:left="720" w:hanging="720"/>
                <w:rPr>
                  <w:noProof/>
                </w:rPr>
              </w:pPr>
              <w:r>
                <w:rPr>
                  <w:noProof/>
                </w:rPr>
                <w:t xml:space="preserve">Gagnon, Joseph E. "Combating Widespread Currency Manipulation." </w:t>
              </w:r>
              <w:r>
                <w:rPr>
                  <w:i/>
                  <w:iCs/>
                  <w:noProof/>
                </w:rPr>
                <w:t>Policy Brief in International Economics.</w:t>
              </w:r>
              <w:r>
                <w:rPr>
                  <w:noProof/>
                </w:rPr>
                <w:t xml:space="preserve"> Peterson Institute for International Economics, 2012.</w:t>
              </w:r>
            </w:p>
            <w:p w:rsidR="006641E9" w:rsidRDefault="006641E9" w:rsidP="006641E9">
              <w:pPr>
                <w:pStyle w:val="Bibliography"/>
                <w:ind w:left="720" w:hanging="720"/>
                <w:rPr>
                  <w:noProof/>
                </w:rPr>
              </w:pPr>
              <w:r>
                <w:rPr>
                  <w:noProof/>
                </w:rPr>
                <w:t xml:space="preserve">Gagnon, Joseph E. "Currency Wars." </w:t>
              </w:r>
              <w:r>
                <w:rPr>
                  <w:i/>
                  <w:iCs/>
                  <w:noProof/>
                </w:rPr>
                <w:t>Milken Institute Review 15.1</w:t>
              </w:r>
              <w:r>
                <w:rPr>
                  <w:noProof/>
                </w:rPr>
                <w:t>, n.d.: 47-55.</w:t>
              </w:r>
            </w:p>
            <w:p w:rsidR="006641E9" w:rsidRDefault="006641E9" w:rsidP="006641E9">
              <w:pPr>
                <w:pStyle w:val="Bibliography"/>
                <w:ind w:left="720" w:hanging="720"/>
                <w:rPr>
                  <w:noProof/>
                </w:rPr>
              </w:pPr>
              <w:r>
                <w:rPr>
                  <w:noProof/>
                </w:rPr>
                <w:t xml:space="preserve">Gao, Bai. </w:t>
              </w:r>
              <w:r>
                <w:rPr>
                  <w:i/>
                  <w:iCs/>
                  <w:noProof/>
                </w:rPr>
                <w:t>Japan's Economic Dilemma: The Institutional Origins of Prosperity and Stagnation .</w:t>
              </w:r>
              <w:r>
                <w:rPr>
                  <w:noProof/>
                </w:rPr>
                <w:t xml:space="preserve"> Cambridge: Cambridge University Press, 2001.</w:t>
              </w:r>
            </w:p>
            <w:p w:rsidR="006641E9" w:rsidRDefault="006641E9" w:rsidP="006641E9">
              <w:pPr>
                <w:pStyle w:val="Bibliography"/>
                <w:ind w:left="720" w:hanging="720"/>
                <w:rPr>
                  <w:noProof/>
                </w:rPr>
              </w:pPr>
              <w:r>
                <w:rPr>
                  <w:noProof/>
                </w:rPr>
                <w:t xml:space="preserve">Green, Russell, Daivd Papell and Ruxandar Prodan. "Why Was the Plaza Accord Unique?" </w:t>
              </w:r>
              <w:r>
                <w:rPr>
                  <w:i/>
                  <w:iCs/>
                  <w:noProof/>
                </w:rPr>
                <w:t>Conference on Currency Policy Then and Now: 30th Anniversary of the Plaza Accord.</w:t>
              </w:r>
              <w:r>
                <w:rPr>
                  <w:noProof/>
                </w:rPr>
                <w:t xml:space="preserve"> Houston, TX: James Baker Institute for Public Policy, Rice University, 2015.</w:t>
              </w:r>
            </w:p>
            <w:p w:rsidR="006641E9" w:rsidRDefault="006641E9" w:rsidP="006641E9">
              <w:pPr>
                <w:pStyle w:val="Bibliography"/>
                <w:ind w:left="720" w:hanging="720"/>
                <w:rPr>
                  <w:noProof/>
                </w:rPr>
              </w:pPr>
              <w:r>
                <w:rPr>
                  <w:noProof/>
                </w:rPr>
                <w:t xml:space="preserve">Henderson, Dale and Stephanie Sampson. "Intervention in Foreign Exchange Markets: A Summary of Ten Staff Studies." </w:t>
              </w:r>
              <w:r>
                <w:rPr>
                  <w:i/>
                  <w:iCs/>
                  <w:noProof/>
                </w:rPr>
                <w:t>Federal Reserve Bulletin 69</w:t>
              </w:r>
              <w:r>
                <w:rPr>
                  <w:noProof/>
                </w:rPr>
                <w:t>, 1983: 830-836.</w:t>
              </w:r>
            </w:p>
            <w:p w:rsidR="006641E9" w:rsidRDefault="006641E9" w:rsidP="006641E9">
              <w:pPr>
                <w:pStyle w:val="Bibliography"/>
                <w:ind w:left="720" w:hanging="720"/>
                <w:rPr>
                  <w:noProof/>
                </w:rPr>
              </w:pPr>
              <w:r>
                <w:rPr>
                  <w:noProof/>
                </w:rPr>
                <w:t xml:space="preserve">IMF. "IMF Completes the 2015 Article IV Consultation Mission to China." </w:t>
              </w:r>
              <w:r>
                <w:rPr>
                  <w:i/>
                  <w:iCs/>
                  <w:noProof/>
                </w:rPr>
                <w:t>Internation Monetary Fund Press Release.</w:t>
              </w:r>
              <w:r>
                <w:rPr>
                  <w:noProof/>
                </w:rPr>
                <w:t xml:space="preserve"> IMF Press Release No. 15/237, May 26, 2015.</w:t>
              </w:r>
            </w:p>
            <w:p w:rsidR="006641E9" w:rsidRDefault="006641E9" w:rsidP="006641E9">
              <w:pPr>
                <w:pStyle w:val="Bibliography"/>
                <w:ind w:left="720" w:hanging="720"/>
                <w:rPr>
                  <w:noProof/>
                </w:rPr>
              </w:pPr>
              <w:r>
                <w:rPr>
                  <w:noProof/>
                </w:rPr>
                <w:t xml:space="preserve">Ito, Takatoshi. "Is Foreign Exchange Intervention Effective: The Japanese Experience in the 1990s." </w:t>
              </w:r>
              <w:r>
                <w:rPr>
                  <w:i/>
                  <w:iCs/>
                  <w:noProof/>
                </w:rPr>
                <w:t>National Bureau of Economic Council.</w:t>
              </w:r>
              <w:r>
                <w:rPr>
                  <w:noProof/>
                </w:rPr>
                <w:t xml:space="preserve"> National Bureau of Economic Council, April 2003.</w:t>
              </w:r>
            </w:p>
            <w:p w:rsidR="006641E9" w:rsidRDefault="006641E9" w:rsidP="006641E9">
              <w:pPr>
                <w:pStyle w:val="Bibliography"/>
                <w:ind w:left="720" w:hanging="720"/>
                <w:rPr>
                  <w:noProof/>
                </w:rPr>
              </w:pPr>
              <w:r>
                <w:rPr>
                  <w:noProof/>
                </w:rPr>
                <w:t xml:space="preserve">Ito, Takatoshi. "The Intradaily Exchange Rate Dynamics and Monetary Policies After the Group of Five Agreement." </w:t>
              </w:r>
              <w:r>
                <w:rPr>
                  <w:i/>
                  <w:iCs/>
                  <w:noProof/>
                </w:rPr>
                <w:t>Journal of the Japanese and International Economies 1.3</w:t>
              </w:r>
              <w:r>
                <w:rPr>
                  <w:noProof/>
                </w:rPr>
                <w:t>, 1987: 275-298.</w:t>
              </w:r>
            </w:p>
            <w:p w:rsidR="006641E9" w:rsidRDefault="006641E9" w:rsidP="006641E9">
              <w:pPr>
                <w:pStyle w:val="Bibliography"/>
                <w:ind w:left="720" w:hanging="720"/>
                <w:rPr>
                  <w:noProof/>
                </w:rPr>
              </w:pPr>
              <w:r>
                <w:rPr>
                  <w:noProof/>
                </w:rPr>
                <w:t xml:space="preserve">Kearns, Jonathan and Roberto Rigobon. "Identifying the Efficacy of Central Bank Interventions: Evidence from Australia and Japan." </w:t>
              </w:r>
              <w:r>
                <w:rPr>
                  <w:i/>
                  <w:iCs/>
                  <w:noProof/>
                </w:rPr>
                <w:t>Journal of Internation Economics 66</w:t>
              </w:r>
              <w:r>
                <w:rPr>
                  <w:noProof/>
                </w:rPr>
                <w:t>, 2005: 31-48.</w:t>
              </w:r>
            </w:p>
            <w:p w:rsidR="006641E9" w:rsidRDefault="006641E9" w:rsidP="006641E9">
              <w:pPr>
                <w:pStyle w:val="Bibliography"/>
                <w:ind w:left="720" w:hanging="720"/>
                <w:rPr>
                  <w:noProof/>
                </w:rPr>
              </w:pPr>
              <w:r>
                <w:rPr>
                  <w:noProof/>
                </w:rPr>
                <w:t xml:space="preserve">Kessler, Martin and Arvind Subramanian. "Is the Renminbi Still Undervalued? Not According to New PPP Estimates." </w:t>
              </w:r>
              <w:r>
                <w:rPr>
                  <w:i/>
                  <w:iCs/>
                  <w:noProof/>
                </w:rPr>
                <w:t>Peterson Institute for International Economics.</w:t>
              </w:r>
              <w:r>
                <w:rPr>
                  <w:noProof/>
                </w:rPr>
                <w:t xml:space="preserve"> Peterson Institute for International Economics, May 1, 2015.</w:t>
              </w:r>
            </w:p>
            <w:p w:rsidR="006641E9" w:rsidRDefault="006641E9" w:rsidP="006641E9">
              <w:pPr>
                <w:pStyle w:val="Bibliography"/>
                <w:ind w:left="720" w:hanging="720"/>
                <w:rPr>
                  <w:noProof/>
                </w:rPr>
              </w:pPr>
              <w:r>
                <w:rPr>
                  <w:noProof/>
                </w:rPr>
                <w:t xml:space="preserve">Krugman, Paul. "Introduction ." In </w:t>
              </w:r>
              <w:r>
                <w:rPr>
                  <w:i/>
                  <w:iCs/>
                  <w:noProof/>
                </w:rPr>
                <w:t>International Adjustment and Financing: The Lessons of 1985-1991</w:t>
              </w:r>
              <w:r>
                <w:rPr>
                  <w:noProof/>
                </w:rPr>
                <w:t>, by C.F. Bergsten, 3-12. Washington : Institute for International Economics, 1991.</w:t>
              </w:r>
            </w:p>
            <w:p w:rsidR="006641E9" w:rsidRDefault="006641E9" w:rsidP="006641E9">
              <w:pPr>
                <w:pStyle w:val="Bibliography"/>
                <w:ind w:left="720" w:hanging="720"/>
                <w:rPr>
                  <w:noProof/>
                </w:rPr>
              </w:pPr>
              <w:r>
                <w:rPr>
                  <w:noProof/>
                </w:rPr>
                <w:lastRenderedPageBreak/>
                <w:t xml:space="preserve">—. "Is the Strong Dollar Sustainable? ." </w:t>
              </w:r>
              <w:r>
                <w:rPr>
                  <w:i/>
                  <w:iCs/>
                  <w:noProof/>
                </w:rPr>
                <w:t>NBER Working Paper No. 1644 .</w:t>
              </w:r>
              <w:r>
                <w:rPr>
                  <w:noProof/>
                </w:rPr>
                <w:t xml:space="preserve"> National Bureau of Economic Research, June 1985.</w:t>
              </w:r>
            </w:p>
            <w:p w:rsidR="006641E9" w:rsidRDefault="006641E9" w:rsidP="006641E9">
              <w:pPr>
                <w:pStyle w:val="Bibliography"/>
                <w:ind w:left="720" w:hanging="720"/>
                <w:rPr>
                  <w:noProof/>
                </w:rPr>
              </w:pPr>
              <w:r>
                <w:rPr>
                  <w:noProof/>
                </w:rPr>
                <w:t xml:space="preserve">Mulford, David. </w:t>
              </w:r>
              <w:r>
                <w:rPr>
                  <w:i/>
                  <w:iCs/>
                  <w:noProof/>
                </w:rPr>
                <w:t>Packing for India: A Life of Action in Global Finance and Diplomacy.</w:t>
              </w:r>
              <w:r>
                <w:rPr>
                  <w:noProof/>
                </w:rPr>
                <w:t xml:space="preserve"> Washington, D.C.: Potomac Books, 2014.</w:t>
              </w:r>
            </w:p>
            <w:p w:rsidR="006641E9" w:rsidRDefault="006641E9" w:rsidP="006641E9">
              <w:pPr>
                <w:pStyle w:val="Bibliography"/>
                <w:ind w:left="720" w:hanging="720"/>
                <w:rPr>
                  <w:noProof/>
                </w:rPr>
              </w:pPr>
              <w:r>
                <w:rPr>
                  <w:noProof/>
                </w:rPr>
                <w:t xml:space="preserve">Obstfeld, Maurice. "The effectiveness of foreign-excahnge intervention: Recent experience." In </w:t>
              </w:r>
              <w:r>
                <w:rPr>
                  <w:i/>
                  <w:iCs/>
                  <w:noProof/>
                </w:rPr>
                <w:t>International Policy Coordination and Exchange Rate Fluctuations</w:t>
              </w:r>
              <w:r>
                <w:rPr>
                  <w:noProof/>
                </w:rPr>
                <w:t>, by J. Frenkel and M. Goldstein W. Branson. Chicago: University of Chicago Press, 1990.</w:t>
              </w:r>
            </w:p>
            <w:p w:rsidR="006641E9" w:rsidRDefault="006641E9" w:rsidP="006641E9">
              <w:pPr>
                <w:pStyle w:val="Bibliography"/>
                <w:ind w:left="720" w:hanging="720"/>
                <w:rPr>
                  <w:noProof/>
                </w:rPr>
              </w:pPr>
              <w:r>
                <w:rPr>
                  <w:noProof/>
                </w:rPr>
                <w:t xml:space="preserve">Portes, Richard. "Monetary Policies and Exchange Rates at the Zero Lower Bound." </w:t>
              </w:r>
              <w:r>
                <w:rPr>
                  <w:i/>
                  <w:iCs/>
                  <w:noProof/>
                </w:rPr>
                <w:t>Journal of Money, Credit and Banking 44.s1</w:t>
              </w:r>
              <w:r>
                <w:rPr>
                  <w:noProof/>
                </w:rPr>
                <w:t>, 2012: 157-163.</w:t>
              </w:r>
            </w:p>
            <w:p w:rsidR="006641E9" w:rsidRDefault="006641E9" w:rsidP="006641E9">
              <w:pPr>
                <w:pStyle w:val="Bibliography"/>
                <w:ind w:left="720" w:hanging="720"/>
                <w:rPr>
                  <w:noProof/>
                </w:rPr>
              </w:pPr>
              <w:r>
                <w:rPr>
                  <w:noProof/>
                </w:rPr>
                <w:t xml:space="preserve">Putnam, Robert and Nicholas Bayne. </w:t>
              </w:r>
              <w:r>
                <w:rPr>
                  <w:i/>
                  <w:iCs/>
                  <w:noProof/>
                </w:rPr>
                <w:t>Hanging together: The seven-power summits.</w:t>
              </w:r>
              <w:r>
                <w:rPr>
                  <w:noProof/>
                </w:rPr>
                <w:t xml:space="preserve"> Cambridge, MA: Harvard University Press, 1987.</w:t>
              </w:r>
            </w:p>
            <w:p w:rsidR="006641E9" w:rsidRDefault="006641E9" w:rsidP="006641E9">
              <w:pPr>
                <w:pStyle w:val="Bibliography"/>
                <w:ind w:left="720" w:hanging="720"/>
                <w:rPr>
                  <w:noProof/>
                </w:rPr>
              </w:pPr>
              <w:r>
                <w:rPr>
                  <w:noProof/>
                </w:rPr>
                <w:t xml:space="preserve">Regan, Donald. </w:t>
              </w:r>
              <w:r>
                <w:rPr>
                  <w:i/>
                  <w:iCs/>
                  <w:noProof/>
                </w:rPr>
                <w:t>For the Record: From Wall Street to Washington .</w:t>
              </w:r>
              <w:r>
                <w:rPr>
                  <w:noProof/>
                </w:rPr>
                <w:t xml:space="preserve"> New York: St. Martin's , 1988.</w:t>
              </w:r>
            </w:p>
            <w:p w:rsidR="006641E9" w:rsidRDefault="006641E9" w:rsidP="006641E9">
              <w:pPr>
                <w:pStyle w:val="Bibliography"/>
                <w:ind w:left="720" w:hanging="720"/>
                <w:rPr>
                  <w:noProof/>
                </w:rPr>
              </w:pPr>
              <w:r>
                <w:rPr>
                  <w:noProof/>
                </w:rPr>
                <w:t xml:space="preserve">Report. </w:t>
              </w:r>
              <w:r>
                <w:rPr>
                  <w:i/>
                  <w:iCs/>
                  <w:noProof/>
                </w:rPr>
                <w:t>of the Working Group on Exchange Market "Jurgensen Report".</w:t>
              </w:r>
              <w:r>
                <w:rPr>
                  <w:noProof/>
                </w:rPr>
                <w:t xml:space="preserve"> Washington D.C.: Department of Treasury, 1983.</w:t>
              </w:r>
            </w:p>
            <w:p w:rsidR="006641E9" w:rsidRDefault="006641E9" w:rsidP="006641E9">
              <w:pPr>
                <w:pStyle w:val="Bibliography"/>
                <w:ind w:left="720" w:hanging="720"/>
                <w:rPr>
                  <w:noProof/>
                </w:rPr>
              </w:pPr>
              <w:r>
                <w:rPr>
                  <w:noProof/>
                </w:rPr>
                <w:t xml:space="preserve">Rey, Hélène. "Dilemma not trilemma: the global financial cycle and monetary policy independence." </w:t>
              </w:r>
              <w:r>
                <w:rPr>
                  <w:i/>
                  <w:iCs/>
                  <w:noProof/>
                </w:rPr>
                <w:t>WP No. 21162.</w:t>
              </w:r>
              <w:r>
                <w:rPr>
                  <w:noProof/>
                </w:rPr>
                <w:t xml:space="preserve"> National Bureau of Economic Research, 2015.</w:t>
              </w:r>
            </w:p>
            <w:p w:rsidR="006641E9" w:rsidRDefault="006641E9" w:rsidP="006641E9">
              <w:pPr>
                <w:pStyle w:val="Bibliography"/>
                <w:ind w:left="720" w:hanging="720"/>
                <w:rPr>
                  <w:noProof/>
                </w:rPr>
              </w:pPr>
              <w:r>
                <w:rPr>
                  <w:noProof/>
                </w:rPr>
                <w:t xml:space="preserve">Rose, Andrew and Yellen, Janet. "Is there a J-curve?" </w:t>
              </w:r>
              <w:r>
                <w:rPr>
                  <w:i/>
                  <w:iCs/>
                  <w:noProof/>
                </w:rPr>
                <w:t>Jourrnal of Monetary Economics 24.1</w:t>
              </w:r>
              <w:r>
                <w:rPr>
                  <w:noProof/>
                </w:rPr>
                <w:t>, 1989: 53-68.</w:t>
              </w:r>
            </w:p>
            <w:p w:rsidR="006641E9" w:rsidRDefault="006641E9" w:rsidP="006641E9">
              <w:pPr>
                <w:pStyle w:val="Bibliography"/>
                <w:ind w:left="720" w:hanging="720"/>
                <w:rPr>
                  <w:noProof/>
                </w:rPr>
              </w:pPr>
              <w:r>
                <w:rPr>
                  <w:noProof/>
                </w:rPr>
                <w:t xml:space="preserve">Sarno, Lucio, and Mark Taylor. "Official Intervention in the Foreign Exchange Market: Is It Effective and, If So, How Does It Work?" </w:t>
              </w:r>
              <w:r>
                <w:rPr>
                  <w:i/>
                  <w:iCs/>
                  <w:noProof/>
                </w:rPr>
                <w:t>Journal of Economic Literatute 39</w:t>
              </w:r>
              <w:r>
                <w:rPr>
                  <w:noProof/>
                </w:rPr>
                <w:t>, 2001: 839-868.</w:t>
              </w:r>
            </w:p>
            <w:p w:rsidR="006641E9" w:rsidRDefault="006641E9" w:rsidP="006641E9">
              <w:pPr>
                <w:pStyle w:val="Bibliography"/>
                <w:ind w:left="720" w:hanging="720"/>
                <w:rPr>
                  <w:noProof/>
                </w:rPr>
              </w:pPr>
              <w:r>
                <w:rPr>
                  <w:noProof/>
                </w:rPr>
                <w:t xml:space="preserve">Stein, Benn. </w:t>
              </w:r>
              <w:r>
                <w:rPr>
                  <w:i/>
                  <w:iCs/>
                  <w:noProof/>
                </w:rPr>
                <w:t>The Battle of Bretton Woods.</w:t>
              </w:r>
              <w:r>
                <w:rPr>
                  <w:noProof/>
                </w:rPr>
                <w:t xml:space="preserve"> Princeton: Princeton University Press, 2013.</w:t>
              </w:r>
            </w:p>
            <w:p w:rsidR="006641E9" w:rsidRDefault="006641E9" w:rsidP="006641E9">
              <w:pPr>
                <w:pStyle w:val="Bibliography"/>
                <w:ind w:left="720" w:hanging="720"/>
                <w:rPr>
                  <w:noProof/>
                </w:rPr>
              </w:pPr>
              <w:r>
                <w:rPr>
                  <w:noProof/>
                </w:rPr>
                <w:t xml:space="preserve">Taylor, John. "A Rule-Based Cooperatively_Managed International Monetary System for the Future." </w:t>
              </w:r>
              <w:r>
                <w:rPr>
                  <w:i/>
                  <w:iCs/>
                  <w:noProof/>
                </w:rPr>
                <w:t>Conference on Currency Policy Then and Now: 30th Anniversary of the Plaza Accord.</w:t>
              </w:r>
              <w:r>
                <w:rPr>
                  <w:noProof/>
                </w:rPr>
                <w:t xml:space="preserve"> Houston, TX: James A. Baker Institute for Public Policy, Rice University , October 1, 2015.</w:t>
              </w:r>
            </w:p>
            <w:p w:rsidR="006641E9" w:rsidRDefault="006641E9" w:rsidP="006641E9">
              <w:pPr>
                <w:pStyle w:val="Bibliography"/>
                <w:ind w:left="720" w:hanging="720"/>
                <w:rPr>
                  <w:noProof/>
                </w:rPr>
              </w:pPr>
              <w:r>
                <w:rPr>
                  <w:noProof/>
                </w:rPr>
                <w:t xml:space="preserve">Truman, Edwin M. "The limits of exchange market intervention ." In </w:t>
              </w:r>
              <w:r>
                <w:rPr>
                  <w:i/>
                  <w:iCs/>
                  <w:noProof/>
                </w:rPr>
                <w:t>Dollar Overvaluation and the World Economy</w:t>
              </w:r>
              <w:r>
                <w:rPr>
                  <w:noProof/>
                </w:rPr>
                <w:t>, by Fred Bergsten and John Williamson, 247-265. Washington, D.C.: Peterson Institute for International Economics, 2003.</w:t>
              </w:r>
            </w:p>
            <w:p w:rsidR="002F632E" w:rsidRDefault="003B244A" w:rsidP="006641E9">
              <w:pPr>
                <w:pStyle w:val="Bibliography"/>
                <w:rPr>
                  <w:noProof/>
                </w:rPr>
              </w:pPr>
              <w:r>
                <w:fldChar w:fldCharType="end"/>
              </w:r>
            </w:p>
          </w:sdtContent>
        </w:sdt>
      </w:sdtContent>
    </w:sdt>
    <w:p w:rsidR="005D22B0" w:rsidRDefault="005D22B0" w:rsidP="002F632E"/>
    <w:p w:rsidR="00875A28" w:rsidRDefault="00196A55" w:rsidP="00F30508">
      <w:pPr>
        <w:spacing w:line="240" w:lineRule="auto"/>
        <w:rPr>
          <w:color w:val="000000"/>
          <w:sz w:val="20"/>
          <w:szCs w:val="20"/>
          <w:shd w:val="clear" w:color="auto" w:fill="FFFFFF"/>
        </w:rPr>
      </w:pPr>
      <w:r w:rsidRPr="001E4786">
        <w:rPr>
          <w:color w:val="000000"/>
          <w:sz w:val="20"/>
          <w:szCs w:val="20"/>
          <w:shd w:val="clear" w:color="auto" w:fill="FFFFFF"/>
        </w:rPr>
        <w:br/>
      </w:r>
    </w:p>
    <w:sdt>
      <w:sdtPr>
        <w:id w:val="4172238"/>
        <w:docPartObj>
          <w:docPartGallery w:val="Bibliographies"/>
          <w:docPartUnique/>
        </w:docPartObj>
      </w:sdtPr>
      <w:sdtEndPr/>
      <w:sdtContent>
        <w:p w:rsidR="00875A28" w:rsidRDefault="003F2E01" w:rsidP="004D28F4">
          <w:pPr>
            <w:pStyle w:val="Heading1"/>
            <w:rPr>
              <w:rFonts w:cs="Arial"/>
              <w:color w:val="222222"/>
              <w:sz w:val="20"/>
              <w:szCs w:val="20"/>
              <w:shd w:val="clear" w:color="auto" w:fill="FFFFFF"/>
            </w:rPr>
          </w:pPr>
        </w:p>
      </w:sdtContent>
    </w:sdt>
    <w:sectPr w:rsidR="00875A28" w:rsidSect="00D55266">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2E01" w:rsidRDefault="003F2E01" w:rsidP="00A83101">
      <w:pPr>
        <w:spacing w:after="0" w:line="240" w:lineRule="auto"/>
      </w:pPr>
      <w:r>
        <w:separator/>
      </w:r>
    </w:p>
  </w:endnote>
  <w:endnote w:type="continuationSeparator" w:id="0">
    <w:p w:rsidR="003F2E01" w:rsidRDefault="003F2E01" w:rsidP="00A831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NimbusRomNo9L-Regu">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4681694"/>
      <w:docPartObj>
        <w:docPartGallery w:val="Page Numbers (Bottom of Page)"/>
        <w:docPartUnique/>
      </w:docPartObj>
    </w:sdtPr>
    <w:sdtEndPr>
      <w:rPr>
        <w:noProof/>
      </w:rPr>
    </w:sdtEndPr>
    <w:sdtContent>
      <w:p w:rsidR="00541A64" w:rsidRDefault="00257DC2">
        <w:pPr>
          <w:pStyle w:val="Footer"/>
          <w:jc w:val="right"/>
        </w:pPr>
        <w:r>
          <w:fldChar w:fldCharType="begin"/>
        </w:r>
        <w:r>
          <w:instrText xml:space="preserve"> PAGE   \* MERGEFORMAT </w:instrText>
        </w:r>
        <w:r>
          <w:fldChar w:fldCharType="separate"/>
        </w:r>
        <w:r w:rsidR="00DC165D">
          <w:rPr>
            <w:noProof/>
          </w:rPr>
          <w:t>7</w:t>
        </w:r>
        <w:r>
          <w:rPr>
            <w:noProof/>
          </w:rPr>
          <w:fldChar w:fldCharType="end"/>
        </w:r>
      </w:p>
    </w:sdtContent>
  </w:sdt>
  <w:p w:rsidR="00541A64" w:rsidRDefault="00541A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2E01" w:rsidRDefault="003F2E01" w:rsidP="00A83101">
      <w:pPr>
        <w:spacing w:after="0" w:line="240" w:lineRule="auto"/>
      </w:pPr>
      <w:r>
        <w:separator/>
      </w:r>
    </w:p>
  </w:footnote>
  <w:footnote w:type="continuationSeparator" w:id="0">
    <w:p w:rsidR="003F2E01" w:rsidRDefault="003F2E01" w:rsidP="00A83101">
      <w:pPr>
        <w:spacing w:after="0" w:line="240" w:lineRule="auto"/>
      </w:pPr>
      <w:r>
        <w:continuationSeparator/>
      </w:r>
    </w:p>
  </w:footnote>
  <w:footnote w:id="1">
    <w:p w:rsidR="00541A64" w:rsidRPr="003B4631" w:rsidRDefault="00541A64">
      <w:pPr>
        <w:pStyle w:val="FootnoteText"/>
        <w:rPr>
          <w:sz w:val="22"/>
          <w:szCs w:val="22"/>
        </w:rPr>
      </w:pPr>
      <w:r w:rsidRPr="003B4631">
        <w:rPr>
          <w:rStyle w:val="FootnoteReference"/>
          <w:sz w:val="22"/>
          <w:szCs w:val="22"/>
        </w:rPr>
        <w:footnoteRef/>
      </w:r>
      <w:r w:rsidRPr="003B4631">
        <w:rPr>
          <w:sz w:val="22"/>
          <w:szCs w:val="22"/>
        </w:rPr>
        <w:t xml:space="preserve"> </w:t>
      </w:r>
      <w:r>
        <w:rPr>
          <w:sz w:val="22"/>
          <w:szCs w:val="22"/>
        </w:rPr>
        <w:t xml:space="preserve">In log terms.  The </w:t>
      </w:r>
      <w:r w:rsidRPr="003B4631">
        <w:rPr>
          <w:sz w:val="22"/>
          <w:szCs w:val="22"/>
        </w:rPr>
        <w:t>Fed index of the dollar against major currencies</w:t>
      </w:r>
      <w:r>
        <w:rPr>
          <w:sz w:val="22"/>
          <w:szCs w:val="22"/>
        </w:rPr>
        <w:t xml:space="preserve"> rose f</w:t>
      </w:r>
      <w:r w:rsidRPr="003B4631">
        <w:rPr>
          <w:sz w:val="22"/>
          <w:szCs w:val="22"/>
        </w:rPr>
        <w:t>rom 93 in September 1980 to</w:t>
      </w:r>
      <w:r>
        <w:rPr>
          <w:sz w:val="22"/>
          <w:szCs w:val="22"/>
        </w:rPr>
        <w:t xml:space="preserve"> 144 at </w:t>
      </w:r>
      <w:r w:rsidRPr="003B4631">
        <w:rPr>
          <w:sz w:val="22"/>
          <w:szCs w:val="22"/>
        </w:rPr>
        <w:t>the February 1985 peak</w:t>
      </w:r>
      <w:r>
        <w:rPr>
          <w:sz w:val="22"/>
          <w:szCs w:val="22"/>
        </w:rPr>
        <w:t xml:space="preserve"> (</w:t>
      </w:r>
      <w:r w:rsidRPr="003B4631">
        <w:rPr>
          <w:sz w:val="22"/>
          <w:szCs w:val="22"/>
        </w:rPr>
        <w:t>1973=100</w:t>
      </w:r>
      <w:r>
        <w:rPr>
          <w:sz w:val="22"/>
          <w:szCs w:val="22"/>
        </w:rPr>
        <w:t>)</w:t>
      </w:r>
      <w:r w:rsidRPr="003B4631">
        <w:rPr>
          <w:sz w:val="22"/>
          <w:szCs w:val="22"/>
        </w:rPr>
        <w:t>.</w:t>
      </w:r>
    </w:p>
  </w:footnote>
  <w:footnote w:id="2">
    <w:p w:rsidR="00541A64" w:rsidRPr="00185214" w:rsidRDefault="00541A64">
      <w:pPr>
        <w:pStyle w:val="FootnoteText"/>
        <w:rPr>
          <w:sz w:val="22"/>
          <w:szCs w:val="22"/>
        </w:rPr>
      </w:pPr>
      <w:r w:rsidRPr="00185214">
        <w:rPr>
          <w:rStyle w:val="FootnoteReference"/>
          <w:sz w:val="22"/>
          <w:szCs w:val="22"/>
        </w:rPr>
        <w:footnoteRef/>
      </w:r>
      <w:r w:rsidRPr="00185214">
        <w:rPr>
          <w:sz w:val="22"/>
          <w:szCs w:val="22"/>
        </w:rPr>
        <w:t xml:space="preserve"> </w:t>
      </w:r>
      <w:r>
        <w:rPr>
          <w:sz w:val="22"/>
          <w:szCs w:val="22"/>
        </w:rPr>
        <w:t>In 1986, Secretary Baker persuaded the G-7 to agree to monitor a set of “objective indicators,” including GDP and other economic variables, hoping to coordinate economic expansion.   In February 1987</w:t>
      </w:r>
      <w:r w:rsidRPr="00185214">
        <w:rPr>
          <w:sz w:val="22"/>
          <w:szCs w:val="22"/>
        </w:rPr>
        <w:t>, the G-7 ministers agreed at the Louvre that the dollar had fallen far enough, especially against the yen, and that they would try to p</w:t>
      </w:r>
      <w:r>
        <w:rPr>
          <w:sz w:val="22"/>
          <w:szCs w:val="22"/>
        </w:rPr>
        <w:t>revent it from falling further.  Funabashi (1988), Baker (2006, 431-32).</w:t>
      </w:r>
    </w:p>
  </w:footnote>
  <w:footnote w:id="3">
    <w:p w:rsidR="00541A64" w:rsidRPr="00185214" w:rsidRDefault="00541A64">
      <w:pPr>
        <w:pStyle w:val="FootnoteText"/>
        <w:rPr>
          <w:sz w:val="22"/>
          <w:szCs w:val="22"/>
        </w:rPr>
      </w:pPr>
      <w:r w:rsidRPr="00185214">
        <w:rPr>
          <w:rStyle w:val="FootnoteReference"/>
          <w:sz w:val="22"/>
          <w:szCs w:val="22"/>
        </w:rPr>
        <w:footnoteRef/>
      </w:r>
      <w:r w:rsidRPr="00185214">
        <w:rPr>
          <w:sz w:val="22"/>
          <w:szCs w:val="22"/>
        </w:rPr>
        <w:t xml:space="preserve"> </w:t>
      </w:r>
      <w:r>
        <w:rPr>
          <w:sz w:val="22"/>
          <w:szCs w:val="22"/>
        </w:rPr>
        <w:t xml:space="preserve">G7 (2013).  </w:t>
      </w:r>
    </w:p>
  </w:footnote>
  <w:footnote w:id="4">
    <w:p w:rsidR="00541A64" w:rsidRPr="009404B3" w:rsidRDefault="00541A64" w:rsidP="008E7451">
      <w:pPr>
        <w:spacing w:line="240" w:lineRule="auto"/>
      </w:pPr>
      <w:r w:rsidRPr="00D43D95">
        <w:rPr>
          <w:rStyle w:val="FootnoteReference"/>
        </w:rPr>
        <w:footnoteRef/>
      </w:r>
      <w:r w:rsidRPr="00D43D95">
        <w:t xml:space="preserve"> Frankel (1994</w:t>
      </w:r>
      <w:r>
        <w:t>a</w:t>
      </w:r>
      <w:r w:rsidRPr="00D43D95">
        <w:t>) gives a more extensive account of American policy with respect to the exchange rate during the decade of the 1980s.</w:t>
      </w:r>
      <w:r>
        <w:t xml:space="preserve"> See also Baker (2006, 427-433), </w:t>
      </w:r>
      <w:r>
        <w:rPr>
          <w:color w:val="333333"/>
          <w:shd w:val="clear" w:color="auto" w:fill="EFF3F8"/>
        </w:rPr>
        <w:t xml:space="preserve">Bordo, </w:t>
      </w:r>
      <w:r w:rsidRPr="00A50FDE">
        <w:rPr>
          <w:color w:val="333333"/>
          <w:shd w:val="clear" w:color="auto" w:fill="EFF3F8"/>
        </w:rPr>
        <w:t>H</w:t>
      </w:r>
      <w:r>
        <w:rPr>
          <w:color w:val="333333"/>
          <w:shd w:val="clear" w:color="auto" w:fill="EFF3F8"/>
        </w:rPr>
        <w:t>umpage and Schwartz (</w:t>
      </w:r>
      <w:r>
        <w:t>2015), Destler and Henning (1989), Funabashi (1988), and Mulford (2014, 169-172).</w:t>
      </w:r>
    </w:p>
    <w:p w:rsidR="00541A64" w:rsidRPr="00D43D95" w:rsidRDefault="00541A64">
      <w:pPr>
        <w:pStyle w:val="FootnoteText"/>
        <w:rPr>
          <w:sz w:val="22"/>
          <w:szCs w:val="22"/>
        </w:rPr>
      </w:pPr>
    </w:p>
  </w:footnote>
  <w:footnote w:id="5">
    <w:p w:rsidR="00541A64" w:rsidRPr="00403F81" w:rsidRDefault="00541A64">
      <w:pPr>
        <w:pStyle w:val="FootnoteText"/>
        <w:rPr>
          <w:sz w:val="22"/>
          <w:szCs w:val="22"/>
        </w:rPr>
      </w:pPr>
      <w:r w:rsidRPr="00403F81">
        <w:rPr>
          <w:rStyle w:val="FootnoteReference"/>
          <w:sz w:val="22"/>
          <w:szCs w:val="22"/>
        </w:rPr>
        <w:footnoteRef/>
      </w:r>
      <w:r w:rsidRPr="00403F81">
        <w:rPr>
          <w:sz w:val="22"/>
          <w:szCs w:val="22"/>
        </w:rPr>
        <w:t xml:space="preserve"> Feldstein (1984) and </w:t>
      </w:r>
      <w:r w:rsidRPr="00403F81">
        <w:rPr>
          <w:rFonts w:cs="Times New Roman"/>
          <w:sz w:val="22"/>
          <w:szCs w:val="22"/>
        </w:rPr>
        <w:t>Council of Economic Advisers (1984).</w:t>
      </w:r>
    </w:p>
  </w:footnote>
  <w:footnote w:id="6">
    <w:p w:rsidR="00541A64" w:rsidRPr="00185214" w:rsidRDefault="00541A64" w:rsidP="00EC4447">
      <w:pPr>
        <w:spacing w:line="240" w:lineRule="auto"/>
      </w:pPr>
      <w:r w:rsidRPr="00185214">
        <w:rPr>
          <w:rStyle w:val="FootnoteReference"/>
        </w:rPr>
        <w:footnoteRef/>
      </w:r>
      <w:r w:rsidRPr="00185214">
        <w:t xml:space="preserve"> Report of the Working Group, 1983</w:t>
      </w:r>
      <w:r>
        <w:t xml:space="preserve">; Henderson and Sampson, 1983; </w:t>
      </w:r>
      <w:r w:rsidRPr="00185214">
        <w:t>Obstfeld</w:t>
      </w:r>
      <w:r>
        <w:t>,</w:t>
      </w:r>
      <w:r w:rsidRPr="00185214">
        <w:t xml:space="preserve"> 1990.</w:t>
      </w:r>
      <w:r>
        <w:t xml:space="preserve">  </w:t>
      </w:r>
      <w:r w:rsidRPr="00185214">
        <w:t>Putnam and Bayne, 1987, p.179</w:t>
      </w:r>
      <w:r>
        <w:t xml:space="preserve">, report the debate within the G-7 at the Williamsburg Summit in May 1983.  </w:t>
      </w:r>
    </w:p>
  </w:footnote>
  <w:footnote w:id="7">
    <w:p w:rsidR="00541A64" w:rsidRPr="00890830" w:rsidRDefault="00541A64">
      <w:pPr>
        <w:pStyle w:val="FootnoteText"/>
        <w:rPr>
          <w:sz w:val="22"/>
          <w:szCs w:val="22"/>
        </w:rPr>
      </w:pPr>
      <w:r w:rsidRPr="00890830">
        <w:rPr>
          <w:rStyle w:val="FootnoteReference"/>
          <w:sz w:val="22"/>
          <w:szCs w:val="22"/>
        </w:rPr>
        <w:footnoteRef/>
      </w:r>
      <w:r w:rsidRPr="00890830">
        <w:rPr>
          <w:sz w:val="22"/>
          <w:szCs w:val="22"/>
        </w:rPr>
        <w:t xml:space="preserve"> Funabashi (1988,</w:t>
      </w:r>
      <w:r>
        <w:rPr>
          <w:sz w:val="22"/>
          <w:szCs w:val="22"/>
        </w:rPr>
        <w:t xml:space="preserve"> 9-41); Mulford (2014, 169-172).</w:t>
      </w:r>
    </w:p>
  </w:footnote>
  <w:footnote w:id="8">
    <w:p w:rsidR="00541A64" w:rsidRPr="00890830" w:rsidRDefault="00541A64">
      <w:pPr>
        <w:pStyle w:val="FootnoteText"/>
        <w:rPr>
          <w:sz w:val="22"/>
          <w:szCs w:val="22"/>
        </w:rPr>
      </w:pPr>
      <w:r w:rsidRPr="00890830">
        <w:rPr>
          <w:rStyle w:val="FootnoteReference"/>
          <w:sz w:val="22"/>
          <w:szCs w:val="22"/>
        </w:rPr>
        <w:footnoteRef/>
      </w:r>
      <w:r w:rsidRPr="00890830">
        <w:rPr>
          <w:sz w:val="22"/>
          <w:szCs w:val="22"/>
        </w:rPr>
        <w:t xml:space="preserve"> Regan (1988)</w:t>
      </w:r>
      <w:r>
        <w:rPr>
          <w:sz w:val="22"/>
          <w:szCs w:val="22"/>
        </w:rPr>
        <w:t>, Baker (2006, 219-220)</w:t>
      </w:r>
      <w:r w:rsidRPr="00890830">
        <w:rPr>
          <w:sz w:val="22"/>
          <w:szCs w:val="22"/>
        </w:rPr>
        <w:t>.</w:t>
      </w:r>
    </w:p>
  </w:footnote>
  <w:footnote w:id="9">
    <w:p w:rsidR="00541A64" w:rsidRPr="00725214" w:rsidRDefault="00541A64">
      <w:pPr>
        <w:pStyle w:val="FootnoteText"/>
        <w:rPr>
          <w:sz w:val="22"/>
          <w:szCs w:val="22"/>
        </w:rPr>
      </w:pPr>
      <w:r w:rsidRPr="00725214">
        <w:rPr>
          <w:rStyle w:val="FootnoteReference"/>
          <w:sz w:val="22"/>
          <w:szCs w:val="22"/>
        </w:rPr>
        <w:footnoteRef/>
      </w:r>
      <w:r w:rsidR="006641E9">
        <w:rPr>
          <w:sz w:val="22"/>
          <w:szCs w:val="22"/>
        </w:rPr>
        <w:t xml:space="preserve"> Mulford (2014, </w:t>
      </w:r>
      <w:r w:rsidRPr="00725214">
        <w:rPr>
          <w:sz w:val="22"/>
          <w:szCs w:val="22"/>
        </w:rPr>
        <w:t>156).</w:t>
      </w:r>
    </w:p>
  </w:footnote>
  <w:footnote w:id="10">
    <w:p w:rsidR="00541A64" w:rsidRPr="00D07DFA" w:rsidRDefault="00541A64">
      <w:pPr>
        <w:pStyle w:val="FootnoteText"/>
        <w:rPr>
          <w:sz w:val="22"/>
          <w:szCs w:val="22"/>
        </w:rPr>
      </w:pPr>
      <w:r w:rsidRPr="00D07DFA">
        <w:rPr>
          <w:rStyle w:val="FootnoteReference"/>
          <w:sz w:val="22"/>
          <w:szCs w:val="22"/>
        </w:rPr>
        <w:footnoteRef/>
      </w:r>
      <w:r w:rsidRPr="00D07DFA">
        <w:rPr>
          <w:sz w:val="22"/>
          <w:szCs w:val="22"/>
        </w:rPr>
        <w:t xml:space="preserve"> Destler and Henning (1989, 41-42).</w:t>
      </w:r>
    </w:p>
  </w:footnote>
  <w:footnote w:id="11">
    <w:p w:rsidR="00541A64" w:rsidRPr="00890830" w:rsidRDefault="00541A64">
      <w:pPr>
        <w:pStyle w:val="FootnoteText"/>
        <w:rPr>
          <w:sz w:val="22"/>
          <w:szCs w:val="22"/>
        </w:rPr>
      </w:pPr>
      <w:r w:rsidRPr="00890830">
        <w:rPr>
          <w:rStyle w:val="FootnoteReference"/>
          <w:sz w:val="22"/>
          <w:szCs w:val="22"/>
        </w:rPr>
        <w:footnoteRef/>
      </w:r>
      <w:r w:rsidRPr="00890830">
        <w:rPr>
          <w:sz w:val="22"/>
          <w:szCs w:val="22"/>
        </w:rPr>
        <w:t xml:space="preserve"> A total of $659 million in foreign exchange purchases from 21 January to 1 March, as compared to $10 billion by the major central banks in total (</w:t>
      </w:r>
      <w:r w:rsidRPr="00890830">
        <w:rPr>
          <w:i/>
          <w:sz w:val="22"/>
          <w:szCs w:val="22"/>
        </w:rPr>
        <w:t>Federal Reserve Bank of New York Quarterly Review</w:t>
      </w:r>
      <w:r w:rsidRPr="00890830">
        <w:rPr>
          <w:sz w:val="22"/>
          <w:szCs w:val="22"/>
        </w:rPr>
        <w:t xml:space="preserve"> 10</w:t>
      </w:r>
      <w:r>
        <w:rPr>
          <w:sz w:val="22"/>
          <w:szCs w:val="22"/>
        </w:rPr>
        <w:t xml:space="preserve">, </w:t>
      </w:r>
      <w:r w:rsidRPr="00890830">
        <w:rPr>
          <w:sz w:val="22"/>
          <w:szCs w:val="22"/>
        </w:rPr>
        <w:t>Spring 1985: 60; and 10</w:t>
      </w:r>
      <w:r>
        <w:rPr>
          <w:sz w:val="22"/>
          <w:szCs w:val="22"/>
        </w:rPr>
        <w:t xml:space="preserve">, </w:t>
      </w:r>
      <w:r w:rsidRPr="00890830">
        <w:rPr>
          <w:sz w:val="22"/>
          <w:szCs w:val="22"/>
        </w:rPr>
        <w:t>Autumn 1985: 52).</w:t>
      </w:r>
    </w:p>
  </w:footnote>
  <w:footnote w:id="12">
    <w:p w:rsidR="00541A64" w:rsidRDefault="00541A64">
      <w:pPr>
        <w:pStyle w:val="FootnoteText"/>
      </w:pPr>
      <w:r w:rsidRPr="00890830">
        <w:rPr>
          <w:rStyle w:val="FootnoteReference"/>
          <w:sz w:val="22"/>
          <w:szCs w:val="22"/>
        </w:rPr>
        <w:footnoteRef/>
      </w:r>
      <w:r w:rsidRPr="00890830">
        <w:rPr>
          <w:sz w:val="22"/>
          <w:szCs w:val="22"/>
        </w:rPr>
        <w:t xml:space="preserve"> Intervention was particularly strong on 27 February and appeared at the time to have an impact on the market (e.g., </w:t>
      </w:r>
      <w:r w:rsidRPr="00890830">
        <w:rPr>
          <w:i/>
          <w:sz w:val="22"/>
          <w:szCs w:val="22"/>
        </w:rPr>
        <w:t>Wall Street Journal</w:t>
      </w:r>
      <w:r w:rsidRPr="00890830">
        <w:rPr>
          <w:sz w:val="22"/>
          <w:szCs w:val="22"/>
        </w:rPr>
        <w:t>, 23 September</w:t>
      </w:r>
      <w:r>
        <w:rPr>
          <w:sz w:val="22"/>
          <w:szCs w:val="22"/>
        </w:rPr>
        <w:t xml:space="preserve">, </w:t>
      </w:r>
      <w:r w:rsidRPr="00890830">
        <w:rPr>
          <w:sz w:val="22"/>
          <w:szCs w:val="22"/>
        </w:rPr>
        <w:t>1985, p.26).</w:t>
      </w:r>
    </w:p>
  </w:footnote>
  <w:footnote w:id="13">
    <w:p w:rsidR="00541A64" w:rsidRPr="004D241B" w:rsidRDefault="00541A64">
      <w:pPr>
        <w:pStyle w:val="FootnoteText"/>
        <w:rPr>
          <w:sz w:val="22"/>
          <w:szCs w:val="22"/>
        </w:rPr>
      </w:pPr>
      <w:r w:rsidRPr="004D241B">
        <w:rPr>
          <w:rStyle w:val="FootnoteReference"/>
          <w:sz w:val="22"/>
          <w:szCs w:val="22"/>
        </w:rPr>
        <w:footnoteRef/>
      </w:r>
      <w:r w:rsidRPr="004D241B">
        <w:rPr>
          <w:sz w:val="22"/>
          <w:szCs w:val="22"/>
        </w:rPr>
        <w:t xml:space="preserve"> Steil (2013). </w:t>
      </w:r>
    </w:p>
  </w:footnote>
  <w:footnote w:id="14">
    <w:p w:rsidR="00541A64" w:rsidRPr="004D241B" w:rsidRDefault="00541A64">
      <w:pPr>
        <w:pStyle w:val="FootnoteText"/>
        <w:rPr>
          <w:sz w:val="22"/>
          <w:szCs w:val="22"/>
        </w:rPr>
      </w:pPr>
      <w:r w:rsidRPr="004D241B">
        <w:rPr>
          <w:rStyle w:val="FootnoteReference"/>
          <w:sz w:val="22"/>
          <w:szCs w:val="22"/>
        </w:rPr>
        <w:footnoteRef/>
      </w:r>
      <w:r w:rsidRPr="004D241B">
        <w:rPr>
          <w:sz w:val="22"/>
          <w:szCs w:val="22"/>
        </w:rPr>
        <w:t xml:space="preserve"> E.g., Putnam and Bayne (1987, 199).</w:t>
      </w:r>
    </w:p>
  </w:footnote>
  <w:footnote w:id="15">
    <w:p w:rsidR="00541A64" w:rsidRDefault="00541A64" w:rsidP="0002604B">
      <w:pPr>
        <w:pStyle w:val="FootnoteText"/>
      </w:pPr>
      <w:r w:rsidRPr="004D241B">
        <w:rPr>
          <w:rStyle w:val="FootnoteReference"/>
          <w:sz w:val="22"/>
          <w:szCs w:val="22"/>
        </w:rPr>
        <w:footnoteRef/>
      </w:r>
      <w:r w:rsidRPr="004D241B">
        <w:rPr>
          <w:sz w:val="22"/>
          <w:szCs w:val="22"/>
        </w:rPr>
        <w:t xml:space="preserve"> The G-7 summit of May 1985 was overshadowed by the public relations set-back of Bitburg, which arose when President Reagan embarrassingly found himself committed to visiting a German cemetery that contained graves of Nazi SS soldiers (Putnam and Bayne 1987, 200-201).  According to some reports, this mistake on the part of the White House advance team was an indirect consequence of the strong dollar: On the afternoon</w:t>
      </w:r>
      <w:r w:rsidR="00045F43">
        <w:rPr>
          <w:sz w:val="22"/>
          <w:szCs w:val="22"/>
        </w:rPr>
        <w:t xml:space="preserve"> when aide Michael Deaver was meant to</w:t>
      </w:r>
      <w:r w:rsidRPr="004D241B">
        <w:rPr>
          <w:sz w:val="22"/>
          <w:szCs w:val="22"/>
        </w:rPr>
        <w:t xml:space="preserve"> have been inspecting the Bitburg cemetery, he and other White House aides reportedly were instead out buying BMWs (Bovard, 1991, p.316), which at the time could be had in Germany for half the U.S. price as the result of the appreciation of the dollar against the mark.</w:t>
      </w:r>
      <w:r>
        <w:t xml:space="preserve">  </w:t>
      </w:r>
      <w:r>
        <w:rPr>
          <w:sz w:val="22"/>
          <w:szCs w:val="22"/>
        </w:rPr>
        <w:t>(President Reagan</w:t>
      </w:r>
      <w:r w:rsidRPr="00E64C15">
        <w:rPr>
          <w:sz w:val="22"/>
          <w:szCs w:val="22"/>
        </w:rPr>
        <w:t xml:space="preserve"> </w:t>
      </w:r>
      <w:r>
        <w:rPr>
          <w:sz w:val="22"/>
          <w:szCs w:val="22"/>
        </w:rPr>
        <w:t xml:space="preserve">later </w:t>
      </w:r>
      <w:r w:rsidRPr="00E64C15">
        <w:rPr>
          <w:sz w:val="22"/>
          <w:szCs w:val="22"/>
        </w:rPr>
        <w:t>bless</w:t>
      </w:r>
      <w:r>
        <w:rPr>
          <w:sz w:val="22"/>
          <w:szCs w:val="22"/>
        </w:rPr>
        <w:t xml:space="preserve">ed the Plaza initiative: </w:t>
      </w:r>
      <w:r w:rsidRPr="00E64C15">
        <w:rPr>
          <w:sz w:val="22"/>
          <w:szCs w:val="22"/>
        </w:rPr>
        <w:t>Baker, 2006</w:t>
      </w:r>
      <w:r>
        <w:rPr>
          <w:sz w:val="22"/>
          <w:szCs w:val="22"/>
        </w:rPr>
        <w:t>, 431</w:t>
      </w:r>
      <w:r w:rsidRPr="00E64C15">
        <w:rPr>
          <w:sz w:val="22"/>
          <w:szCs w:val="22"/>
        </w:rPr>
        <w:t>.)</w:t>
      </w:r>
    </w:p>
  </w:footnote>
  <w:footnote w:id="16">
    <w:p w:rsidR="00541A64" w:rsidRPr="00F9417E" w:rsidRDefault="00541A64" w:rsidP="00CB6050">
      <w:pPr>
        <w:pStyle w:val="FootnoteText"/>
        <w:rPr>
          <w:sz w:val="22"/>
          <w:szCs w:val="22"/>
        </w:rPr>
      </w:pPr>
      <w:r w:rsidRPr="00F9417E">
        <w:rPr>
          <w:rStyle w:val="FootnoteReference"/>
          <w:sz w:val="22"/>
          <w:szCs w:val="22"/>
        </w:rPr>
        <w:footnoteRef/>
      </w:r>
      <w:r w:rsidRPr="00F9417E">
        <w:rPr>
          <w:sz w:val="22"/>
          <w:szCs w:val="22"/>
        </w:rPr>
        <w:t xml:space="preserve"> Gao (2001, p.175).</w:t>
      </w:r>
    </w:p>
  </w:footnote>
  <w:footnote w:id="17">
    <w:p w:rsidR="00541A64" w:rsidRPr="00F9417E" w:rsidRDefault="00541A64">
      <w:pPr>
        <w:pStyle w:val="FootnoteText"/>
        <w:rPr>
          <w:sz w:val="22"/>
          <w:szCs w:val="22"/>
        </w:rPr>
      </w:pPr>
      <w:r w:rsidRPr="00F9417E">
        <w:rPr>
          <w:rStyle w:val="FootnoteReference"/>
          <w:sz w:val="22"/>
          <w:szCs w:val="22"/>
        </w:rPr>
        <w:footnoteRef/>
      </w:r>
      <w:r w:rsidRPr="00F9417E">
        <w:rPr>
          <w:sz w:val="22"/>
          <w:szCs w:val="22"/>
        </w:rPr>
        <w:t xml:space="preserve"> </w:t>
      </w:r>
      <w:r>
        <w:rPr>
          <w:sz w:val="22"/>
          <w:szCs w:val="22"/>
        </w:rPr>
        <w:t xml:space="preserve">Mulford (2014, </w:t>
      </w:r>
      <w:r w:rsidRPr="00F9417E">
        <w:rPr>
          <w:sz w:val="22"/>
          <w:szCs w:val="22"/>
        </w:rPr>
        <w:t>p. 1</w:t>
      </w:r>
      <w:r>
        <w:rPr>
          <w:sz w:val="22"/>
          <w:szCs w:val="22"/>
        </w:rPr>
        <w:t>69-1</w:t>
      </w:r>
      <w:r w:rsidRPr="00F9417E">
        <w:rPr>
          <w:sz w:val="22"/>
          <w:szCs w:val="22"/>
        </w:rPr>
        <w:t>70).</w:t>
      </w:r>
    </w:p>
  </w:footnote>
  <w:footnote w:id="18">
    <w:p w:rsidR="00541A64" w:rsidRDefault="00541A64">
      <w:pPr>
        <w:pStyle w:val="FootnoteText"/>
      </w:pPr>
      <w:r>
        <w:rPr>
          <w:rStyle w:val="FootnoteReference"/>
        </w:rPr>
        <w:footnoteRef/>
      </w:r>
      <w:r>
        <w:t xml:space="preserve"> </w:t>
      </w:r>
      <w:r w:rsidRPr="00205406">
        <w:rPr>
          <w:sz w:val="22"/>
          <w:szCs w:val="22"/>
        </w:rPr>
        <w:t xml:space="preserve">Funabashi </w:t>
      </w:r>
      <w:r>
        <w:rPr>
          <w:sz w:val="22"/>
          <w:szCs w:val="22"/>
        </w:rPr>
        <w:t>(</w:t>
      </w:r>
      <w:r w:rsidRPr="00205406">
        <w:rPr>
          <w:sz w:val="22"/>
          <w:szCs w:val="22"/>
        </w:rPr>
        <w:t>1988, 16-21).</w:t>
      </w:r>
    </w:p>
  </w:footnote>
  <w:footnote w:id="19">
    <w:p w:rsidR="00541A64" w:rsidRPr="00205406" w:rsidRDefault="00541A64">
      <w:pPr>
        <w:pStyle w:val="FootnoteText"/>
        <w:rPr>
          <w:sz w:val="22"/>
          <w:szCs w:val="22"/>
        </w:rPr>
      </w:pPr>
      <w:r w:rsidRPr="00205406">
        <w:rPr>
          <w:rStyle w:val="FootnoteReference"/>
          <w:sz w:val="22"/>
          <w:szCs w:val="22"/>
        </w:rPr>
        <w:footnoteRef/>
      </w:r>
      <w:r w:rsidRPr="00205406">
        <w:rPr>
          <w:sz w:val="22"/>
          <w:szCs w:val="22"/>
        </w:rPr>
        <w:t xml:space="preserve"> The “nonpaper” also specified the total scale of intervention to be undertaken over the subsequent six weeks (up to $18 billion) and the allocation among the five countries (Funabashi</w:t>
      </w:r>
      <w:r>
        <w:rPr>
          <w:sz w:val="22"/>
          <w:szCs w:val="22"/>
        </w:rPr>
        <w:t>,</w:t>
      </w:r>
      <w:r w:rsidRPr="00205406">
        <w:rPr>
          <w:sz w:val="22"/>
          <w:szCs w:val="22"/>
        </w:rPr>
        <w:t xml:space="preserve"> 1988, 16-21). Intervention actually undertaken by the end of October turned out to be $3.2 billion on the part of the United States and $5 billion on the part of the other four countries, plus over $2 billion on the part of G-10 countries that were not represented at the Plaza, particularly Italy (</w:t>
      </w:r>
      <w:r w:rsidRPr="00205406">
        <w:rPr>
          <w:i/>
          <w:sz w:val="22"/>
          <w:szCs w:val="22"/>
        </w:rPr>
        <w:t>Federal Reserve Bank of New York Quarterly Review</w:t>
      </w:r>
      <w:r w:rsidRPr="00205406">
        <w:rPr>
          <w:sz w:val="22"/>
          <w:szCs w:val="22"/>
        </w:rPr>
        <w:t xml:space="preserve"> 10, Winter 1985-86: 47).</w:t>
      </w:r>
    </w:p>
  </w:footnote>
  <w:footnote w:id="20">
    <w:p w:rsidR="00541A64" w:rsidRPr="00205406" w:rsidRDefault="00541A64">
      <w:pPr>
        <w:pStyle w:val="FootnoteText"/>
        <w:rPr>
          <w:sz w:val="22"/>
          <w:szCs w:val="22"/>
        </w:rPr>
      </w:pPr>
      <w:r w:rsidRPr="00205406">
        <w:rPr>
          <w:rStyle w:val="FootnoteReference"/>
          <w:sz w:val="22"/>
          <w:szCs w:val="22"/>
        </w:rPr>
        <w:footnoteRef/>
      </w:r>
      <w:r>
        <w:rPr>
          <w:sz w:val="22"/>
          <w:szCs w:val="22"/>
        </w:rPr>
        <w:t xml:space="preserve"> That</w:t>
      </w:r>
      <w:r w:rsidRPr="00205406">
        <w:rPr>
          <w:sz w:val="22"/>
          <w:szCs w:val="22"/>
        </w:rPr>
        <w:t xml:space="preserve"> the rate of depreciation in the six months after the Plaza was no greater than in t</w:t>
      </w:r>
      <w:r>
        <w:rPr>
          <w:sz w:val="22"/>
          <w:szCs w:val="22"/>
        </w:rPr>
        <w:t xml:space="preserve">he six months before the Plaza is </w:t>
      </w:r>
      <w:r w:rsidRPr="00205406">
        <w:rPr>
          <w:sz w:val="22"/>
          <w:szCs w:val="22"/>
        </w:rPr>
        <w:t>Feldstein (1986)</w:t>
      </w:r>
      <w:r>
        <w:rPr>
          <w:sz w:val="22"/>
          <w:szCs w:val="22"/>
        </w:rPr>
        <w:t>’s reason for claiming</w:t>
      </w:r>
      <w:r w:rsidRPr="00205406">
        <w:rPr>
          <w:sz w:val="22"/>
          <w:szCs w:val="22"/>
        </w:rPr>
        <w:t xml:space="preserve"> that the change in policy had no effect.</w:t>
      </w:r>
    </w:p>
  </w:footnote>
  <w:footnote w:id="21">
    <w:p w:rsidR="00541A64" w:rsidRPr="00EC4447" w:rsidRDefault="00541A64" w:rsidP="00DA2E15">
      <w:pPr>
        <w:pStyle w:val="FootnoteText"/>
        <w:rPr>
          <w:sz w:val="22"/>
          <w:szCs w:val="22"/>
        </w:rPr>
      </w:pPr>
      <w:r w:rsidRPr="00EC4447">
        <w:rPr>
          <w:rStyle w:val="FootnoteReference"/>
          <w:sz w:val="22"/>
          <w:szCs w:val="22"/>
        </w:rPr>
        <w:footnoteRef/>
      </w:r>
      <w:r w:rsidRPr="00EC4447">
        <w:rPr>
          <w:sz w:val="22"/>
          <w:szCs w:val="22"/>
        </w:rPr>
        <w:t xml:space="preserve"> </w:t>
      </w:r>
      <w:r>
        <w:rPr>
          <w:sz w:val="22"/>
          <w:szCs w:val="22"/>
        </w:rPr>
        <w:t>With the advent of quantitative easing, it has become more widely accepted that changes in the balance sheet of the central bank can have effects on interest rates even controlling for the size of the monetary base, as in the venerable portfolio balance model.   Why not, then, effects on exchange rates?  This is one reason why the effectiveness of sterilized intervention deserves a fresh look.</w:t>
      </w:r>
    </w:p>
  </w:footnote>
  <w:footnote w:id="22">
    <w:p w:rsidR="00541A64" w:rsidRDefault="00541A64">
      <w:pPr>
        <w:pStyle w:val="FootnoteText"/>
      </w:pPr>
      <w:r w:rsidRPr="00205406">
        <w:rPr>
          <w:rStyle w:val="FootnoteReference"/>
          <w:sz w:val="22"/>
          <w:szCs w:val="22"/>
        </w:rPr>
        <w:footnoteRef/>
      </w:r>
      <w:r w:rsidRPr="00205406">
        <w:rPr>
          <w:sz w:val="22"/>
          <w:szCs w:val="22"/>
        </w:rPr>
        <w:t xml:space="preserve"> For example Catte, Galli, and Rebecchini  (1994) extended the data set to include intervention operations by other central banks, and claimed to find even stronger evidence of effects on the exchange rate.</w:t>
      </w:r>
      <w:r>
        <w:rPr>
          <w:sz w:val="22"/>
          <w:szCs w:val="22"/>
        </w:rPr>
        <w:t xml:space="preserve">  Ito (1987, 2003) focused on the yen/dollar exchange rate.</w:t>
      </w:r>
    </w:p>
  </w:footnote>
  <w:footnote w:id="23">
    <w:p w:rsidR="00541A64" w:rsidRPr="0035274D" w:rsidRDefault="00541A64">
      <w:pPr>
        <w:pStyle w:val="FootnoteText"/>
        <w:rPr>
          <w:sz w:val="22"/>
          <w:szCs w:val="22"/>
        </w:rPr>
      </w:pPr>
      <w:r w:rsidRPr="0035274D">
        <w:rPr>
          <w:rStyle w:val="FootnoteReference"/>
          <w:sz w:val="22"/>
          <w:szCs w:val="22"/>
        </w:rPr>
        <w:footnoteRef/>
      </w:r>
      <w:r w:rsidRPr="0035274D">
        <w:rPr>
          <w:sz w:val="22"/>
          <w:szCs w:val="22"/>
        </w:rPr>
        <w:t xml:space="preserve"> E.g., </w:t>
      </w:r>
      <w:r w:rsidRPr="0035274D">
        <w:rPr>
          <w:rFonts w:cs="Arial"/>
          <w:color w:val="222222"/>
          <w:sz w:val="22"/>
          <w:szCs w:val="22"/>
          <w:shd w:val="clear" w:color="auto" w:fill="FFFFFF"/>
        </w:rPr>
        <w:t>Beine, Bénassy-Quéré, and Lecourt (2002).</w:t>
      </w:r>
    </w:p>
  </w:footnote>
  <w:footnote w:id="24">
    <w:p w:rsidR="00541A64" w:rsidRPr="00F72472" w:rsidRDefault="00541A64">
      <w:pPr>
        <w:pStyle w:val="FootnoteText"/>
        <w:rPr>
          <w:sz w:val="22"/>
          <w:szCs w:val="22"/>
        </w:rPr>
      </w:pPr>
      <w:r w:rsidRPr="00F72472">
        <w:rPr>
          <w:rStyle w:val="FootnoteReference"/>
          <w:sz w:val="22"/>
          <w:szCs w:val="22"/>
        </w:rPr>
        <w:footnoteRef/>
      </w:r>
      <w:r w:rsidRPr="00F72472">
        <w:rPr>
          <w:sz w:val="22"/>
          <w:szCs w:val="22"/>
        </w:rPr>
        <w:t xml:space="preserve"> Dominguez (1990</w:t>
      </w:r>
      <w:r>
        <w:rPr>
          <w:sz w:val="22"/>
          <w:szCs w:val="22"/>
        </w:rPr>
        <w:t>, 2006</w:t>
      </w:r>
      <w:r w:rsidRPr="00F72472">
        <w:rPr>
          <w:sz w:val="22"/>
          <w:szCs w:val="22"/>
        </w:rPr>
        <w:t>)</w:t>
      </w:r>
      <w:r>
        <w:rPr>
          <w:sz w:val="22"/>
          <w:szCs w:val="22"/>
        </w:rPr>
        <w:t xml:space="preserve">, </w:t>
      </w:r>
      <w:r w:rsidRPr="00F72472">
        <w:rPr>
          <w:sz w:val="22"/>
          <w:szCs w:val="22"/>
        </w:rPr>
        <w:t>Dominguez and Frankel (1993a, b, c)</w:t>
      </w:r>
      <w:r>
        <w:rPr>
          <w:sz w:val="22"/>
          <w:szCs w:val="22"/>
        </w:rPr>
        <w:t xml:space="preserve">, </w:t>
      </w:r>
      <w:r>
        <w:rPr>
          <w:rFonts w:cs="NimbusRomNo9L-Regu"/>
        </w:rPr>
        <w:t>Fratzscher et al (2015),</w:t>
      </w:r>
      <w:r>
        <w:rPr>
          <w:sz w:val="22"/>
          <w:szCs w:val="22"/>
        </w:rPr>
        <w:t xml:space="preserve"> and research </w:t>
      </w:r>
      <w:r w:rsidRPr="009B1837">
        <w:rPr>
          <w:sz w:val="22"/>
          <w:szCs w:val="22"/>
        </w:rPr>
        <w:t xml:space="preserve">by others cited in the surveys by Edison (1993) and Sarno and Taylor (2001).  </w:t>
      </w:r>
    </w:p>
  </w:footnote>
  <w:footnote w:id="25">
    <w:p w:rsidR="00541A64" w:rsidRPr="00D15AFB" w:rsidRDefault="00541A64">
      <w:pPr>
        <w:pStyle w:val="FootnoteText"/>
        <w:rPr>
          <w:sz w:val="22"/>
          <w:szCs w:val="22"/>
        </w:rPr>
      </w:pPr>
      <w:r w:rsidRPr="00D15AFB">
        <w:rPr>
          <w:rStyle w:val="FootnoteReference"/>
          <w:sz w:val="22"/>
          <w:szCs w:val="22"/>
        </w:rPr>
        <w:footnoteRef/>
      </w:r>
      <w:r w:rsidRPr="00D15AFB">
        <w:rPr>
          <w:sz w:val="22"/>
          <w:szCs w:val="22"/>
        </w:rPr>
        <w:t xml:space="preserve"> Frankel (1994b).</w:t>
      </w:r>
      <w:r>
        <w:rPr>
          <w:sz w:val="22"/>
          <w:szCs w:val="22"/>
        </w:rPr>
        <w:t xml:space="preserve">  </w:t>
      </w:r>
    </w:p>
  </w:footnote>
  <w:footnote w:id="26">
    <w:p w:rsidR="00541A64" w:rsidRPr="001E1A3B" w:rsidRDefault="00541A64" w:rsidP="007B0BD1">
      <w:pPr>
        <w:pStyle w:val="FootnoteText"/>
        <w:rPr>
          <w:sz w:val="22"/>
          <w:szCs w:val="22"/>
        </w:rPr>
      </w:pPr>
      <w:r w:rsidRPr="001E1A3B">
        <w:rPr>
          <w:rStyle w:val="FootnoteReference"/>
          <w:sz w:val="22"/>
          <w:szCs w:val="22"/>
        </w:rPr>
        <w:footnoteRef/>
      </w:r>
      <w:r>
        <w:rPr>
          <w:sz w:val="22"/>
          <w:szCs w:val="22"/>
        </w:rPr>
        <w:t xml:space="preserve"> That the yen had appreciated</w:t>
      </w:r>
      <w:r w:rsidRPr="001E1A3B">
        <w:rPr>
          <w:sz w:val="22"/>
          <w:szCs w:val="22"/>
        </w:rPr>
        <w:t xml:space="preserve"> strongly in response to the disaster was counterintuitive to most.  The explanation is that Japan had been taking out insurance against major earthquakes for many years, with the result that money flooded into the country in March 2011.</w:t>
      </w:r>
    </w:p>
  </w:footnote>
  <w:footnote w:id="27">
    <w:p w:rsidR="00541A64" w:rsidRPr="007B7E77" w:rsidRDefault="00541A64">
      <w:pPr>
        <w:pStyle w:val="FootnoteText"/>
        <w:rPr>
          <w:sz w:val="22"/>
          <w:szCs w:val="22"/>
        </w:rPr>
      </w:pPr>
      <w:r w:rsidRPr="007B7E77">
        <w:rPr>
          <w:rStyle w:val="FootnoteReference"/>
          <w:sz w:val="22"/>
          <w:szCs w:val="22"/>
        </w:rPr>
        <w:footnoteRef/>
      </w:r>
      <w:r w:rsidRPr="007B7E77">
        <w:rPr>
          <w:color w:val="333333"/>
          <w:sz w:val="22"/>
          <w:szCs w:val="22"/>
          <w:shd w:val="clear" w:color="auto" w:fill="EFF3F8"/>
        </w:rPr>
        <w:t xml:space="preserve"> </w:t>
      </w:r>
      <w:r>
        <w:rPr>
          <w:sz w:val="22"/>
          <w:szCs w:val="22"/>
        </w:rPr>
        <w:t>Bordo, Humpage and Schwartz (2012).</w:t>
      </w:r>
    </w:p>
  </w:footnote>
  <w:footnote w:id="28">
    <w:p w:rsidR="00541A64" w:rsidRPr="00D93E98" w:rsidRDefault="00541A64">
      <w:pPr>
        <w:pStyle w:val="FootnoteText"/>
        <w:rPr>
          <w:sz w:val="22"/>
          <w:szCs w:val="22"/>
        </w:rPr>
      </w:pPr>
      <w:r w:rsidRPr="00D93E98">
        <w:rPr>
          <w:rStyle w:val="FootnoteReference"/>
          <w:sz w:val="22"/>
          <w:szCs w:val="22"/>
        </w:rPr>
        <w:footnoteRef/>
      </w:r>
      <w:r w:rsidRPr="00D93E98">
        <w:rPr>
          <w:sz w:val="22"/>
          <w:szCs w:val="22"/>
        </w:rPr>
        <w:t xml:space="preserve"> See, for example, </w:t>
      </w:r>
      <w:r w:rsidRPr="00D93E98">
        <w:rPr>
          <w:rFonts w:cs="Arial"/>
          <w:color w:val="222222"/>
          <w:sz w:val="22"/>
          <w:szCs w:val="22"/>
          <w:shd w:val="clear" w:color="auto" w:fill="FFFFFF"/>
        </w:rPr>
        <w:t>Disyatat and</w:t>
      </w:r>
      <w:r>
        <w:rPr>
          <w:rFonts w:cs="Arial"/>
          <w:color w:val="222222"/>
          <w:sz w:val="22"/>
          <w:szCs w:val="22"/>
          <w:shd w:val="clear" w:color="auto" w:fill="FFFFFF"/>
        </w:rPr>
        <w:t xml:space="preserve"> </w:t>
      </w:r>
      <w:r w:rsidRPr="00D93E98">
        <w:rPr>
          <w:rFonts w:cs="Arial"/>
          <w:color w:val="222222"/>
          <w:sz w:val="22"/>
          <w:szCs w:val="22"/>
          <w:shd w:val="clear" w:color="auto" w:fill="FFFFFF"/>
        </w:rPr>
        <w:t>Galati (2007) and the papers cited there</w:t>
      </w:r>
      <w:r>
        <w:rPr>
          <w:rFonts w:cs="Arial"/>
          <w:color w:val="222222"/>
          <w:sz w:val="22"/>
          <w:szCs w:val="22"/>
          <w:shd w:val="clear" w:color="auto" w:fill="FFFFFF"/>
        </w:rPr>
        <w:t>in</w:t>
      </w:r>
      <w:r w:rsidRPr="00D93E98">
        <w:rPr>
          <w:rFonts w:cs="Arial"/>
          <w:color w:val="222222"/>
          <w:sz w:val="22"/>
          <w:szCs w:val="22"/>
          <w:shd w:val="clear" w:color="auto" w:fill="FFFFFF"/>
        </w:rPr>
        <w:t>.</w:t>
      </w:r>
    </w:p>
  </w:footnote>
  <w:footnote w:id="29">
    <w:p w:rsidR="00541A64" w:rsidRPr="00721916" w:rsidRDefault="00541A64">
      <w:pPr>
        <w:pStyle w:val="FootnoteText"/>
        <w:rPr>
          <w:sz w:val="22"/>
          <w:szCs w:val="22"/>
        </w:rPr>
      </w:pPr>
      <w:r w:rsidRPr="00721916">
        <w:rPr>
          <w:rStyle w:val="FootnoteReference"/>
          <w:sz w:val="22"/>
          <w:szCs w:val="22"/>
        </w:rPr>
        <w:footnoteRef/>
      </w:r>
      <w:r w:rsidRPr="00721916">
        <w:rPr>
          <w:sz w:val="22"/>
          <w:szCs w:val="22"/>
        </w:rPr>
        <w:t xml:space="preserve"> Typical was Rose and Yellen (1989)</w:t>
      </w:r>
      <w:r>
        <w:rPr>
          <w:sz w:val="22"/>
          <w:szCs w:val="22"/>
        </w:rPr>
        <w:t>.  Also relevant was t</w:t>
      </w:r>
      <w:r w:rsidRPr="00721916">
        <w:rPr>
          <w:sz w:val="22"/>
          <w:szCs w:val="22"/>
        </w:rPr>
        <w:t>he subsequent “exchange rate disconnect” literature:</w:t>
      </w:r>
      <w:r w:rsidRPr="00721916">
        <w:rPr>
          <w:rFonts w:cs="Arial"/>
          <w:color w:val="222222"/>
          <w:sz w:val="22"/>
          <w:szCs w:val="22"/>
          <w:shd w:val="clear" w:color="auto" w:fill="FFFFFF"/>
        </w:rPr>
        <w:t xml:space="preserve"> e.g., Devereux and Engel (2002).</w:t>
      </w:r>
    </w:p>
  </w:footnote>
  <w:footnote w:id="30">
    <w:p w:rsidR="00541A64" w:rsidRPr="00416AF2" w:rsidRDefault="00541A64">
      <w:pPr>
        <w:pStyle w:val="FootnoteText"/>
        <w:rPr>
          <w:sz w:val="22"/>
          <w:szCs w:val="22"/>
        </w:rPr>
      </w:pPr>
      <w:r w:rsidRPr="00416AF2">
        <w:rPr>
          <w:rStyle w:val="FootnoteReference"/>
          <w:sz w:val="22"/>
          <w:szCs w:val="22"/>
        </w:rPr>
        <w:footnoteRef/>
      </w:r>
      <w:r w:rsidRPr="00416AF2">
        <w:rPr>
          <w:sz w:val="22"/>
          <w:szCs w:val="22"/>
        </w:rPr>
        <w:t xml:space="preserve"> Two other explanations in 1986 and 1987 for the failure of the depreciation to im</w:t>
      </w:r>
      <w:r>
        <w:rPr>
          <w:sz w:val="22"/>
          <w:szCs w:val="22"/>
        </w:rPr>
        <w:t>prove the trade balance were (i)</w:t>
      </w:r>
      <w:r w:rsidRPr="00D375AE">
        <w:rPr>
          <w:sz w:val="22"/>
          <w:szCs w:val="22"/>
        </w:rPr>
        <w:t xml:space="preserve"> </w:t>
      </w:r>
      <w:r w:rsidRPr="00416AF2">
        <w:rPr>
          <w:sz w:val="22"/>
          <w:szCs w:val="22"/>
        </w:rPr>
        <w:t>the idea that the</w:t>
      </w:r>
      <w:r>
        <w:rPr>
          <w:sz w:val="22"/>
          <w:szCs w:val="22"/>
        </w:rPr>
        <w:t xml:space="preserve"> preceding</w:t>
      </w:r>
      <w:r w:rsidRPr="00416AF2">
        <w:rPr>
          <w:sz w:val="22"/>
          <w:szCs w:val="22"/>
        </w:rPr>
        <w:t xml:space="preserve"> loss of market share from the strong dollar might </w:t>
      </w:r>
      <w:r>
        <w:rPr>
          <w:sz w:val="22"/>
          <w:szCs w:val="22"/>
        </w:rPr>
        <w:t>have become</w:t>
      </w:r>
      <w:r w:rsidRPr="00416AF2">
        <w:rPr>
          <w:sz w:val="22"/>
          <w:szCs w:val="22"/>
        </w:rPr>
        <w:t xml:space="preserve"> near-permanent</w:t>
      </w:r>
      <w:r>
        <w:rPr>
          <w:sz w:val="22"/>
          <w:szCs w:val="22"/>
        </w:rPr>
        <w:t xml:space="preserve"> in some sectors (“hysteresis”), and (ii) </w:t>
      </w:r>
      <w:r w:rsidRPr="00416AF2">
        <w:rPr>
          <w:sz w:val="22"/>
          <w:szCs w:val="22"/>
        </w:rPr>
        <w:t xml:space="preserve"> the new importance of trade with emerging market countries whose currencies were not in the tradi</w:t>
      </w:r>
      <w:r>
        <w:rPr>
          <w:sz w:val="22"/>
          <w:szCs w:val="22"/>
        </w:rPr>
        <w:t>tional exchange rate indices.</w:t>
      </w:r>
    </w:p>
  </w:footnote>
  <w:footnote w:id="31">
    <w:p w:rsidR="00541A64" w:rsidRPr="00080638" w:rsidRDefault="00541A64">
      <w:pPr>
        <w:pStyle w:val="FootnoteText"/>
        <w:rPr>
          <w:sz w:val="22"/>
          <w:szCs w:val="22"/>
        </w:rPr>
      </w:pPr>
      <w:r w:rsidRPr="00080638">
        <w:rPr>
          <w:rStyle w:val="FootnoteReference"/>
          <w:sz w:val="22"/>
          <w:szCs w:val="22"/>
        </w:rPr>
        <w:footnoteRef/>
      </w:r>
      <w:r w:rsidRPr="00080638">
        <w:rPr>
          <w:sz w:val="22"/>
          <w:szCs w:val="22"/>
        </w:rPr>
        <w:t xml:space="preserve"> </w:t>
      </w:r>
      <w:r>
        <w:rPr>
          <w:sz w:val="22"/>
          <w:szCs w:val="22"/>
        </w:rPr>
        <w:t xml:space="preserve">In addition to the depreciation, a US recession was also an important reason for reduced imports in the years 1990-91. </w:t>
      </w:r>
      <w:r w:rsidRPr="00080638">
        <w:rPr>
          <w:sz w:val="22"/>
          <w:szCs w:val="22"/>
        </w:rPr>
        <w:t>The record US trade deficits of the mid-1980s were exceeded in the mid-2000s, even as a share of GDP.</w:t>
      </w:r>
    </w:p>
  </w:footnote>
  <w:footnote w:id="32">
    <w:p w:rsidR="00541A64" w:rsidRPr="00A47AE5" w:rsidRDefault="00541A64">
      <w:pPr>
        <w:pStyle w:val="FootnoteText"/>
        <w:rPr>
          <w:sz w:val="22"/>
          <w:szCs w:val="22"/>
        </w:rPr>
      </w:pPr>
      <w:r w:rsidRPr="00A47AE5">
        <w:rPr>
          <w:rStyle w:val="FootnoteReference"/>
          <w:sz w:val="22"/>
          <w:szCs w:val="22"/>
        </w:rPr>
        <w:footnoteRef/>
      </w:r>
      <w:r w:rsidRPr="00A47AE5">
        <w:rPr>
          <w:sz w:val="22"/>
          <w:szCs w:val="22"/>
        </w:rPr>
        <w:t xml:space="preserve"> The 2014-15 global decline in oil prices also helped.</w:t>
      </w:r>
    </w:p>
  </w:footnote>
  <w:footnote w:id="33">
    <w:p w:rsidR="00541A64" w:rsidRPr="00E02DF4" w:rsidRDefault="00541A64">
      <w:pPr>
        <w:pStyle w:val="FootnoteText"/>
        <w:rPr>
          <w:sz w:val="22"/>
          <w:szCs w:val="22"/>
        </w:rPr>
      </w:pPr>
      <w:r w:rsidRPr="00E02DF4">
        <w:rPr>
          <w:rStyle w:val="FootnoteReference"/>
          <w:sz w:val="22"/>
          <w:szCs w:val="22"/>
        </w:rPr>
        <w:footnoteRef/>
      </w:r>
      <w:r w:rsidRPr="00E02DF4">
        <w:rPr>
          <w:sz w:val="22"/>
          <w:szCs w:val="22"/>
        </w:rPr>
        <w:t xml:space="preserve"> Gao (2001).</w:t>
      </w:r>
    </w:p>
  </w:footnote>
  <w:footnote w:id="34">
    <w:p w:rsidR="00541A64" w:rsidRDefault="00541A64">
      <w:pPr>
        <w:pStyle w:val="FootnoteText"/>
      </w:pPr>
      <w:r w:rsidRPr="00E02DF4">
        <w:rPr>
          <w:rStyle w:val="FootnoteReference"/>
          <w:sz w:val="22"/>
          <w:szCs w:val="22"/>
        </w:rPr>
        <w:footnoteRef/>
      </w:r>
      <w:r w:rsidRPr="00E02DF4">
        <w:rPr>
          <w:sz w:val="22"/>
          <w:szCs w:val="22"/>
        </w:rPr>
        <w:t xml:space="preserve"> Corbett and Ito (2010).</w:t>
      </w:r>
    </w:p>
  </w:footnote>
  <w:footnote w:id="35">
    <w:p w:rsidR="00541A64" w:rsidRDefault="00541A64" w:rsidP="00962B77">
      <w:pPr>
        <w:pStyle w:val="FootnoteText"/>
      </w:pPr>
      <w:r>
        <w:rPr>
          <w:rStyle w:val="FootnoteReference"/>
        </w:rPr>
        <w:footnoteRef/>
      </w:r>
      <w:r>
        <w:t xml:space="preserve"> In some countries, especially emerging markets or developing countries, a depreciation of the currency has contractionary effects, which may even be big enough to offset the expansionary switching effect on the trade balance.  These include especially balance sheet effects (if the depreciating country has large debts denominated in foreign currency) and the effect on the local-currency price of oil or other imported inputs.  If these contractionary effects of depreciation were important, it would seem to follow that an appreciation of other currencies – because the dollar is depreciating – would have expansionary effects on their economies.  Beggar-thy-neighbor would be converted to “enrich-thy-neighbor.”</w:t>
      </w:r>
    </w:p>
  </w:footnote>
  <w:footnote w:id="36">
    <w:p w:rsidR="00541A64" w:rsidRDefault="00541A64">
      <w:pPr>
        <w:pStyle w:val="FootnoteText"/>
      </w:pPr>
      <w:r>
        <w:rPr>
          <w:rStyle w:val="FootnoteReference"/>
        </w:rPr>
        <w:footnoteRef/>
      </w:r>
      <w:r>
        <w:t xml:space="preserve"> Eichengreen (2015).</w:t>
      </w:r>
    </w:p>
  </w:footnote>
  <w:footnote w:id="37">
    <w:p w:rsidR="00541A64" w:rsidRPr="00493A4D" w:rsidRDefault="00541A64">
      <w:pPr>
        <w:pStyle w:val="FootnoteText"/>
        <w:rPr>
          <w:sz w:val="22"/>
          <w:szCs w:val="22"/>
        </w:rPr>
      </w:pPr>
      <w:r w:rsidRPr="00493A4D">
        <w:rPr>
          <w:rStyle w:val="FootnoteReference"/>
          <w:sz w:val="22"/>
          <w:szCs w:val="22"/>
        </w:rPr>
        <w:footnoteRef/>
      </w:r>
      <w:r w:rsidRPr="00493A4D">
        <w:rPr>
          <w:sz w:val="22"/>
          <w:szCs w:val="22"/>
        </w:rPr>
        <w:t xml:space="preserve"> More extensive analysis of this </w:t>
      </w:r>
      <w:r>
        <w:rPr>
          <w:sz w:val="22"/>
          <w:szCs w:val="22"/>
        </w:rPr>
        <w:t>history</w:t>
      </w:r>
      <w:r w:rsidRPr="00493A4D">
        <w:rPr>
          <w:sz w:val="22"/>
          <w:szCs w:val="22"/>
        </w:rPr>
        <w:t xml:space="preserve"> and </w:t>
      </w:r>
      <w:r>
        <w:rPr>
          <w:sz w:val="22"/>
          <w:szCs w:val="22"/>
        </w:rPr>
        <w:t xml:space="preserve">other </w:t>
      </w:r>
      <w:r w:rsidRPr="00493A4D">
        <w:rPr>
          <w:sz w:val="22"/>
          <w:szCs w:val="22"/>
        </w:rPr>
        <w:t xml:space="preserve">relevant references are available in </w:t>
      </w:r>
      <w:r w:rsidRPr="00493A4D">
        <w:rPr>
          <w:color w:val="000000"/>
          <w:sz w:val="22"/>
          <w:szCs w:val="22"/>
        </w:rPr>
        <w:t>Frankel and Wei (2007).</w:t>
      </w:r>
    </w:p>
  </w:footnote>
  <w:footnote w:id="38">
    <w:p w:rsidR="00541A64" w:rsidRPr="007A67B0" w:rsidRDefault="00541A64">
      <w:pPr>
        <w:pStyle w:val="FootnoteText"/>
        <w:rPr>
          <w:sz w:val="22"/>
          <w:szCs w:val="22"/>
        </w:rPr>
      </w:pPr>
      <w:r w:rsidRPr="007A67B0">
        <w:rPr>
          <w:rStyle w:val="FootnoteReference"/>
          <w:sz w:val="22"/>
          <w:szCs w:val="22"/>
        </w:rPr>
        <w:footnoteRef/>
      </w:r>
      <w:r w:rsidRPr="007A67B0">
        <w:rPr>
          <w:sz w:val="22"/>
          <w:szCs w:val="22"/>
        </w:rPr>
        <w:t xml:space="preserve"> Some economists (e.g., Bergsten, 2013, 2015</w:t>
      </w:r>
      <w:r>
        <w:rPr>
          <w:sz w:val="22"/>
          <w:szCs w:val="22"/>
        </w:rPr>
        <w:t>a</w:t>
      </w:r>
      <w:r w:rsidRPr="007A67B0">
        <w:rPr>
          <w:sz w:val="22"/>
          <w:szCs w:val="22"/>
        </w:rPr>
        <w:t>, and Gagnon, 2012, 2013), support such provisions regarding currency manipulation, enforced by trade sanctions, while many of us are opposed (</w:t>
      </w:r>
      <w:r>
        <w:rPr>
          <w:sz w:val="22"/>
          <w:szCs w:val="22"/>
        </w:rPr>
        <w:t xml:space="preserve">e.g., </w:t>
      </w:r>
      <w:r w:rsidRPr="007A67B0">
        <w:rPr>
          <w:rFonts w:cs="Arial"/>
          <w:color w:val="222222"/>
          <w:sz w:val="22"/>
          <w:szCs w:val="22"/>
          <w:shd w:val="clear" w:color="auto" w:fill="FFFFFF"/>
        </w:rPr>
        <w:t>Bénassy-Quéré, Gourinchas, Martin, and Plantin, 2014</w:t>
      </w:r>
      <w:r w:rsidRPr="007A67B0">
        <w:rPr>
          <w:sz w:val="22"/>
          <w:szCs w:val="22"/>
        </w:rPr>
        <w:t xml:space="preserve">; and Frankel, 2015).   </w:t>
      </w:r>
    </w:p>
  </w:footnote>
  <w:footnote w:id="39">
    <w:p w:rsidR="00541A64" w:rsidRPr="00E4645D" w:rsidRDefault="00541A64">
      <w:pPr>
        <w:pStyle w:val="FootnoteText"/>
        <w:rPr>
          <w:sz w:val="22"/>
          <w:szCs w:val="22"/>
        </w:rPr>
      </w:pPr>
      <w:r w:rsidRPr="00E4645D">
        <w:rPr>
          <w:rStyle w:val="FootnoteReference"/>
          <w:sz w:val="22"/>
          <w:szCs w:val="22"/>
        </w:rPr>
        <w:footnoteRef/>
      </w:r>
      <w:r w:rsidRPr="00E4645D">
        <w:rPr>
          <w:sz w:val="22"/>
          <w:szCs w:val="22"/>
        </w:rPr>
        <w:t xml:space="preserve"> IMF (2015); Kessler and Subramanian (2014)</w:t>
      </w:r>
      <w:r>
        <w:rPr>
          <w:sz w:val="22"/>
          <w:szCs w:val="22"/>
        </w:rPr>
        <w:t>; Cline (2015)</w:t>
      </w:r>
      <w:r w:rsidRPr="00E4645D">
        <w:rPr>
          <w:sz w:val="22"/>
          <w:szCs w:val="22"/>
        </w:rPr>
        <w:t>.</w:t>
      </w:r>
    </w:p>
  </w:footnote>
  <w:footnote w:id="40">
    <w:p w:rsidR="00541A64" w:rsidRPr="007314EE" w:rsidRDefault="00541A64" w:rsidP="004A648A">
      <w:pPr>
        <w:pStyle w:val="FootnoteText"/>
        <w:rPr>
          <w:sz w:val="22"/>
          <w:szCs w:val="22"/>
        </w:rPr>
      </w:pPr>
      <w:r w:rsidRPr="007314EE">
        <w:rPr>
          <w:rStyle w:val="FootnoteReference"/>
          <w:sz w:val="22"/>
          <w:szCs w:val="22"/>
        </w:rPr>
        <w:footnoteRef/>
      </w:r>
      <w:r w:rsidRPr="007314EE">
        <w:rPr>
          <w:sz w:val="22"/>
          <w:szCs w:val="22"/>
        </w:rPr>
        <w:t xml:space="preserve"> </w:t>
      </w:r>
      <w:r w:rsidRPr="007314EE">
        <w:rPr>
          <w:color w:val="444444"/>
          <w:sz w:val="22"/>
          <w:szCs w:val="22"/>
          <w:shd w:val="clear" w:color="auto" w:fill="FFFFFF"/>
        </w:rPr>
        <w:t>If anything, the Chinese have been selling dollars in exchange for renminbi during this period, keeping the value the currency</w:t>
      </w:r>
      <w:r w:rsidRPr="007314EE">
        <w:rPr>
          <w:rStyle w:val="apple-converted-space"/>
          <w:color w:val="444444"/>
          <w:sz w:val="22"/>
          <w:szCs w:val="22"/>
          <w:shd w:val="clear" w:color="auto" w:fill="FFFFFF"/>
        </w:rPr>
        <w:t> </w:t>
      </w:r>
      <w:r w:rsidRPr="007314EE">
        <w:rPr>
          <w:rStyle w:val="Emphasis"/>
          <w:color w:val="444444"/>
          <w:sz w:val="22"/>
          <w:szCs w:val="22"/>
          <w:bdr w:val="none" w:sz="0" w:space="0" w:color="auto" w:frame="1"/>
          <w:shd w:val="clear" w:color="auto" w:fill="FFFFFF"/>
        </w:rPr>
        <w:t>higher</w:t>
      </w:r>
      <w:r w:rsidRPr="007314EE">
        <w:rPr>
          <w:rStyle w:val="apple-converted-space"/>
          <w:color w:val="444444"/>
          <w:sz w:val="22"/>
          <w:szCs w:val="22"/>
          <w:shd w:val="clear" w:color="auto" w:fill="FFFFFF"/>
        </w:rPr>
        <w:t> </w:t>
      </w:r>
      <w:r w:rsidRPr="007314EE">
        <w:rPr>
          <w:color w:val="444444"/>
          <w:sz w:val="22"/>
          <w:szCs w:val="22"/>
          <w:shd w:val="clear" w:color="auto" w:fill="FFFFFF"/>
        </w:rPr>
        <w:t xml:space="preserve">than it would otherwise be. </w:t>
      </w:r>
      <w:r w:rsidRPr="007314EE">
        <w:rPr>
          <w:sz w:val="22"/>
          <w:szCs w:val="22"/>
          <w:bdr w:val="none" w:sz="0" w:space="0" w:color="auto" w:frame="1"/>
          <w:shd w:val="clear" w:color="auto" w:fill="FFFFFF"/>
        </w:rPr>
        <w:t>China’s reserves</w:t>
      </w:r>
      <w:r w:rsidRPr="007314EE">
        <w:rPr>
          <w:rStyle w:val="apple-converted-space"/>
          <w:color w:val="444444"/>
          <w:sz w:val="22"/>
          <w:szCs w:val="22"/>
          <w:shd w:val="clear" w:color="auto" w:fill="FFFFFF"/>
        </w:rPr>
        <w:t> </w:t>
      </w:r>
      <w:r w:rsidRPr="007314EE">
        <w:rPr>
          <w:color w:val="444444"/>
          <w:sz w:val="22"/>
          <w:szCs w:val="22"/>
          <w:shd w:val="clear" w:color="auto" w:fill="FFFFFF"/>
        </w:rPr>
        <w:t>peaked at $3.99 trillion in July</w:t>
      </w:r>
      <w:r>
        <w:rPr>
          <w:color w:val="444444"/>
          <w:sz w:val="22"/>
          <w:szCs w:val="22"/>
          <w:shd w:val="clear" w:color="auto" w:fill="FFFFFF"/>
        </w:rPr>
        <w:t xml:space="preserve"> 2014 and then declined to $3.69 trillion by June</w:t>
      </w:r>
      <w:r w:rsidRPr="007314EE">
        <w:rPr>
          <w:color w:val="444444"/>
          <w:sz w:val="22"/>
          <w:szCs w:val="22"/>
          <w:shd w:val="clear" w:color="auto" w:fill="FFFFFF"/>
        </w:rPr>
        <w:t xml:space="preserve"> 2015.</w:t>
      </w:r>
    </w:p>
  </w:footnote>
  <w:footnote w:id="41">
    <w:p w:rsidR="00541A64" w:rsidRDefault="00541A64">
      <w:pPr>
        <w:pStyle w:val="FootnoteText"/>
      </w:pPr>
      <w:r>
        <w:rPr>
          <w:rStyle w:val="FootnoteReference"/>
        </w:rPr>
        <w:footnoteRef/>
      </w:r>
      <w:r>
        <w:t xml:space="preserve"> Eichengreen (2013).</w:t>
      </w:r>
    </w:p>
  </w:footnote>
  <w:footnote w:id="42">
    <w:p w:rsidR="00541A64" w:rsidRDefault="00541A64">
      <w:pPr>
        <w:pStyle w:val="FootnoteText"/>
      </w:pPr>
      <w:r>
        <w:rPr>
          <w:rStyle w:val="FootnoteReference"/>
        </w:rPr>
        <w:footnoteRef/>
      </w:r>
      <w:r>
        <w:t xml:space="preserve"> E.g.,</w:t>
      </w:r>
      <w:r w:rsidR="0010274C">
        <w:t xml:space="preserve"> </w:t>
      </w:r>
      <w:r>
        <w:t>Rey (2015).</w:t>
      </w:r>
    </w:p>
  </w:footnote>
  <w:footnote w:id="43">
    <w:p w:rsidR="00541A64" w:rsidRDefault="00541A64">
      <w:pPr>
        <w:pStyle w:val="FootnoteText"/>
      </w:pPr>
      <w:r>
        <w:rPr>
          <w:rStyle w:val="FootnoteReference"/>
        </w:rPr>
        <w:footnoteRef/>
      </w:r>
      <w:r>
        <w:t xml:space="preserve"> Misalignments can arise equally from unwarranted exchange rate movements when the currency is floating and from the absence of warranted movements when the currency is pegged.</w:t>
      </w:r>
    </w:p>
  </w:footnote>
  <w:footnote w:id="44">
    <w:p w:rsidR="00541A64" w:rsidRDefault="00541A64">
      <w:pPr>
        <w:pStyle w:val="FootnoteText"/>
      </w:pPr>
      <w:r>
        <w:rPr>
          <w:rStyle w:val="FootnoteReference"/>
        </w:rPr>
        <w:footnoteRef/>
      </w:r>
      <w:r>
        <w:t xml:space="preserve"> I.e., the ECB could have decided to buy dollars, if it had not agreed the year before to refrain.  Frankel (2014).</w:t>
      </w:r>
    </w:p>
  </w:footnote>
  <w:footnote w:id="45">
    <w:p w:rsidR="00541A64" w:rsidRDefault="00541A64">
      <w:pPr>
        <w:pStyle w:val="FootnoteText"/>
      </w:pPr>
      <w:r>
        <w:rPr>
          <w:rStyle w:val="FootnoteReference"/>
        </w:rPr>
        <w:footnoteRef/>
      </w:r>
      <w:r>
        <w:t xml:space="preserve"> E.g., Bergsten (2015b).</w:t>
      </w:r>
    </w:p>
  </w:footnote>
  <w:footnote w:id="46">
    <w:p w:rsidR="00541A64" w:rsidRDefault="00541A64">
      <w:pPr>
        <w:pStyle w:val="FootnoteText"/>
      </w:pPr>
      <w:r>
        <w:rPr>
          <w:rStyle w:val="FootnoteReference"/>
        </w:rPr>
        <w:footnoteRef/>
      </w:r>
      <w:r>
        <w:t xml:space="preserve"> Green, Papell, Prodan (2015)</w:t>
      </w:r>
      <w:r w:rsidR="008F715C">
        <w:t xml:space="preserve"> </w:t>
      </w:r>
      <w:r w:rsidR="008F715C" w:rsidRPr="008F715C">
        <w:rPr>
          <w:color w:val="000000"/>
          <w:shd w:val="clear" w:color="auto" w:fill="FFFFFF"/>
        </w:rPr>
        <w:t>conclude that the present differs from the pre-Plaza pe</w:t>
      </w:r>
      <w:r w:rsidR="008F715C">
        <w:rPr>
          <w:color w:val="000000"/>
          <w:shd w:val="clear" w:color="auto" w:fill="FFFFFF"/>
        </w:rPr>
        <w:t>riod in several key dimensions.</w:t>
      </w:r>
      <w:r w:rsidR="008F715C">
        <w:rPr>
          <w:rStyle w:val="apple-converted-space"/>
          <w:color w:val="000000"/>
          <w:sz w:val="27"/>
          <w:szCs w:val="27"/>
          <w:shd w:val="clear" w:color="auto" w:fill="FFFFFF"/>
        </w:rPr>
        <w:t>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C0999"/>
    <w:multiLevelType w:val="hybridMultilevel"/>
    <w:tmpl w:val="AAECAF1C"/>
    <w:lvl w:ilvl="0" w:tplc="31BC810A">
      <w:start w:val="1"/>
      <w:numFmt w:val="bullet"/>
      <w:lvlText w:val="•"/>
      <w:lvlJc w:val="left"/>
      <w:pPr>
        <w:tabs>
          <w:tab w:val="num" w:pos="720"/>
        </w:tabs>
        <w:ind w:left="720" w:hanging="360"/>
      </w:pPr>
      <w:rPr>
        <w:rFonts w:ascii="Arial" w:hAnsi="Arial" w:hint="default"/>
      </w:rPr>
    </w:lvl>
    <w:lvl w:ilvl="1" w:tplc="C1C07AFA">
      <w:start w:val="1388"/>
      <w:numFmt w:val="bullet"/>
      <w:lvlText w:val="–"/>
      <w:lvlJc w:val="left"/>
      <w:pPr>
        <w:tabs>
          <w:tab w:val="num" w:pos="1440"/>
        </w:tabs>
        <w:ind w:left="1440" w:hanging="360"/>
      </w:pPr>
      <w:rPr>
        <w:rFonts w:ascii="Arial" w:hAnsi="Arial" w:hint="default"/>
      </w:rPr>
    </w:lvl>
    <w:lvl w:ilvl="2" w:tplc="4154A298">
      <w:start w:val="1388"/>
      <w:numFmt w:val="bullet"/>
      <w:lvlText w:val="•"/>
      <w:lvlJc w:val="left"/>
      <w:pPr>
        <w:tabs>
          <w:tab w:val="num" w:pos="2160"/>
        </w:tabs>
        <w:ind w:left="2160" w:hanging="360"/>
      </w:pPr>
      <w:rPr>
        <w:rFonts w:ascii="Arial" w:hAnsi="Arial" w:hint="default"/>
      </w:rPr>
    </w:lvl>
    <w:lvl w:ilvl="3" w:tplc="53AA2418">
      <w:start w:val="1388"/>
      <w:numFmt w:val="bullet"/>
      <w:lvlText w:val="–"/>
      <w:lvlJc w:val="left"/>
      <w:pPr>
        <w:tabs>
          <w:tab w:val="num" w:pos="2880"/>
        </w:tabs>
        <w:ind w:left="2880" w:hanging="360"/>
      </w:pPr>
      <w:rPr>
        <w:rFonts w:ascii="Arial" w:hAnsi="Arial" w:hint="default"/>
      </w:rPr>
    </w:lvl>
    <w:lvl w:ilvl="4" w:tplc="2A78952A" w:tentative="1">
      <w:start w:val="1"/>
      <w:numFmt w:val="bullet"/>
      <w:lvlText w:val="•"/>
      <w:lvlJc w:val="left"/>
      <w:pPr>
        <w:tabs>
          <w:tab w:val="num" w:pos="3600"/>
        </w:tabs>
        <w:ind w:left="3600" w:hanging="360"/>
      </w:pPr>
      <w:rPr>
        <w:rFonts w:ascii="Arial" w:hAnsi="Arial" w:hint="default"/>
      </w:rPr>
    </w:lvl>
    <w:lvl w:ilvl="5" w:tplc="15F6C59A" w:tentative="1">
      <w:start w:val="1"/>
      <w:numFmt w:val="bullet"/>
      <w:lvlText w:val="•"/>
      <w:lvlJc w:val="left"/>
      <w:pPr>
        <w:tabs>
          <w:tab w:val="num" w:pos="4320"/>
        </w:tabs>
        <w:ind w:left="4320" w:hanging="360"/>
      </w:pPr>
      <w:rPr>
        <w:rFonts w:ascii="Arial" w:hAnsi="Arial" w:hint="default"/>
      </w:rPr>
    </w:lvl>
    <w:lvl w:ilvl="6" w:tplc="352AF09A" w:tentative="1">
      <w:start w:val="1"/>
      <w:numFmt w:val="bullet"/>
      <w:lvlText w:val="•"/>
      <w:lvlJc w:val="left"/>
      <w:pPr>
        <w:tabs>
          <w:tab w:val="num" w:pos="5040"/>
        </w:tabs>
        <w:ind w:left="5040" w:hanging="360"/>
      </w:pPr>
      <w:rPr>
        <w:rFonts w:ascii="Arial" w:hAnsi="Arial" w:hint="default"/>
      </w:rPr>
    </w:lvl>
    <w:lvl w:ilvl="7" w:tplc="EA8CBC56" w:tentative="1">
      <w:start w:val="1"/>
      <w:numFmt w:val="bullet"/>
      <w:lvlText w:val="•"/>
      <w:lvlJc w:val="left"/>
      <w:pPr>
        <w:tabs>
          <w:tab w:val="num" w:pos="5760"/>
        </w:tabs>
        <w:ind w:left="5760" w:hanging="360"/>
      </w:pPr>
      <w:rPr>
        <w:rFonts w:ascii="Arial" w:hAnsi="Arial" w:hint="default"/>
      </w:rPr>
    </w:lvl>
    <w:lvl w:ilvl="8" w:tplc="C0A62F34" w:tentative="1">
      <w:start w:val="1"/>
      <w:numFmt w:val="bullet"/>
      <w:lvlText w:val="•"/>
      <w:lvlJc w:val="left"/>
      <w:pPr>
        <w:tabs>
          <w:tab w:val="num" w:pos="6480"/>
        </w:tabs>
        <w:ind w:left="6480" w:hanging="360"/>
      </w:pPr>
      <w:rPr>
        <w:rFonts w:ascii="Arial" w:hAnsi="Arial" w:hint="default"/>
      </w:rPr>
    </w:lvl>
  </w:abstractNum>
  <w:abstractNum w:abstractNumId="1">
    <w:nsid w:val="0EF91A84"/>
    <w:multiLevelType w:val="hybridMultilevel"/>
    <w:tmpl w:val="C4A818E2"/>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
    <w:nsid w:val="4333458F"/>
    <w:multiLevelType w:val="hybridMultilevel"/>
    <w:tmpl w:val="E2A4637A"/>
    <w:lvl w:ilvl="0" w:tplc="CFD6D21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4966FB4"/>
    <w:multiLevelType w:val="hybridMultilevel"/>
    <w:tmpl w:val="3B02096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476F32BF"/>
    <w:multiLevelType w:val="hybridMultilevel"/>
    <w:tmpl w:val="9AC2A1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F136466"/>
    <w:multiLevelType w:val="hybridMultilevel"/>
    <w:tmpl w:val="D4A2E6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9D73BFF"/>
    <w:multiLevelType w:val="multilevel"/>
    <w:tmpl w:val="D5F25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200BC"/>
    <w:rsid w:val="00001F62"/>
    <w:rsid w:val="000200BC"/>
    <w:rsid w:val="00021752"/>
    <w:rsid w:val="0002604B"/>
    <w:rsid w:val="00026929"/>
    <w:rsid w:val="00031956"/>
    <w:rsid w:val="00034C3B"/>
    <w:rsid w:val="00034E2E"/>
    <w:rsid w:val="00036CE6"/>
    <w:rsid w:val="00040436"/>
    <w:rsid w:val="00041CA4"/>
    <w:rsid w:val="00045F43"/>
    <w:rsid w:val="00055E94"/>
    <w:rsid w:val="00063814"/>
    <w:rsid w:val="00064394"/>
    <w:rsid w:val="00070A6B"/>
    <w:rsid w:val="00070A7A"/>
    <w:rsid w:val="0007788B"/>
    <w:rsid w:val="00080638"/>
    <w:rsid w:val="00095AF8"/>
    <w:rsid w:val="000A467E"/>
    <w:rsid w:val="000C59CA"/>
    <w:rsid w:val="000C633F"/>
    <w:rsid w:val="000D3E7E"/>
    <w:rsid w:val="000E467D"/>
    <w:rsid w:val="000F11D9"/>
    <w:rsid w:val="000F39C3"/>
    <w:rsid w:val="00101A1B"/>
    <w:rsid w:val="0010274C"/>
    <w:rsid w:val="001044B4"/>
    <w:rsid w:val="00112A45"/>
    <w:rsid w:val="00134194"/>
    <w:rsid w:val="0013572A"/>
    <w:rsid w:val="0013711B"/>
    <w:rsid w:val="00145942"/>
    <w:rsid w:val="00161FB4"/>
    <w:rsid w:val="00166ED4"/>
    <w:rsid w:val="00167EB0"/>
    <w:rsid w:val="00174D92"/>
    <w:rsid w:val="001808B3"/>
    <w:rsid w:val="00181F24"/>
    <w:rsid w:val="001833D5"/>
    <w:rsid w:val="00185214"/>
    <w:rsid w:val="0018648B"/>
    <w:rsid w:val="00190197"/>
    <w:rsid w:val="00191379"/>
    <w:rsid w:val="00193EF1"/>
    <w:rsid w:val="00196A55"/>
    <w:rsid w:val="001A0F74"/>
    <w:rsid w:val="001B6131"/>
    <w:rsid w:val="001C6134"/>
    <w:rsid w:val="001C6400"/>
    <w:rsid w:val="001D3086"/>
    <w:rsid w:val="001D3E1F"/>
    <w:rsid w:val="001E17E9"/>
    <w:rsid w:val="001E1A3B"/>
    <w:rsid w:val="001E2D5D"/>
    <w:rsid w:val="001E4786"/>
    <w:rsid w:val="0020175C"/>
    <w:rsid w:val="00205406"/>
    <w:rsid w:val="00207EE9"/>
    <w:rsid w:val="00207F1A"/>
    <w:rsid w:val="002179D8"/>
    <w:rsid w:val="002222A0"/>
    <w:rsid w:val="00237EF7"/>
    <w:rsid w:val="00257DC2"/>
    <w:rsid w:val="0027004A"/>
    <w:rsid w:val="00273228"/>
    <w:rsid w:val="00273A01"/>
    <w:rsid w:val="00284EC9"/>
    <w:rsid w:val="002910A8"/>
    <w:rsid w:val="00291894"/>
    <w:rsid w:val="00294B4C"/>
    <w:rsid w:val="002978F9"/>
    <w:rsid w:val="002A25FD"/>
    <w:rsid w:val="002A78A8"/>
    <w:rsid w:val="002B0B5F"/>
    <w:rsid w:val="002C3F94"/>
    <w:rsid w:val="002C428B"/>
    <w:rsid w:val="002C66FC"/>
    <w:rsid w:val="002D0AA6"/>
    <w:rsid w:val="002D2F04"/>
    <w:rsid w:val="002D3D2A"/>
    <w:rsid w:val="002E1E80"/>
    <w:rsid w:val="002E7426"/>
    <w:rsid w:val="002F2917"/>
    <w:rsid w:val="002F2A7C"/>
    <w:rsid w:val="002F632E"/>
    <w:rsid w:val="002F7FEC"/>
    <w:rsid w:val="003032A4"/>
    <w:rsid w:val="00304224"/>
    <w:rsid w:val="00304BFB"/>
    <w:rsid w:val="00306D5D"/>
    <w:rsid w:val="00307DF8"/>
    <w:rsid w:val="00311C61"/>
    <w:rsid w:val="0031518D"/>
    <w:rsid w:val="0032397A"/>
    <w:rsid w:val="0035274D"/>
    <w:rsid w:val="00356F5E"/>
    <w:rsid w:val="00362A17"/>
    <w:rsid w:val="00364987"/>
    <w:rsid w:val="00366559"/>
    <w:rsid w:val="00373992"/>
    <w:rsid w:val="00376220"/>
    <w:rsid w:val="00376690"/>
    <w:rsid w:val="00381177"/>
    <w:rsid w:val="00394981"/>
    <w:rsid w:val="0039783E"/>
    <w:rsid w:val="003A43C8"/>
    <w:rsid w:val="003A74C1"/>
    <w:rsid w:val="003B066D"/>
    <w:rsid w:val="003B244A"/>
    <w:rsid w:val="003B3F73"/>
    <w:rsid w:val="003B4631"/>
    <w:rsid w:val="003B748A"/>
    <w:rsid w:val="003B7BC1"/>
    <w:rsid w:val="003C31D3"/>
    <w:rsid w:val="003E0092"/>
    <w:rsid w:val="003F0A0A"/>
    <w:rsid w:val="003F2E01"/>
    <w:rsid w:val="003F2EF6"/>
    <w:rsid w:val="003F30DB"/>
    <w:rsid w:val="003F7EA4"/>
    <w:rsid w:val="00402EED"/>
    <w:rsid w:val="00403F81"/>
    <w:rsid w:val="004120E3"/>
    <w:rsid w:val="004169DE"/>
    <w:rsid w:val="00416AF2"/>
    <w:rsid w:val="00420D85"/>
    <w:rsid w:val="00423587"/>
    <w:rsid w:val="00423B2F"/>
    <w:rsid w:val="0043194A"/>
    <w:rsid w:val="0043418F"/>
    <w:rsid w:val="00445FD4"/>
    <w:rsid w:val="00470C18"/>
    <w:rsid w:val="00474124"/>
    <w:rsid w:val="00482CB5"/>
    <w:rsid w:val="004846EC"/>
    <w:rsid w:val="00493A4D"/>
    <w:rsid w:val="004A50B5"/>
    <w:rsid w:val="004A648A"/>
    <w:rsid w:val="004A7B9A"/>
    <w:rsid w:val="004B3007"/>
    <w:rsid w:val="004B4421"/>
    <w:rsid w:val="004B475A"/>
    <w:rsid w:val="004B4947"/>
    <w:rsid w:val="004C0E54"/>
    <w:rsid w:val="004D20DC"/>
    <w:rsid w:val="004D241B"/>
    <w:rsid w:val="004D289B"/>
    <w:rsid w:val="004D28F4"/>
    <w:rsid w:val="004D34A0"/>
    <w:rsid w:val="004E6688"/>
    <w:rsid w:val="004E6CBB"/>
    <w:rsid w:val="004F509D"/>
    <w:rsid w:val="004F61FA"/>
    <w:rsid w:val="00504795"/>
    <w:rsid w:val="00506D6D"/>
    <w:rsid w:val="00521555"/>
    <w:rsid w:val="005301BC"/>
    <w:rsid w:val="00534577"/>
    <w:rsid w:val="00535828"/>
    <w:rsid w:val="00540289"/>
    <w:rsid w:val="00541A64"/>
    <w:rsid w:val="005443EA"/>
    <w:rsid w:val="00544921"/>
    <w:rsid w:val="00547A89"/>
    <w:rsid w:val="00547E46"/>
    <w:rsid w:val="00552AAE"/>
    <w:rsid w:val="00556867"/>
    <w:rsid w:val="00572B5D"/>
    <w:rsid w:val="00580558"/>
    <w:rsid w:val="00580F65"/>
    <w:rsid w:val="0058346B"/>
    <w:rsid w:val="005923E8"/>
    <w:rsid w:val="00592F1F"/>
    <w:rsid w:val="00596191"/>
    <w:rsid w:val="005963FF"/>
    <w:rsid w:val="005A65A8"/>
    <w:rsid w:val="005A72D4"/>
    <w:rsid w:val="005B559E"/>
    <w:rsid w:val="005C2925"/>
    <w:rsid w:val="005D22B0"/>
    <w:rsid w:val="005E55C3"/>
    <w:rsid w:val="006001F3"/>
    <w:rsid w:val="00600C4E"/>
    <w:rsid w:val="00601F8B"/>
    <w:rsid w:val="00606E19"/>
    <w:rsid w:val="0061781A"/>
    <w:rsid w:val="00622A2C"/>
    <w:rsid w:val="00630428"/>
    <w:rsid w:val="00634646"/>
    <w:rsid w:val="00635C9C"/>
    <w:rsid w:val="00641259"/>
    <w:rsid w:val="00644B2B"/>
    <w:rsid w:val="00647402"/>
    <w:rsid w:val="006543D7"/>
    <w:rsid w:val="0065580F"/>
    <w:rsid w:val="00660394"/>
    <w:rsid w:val="00661736"/>
    <w:rsid w:val="006620C1"/>
    <w:rsid w:val="006641E9"/>
    <w:rsid w:val="00665BEF"/>
    <w:rsid w:val="00675322"/>
    <w:rsid w:val="006767E2"/>
    <w:rsid w:val="00685199"/>
    <w:rsid w:val="00693390"/>
    <w:rsid w:val="006B1B07"/>
    <w:rsid w:val="006B46F7"/>
    <w:rsid w:val="006C0CF8"/>
    <w:rsid w:val="006C2AEF"/>
    <w:rsid w:val="006C66A4"/>
    <w:rsid w:val="006F2ADF"/>
    <w:rsid w:val="006F583E"/>
    <w:rsid w:val="006F5877"/>
    <w:rsid w:val="007011BF"/>
    <w:rsid w:val="00701777"/>
    <w:rsid w:val="00712D52"/>
    <w:rsid w:val="00713B50"/>
    <w:rsid w:val="00715F15"/>
    <w:rsid w:val="00721815"/>
    <w:rsid w:val="00721916"/>
    <w:rsid w:val="00725214"/>
    <w:rsid w:val="00730EF9"/>
    <w:rsid w:val="007314EE"/>
    <w:rsid w:val="00734DD8"/>
    <w:rsid w:val="00743B7F"/>
    <w:rsid w:val="007501AA"/>
    <w:rsid w:val="00761B69"/>
    <w:rsid w:val="00763179"/>
    <w:rsid w:val="00775383"/>
    <w:rsid w:val="00782BDE"/>
    <w:rsid w:val="007877B8"/>
    <w:rsid w:val="00790473"/>
    <w:rsid w:val="007926D3"/>
    <w:rsid w:val="00795AF9"/>
    <w:rsid w:val="007A3D7A"/>
    <w:rsid w:val="007A4088"/>
    <w:rsid w:val="007A44FA"/>
    <w:rsid w:val="007A67B0"/>
    <w:rsid w:val="007B0BD1"/>
    <w:rsid w:val="007B7E77"/>
    <w:rsid w:val="007C2BD6"/>
    <w:rsid w:val="007C38B0"/>
    <w:rsid w:val="007D47C3"/>
    <w:rsid w:val="007D5AEB"/>
    <w:rsid w:val="007E551B"/>
    <w:rsid w:val="007F336C"/>
    <w:rsid w:val="007F62FF"/>
    <w:rsid w:val="007F7279"/>
    <w:rsid w:val="00800E7D"/>
    <w:rsid w:val="00805E85"/>
    <w:rsid w:val="00807602"/>
    <w:rsid w:val="008126EB"/>
    <w:rsid w:val="00814EFE"/>
    <w:rsid w:val="008250CB"/>
    <w:rsid w:val="00827F59"/>
    <w:rsid w:val="00833D4D"/>
    <w:rsid w:val="00842CAC"/>
    <w:rsid w:val="00846DA6"/>
    <w:rsid w:val="008503D9"/>
    <w:rsid w:val="0085156D"/>
    <w:rsid w:val="00861B37"/>
    <w:rsid w:val="0087243C"/>
    <w:rsid w:val="00875A28"/>
    <w:rsid w:val="008772E7"/>
    <w:rsid w:val="00885BA7"/>
    <w:rsid w:val="00886E7F"/>
    <w:rsid w:val="00887D3E"/>
    <w:rsid w:val="00890830"/>
    <w:rsid w:val="00891BF0"/>
    <w:rsid w:val="00896766"/>
    <w:rsid w:val="00897BA9"/>
    <w:rsid w:val="008A2178"/>
    <w:rsid w:val="008A4B13"/>
    <w:rsid w:val="008E7451"/>
    <w:rsid w:val="008F715C"/>
    <w:rsid w:val="008F7FE7"/>
    <w:rsid w:val="00912246"/>
    <w:rsid w:val="009158F1"/>
    <w:rsid w:val="00920E3F"/>
    <w:rsid w:val="00922A03"/>
    <w:rsid w:val="009254BB"/>
    <w:rsid w:val="009272A0"/>
    <w:rsid w:val="00927F24"/>
    <w:rsid w:val="009372AC"/>
    <w:rsid w:val="009404B3"/>
    <w:rsid w:val="009411D5"/>
    <w:rsid w:val="00942DEC"/>
    <w:rsid w:val="009473EE"/>
    <w:rsid w:val="00962B77"/>
    <w:rsid w:val="00965AA9"/>
    <w:rsid w:val="009705D2"/>
    <w:rsid w:val="00974926"/>
    <w:rsid w:val="0098316A"/>
    <w:rsid w:val="00990BCD"/>
    <w:rsid w:val="00995179"/>
    <w:rsid w:val="009B1837"/>
    <w:rsid w:val="009C0D8F"/>
    <w:rsid w:val="009C0F17"/>
    <w:rsid w:val="009C15AF"/>
    <w:rsid w:val="009C30DF"/>
    <w:rsid w:val="009C4F59"/>
    <w:rsid w:val="009D49C4"/>
    <w:rsid w:val="009D5947"/>
    <w:rsid w:val="009D6D55"/>
    <w:rsid w:val="009E0D5B"/>
    <w:rsid w:val="00A11CDC"/>
    <w:rsid w:val="00A23EC8"/>
    <w:rsid w:val="00A25210"/>
    <w:rsid w:val="00A31A87"/>
    <w:rsid w:val="00A323D6"/>
    <w:rsid w:val="00A353A8"/>
    <w:rsid w:val="00A35C30"/>
    <w:rsid w:val="00A37392"/>
    <w:rsid w:val="00A47AE5"/>
    <w:rsid w:val="00A50FDE"/>
    <w:rsid w:val="00A54561"/>
    <w:rsid w:val="00A620FB"/>
    <w:rsid w:val="00A63236"/>
    <w:rsid w:val="00A72174"/>
    <w:rsid w:val="00A83101"/>
    <w:rsid w:val="00A97990"/>
    <w:rsid w:val="00AA2412"/>
    <w:rsid w:val="00AC1613"/>
    <w:rsid w:val="00AC1692"/>
    <w:rsid w:val="00AC517D"/>
    <w:rsid w:val="00AD1CC3"/>
    <w:rsid w:val="00AD2C33"/>
    <w:rsid w:val="00AD5A50"/>
    <w:rsid w:val="00AF21EF"/>
    <w:rsid w:val="00B10F55"/>
    <w:rsid w:val="00B14360"/>
    <w:rsid w:val="00B14A28"/>
    <w:rsid w:val="00B179E7"/>
    <w:rsid w:val="00B17CF7"/>
    <w:rsid w:val="00B32553"/>
    <w:rsid w:val="00B478ED"/>
    <w:rsid w:val="00B50DF7"/>
    <w:rsid w:val="00B62982"/>
    <w:rsid w:val="00B62F88"/>
    <w:rsid w:val="00B666F8"/>
    <w:rsid w:val="00B72B67"/>
    <w:rsid w:val="00B72ED2"/>
    <w:rsid w:val="00B80480"/>
    <w:rsid w:val="00B81D75"/>
    <w:rsid w:val="00B8331F"/>
    <w:rsid w:val="00B84A82"/>
    <w:rsid w:val="00B92D6B"/>
    <w:rsid w:val="00B93569"/>
    <w:rsid w:val="00BA0D2A"/>
    <w:rsid w:val="00BA6DE8"/>
    <w:rsid w:val="00BB3343"/>
    <w:rsid w:val="00BB7057"/>
    <w:rsid w:val="00BD0B25"/>
    <w:rsid w:val="00BF1167"/>
    <w:rsid w:val="00BF12C2"/>
    <w:rsid w:val="00BF19F7"/>
    <w:rsid w:val="00BF3DCF"/>
    <w:rsid w:val="00BF46D6"/>
    <w:rsid w:val="00BF75C9"/>
    <w:rsid w:val="00C122F2"/>
    <w:rsid w:val="00C1706D"/>
    <w:rsid w:val="00C242B5"/>
    <w:rsid w:val="00C514AA"/>
    <w:rsid w:val="00CA08CD"/>
    <w:rsid w:val="00CA69B9"/>
    <w:rsid w:val="00CB6050"/>
    <w:rsid w:val="00CB77A1"/>
    <w:rsid w:val="00CC4CEF"/>
    <w:rsid w:val="00CE57AC"/>
    <w:rsid w:val="00CF10DD"/>
    <w:rsid w:val="00CF29C0"/>
    <w:rsid w:val="00CF3B44"/>
    <w:rsid w:val="00D034E2"/>
    <w:rsid w:val="00D07DFA"/>
    <w:rsid w:val="00D15AFB"/>
    <w:rsid w:val="00D2136F"/>
    <w:rsid w:val="00D21C7A"/>
    <w:rsid w:val="00D2298D"/>
    <w:rsid w:val="00D2669D"/>
    <w:rsid w:val="00D2778F"/>
    <w:rsid w:val="00D33EB2"/>
    <w:rsid w:val="00D3685D"/>
    <w:rsid w:val="00D375AE"/>
    <w:rsid w:val="00D43D95"/>
    <w:rsid w:val="00D453EF"/>
    <w:rsid w:val="00D4775C"/>
    <w:rsid w:val="00D55266"/>
    <w:rsid w:val="00D61E26"/>
    <w:rsid w:val="00D629D7"/>
    <w:rsid w:val="00D660CD"/>
    <w:rsid w:val="00D664E1"/>
    <w:rsid w:val="00D66B5A"/>
    <w:rsid w:val="00D70463"/>
    <w:rsid w:val="00D7161A"/>
    <w:rsid w:val="00D775AF"/>
    <w:rsid w:val="00D86767"/>
    <w:rsid w:val="00D93E98"/>
    <w:rsid w:val="00DA1EFE"/>
    <w:rsid w:val="00DA2994"/>
    <w:rsid w:val="00DA2E15"/>
    <w:rsid w:val="00DA625B"/>
    <w:rsid w:val="00DB28F9"/>
    <w:rsid w:val="00DC0140"/>
    <w:rsid w:val="00DC165D"/>
    <w:rsid w:val="00DC460D"/>
    <w:rsid w:val="00DC4BA0"/>
    <w:rsid w:val="00DD0E61"/>
    <w:rsid w:val="00DD640A"/>
    <w:rsid w:val="00DD6507"/>
    <w:rsid w:val="00DE11BD"/>
    <w:rsid w:val="00DF0CF5"/>
    <w:rsid w:val="00DF729B"/>
    <w:rsid w:val="00E0275C"/>
    <w:rsid w:val="00E02DF4"/>
    <w:rsid w:val="00E04C22"/>
    <w:rsid w:val="00E079FE"/>
    <w:rsid w:val="00E07AD7"/>
    <w:rsid w:val="00E10896"/>
    <w:rsid w:val="00E34171"/>
    <w:rsid w:val="00E34AEA"/>
    <w:rsid w:val="00E35DF2"/>
    <w:rsid w:val="00E460C0"/>
    <w:rsid w:val="00E4645D"/>
    <w:rsid w:val="00E50AFD"/>
    <w:rsid w:val="00E51877"/>
    <w:rsid w:val="00E550B6"/>
    <w:rsid w:val="00E57C68"/>
    <w:rsid w:val="00E60D18"/>
    <w:rsid w:val="00E612E1"/>
    <w:rsid w:val="00E61E06"/>
    <w:rsid w:val="00E64C15"/>
    <w:rsid w:val="00E65D83"/>
    <w:rsid w:val="00E827BB"/>
    <w:rsid w:val="00E9077B"/>
    <w:rsid w:val="00E924C6"/>
    <w:rsid w:val="00EB118D"/>
    <w:rsid w:val="00EC4447"/>
    <w:rsid w:val="00ED12B5"/>
    <w:rsid w:val="00ED2688"/>
    <w:rsid w:val="00ED773E"/>
    <w:rsid w:val="00EE52E8"/>
    <w:rsid w:val="00EE5319"/>
    <w:rsid w:val="00EE5841"/>
    <w:rsid w:val="00EF4CE9"/>
    <w:rsid w:val="00EF57A7"/>
    <w:rsid w:val="00F10A39"/>
    <w:rsid w:val="00F112B5"/>
    <w:rsid w:val="00F2287B"/>
    <w:rsid w:val="00F24BCA"/>
    <w:rsid w:val="00F30508"/>
    <w:rsid w:val="00F30E1C"/>
    <w:rsid w:val="00F31878"/>
    <w:rsid w:val="00F41E42"/>
    <w:rsid w:val="00F457C5"/>
    <w:rsid w:val="00F532CB"/>
    <w:rsid w:val="00F55385"/>
    <w:rsid w:val="00F60ED5"/>
    <w:rsid w:val="00F61DB7"/>
    <w:rsid w:val="00F72472"/>
    <w:rsid w:val="00F74EBF"/>
    <w:rsid w:val="00F808E4"/>
    <w:rsid w:val="00F822D7"/>
    <w:rsid w:val="00F9417E"/>
    <w:rsid w:val="00F97538"/>
    <w:rsid w:val="00FB04C9"/>
    <w:rsid w:val="00FB5FF2"/>
    <w:rsid w:val="00FB70C1"/>
    <w:rsid w:val="00FC563F"/>
    <w:rsid w:val="00FD1280"/>
    <w:rsid w:val="00FD403B"/>
    <w:rsid w:val="00FE189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69B9"/>
  </w:style>
  <w:style w:type="paragraph" w:styleId="Heading1">
    <w:name w:val="heading 1"/>
    <w:basedOn w:val="Normal"/>
    <w:next w:val="Normal"/>
    <w:link w:val="Heading1Char"/>
    <w:uiPriority w:val="9"/>
    <w:qFormat/>
    <w:rsid w:val="004A648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A50FD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8310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83101"/>
    <w:rPr>
      <w:sz w:val="20"/>
      <w:szCs w:val="20"/>
    </w:rPr>
  </w:style>
  <w:style w:type="character" w:styleId="FootnoteReference">
    <w:name w:val="footnote reference"/>
    <w:basedOn w:val="DefaultParagraphFont"/>
    <w:uiPriority w:val="99"/>
    <w:semiHidden/>
    <w:unhideWhenUsed/>
    <w:rsid w:val="00A83101"/>
    <w:rPr>
      <w:vertAlign w:val="superscript"/>
    </w:rPr>
  </w:style>
  <w:style w:type="paragraph" w:styleId="ListParagraph">
    <w:name w:val="List Paragraph"/>
    <w:basedOn w:val="Normal"/>
    <w:uiPriority w:val="34"/>
    <w:qFormat/>
    <w:rsid w:val="00095AF8"/>
    <w:pPr>
      <w:ind w:left="720"/>
      <w:contextualSpacing/>
    </w:pPr>
  </w:style>
  <w:style w:type="character" w:customStyle="1" w:styleId="apple-converted-space">
    <w:name w:val="apple-converted-space"/>
    <w:basedOn w:val="DefaultParagraphFont"/>
    <w:rsid w:val="006B1B07"/>
  </w:style>
  <w:style w:type="character" w:styleId="Hyperlink">
    <w:name w:val="Hyperlink"/>
    <w:basedOn w:val="DefaultParagraphFont"/>
    <w:uiPriority w:val="99"/>
    <w:semiHidden/>
    <w:unhideWhenUsed/>
    <w:rsid w:val="006B1B07"/>
    <w:rPr>
      <w:color w:val="0000FF"/>
      <w:u w:val="single"/>
    </w:rPr>
  </w:style>
  <w:style w:type="character" w:styleId="FollowedHyperlink">
    <w:name w:val="FollowedHyperlink"/>
    <w:basedOn w:val="DefaultParagraphFont"/>
    <w:uiPriority w:val="99"/>
    <w:semiHidden/>
    <w:unhideWhenUsed/>
    <w:rsid w:val="006B1B07"/>
    <w:rPr>
      <w:color w:val="800080" w:themeColor="followedHyperlink"/>
      <w:u w:val="single"/>
    </w:rPr>
  </w:style>
  <w:style w:type="character" w:styleId="Emphasis">
    <w:name w:val="Emphasis"/>
    <w:basedOn w:val="DefaultParagraphFont"/>
    <w:uiPriority w:val="20"/>
    <w:qFormat/>
    <w:rsid w:val="00196A55"/>
    <w:rPr>
      <w:i/>
      <w:iCs/>
    </w:rPr>
  </w:style>
  <w:style w:type="paragraph" w:styleId="BalloonText">
    <w:name w:val="Balloon Text"/>
    <w:basedOn w:val="Normal"/>
    <w:link w:val="BalloonTextChar"/>
    <w:uiPriority w:val="99"/>
    <w:semiHidden/>
    <w:unhideWhenUsed/>
    <w:rsid w:val="00E50A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0AFD"/>
    <w:rPr>
      <w:rFonts w:ascii="Tahoma" w:hAnsi="Tahoma" w:cs="Tahoma"/>
      <w:sz w:val="16"/>
      <w:szCs w:val="16"/>
    </w:rPr>
  </w:style>
  <w:style w:type="character" w:customStyle="1" w:styleId="Heading2Char">
    <w:name w:val="Heading 2 Char"/>
    <w:basedOn w:val="DefaultParagraphFont"/>
    <w:link w:val="Heading2"/>
    <w:uiPriority w:val="9"/>
    <w:rsid w:val="00A50FDE"/>
    <w:rPr>
      <w:rFonts w:ascii="Times New Roman" w:eastAsia="Times New Roman" w:hAnsi="Times New Roman" w:cs="Times New Roman"/>
      <w:b/>
      <w:bCs/>
      <w:sz w:val="36"/>
      <w:szCs w:val="36"/>
    </w:rPr>
  </w:style>
  <w:style w:type="paragraph" w:styleId="Header">
    <w:name w:val="header"/>
    <w:basedOn w:val="Normal"/>
    <w:link w:val="HeaderChar"/>
    <w:uiPriority w:val="99"/>
    <w:unhideWhenUsed/>
    <w:rsid w:val="00795A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5AF9"/>
  </w:style>
  <w:style w:type="paragraph" w:styleId="Footer">
    <w:name w:val="footer"/>
    <w:basedOn w:val="Normal"/>
    <w:link w:val="FooterChar"/>
    <w:uiPriority w:val="99"/>
    <w:unhideWhenUsed/>
    <w:rsid w:val="00795A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5AF9"/>
  </w:style>
  <w:style w:type="paragraph" w:customStyle="1" w:styleId="Title1">
    <w:name w:val="Title1"/>
    <w:basedOn w:val="Normal"/>
    <w:rsid w:val="00D2778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title1">
    <w:name w:val="Subtitle1"/>
    <w:basedOn w:val="Normal"/>
    <w:rsid w:val="00D2778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B93569"/>
    <w:pPr>
      <w:spacing w:before="100" w:beforeAutospacing="1" w:after="100" w:afterAutospacing="1"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3F7EA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7EA4"/>
    <w:rPr>
      <w:sz w:val="20"/>
      <w:szCs w:val="20"/>
    </w:rPr>
  </w:style>
  <w:style w:type="character" w:styleId="EndnoteReference">
    <w:name w:val="endnote reference"/>
    <w:basedOn w:val="DefaultParagraphFont"/>
    <w:uiPriority w:val="99"/>
    <w:semiHidden/>
    <w:unhideWhenUsed/>
    <w:rsid w:val="003F7EA4"/>
    <w:rPr>
      <w:vertAlign w:val="superscript"/>
    </w:rPr>
  </w:style>
  <w:style w:type="character" w:customStyle="1" w:styleId="Heading1Char">
    <w:name w:val="Heading 1 Char"/>
    <w:basedOn w:val="DefaultParagraphFont"/>
    <w:link w:val="Heading1"/>
    <w:uiPriority w:val="9"/>
    <w:rsid w:val="004A648A"/>
    <w:rPr>
      <w:rFonts w:asciiTheme="majorHAnsi" w:eastAsiaTheme="majorEastAsia" w:hAnsiTheme="majorHAnsi" w:cstheme="majorBidi"/>
      <w:b/>
      <w:bCs/>
      <w:color w:val="365F91" w:themeColor="accent1" w:themeShade="BF"/>
      <w:sz w:val="28"/>
      <w:szCs w:val="28"/>
    </w:rPr>
  </w:style>
  <w:style w:type="character" w:customStyle="1" w:styleId="text-small-hilite">
    <w:name w:val="text-small-hilite"/>
    <w:basedOn w:val="DefaultParagraphFont"/>
    <w:rsid w:val="00E4645D"/>
  </w:style>
  <w:style w:type="character" w:styleId="Strong">
    <w:name w:val="Strong"/>
    <w:basedOn w:val="DefaultParagraphFont"/>
    <w:uiPriority w:val="22"/>
    <w:qFormat/>
    <w:rsid w:val="00E02DF4"/>
    <w:rPr>
      <w:b/>
      <w:bCs/>
    </w:rPr>
  </w:style>
  <w:style w:type="character" w:customStyle="1" w:styleId="date-display-single">
    <w:name w:val="date-display-single"/>
    <w:basedOn w:val="DefaultParagraphFont"/>
    <w:rsid w:val="00E02DF4"/>
  </w:style>
  <w:style w:type="character" w:customStyle="1" w:styleId="a-size-large">
    <w:name w:val="a-size-large"/>
    <w:basedOn w:val="DefaultParagraphFont"/>
    <w:rsid w:val="00D2669D"/>
  </w:style>
  <w:style w:type="paragraph" w:styleId="Subtitle">
    <w:name w:val="Subtitle"/>
    <w:basedOn w:val="Normal"/>
    <w:next w:val="Normal"/>
    <w:link w:val="SubtitleChar"/>
    <w:uiPriority w:val="11"/>
    <w:qFormat/>
    <w:rsid w:val="002222A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222A0"/>
    <w:rPr>
      <w:rFonts w:asciiTheme="majorHAnsi" w:eastAsiaTheme="majorEastAsia" w:hAnsiTheme="majorHAnsi" w:cstheme="majorBidi"/>
      <w:i/>
      <w:iCs/>
      <w:color w:val="4F81BD" w:themeColor="accent1"/>
      <w:spacing w:val="15"/>
      <w:sz w:val="24"/>
      <w:szCs w:val="24"/>
    </w:rPr>
  </w:style>
  <w:style w:type="paragraph" w:styleId="Bibliography">
    <w:name w:val="Bibliography"/>
    <w:basedOn w:val="Normal"/>
    <w:next w:val="Normal"/>
    <w:uiPriority w:val="37"/>
    <w:unhideWhenUsed/>
    <w:rsid w:val="00A23E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A648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A50FD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8310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83101"/>
    <w:rPr>
      <w:sz w:val="20"/>
      <w:szCs w:val="20"/>
    </w:rPr>
  </w:style>
  <w:style w:type="character" w:styleId="FootnoteReference">
    <w:name w:val="footnote reference"/>
    <w:basedOn w:val="DefaultParagraphFont"/>
    <w:uiPriority w:val="99"/>
    <w:semiHidden/>
    <w:unhideWhenUsed/>
    <w:rsid w:val="00A83101"/>
    <w:rPr>
      <w:vertAlign w:val="superscript"/>
    </w:rPr>
  </w:style>
  <w:style w:type="paragraph" w:styleId="ListParagraph">
    <w:name w:val="List Paragraph"/>
    <w:basedOn w:val="Normal"/>
    <w:uiPriority w:val="34"/>
    <w:qFormat/>
    <w:rsid w:val="00095AF8"/>
    <w:pPr>
      <w:ind w:left="720"/>
      <w:contextualSpacing/>
    </w:pPr>
  </w:style>
  <w:style w:type="character" w:customStyle="1" w:styleId="apple-converted-space">
    <w:name w:val="apple-converted-space"/>
    <w:basedOn w:val="DefaultParagraphFont"/>
    <w:rsid w:val="006B1B07"/>
  </w:style>
  <w:style w:type="character" w:styleId="Hyperlink">
    <w:name w:val="Hyperlink"/>
    <w:basedOn w:val="DefaultParagraphFont"/>
    <w:uiPriority w:val="99"/>
    <w:semiHidden/>
    <w:unhideWhenUsed/>
    <w:rsid w:val="006B1B07"/>
    <w:rPr>
      <w:color w:val="0000FF"/>
      <w:u w:val="single"/>
    </w:rPr>
  </w:style>
  <w:style w:type="character" w:styleId="FollowedHyperlink">
    <w:name w:val="FollowedHyperlink"/>
    <w:basedOn w:val="DefaultParagraphFont"/>
    <w:uiPriority w:val="99"/>
    <w:semiHidden/>
    <w:unhideWhenUsed/>
    <w:rsid w:val="006B1B07"/>
    <w:rPr>
      <w:color w:val="800080" w:themeColor="followedHyperlink"/>
      <w:u w:val="single"/>
    </w:rPr>
  </w:style>
  <w:style w:type="character" w:styleId="Emphasis">
    <w:name w:val="Emphasis"/>
    <w:basedOn w:val="DefaultParagraphFont"/>
    <w:uiPriority w:val="20"/>
    <w:qFormat/>
    <w:rsid w:val="00196A55"/>
    <w:rPr>
      <w:i/>
      <w:iCs/>
    </w:rPr>
  </w:style>
  <w:style w:type="paragraph" w:styleId="BalloonText">
    <w:name w:val="Balloon Text"/>
    <w:basedOn w:val="Normal"/>
    <w:link w:val="BalloonTextChar"/>
    <w:uiPriority w:val="99"/>
    <w:semiHidden/>
    <w:unhideWhenUsed/>
    <w:rsid w:val="00E50A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0AFD"/>
    <w:rPr>
      <w:rFonts w:ascii="Tahoma" w:hAnsi="Tahoma" w:cs="Tahoma"/>
      <w:sz w:val="16"/>
      <w:szCs w:val="16"/>
    </w:rPr>
  </w:style>
  <w:style w:type="character" w:customStyle="1" w:styleId="Heading2Char">
    <w:name w:val="Heading 2 Char"/>
    <w:basedOn w:val="DefaultParagraphFont"/>
    <w:link w:val="Heading2"/>
    <w:uiPriority w:val="9"/>
    <w:rsid w:val="00A50FDE"/>
    <w:rPr>
      <w:rFonts w:ascii="Times New Roman" w:eastAsia="Times New Roman" w:hAnsi="Times New Roman" w:cs="Times New Roman"/>
      <w:b/>
      <w:bCs/>
      <w:sz w:val="36"/>
      <w:szCs w:val="36"/>
    </w:rPr>
  </w:style>
  <w:style w:type="paragraph" w:styleId="Header">
    <w:name w:val="header"/>
    <w:basedOn w:val="Normal"/>
    <w:link w:val="HeaderChar"/>
    <w:uiPriority w:val="99"/>
    <w:unhideWhenUsed/>
    <w:rsid w:val="00795A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5AF9"/>
  </w:style>
  <w:style w:type="paragraph" w:styleId="Footer">
    <w:name w:val="footer"/>
    <w:basedOn w:val="Normal"/>
    <w:link w:val="FooterChar"/>
    <w:uiPriority w:val="99"/>
    <w:unhideWhenUsed/>
    <w:rsid w:val="00795A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5AF9"/>
  </w:style>
  <w:style w:type="paragraph" w:customStyle="1" w:styleId="Title1">
    <w:name w:val="Title1"/>
    <w:basedOn w:val="Normal"/>
    <w:rsid w:val="00D2778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title1">
    <w:name w:val="Subtitle1"/>
    <w:basedOn w:val="Normal"/>
    <w:rsid w:val="00D2778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B93569"/>
    <w:pPr>
      <w:spacing w:before="100" w:beforeAutospacing="1" w:after="100" w:afterAutospacing="1"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3F7EA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7EA4"/>
    <w:rPr>
      <w:sz w:val="20"/>
      <w:szCs w:val="20"/>
    </w:rPr>
  </w:style>
  <w:style w:type="character" w:styleId="EndnoteReference">
    <w:name w:val="endnote reference"/>
    <w:basedOn w:val="DefaultParagraphFont"/>
    <w:uiPriority w:val="99"/>
    <w:semiHidden/>
    <w:unhideWhenUsed/>
    <w:rsid w:val="003F7EA4"/>
    <w:rPr>
      <w:vertAlign w:val="superscript"/>
    </w:rPr>
  </w:style>
  <w:style w:type="character" w:customStyle="1" w:styleId="Heading1Char">
    <w:name w:val="Heading 1 Char"/>
    <w:basedOn w:val="DefaultParagraphFont"/>
    <w:link w:val="Heading1"/>
    <w:uiPriority w:val="9"/>
    <w:rsid w:val="004A648A"/>
    <w:rPr>
      <w:rFonts w:asciiTheme="majorHAnsi" w:eastAsiaTheme="majorEastAsia" w:hAnsiTheme="majorHAnsi" w:cstheme="majorBidi"/>
      <w:b/>
      <w:bCs/>
      <w:color w:val="365F91" w:themeColor="accent1" w:themeShade="BF"/>
      <w:sz w:val="28"/>
      <w:szCs w:val="28"/>
    </w:rPr>
  </w:style>
  <w:style w:type="character" w:customStyle="1" w:styleId="text-small-hilite">
    <w:name w:val="text-small-hilite"/>
    <w:basedOn w:val="DefaultParagraphFont"/>
    <w:rsid w:val="00E4645D"/>
  </w:style>
  <w:style w:type="character" w:styleId="Strong">
    <w:name w:val="Strong"/>
    <w:basedOn w:val="DefaultParagraphFont"/>
    <w:uiPriority w:val="22"/>
    <w:qFormat/>
    <w:rsid w:val="00E02DF4"/>
    <w:rPr>
      <w:b/>
      <w:bCs/>
    </w:rPr>
  </w:style>
  <w:style w:type="character" w:customStyle="1" w:styleId="date-display-single">
    <w:name w:val="date-display-single"/>
    <w:basedOn w:val="DefaultParagraphFont"/>
    <w:rsid w:val="00E02DF4"/>
  </w:style>
  <w:style w:type="character" w:customStyle="1" w:styleId="a-size-large">
    <w:name w:val="a-size-large"/>
    <w:basedOn w:val="DefaultParagraphFont"/>
    <w:rsid w:val="00D2669D"/>
  </w:style>
  <w:style w:type="paragraph" w:styleId="Subtitle">
    <w:name w:val="Subtitle"/>
    <w:basedOn w:val="Normal"/>
    <w:next w:val="Normal"/>
    <w:link w:val="SubtitleChar"/>
    <w:uiPriority w:val="11"/>
    <w:qFormat/>
    <w:rsid w:val="002222A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222A0"/>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732895">
      <w:bodyDiv w:val="1"/>
      <w:marLeft w:val="0"/>
      <w:marRight w:val="0"/>
      <w:marTop w:val="0"/>
      <w:marBottom w:val="0"/>
      <w:divBdr>
        <w:top w:val="none" w:sz="0" w:space="0" w:color="auto"/>
        <w:left w:val="none" w:sz="0" w:space="0" w:color="auto"/>
        <w:bottom w:val="none" w:sz="0" w:space="0" w:color="auto"/>
        <w:right w:val="none" w:sz="0" w:space="0" w:color="auto"/>
      </w:divBdr>
    </w:div>
    <w:div w:id="96144664">
      <w:bodyDiv w:val="1"/>
      <w:marLeft w:val="0"/>
      <w:marRight w:val="0"/>
      <w:marTop w:val="0"/>
      <w:marBottom w:val="0"/>
      <w:divBdr>
        <w:top w:val="none" w:sz="0" w:space="0" w:color="auto"/>
        <w:left w:val="none" w:sz="0" w:space="0" w:color="auto"/>
        <w:bottom w:val="none" w:sz="0" w:space="0" w:color="auto"/>
        <w:right w:val="none" w:sz="0" w:space="0" w:color="auto"/>
      </w:divBdr>
    </w:div>
    <w:div w:id="274212357">
      <w:bodyDiv w:val="1"/>
      <w:marLeft w:val="0"/>
      <w:marRight w:val="0"/>
      <w:marTop w:val="0"/>
      <w:marBottom w:val="0"/>
      <w:divBdr>
        <w:top w:val="none" w:sz="0" w:space="0" w:color="auto"/>
        <w:left w:val="none" w:sz="0" w:space="0" w:color="auto"/>
        <w:bottom w:val="none" w:sz="0" w:space="0" w:color="auto"/>
        <w:right w:val="none" w:sz="0" w:space="0" w:color="auto"/>
      </w:divBdr>
    </w:div>
    <w:div w:id="1098140196">
      <w:bodyDiv w:val="1"/>
      <w:marLeft w:val="0"/>
      <w:marRight w:val="0"/>
      <w:marTop w:val="0"/>
      <w:marBottom w:val="0"/>
      <w:divBdr>
        <w:top w:val="none" w:sz="0" w:space="0" w:color="auto"/>
        <w:left w:val="none" w:sz="0" w:space="0" w:color="auto"/>
        <w:bottom w:val="none" w:sz="0" w:space="0" w:color="auto"/>
        <w:right w:val="none" w:sz="0" w:space="0" w:color="auto"/>
      </w:divBdr>
    </w:div>
    <w:div w:id="1139540820">
      <w:bodyDiv w:val="1"/>
      <w:marLeft w:val="0"/>
      <w:marRight w:val="0"/>
      <w:marTop w:val="0"/>
      <w:marBottom w:val="0"/>
      <w:divBdr>
        <w:top w:val="none" w:sz="0" w:space="0" w:color="auto"/>
        <w:left w:val="none" w:sz="0" w:space="0" w:color="auto"/>
        <w:bottom w:val="none" w:sz="0" w:space="0" w:color="auto"/>
        <w:right w:val="none" w:sz="0" w:space="0" w:color="auto"/>
      </w:divBdr>
    </w:div>
    <w:div w:id="1177576822">
      <w:bodyDiv w:val="1"/>
      <w:marLeft w:val="0"/>
      <w:marRight w:val="0"/>
      <w:marTop w:val="0"/>
      <w:marBottom w:val="0"/>
      <w:divBdr>
        <w:top w:val="none" w:sz="0" w:space="0" w:color="auto"/>
        <w:left w:val="none" w:sz="0" w:space="0" w:color="auto"/>
        <w:bottom w:val="none" w:sz="0" w:space="0" w:color="auto"/>
        <w:right w:val="none" w:sz="0" w:space="0" w:color="auto"/>
      </w:divBdr>
      <w:divsChild>
        <w:div w:id="1919441499">
          <w:marLeft w:val="547"/>
          <w:marRight w:val="0"/>
          <w:marTop w:val="144"/>
          <w:marBottom w:val="0"/>
          <w:divBdr>
            <w:top w:val="none" w:sz="0" w:space="0" w:color="auto"/>
            <w:left w:val="none" w:sz="0" w:space="0" w:color="auto"/>
            <w:bottom w:val="none" w:sz="0" w:space="0" w:color="auto"/>
            <w:right w:val="none" w:sz="0" w:space="0" w:color="auto"/>
          </w:divBdr>
        </w:div>
        <w:div w:id="878669598">
          <w:marLeft w:val="1166"/>
          <w:marRight w:val="0"/>
          <w:marTop w:val="115"/>
          <w:marBottom w:val="0"/>
          <w:divBdr>
            <w:top w:val="none" w:sz="0" w:space="0" w:color="auto"/>
            <w:left w:val="none" w:sz="0" w:space="0" w:color="auto"/>
            <w:bottom w:val="none" w:sz="0" w:space="0" w:color="auto"/>
            <w:right w:val="none" w:sz="0" w:space="0" w:color="auto"/>
          </w:divBdr>
        </w:div>
        <w:div w:id="1088964632">
          <w:marLeft w:val="1800"/>
          <w:marRight w:val="0"/>
          <w:marTop w:val="96"/>
          <w:marBottom w:val="0"/>
          <w:divBdr>
            <w:top w:val="none" w:sz="0" w:space="0" w:color="auto"/>
            <w:left w:val="none" w:sz="0" w:space="0" w:color="auto"/>
            <w:bottom w:val="none" w:sz="0" w:space="0" w:color="auto"/>
            <w:right w:val="none" w:sz="0" w:space="0" w:color="auto"/>
          </w:divBdr>
        </w:div>
        <w:div w:id="482967339">
          <w:marLeft w:val="1800"/>
          <w:marRight w:val="0"/>
          <w:marTop w:val="96"/>
          <w:marBottom w:val="0"/>
          <w:divBdr>
            <w:top w:val="none" w:sz="0" w:space="0" w:color="auto"/>
            <w:left w:val="none" w:sz="0" w:space="0" w:color="auto"/>
            <w:bottom w:val="none" w:sz="0" w:space="0" w:color="auto"/>
            <w:right w:val="none" w:sz="0" w:space="0" w:color="auto"/>
          </w:divBdr>
        </w:div>
        <w:div w:id="2030644070">
          <w:marLeft w:val="1166"/>
          <w:marRight w:val="0"/>
          <w:marTop w:val="115"/>
          <w:marBottom w:val="0"/>
          <w:divBdr>
            <w:top w:val="none" w:sz="0" w:space="0" w:color="auto"/>
            <w:left w:val="none" w:sz="0" w:space="0" w:color="auto"/>
            <w:bottom w:val="none" w:sz="0" w:space="0" w:color="auto"/>
            <w:right w:val="none" w:sz="0" w:space="0" w:color="auto"/>
          </w:divBdr>
        </w:div>
        <w:div w:id="795639688">
          <w:marLeft w:val="1800"/>
          <w:marRight w:val="0"/>
          <w:marTop w:val="96"/>
          <w:marBottom w:val="0"/>
          <w:divBdr>
            <w:top w:val="none" w:sz="0" w:space="0" w:color="auto"/>
            <w:left w:val="none" w:sz="0" w:space="0" w:color="auto"/>
            <w:bottom w:val="none" w:sz="0" w:space="0" w:color="auto"/>
            <w:right w:val="none" w:sz="0" w:space="0" w:color="auto"/>
          </w:divBdr>
        </w:div>
        <w:div w:id="1461147440">
          <w:marLeft w:val="1166"/>
          <w:marRight w:val="0"/>
          <w:marTop w:val="115"/>
          <w:marBottom w:val="0"/>
          <w:divBdr>
            <w:top w:val="none" w:sz="0" w:space="0" w:color="auto"/>
            <w:left w:val="none" w:sz="0" w:space="0" w:color="auto"/>
            <w:bottom w:val="none" w:sz="0" w:space="0" w:color="auto"/>
            <w:right w:val="none" w:sz="0" w:space="0" w:color="auto"/>
          </w:divBdr>
        </w:div>
        <w:div w:id="1522164571">
          <w:marLeft w:val="1800"/>
          <w:marRight w:val="0"/>
          <w:marTop w:val="96"/>
          <w:marBottom w:val="0"/>
          <w:divBdr>
            <w:top w:val="none" w:sz="0" w:space="0" w:color="auto"/>
            <w:left w:val="none" w:sz="0" w:space="0" w:color="auto"/>
            <w:bottom w:val="none" w:sz="0" w:space="0" w:color="auto"/>
            <w:right w:val="none" w:sz="0" w:space="0" w:color="auto"/>
          </w:divBdr>
        </w:div>
        <w:div w:id="18481271">
          <w:marLeft w:val="1800"/>
          <w:marRight w:val="0"/>
          <w:marTop w:val="96"/>
          <w:marBottom w:val="0"/>
          <w:divBdr>
            <w:top w:val="none" w:sz="0" w:space="0" w:color="auto"/>
            <w:left w:val="none" w:sz="0" w:space="0" w:color="auto"/>
            <w:bottom w:val="none" w:sz="0" w:space="0" w:color="auto"/>
            <w:right w:val="none" w:sz="0" w:space="0" w:color="auto"/>
          </w:divBdr>
        </w:div>
        <w:div w:id="8725767">
          <w:marLeft w:val="2520"/>
          <w:marRight w:val="0"/>
          <w:marTop w:val="96"/>
          <w:marBottom w:val="0"/>
          <w:divBdr>
            <w:top w:val="none" w:sz="0" w:space="0" w:color="auto"/>
            <w:left w:val="none" w:sz="0" w:space="0" w:color="auto"/>
            <w:bottom w:val="none" w:sz="0" w:space="0" w:color="auto"/>
            <w:right w:val="none" w:sz="0" w:space="0" w:color="auto"/>
          </w:divBdr>
        </w:div>
        <w:div w:id="364407625">
          <w:marLeft w:val="2520"/>
          <w:marRight w:val="0"/>
          <w:marTop w:val="96"/>
          <w:marBottom w:val="0"/>
          <w:divBdr>
            <w:top w:val="none" w:sz="0" w:space="0" w:color="auto"/>
            <w:left w:val="none" w:sz="0" w:space="0" w:color="auto"/>
            <w:bottom w:val="none" w:sz="0" w:space="0" w:color="auto"/>
            <w:right w:val="none" w:sz="0" w:space="0" w:color="auto"/>
          </w:divBdr>
        </w:div>
        <w:div w:id="2141990794">
          <w:marLeft w:val="1800"/>
          <w:marRight w:val="0"/>
          <w:marTop w:val="96"/>
          <w:marBottom w:val="0"/>
          <w:divBdr>
            <w:top w:val="none" w:sz="0" w:space="0" w:color="auto"/>
            <w:left w:val="none" w:sz="0" w:space="0" w:color="auto"/>
            <w:bottom w:val="none" w:sz="0" w:space="0" w:color="auto"/>
            <w:right w:val="none" w:sz="0" w:space="0" w:color="auto"/>
          </w:divBdr>
        </w:div>
      </w:divsChild>
    </w:div>
    <w:div w:id="1263802588">
      <w:bodyDiv w:val="1"/>
      <w:marLeft w:val="0"/>
      <w:marRight w:val="0"/>
      <w:marTop w:val="0"/>
      <w:marBottom w:val="0"/>
      <w:divBdr>
        <w:top w:val="none" w:sz="0" w:space="0" w:color="auto"/>
        <w:left w:val="none" w:sz="0" w:space="0" w:color="auto"/>
        <w:bottom w:val="none" w:sz="0" w:space="0" w:color="auto"/>
        <w:right w:val="none" w:sz="0" w:space="0" w:color="auto"/>
      </w:divBdr>
    </w:div>
    <w:div w:id="1287270585">
      <w:bodyDiv w:val="1"/>
      <w:marLeft w:val="0"/>
      <w:marRight w:val="0"/>
      <w:marTop w:val="0"/>
      <w:marBottom w:val="0"/>
      <w:divBdr>
        <w:top w:val="none" w:sz="0" w:space="0" w:color="auto"/>
        <w:left w:val="none" w:sz="0" w:space="0" w:color="auto"/>
        <w:bottom w:val="none" w:sz="0" w:space="0" w:color="auto"/>
        <w:right w:val="none" w:sz="0" w:space="0" w:color="auto"/>
      </w:divBdr>
    </w:div>
    <w:div w:id="1349480309">
      <w:bodyDiv w:val="1"/>
      <w:marLeft w:val="0"/>
      <w:marRight w:val="0"/>
      <w:marTop w:val="0"/>
      <w:marBottom w:val="0"/>
      <w:divBdr>
        <w:top w:val="none" w:sz="0" w:space="0" w:color="auto"/>
        <w:left w:val="none" w:sz="0" w:space="0" w:color="auto"/>
        <w:bottom w:val="none" w:sz="0" w:space="0" w:color="auto"/>
        <w:right w:val="none" w:sz="0" w:space="0" w:color="auto"/>
      </w:divBdr>
    </w:div>
    <w:div w:id="1446266708">
      <w:bodyDiv w:val="1"/>
      <w:marLeft w:val="0"/>
      <w:marRight w:val="0"/>
      <w:marTop w:val="0"/>
      <w:marBottom w:val="0"/>
      <w:divBdr>
        <w:top w:val="none" w:sz="0" w:space="0" w:color="auto"/>
        <w:left w:val="none" w:sz="0" w:space="0" w:color="auto"/>
        <w:bottom w:val="none" w:sz="0" w:space="0" w:color="auto"/>
        <w:right w:val="none" w:sz="0" w:space="0" w:color="auto"/>
      </w:divBdr>
    </w:div>
    <w:div w:id="1593658676">
      <w:bodyDiv w:val="1"/>
      <w:marLeft w:val="0"/>
      <w:marRight w:val="0"/>
      <w:marTop w:val="0"/>
      <w:marBottom w:val="0"/>
      <w:divBdr>
        <w:top w:val="none" w:sz="0" w:space="0" w:color="auto"/>
        <w:left w:val="none" w:sz="0" w:space="0" w:color="auto"/>
        <w:bottom w:val="none" w:sz="0" w:space="0" w:color="auto"/>
        <w:right w:val="none" w:sz="0" w:space="0" w:color="auto"/>
      </w:divBdr>
      <w:divsChild>
        <w:div w:id="14308078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714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365558">
      <w:bodyDiv w:val="1"/>
      <w:marLeft w:val="0"/>
      <w:marRight w:val="0"/>
      <w:marTop w:val="0"/>
      <w:marBottom w:val="0"/>
      <w:divBdr>
        <w:top w:val="none" w:sz="0" w:space="0" w:color="auto"/>
        <w:left w:val="none" w:sz="0" w:space="0" w:color="auto"/>
        <w:bottom w:val="none" w:sz="0" w:space="0" w:color="auto"/>
        <w:right w:val="none" w:sz="0" w:space="0" w:color="auto"/>
      </w:divBdr>
    </w:div>
    <w:div w:id="1974097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http://www.g8.utoronto.ca/finance/fm13021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b:Source>
    <b:Tag>Cat92</b:Tag>
    <b:SourceType>Book</b:SourceType>
    <b:Guid>{A22E3D07-4DC1-4B59-A89F-AC8A1FFE2135}</b:Guid>
    <b:Author>
      <b:Author>
        <b:NameList>
          <b:Person>
            <b:Last>Catte</b:Last>
            <b:First>P.,</b:First>
            <b:Middle>G. Galli and S. Rebecchini</b:Middle>
          </b:Person>
        </b:NameList>
      </b:Author>
      <b:Editor>
        <b:NameList>
          <b:Person>
            <b:Last>P. Kenen</b:Last>
            <b:First>F.</b:First>
            <b:Middle>Papadia and F. Saccomani</b:Middle>
          </b:Person>
        </b:NameList>
      </b:Editor>
    </b:Author>
    <b:Title>Concerted Invtervention and the Dollar: An Analysis of Daily Data</b:Title>
    <b:Year>1992</b:Year>
    <b:City>Cambridge, UK</b:City>
    <b:Publisher>Cambridge University Press</b:Publisher>
    <b:Pages>242-247</b:Pages>
    <b:RefOrder>1</b:RefOrder>
  </b:Source>
  <b:Source>
    <b:Tag>Cli15</b:Tag>
    <b:SourceType>Misc</b:SourceType>
    <b:Guid>{3E12AB09-53A0-4F51-9CEB-7ED060D10C40}</b:Guid>
    <b:Author>
      <b:Author>
        <b:NameList>
          <b:Person>
            <b:Last>Cline</b:Last>
            <b:First>William</b:First>
          </b:Person>
        </b:NameList>
      </b:Author>
    </b:Author>
    <b:Title>Estimates of Fundamental Equilibrium Exchange Rates</b:Title>
    <b:Year>2015</b:Year>
    <b:Publisher>Peterson Institute of International Economics</b:Publisher>
    <b:PublicationTitle>Policy Brief</b:PublicationTitle>
    <b:Month>May</b:Month>
    <b:RefOrder>2</b:RefOrder>
  </b:Source>
  <b:Source>
    <b:Tag>Coo85</b:Tag>
    <b:SourceType>Misc</b:SourceType>
    <b:Guid>{0566B1A6-C244-42FE-BAAB-E6F6F00FFE5E}</b:Guid>
    <b:Author>
      <b:Author>
        <b:NameList>
          <b:Person>
            <b:Last>Cooper</b:Last>
            <b:First>Richard</b:First>
          </b:Person>
        </b:NameList>
      </b:Author>
    </b:Author>
    <b:Title>The U.S. payments deficit and the strong dollar: Policy options.</b:Title>
    <b:PublicationTitle>The U.S. dollar-recent developments, outook, and policy options</b:PublicationTitle>
    <b:Year>1985</b:Year>
    <b:City>Federal Bank of Kansas City</b:City>
    <b:BookTitle>US. Kollar-recent developments, outlook, and policy options</b:BookTitle>
    <b:RefOrder>3</b:RefOrder>
  </b:Source>
  <b:Source>
    <b:Tag>Ito10</b:Tag>
    <b:SourceType>ElectronicSource</b:SourceType>
    <b:Guid>{F1BFA875-856A-4DF3-90CD-362EA218BBB4}</b:Guid>
    <b:Author>
      <b:Author>
        <b:NameList>
          <b:Person>
            <b:Last>Corbett</b:Last>
            <b:First>Jenny</b:First>
            <b:Middle>and Takatoshi Ito</b:Middle>
          </b:Person>
        </b:NameList>
      </b:Author>
    </b:Author>
    <b:Title>What should the US and China learn from the past US-Japan conflict?</b:Title>
    <b:PublicationTitle>VoxEu</b:PublicationTitle>
    <b:Year>2010</b:Year>
    <b:Month>April</b:Month>
    <b:Day>30</b:Day>
    <b:RefOrder>4</b:RefOrder>
  </b:Source>
  <b:Source>
    <b:Tag>Eic13</b:Tag>
    <b:SourceType>JournalArticle</b:SourceType>
    <b:Guid>{4A8AD031-C2E2-4B74-9807-494C51B5A7C3}</b:Guid>
    <b:Author>
      <b:Author>
        <b:NameList>
          <b:Person>
            <b:Last>Eichengreen</b:Last>
            <b:First>Barry</b:First>
          </b:Person>
        </b:NameList>
      </b:Author>
    </b:Author>
    <b:Title>Currency War on International Policy Coordination?</b:Title>
    <b:Year>2013</b:Year>
    <b:Month>May/June</b:Month>
    <b:JournalName>Journal of Policy Modeling</b:JournalName>
    <b:Pages>1-9</b:Pages>
    <b:RefOrder>5</b:RefOrder>
  </b:Source>
  <b:Source>
    <b:Tag>Bar15</b:Tag>
    <b:SourceType>Book</b:SourceType>
    <b:Guid>{552F5484-00BD-4FA5-BB43-CA899238A877}</b:Guid>
    <b:Author>
      <b:Author>
        <b:NameList>
          <b:Person>
            <b:Last>Eichengreen</b:Last>
            <b:First>Barry</b:First>
          </b:Person>
        </b:NameList>
      </b:Author>
    </b:Author>
    <b:Title>Hall of Mirrors: The Great Depression, The Great Recession, and the Used-and Misuses- of History</b:Title>
    <b:Year>2015</b:Year>
    <b:City>Oxford</b:City>
    <b:Publisher>Oxford University Press </b:Publisher>
    <b:RefOrder>6</b:RefOrder>
  </b:Source>
  <b:Source>
    <b:Tag>Mar84</b:Tag>
    <b:SourceType>Misc</b:SourceType>
    <b:Guid>{4F208FB0-4FB9-46EE-AD89-B66E8702D356}</b:Guid>
    <b:Author>
      <b:Author>
        <b:NameList>
          <b:Person>
            <b:Last>Feldstein</b:Last>
            <b:First>Martin</b:First>
          </b:Person>
        </b:NameList>
      </b:Author>
    </b:Author>
    <b:Title>The Dollar Exchange Rate</b:Title>
    <b:Year>1984</b:Year>
    <b:PublicationTitle>Remarks before the World Affairs Council of Philadelphia </b:PublicationTitle>
    <b:Month>February</b:Month>
    <b:Day>29</b:Day>
    <b:RefOrder>7</b:RefOrder>
  </b:Source>
  <b:Source>
    <b:Tag>Mar86</b:Tag>
    <b:SourceType>Misc</b:SourceType>
    <b:Guid>{D79879D5-E80A-4810-9367-6F6FEB6FB294}</b:Guid>
    <b:Author>
      <b:Author>
        <b:NameList>
          <b:Person>
            <b:Last>Feldstein</b:Last>
            <b:First>Martin</b:First>
          </b:Person>
        </b:NameList>
      </b:Author>
    </b:Author>
    <b:Title>New Evidence on the Effects of Exchange Rate Intervention</b:Title>
    <b:PublicationTitle>National Bureau of Economic Research</b:PublicationTitle>
    <b:Year>1986</b:Year>
    <b:Month>October </b:Month>
    <b:City>Cambridge, MA</b:City>
    <b:RefOrder>8</b:RefOrder>
  </b:Source>
  <b:Source>
    <b:Tag>Jef85</b:Tag>
    <b:SourceType>JournalArticle</b:SourceType>
    <b:Guid>{FFEAED55-237E-4122-9B6C-DC35EAF299DC}</b:Guid>
    <b:Author>
      <b:Author>
        <b:NameList>
          <b:Person>
            <b:Last>Frankel</b:Last>
            <b:First>Jeffrey</b:First>
          </b:Person>
        </b:NameList>
      </b:Author>
    </b:Author>
    <b:Title>The Dazzling Dollar</b:Title>
    <b:Year>1985</b:Year>
    <b:JournalName>Brookings Paper on Economic Activity</b:JournalName>
    <b:Pages> 199-217</b:Pages>
    <b:RefOrder>9</b:RefOrder>
  </b:Source>
  <b:Source>
    <b:Tag>Fra94</b:Tag>
    <b:SourceType>Misc</b:SourceType>
    <b:Guid>{D1B3E172-4DD2-425C-9092-D02B257872AB}</b:Guid>
    <b:Author>
      <b:Author>
        <b:NameList>
          <b:Person>
            <b:Last>Frankel</b:Last>
            <b:First>Jeffrey</b:First>
          </b:Person>
        </b:NameList>
      </b:Author>
    </b:Author>
    <b:Title>The Making of Exchange Rate Policy in the 1980s</b:Title>
    <b:Year>1994</b:Year>
    <b:City>Cambridge </b:City>
    <b:Month>January </b:Month>
    <b:Day>1</b:Day>
    <b:Publisher>University of Chicago</b:Publisher>
    <b:PublicationTitle>American Economic Policy in the 1980s</b:PublicationTitle>
    <b:RefOrder>10</b:RefOrder>
  </b:Source>
  <b:Source>
    <b:Tag>Fra941</b:Tag>
    <b:SourceType>Misc</b:SourceType>
    <b:Guid>{1CABD7E7-9EE1-45FB-AD1E-4EDD1224FA99}</b:Guid>
    <b:Author>
      <b:Author>
        <b:NameList>
          <b:Person>
            <b:Last>Frankel</b:Last>
            <b:First>Jeffrey</b:First>
          </b:Person>
        </b:NameList>
      </b:Author>
    </b:Author>
    <b:Title>Clinton's Dollar Policy and The Effectinvess of Foreign Exchange Intervention</b:Title>
    <b:PublicationTitle>Revue d'Economie Financiere</b:PublicationTitle>
    <b:Year>1994</b:Year>
    <b:Month>December</b:Month>
    <b:RefOrder>11</b:RefOrder>
  </b:Source>
  <b:Source>
    <b:Tag>Jef14</b:Tag>
    <b:SourceType>Misc</b:SourceType>
    <b:Guid>{A6A7BEAC-E882-4BB5-85FB-2ED237552AAE}</b:Guid>
    <b:Author>
      <b:Author>
        <b:NameList>
          <b:Person>
            <b:Last>Frankel</b:Last>
            <b:First>Jeffrey</b:First>
          </b:Person>
        </b:NameList>
      </b:Author>
    </b:Author>
    <b:Title>Why the ECB Should Buy US Treasuries</b:Title>
    <b:PublicationTitle>Keynote Speech, Federal Reserve Bank of Dallas and Southern Methodist University </b:PublicationTitle>
    <b:Year>2014</b:Year>
    <b:City>Dallas</b:City>
    <b:RefOrder>12</b:RefOrder>
  </b:Source>
  <b:Source>
    <b:Tag>Fra15</b:Tag>
    <b:SourceType>ElectronicSource</b:SourceType>
    <b:Guid>{92D12F94-68C2-4664-B8BD-DD6D6154F711}</b:Guid>
    <b:Author>
      <b:Author>
        <b:NameList>
          <b:Person>
            <b:Last>Frankel</b:Last>
            <b:First>Jeffrey</b:First>
          </b:Person>
        </b:NameList>
      </b:Author>
    </b:Author>
    <b:Title>The Chimera of Currency Manipulation</b:Title>
    <b:Year>2015</b:Year>
    <b:Month>June </b:Month>
    <b:Day>10</b:Day>
    <b:RefOrder>13</b:RefOrder>
  </b:Source>
  <b:Source>
    <b:Tag>Fra151</b:Tag>
    <b:SourceType>ElectronicSource</b:SourceType>
    <b:Guid>{2175FA43-870B-4053-99AA-3B398D5352E8}</b:Guid>
    <b:Author>
      <b:Author>
        <b:NameList>
          <b:Person>
            <b:Last>Fratzscher</b:Last>
            <b:First>Marcel,</b:First>
            <b:Middle>Oliver Gloede, Lukas Menkhoff, Lucio Sarno and Tobias Stohr</b:Middle>
          </b:Person>
        </b:NameList>
      </b:Author>
    </b:Author>
    <b:Title>When is Foreign Exchange Intervention Effective?</b:Title>
    <b:Year>2015</b:Year>
    <b:Month>August</b:Month>
    <b:City>Berlin </b:City>
    <b:RefOrder>14</b:RefOrder>
  </b:Source>
  <b:Source>
    <b:Tag>Fun88</b:Tag>
    <b:SourceType>ElectronicSource</b:SourceType>
    <b:Guid>{C54C260D-4B6F-4058-B55B-D71C610FF819}</b:Guid>
    <b:Author>
      <b:Author>
        <b:NameList>
          <b:Person>
            <b:Last>Funabashi</b:Last>
            <b:First>Yoichi</b:First>
          </b:Person>
        </b:NameList>
      </b:Author>
    </b:Author>
    <b:Title>Managing the dollar: From the Plaza to the Louvre</b:Title>
    <b:City>Washington, D.C. </b:City>
    <b:Year>1988</b:Year>
    <b:RefOrder>15</b:RefOrder>
  </b:Source>
  <b:Source>
    <b:Tag>Gag</b:Tag>
    <b:SourceType>JournalArticle</b:SourceType>
    <b:Guid>{F9447CF0-89E8-4582-98DF-DF4BCEA95BC8}</b:Guid>
    <b:Author>
      <b:Author>
        <b:NameList>
          <b:Person>
            <b:Last>Gagnon</b:Last>
            <b:First>Joseph</b:First>
            <b:Middle>E.</b:Middle>
          </b:Person>
        </b:NameList>
      </b:Author>
    </b:Author>
    <b:Title>Currency Wars</b:Title>
    <b:JournalName>Milken Institute Review 15.1</b:JournalName>
    <b:Pages>47-55</b:Pages>
    <b:RefOrder>16</b:RefOrder>
  </b:Source>
  <b:Source>
    <b:Tag>Bai01</b:Tag>
    <b:SourceType>Book</b:SourceType>
    <b:Guid>{57178B12-6AD1-468E-AF5E-D92AB6A1947A}</b:Guid>
    <b:Author>
      <b:Author>
        <b:NameList>
          <b:Person>
            <b:Last>Gao</b:Last>
            <b:First>Bai</b:First>
          </b:Person>
        </b:NameList>
      </b:Author>
    </b:Author>
    <b:Title>Japan's Economic Dilemma: The Institutional Origins of Prosperity and Stagnation </b:Title>
    <b:Year>2001</b:Year>
    <b:City>Cambridge</b:City>
    <b:Publisher>Cambridge University Press</b:Publisher>
    <b:RefOrder>17</b:RefOrder>
  </b:Source>
  <b:Source>
    <b:Tag>G713</b:Tag>
    <b:SourceType>InternetSite</b:SourceType>
    <b:Guid>{0B54A134-D296-4421-8BC4-E0CBABEC7C22}</b:Guid>
    <b:Author>
      <b:Author>
        <b:NameList>
          <b:Person>
            <b:Last>G7</b:Last>
          </b:Person>
        </b:NameList>
      </b:Author>
    </b:Author>
    <b:Title>Statement by G7 Finance Ministers and Central Bank Governors</b:Title>
    <b:Year>2013</b:Year>
    <b:Month>February</b:Month>
    <b:Day>12</b:Day>
    <b:URL>www.g8.utoronto.ca/finance/fm130212.htm.</b:URL>
    <b:RefOrder>18</b:RefOrder>
  </b:Source>
  <b:Source>
    <b:Tag>Ito87</b:Tag>
    <b:SourceType>JournalArticle</b:SourceType>
    <b:Guid>{DE618152-3634-4D32-BC22-9B15ABA77A20}</b:Guid>
    <b:Author>
      <b:Author>
        <b:NameList>
          <b:Person>
            <b:Last>Ito</b:Last>
            <b:First>Takatoshi</b:First>
          </b:Person>
        </b:NameList>
      </b:Author>
    </b:Author>
    <b:Title>The Intradaily Exchange Rate Dynamics and Monetary Policies After the Group of Five Agreement</b:Title>
    <b:PublicationTitle>Journal of Japanese and International Economies 1.3</b:PublicationTitle>
    <b:Year>1987</b:Year>
    <b:JournalName>Journal of the Japanese and International Economies 1.3</b:JournalName>
    <b:Pages>275-298</b:Pages>
    <b:RefOrder>19</b:RefOrder>
  </b:Source>
  <b:Source>
    <b:Tag>Kru85</b:Tag>
    <b:SourceType>Misc</b:SourceType>
    <b:Guid>{E2206B0C-068E-4136-9427-40D58AF1E559}</b:Guid>
    <b:Author>
      <b:Author>
        <b:NameList>
          <b:Person>
            <b:Last>Krugman</b:Last>
            <b:First>Paul</b:First>
          </b:Person>
        </b:NameList>
      </b:Author>
    </b:Author>
    <b:Title>Is the Strong Dollar Sustainable? </b:Title>
    <b:PublicationTitle>NBER Working Paper No. 1644 </b:PublicationTitle>
    <b:Year>1985</b:Year>
    <b:Month>June</b:Month>
    <b:Publisher>National Bureau of Economic Research</b:Publisher>
    <b:RefOrder>20</b:RefOrder>
  </b:Source>
  <b:Source>
    <b:Tag>Kru91</b:Tag>
    <b:SourceType>BookSection</b:SourceType>
    <b:Guid>{C6AE47F2-CBF8-4807-A8F8-72A17AAAAA09}</b:Guid>
    <b:Author>
      <b:Author>
        <b:NameList>
          <b:Person>
            <b:Last>Krugman</b:Last>
            <b:First>Paul</b:First>
          </b:Person>
        </b:NameList>
      </b:Author>
      <b:BookAuthor>
        <b:NameList>
          <b:Person>
            <b:Last>Bergsten</b:Last>
            <b:First>C.F.</b:First>
          </b:Person>
        </b:NameList>
      </b:BookAuthor>
    </b:Author>
    <b:Title>Introduction </b:Title>
    <b:Year>1991</b:Year>
    <b:Pages>3-12</b:Pages>
    <b:BookTitle>International Adjustment and Financing: The Lessons of 1985-1991</b:BookTitle>
    <b:City>Washington </b:City>
    <b:Publisher>Institute for International Economics</b:Publisher>
    <b:RefOrder>21</b:RefOrder>
  </b:Source>
  <b:Source>
    <b:Tag>Dav14</b:Tag>
    <b:SourceType>Book</b:SourceType>
    <b:Guid>{62096C58-BA70-44D8-AD98-B2FCBD509A9A}</b:Guid>
    <b:Author>
      <b:Author>
        <b:NameList>
          <b:Person>
            <b:Last>Mulford</b:Last>
            <b:First>David</b:First>
          </b:Person>
        </b:NameList>
      </b:Author>
    </b:Author>
    <b:Title>Packing for India: A Life of Action in Global Finance and Diplomacy</b:Title>
    <b:Year>2014</b:Year>
    <b:City>Washington, D.C.</b:City>
    <b:Publisher>Potomac Books</b:Publisher>
    <b:RefOrder>22</b:RefOrder>
  </b:Source>
  <b:Source>
    <b:Tag>Obs90</b:Tag>
    <b:SourceType>BookSection</b:SourceType>
    <b:Guid>{D036F3BA-51C9-4C5E-9491-E9279C309C33}</b:Guid>
    <b:Author>
      <b:Author>
        <b:NameList>
          <b:Person>
            <b:Last>Obstfeld</b:Last>
            <b:First>Maurice</b:First>
          </b:Person>
        </b:NameList>
      </b:Author>
      <b:BookAuthor>
        <b:NameList>
          <b:Person>
            <b:Last>W. Branson</b:Last>
            <b:First>J.</b:First>
            <b:Middle>Frenkel and M. Goldstein</b:Middle>
          </b:Person>
        </b:NameList>
      </b:BookAuthor>
    </b:Author>
    <b:Title>The effectiveness of foreign-excahnge intervention: Recent experience</b:Title>
    <b:Year>1990</b:Year>
    <b:City>Chicago</b:City>
    <b:Publisher>University of Chicago Press</b:Publisher>
    <b:BookTitle>International Policy Coordination and Exchange Rate Fluctuations</b:BookTitle>
    <b:RefOrder>23</b:RefOrder>
  </b:Source>
  <b:Source>
    <b:Tag>Don88</b:Tag>
    <b:SourceType>Book</b:SourceType>
    <b:Guid>{69241D30-A533-405E-A0B4-9B4360BD5149}</b:Guid>
    <b:Author>
      <b:Author>
        <b:NameList>
          <b:Person>
            <b:Last>Regan</b:Last>
            <b:First>Donald</b:First>
          </b:Person>
        </b:NameList>
      </b:Author>
    </b:Author>
    <b:Title>For the Record: From Wall Street to Washington </b:Title>
    <b:Year>1988</b:Year>
    <b:City>New York</b:City>
    <b:Publisher>St. Martin's </b:Publisher>
    <b:RefOrder>24</b:RefOrder>
  </b:Source>
  <b:Source>
    <b:Tag>Rey15</b:Tag>
    <b:SourceType>Misc</b:SourceType>
    <b:Guid>{1F44CBAB-545B-48D2-82A8-83D795F39811}</b:Guid>
    <b:Author>
      <b:Author>
        <b:NameList>
          <b:Person>
            <b:Last>Rey</b:Last>
            <b:First>Hélène</b:First>
          </b:Person>
        </b:NameList>
      </b:Author>
    </b:Author>
    <b:Title>Dilemma not trilemma: the global financial cycle and monetary policy independence</b:Title>
    <b:PublicationTitle>WP No. 21162</b:PublicationTitle>
    <b:Year>2015</b:Year>
    <b:Publisher>National Bureau of Economic Research</b:Publisher>
    <b:RefOrder>25</b:RefOrder>
  </b:Source>
  <b:Source>
    <b:Tag>Sar01</b:Tag>
    <b:SourceType>JournalArticle</b:SourceType>
    <b:Guid>{29EE5310-D54C-4F26-A55C-B0CA23B5D458}</b:Guid>
    <b:Author>
      <b:Author>
        <b:NameList>
          <b:Person>
            <b:Last>Sarno</b:Last>
            <b:First>Lucio,</b:First>
            <b:Middle>and Mark Taylor</b:Middle>
          </b:Person>
        </b:NameList>
      </b:Author>
    </b:Author>
    <b:Title>Official Intervention in the Foreign Exchange Market: Is It Effective and, If So, How Does It Work?</b:Title>
    <b:JournalName>Journal of Economic Literatute 39</b:JournalName>
    <b:Year>2001</b:Year>
    <b:Pages>839-868</b:Pages>
    <b:RefOrder>26</b:RefOrder>
  </b:Source>
  <b:Source>
    <b:Tag>Ben13</b:Tag>
    <b:SourceType>Book</b:SourceType>
    <b:Guid>{906EA3F0-4D5F-4A1A-A4BD-96FC1CA32AC8}</b:Guid>
    <b:Author>
      <b:Author>
        <b:NameList>
          <b:Person>
            <b:Last>Stein</b:Last>
            <b:First>Benn</b:First>
          </b:Person>
        </b:NameList>
      </b:Author>
    </b:Author>
    <b:Title>The Battle of Bretton Woods</b:Title>
    <b:Year>2013</b:Year>
    <b:City>Princeton</b:City>
    <b:Publisher>Princeton University Press</b:Publisher>
    <b:RefOrder>27</b:RefOrder>
  </b:Source>
  <b:Source>
    <b:Tag>Joh15</b:Tag>
    <b:SourceType>Misc</b:SourceType>
    <b:Guid>{C20712FF-2AC9-4286-BDB1-1AF47B0DD605}</b:Guid>
    <b:Author>
      <b:Author>
        <b:NameList>
          <b:Person>
            <b:Last>Taylor</b:Last>
            <b:First>John</b:First>
          </b:Person>
        </b:NameList>
      </b:Author>
    </b:Author>
    <b:Title>A Rule-Based Cooperatively_Managed International Monetary System for the Future</b:Title>
    <b:Year>2015</b:Year>
    <b:City>Houston, TX</b:City>
    <b:Publisher>James A. Baker Institute for Public Policy, Rice University </b:Publisher>
    <b:PublicationTitle>Conference on Currency Policy Then and Now: 30th Anniversary of the Plaza Accord</b:PublicationTitle>
    <b:Month>October</b:Month>
    <b:Day>1</b:Day>
    <b:RefOrder>28</b:RefOrder>
  </b:Source>
  <b:Source>
    <b:Tag>Edw03</b:Tag>
    <b:SourceType>BookSection</b:SourceType>
    <b:Guid>{5AC2A682-7285-42FD-A823-6D3B2D145FC7}</b:Guid>
    <b:Author>
      <b:Author>
        <b:NameList>
          <b:Person>
            <b:Last>Truman</b:Last>
            <b:First>Edwin</b:First>
            <b:Middle>M.</b:Middle>
          </b:Person>
        </b:NameList>
      </b:Author>
      <b:BookAuthor>
        <b:NameList>
          <b:Person>
            <b:Last>Williamson</b:Last>
            <b:First>Fred</b:First>
            <b:Middle>Bergsten and John</b:Middle>
          </b:Person>
        </b:NameList>
      </b:BookAuthor>
    </b:Author>
    <b:Title>The limits of exchange market intervention </b:Title>
    <b:Year>2003</b:Year>
    <b:City>Washington, D.C.</b:City>
    <b:Publisher>Peterson Institute for International Economics</b:Publisher>
    <b:BookTitle>Dollar Overvaluation and the World Economy</b:BookTitle>
    <b:Pages>247-265</b:Pages>
    <b:RefOrder>29</b:RefOrder>
  </b:Source>
  <b:Source>
    <b:Tag>Jam061</b:Tag>
    <b:SourceType>Book</b:SourceType>
    <b:Guid>{2590F912-32E0-45B7-A63B-D229FABF562D}</b:Guid>
    <b:Author>
      <b:Author>
        <b:NameList>
          <b:Person>
            <b:Last>Baker</b:Last>
            <b:First>James</b:First>
          </b:Person>
        </b:NameList>
      </b:Author>
    </b:Author>
    <b:Title>Work Hard, Study....and Keep Out of Policitics!</b:Title>
    <b:Year>2006</b:Year>
    <b:City>New York</b:City>
    <b:Publisher>Penguin Groups</b:Publisher>
    <b:RefOrder>30</b:RefOrder>
  </b:Source>
  <b:Source>
    <b:Tag>Bei022</b:Tag>
    <b:SourceType>JournalArticle</b:SourceType>
    <b:Guid>{CB96BE54-A140-4156-8786-B22D26DD1C78}</b:Guid>
    <b:Author>
      <b:Author>
        <b:NameList>
          <b:Person>
            <b:Last>Beine</b:Last>
            <b:First>Michel,</b:First>
            <b:Middle>Agnes Bénassy-Quéré, and Christelle Lecourt</b:Middle>
          </b:Person>
        </b:NameList>
      </b:Author>
    </b:Author>
    <b:Title>Central Bank Intervention and Foreign Exchange Rates: New Evidence from FIGARCH Estimation</b:Title>
    <b:JournalName>Journal of International Money and Finance</b:JournalName>
    <b:Year>2002</b:Year>
    <b:Pages>115-144</b:Pages>
    <b:RefOrder>31</b:RefOrder>
  </b:Source>
  <b:Source>
    <b:Tag>Bén14</b:Tag>
    <b:SourceType>JournalArticle</b:SourceType>
    <b:Guid>{7F7707C9-11FB-4CF0-A8B8-ED15ED87AF2B}</b:Guid>
    <b:Author>
      <b:Author>
        <b:NameList>
          <b:Person>
            <b:Last>Bénassy-Quéré</b:Last>
            <b:First>Agnès,</b:First>
            <b:Middle>Pierre-Olivier Gourinchas, Philippe Martin, and Guillaume Plantin</b:Middle>
          </b:Person>
        </b:NameList>
      </b:Author>
    </b:Author>
    <b:Title>The Euro in the 'Currency War'</b:Title>
    <b:JournalName>Les notes du conseil d' analyse économique 11</b:JournalName>
    <b:Year>2014</b:Year>
    <b:RefOrder>32</b:RefOrder>
  </b:Source>
  <b:Source>
    <b:Tag>Fre09</b:Tag>
    <b:SourceType>Misc</b:SourceType>
    <b:Guid>{00FDC52F-7029-4FEC-96B3-0E97AC2674D6}</b:Guid>
    <b:Author>
      <b:Author>
        <b:NameList>
          <b:Person>
            <b:Last>Bergsten</b:Last>
            <b:First>Fred</b:First>
            <b:Middle>C.</b:Middle>
          </b:Person>
        </b:NameList>
      </b:Author>
    </b:Author>
    <b:Title>The United States trade deficit and the dollar</b:Title>
    <b:Year>2009</b:Year>
    <b:PublicationTitle>Statement before the SEnate Committe on Banking, Housing and Urban Affairs, Subcommitte on International Finance and Monetary Policy</b:PublicationTitle>
    <b:City>Washington, D.C.</b:City>
    <b:RefOrder>33</b:RefOrder>
  </b:Source>
  <b:Source>
    <b:Tag>Fre13</b:Tag>
    <b:SourceType>Misc</b:SourceType>
    <b:Guid>{A5EA4545-B193-461B-BF75-789D693E0EDE}</b:Guid>
    <b:Author>
      <b:Author>
        <b:NameList>
          <b:Person>
            <b:Last>Bergsten</b:Last>
            <b:First>Fred</b:First>
            <b:Middle>C.</b:Middle>
          </b:Person>
        </b:NameList>
      </b:Author>
    </b:Author>
    <b:Title>Currency Wars, The Economy of the United STates and Reform of the International Monetary System</b:Title>
    <b:PublicationTitle>Lecture</b:PublicationTitle>
    <b:Year>2013</b:Year>
    <b:Month>May </b:Month>
    <b:Day>16</b:Day>
    <b:City>Washington D.C. </b:City>
    <b:Publisher>Peterson Institute for Internation Economics</b:Publisher>
    <b:RefOrder>34</b:RefOrder>
  </b:Source>
  <b:Source>
    <b:Tag>Fre15</b:Tag>
    <b:SourceType>ArticleInAPeriodical</b:SourceType>
    <b:Guid>{928D594D-F3D6-4068-9A2D-39807152A66C}</b:Guid>
    <b:Author>
      <b:Author>
        <b:NameList>
          <b:Person>
            <b:Last>Bergsten</b:Last>
            <b:First>Fred</b:First>
            <b:Middle>C.</b:Middle>
          </b:Person>
        </b:NameList>
      </b:Author>
    </b:Author>
    <b:Title>The Truth About Currency Manipulation</b:Title>
    <b:Year>2015</b:Year>
    <b:Month>January</b:Month>
    <b:Day>18</b:Day>
    <b:PeriodicalTitle>Foreign Affaris</b:PeriodicalTitle>
    <b:RefOrder>35</b:RefOrder>
  </b:Source>
  <b:Source>
    <b:Tag>Ber15</b:Tag>
    <b:SourceType>ConferenceProceedings</b:SourceType>
    <b:Guid>{CC0120C3-09A2-4EAC-9240-17FEE4C10AD8}</b:Guid>
    <b:Author>
      <b:Author>
        <b:NameList>
          <b:Person>
            <b:Last>Bergsten</b:Last>
            <b:First>Fred</b:First>
            <b:Middle>C.</b:Middle>
          </b:Person>
        </b:NameList>
      </b:Author>
    </b:Author>
    <b:Title>Time for a Plaza II?</b:Title>
    <b:Year>2015</b:Year>
    <b:Month>October</b:Month>
    <b:Day>1</b:Day>
    <b:PublicationTitle>Conference on the Plaza at 30 Baker Institute for Public Policy Working Paper</b:PublicationTitle>
    <b:City>Houston, TX</b:City>
    <b:Publisher>Baker Institute for Public Policy, Rice University </b:Publisher>
    <b:ConferenceName>Conference on The Plaza at 30</b:ConferenceName>
    <b:RefOrder>36</b:RefOrder>
  </b:Source>
  <b:Source>
    <b:Tag>Bla15</b:Tag>
    <b:SourceType>Misc</b:SourceType>
    <b:Guid>{21BA7EB9-A40B-40A0-83EB-7586FAD245BE}</b:Guid>
    <b:Author>
      <b:Author>
        <b:NameList>
          <b:Person>
            <b:Last>Blanchard</b:Last>
            <b:First>Olivier,</b:First>
            <b:Middle>Gustavo Adler and Irineu de Carvalho Filho</b:Middle>
          </b:Person>
        </b:NameList>
      </b:Author>
    </b:Author>
    <b:Title>Can Foreign Exchange Intervention Stem Exchange Rate Pressures from Global Capital Flow Shocks</b:Title>
    <b:Year>2015</b:Year>
    <b:Publisher>Internations Monetary Fund</b:Publisher>
    <b:PublicationTitle>International Monetary Fund Working Paper 15/159</b:PublicationTitle>
    <b:RefOrder>37</b:RefOrder>
  </b:Source>
  <b:Source>
    <b:Tag>Bor12</b:Tag>
    <b:SourceType>Misc</b:SourceType>
    <b:Guid>{F380E1F8-79AC-438C-B428-3F2558905865}</b:Guid>
    <b:Author>
      <b:Author>
        <b:NameList>
          <b:Person>
            <b:Last>Bordo</b:Last>
            <b:First>Micahel,</b:First>
            <b:Middle>Owen Humpage and Anna Schwartz</b:Middle>
          </b:Person>
        </b:NameList>
      </b:Author>
    </b:Author>
    <b:Title>Foreign-Exchange-Market-Operations in the Twenty-First Century</b:Title>
    <b:PublicationTitle>NBER Working Paper 17984</b:PublicationTitle>
    <b:Year>2012</b:Year>
    <b:Publisher>National Bureau of Economic Research</b:Publisher>
    <b:RefOrder>38</b:RefOrder>
  </b:Source>
  <b:Source>
    <b:Tag>Bor15</b:Tag>
    <b:SourceType>Book</b:SourceType>
    <b:Guid>{7FDA43AB-489B-447A-8CCA-6E897EE96483}</b:Guid>
    <b:Author>
      <b:Author>
        <b:NameList>
          <b:Person>
            <b:Last>Bordo</b:Last>
            <b:First>Micahel,</b:First>
            <b:Middle>Owen Humpage and Anna Schwartz</b:Middle>
          </b:Person>
        </b:NameList>
      </b:Author>
    </b:Author>
    <b:Title>US Foreign-Exchange Operations and Monetary Policy in teh Twentieth Century </b:Title>
    <b:Year>2015</b:Year>
    <b:City>Chicago</b:City>
    <b:Publisher>University of Chicago Press</b:Publisher>
    <b:RefOrder>39</b:RefOrder>
  </b:Source>
  <b:Source>
    <b:Tag>Jam91</b:Tag>
    <b:SourceType>Book</b:SourceType>
    <b:Guid>{3896453A-B406-4B1C-9A03-341A5D41A8FD}</b:Guid>
    <b:Author>
      <b:Author>
        <b:NameList>
          <b:Person>
            <b:Last>Bovard</b:Last>
            <b:First>James</b:First>
          </b:Person>
        </b:NameList>
      </b:Author>
    </b:Author>
    <b:Title>The Fair Trade Fraud</b:Title>
    <b:Year>1991</b:Year>
    <b:City>New York</b:City>
    <b:Publisher>St. Martin's </b:Publisher>
    <b:RefOrder>40</b:RefOrder>
  </b:Source>
  <b:Source>
    <b:Tag>Des89</b:Tag>
    <b:SourceType>Misc</b:SourceType>
    <b:Guid>{11B35116-1BA8-441B-A099-BED01A2E7EF5}</b:Guid>
    <b:Author>
      <b:Author>
        <b:NameList>
          <b:Person>
            <b:Last>Destler</b:Last>
            <b:First>I.</b:First>
            <b:Middle>Mac, and C. Randall Henning</b:Middle>
          </b:Person>
        </b:NameList>
      </b:Author>
    </b:Author>
    <b:Title>Dollar politics: Exchange rate policymaking in the United States</b:Title>
    <b:Year>1989</b:Year>
    <b:City>Washington, D.C.</b:City>
    <b:Publisher>Institute for International Economics</b:Publisher>
    <b:PublicationTitle>Institute for International Economics</b:PublicationTitle>
    <b:Month>1989</b:Month>
    <b:RefOrder>41</b:RefOrder>
  </b:Source>
  <b:Source>
    <b:Tag>Dis07</b:Tag>
    <b:SourceType>JournalArticle</b:SourceType>
    <b:Guid>{DE3BC206-829D-4B4C-929F-5A7D45D83B53}</b:Guid>
    <b:Author>
      <b:Author>
        <b:NameList>
          <b:Person>
            <b:Last>Disyatat</b:Last>
            <b:First>Piti,</b:First>
            <b:Middle>and Gabriele Galati</b:Middle>
          </b:Person>
        </b:NameList>
      </b:Author>
    </b:Author>
    <b:Title>The effectiveness of foreign exchange intervention in emerging market countries: Evidence from the Czech Koruna</b:Title>
    <b:JournalName>Jouranl of International Money and Finance 26.3</b:JournalName>
    <b:Year>2007</b:Year>
    <b:Pages>383-402</b:Pages>
    <b:RefOrder>42</b:RefOrder>
  </b:Source>
  <b:Source>
    <b:Tag>Kat90</b:Tag>
    <b:SourceType>ArticleInAPeriodical</b:SourceType>
    <b:Guid>{A7EA61A2-04C6-4D1E-B78E-F97516E3B0CF}</b:Guid>
    <b:Author>
      <b:Author>
        <b:NameList>
          <b:Person>
            <b:Last>Dominguez</b:Last>
            <b:First>Kathryn</b:First>
          </b:Person>
        </b:NameList>
      </b:Author>
    </b:Author>
    <b:Title>Market Responses to Coordinated Central Bank Intervention</b:Title>
    <b:Year>1990</b:Year>
    <b:PeriodicalTitle>Carnegie-Rochester Conference Series on Public Policy Vol. 32</b:PeriodicalTitle>
    <b:RefOrder>43</b:RefOrder>
  </b:Source>
  <b:Source>
    <b:Tag>Dom06</b:Tag>
    <b:SourceType>JournalArticle</b:SourceType>
    <b:Guid>{FB0A59C7-95C0-4155-9325-B09F23D0EA10}</b:Guid>
    <b:Author>
      <b:Author>
        <b:NameList>
          <b:Person>
            <b:Last>Dominguez</b:Last>
            <b:First>Kathryn</b:First>
          </b:Person>
        </b:NameList>
      </b:Author>
    </b:Author>
    <b:Title>When Do Central Bank Interventions Influence Intra-Daily and Longer-Term Exchange Rate Movements?</b:Title>
    <b:PeriodicalTitle>Journal </b:PeriodicalTitle>
    <b:Year>2006</b:Year>
    <b:Pages>1051-1071</b:Pages>
    <b:JournalName>Journal of International Money and Finance 25</b:JournalName>
    <b:RefOrder>44</b:RefOrder>
  </b:Source>
  <b:Source>
    <b:Tag>Adl11</b:Tag>
    <b:SourceType>Misc</b:SourceType>
    <b:Guid>{07820468-BB1C-4CB7-BF45-00E49358FC75}</b:Guid>
    <b:Author>
      <b:Author>
        <b:NameList>
          <b:Person>
            <b:Last>Adler</b:Last>
            <b:First>Gustavo,</b:First>
            <b:Middle>and Camilo E. Trevor Mora</b:Middle>
          </b:Person>
        </b:NameList>
      </b:Author>
    </b:Author>
    <b:Title>Foreign exchange intervention: a shield against appreciation winds?</b:Title>
    <b:Year>2011</b:Year>
    <b:Publisher>International Monetary Fund</b:Publisher>
    <b:PublicationTitle>IMF Working Papers</b:PublicationTitle>
    <b:RefOrder>45</b:RefOrder>
  </b:Source>
  <b:Source>
    <b:Tag>Cou84</b:Tag>
    <b:SourceType>Report</b:SourceType>
    <b:Guid>{DAC12837-1D94-47A1-8C86-FDB0583C8ACF}</b:Guid>
    <b:Title>Council of Economic Advisers</b:Title>
    <b:City>Washington, D.C: GPO</b:City>
    <b:Year>1984</b:Year>
    <b:Publisher>Economic Report of the President</b:Publisher>
    <b:RefOrder>46</b:RefOrder>
  </b:Source>
  <b:Source>
    <b:Tag>Hal93</b:Tag>
    <b:SourceType>Misc</b:SourceType>
    <b:Guid>{C1AE4B49-D11E-41A1-AB18-6BB6231F8922}</b:Guid>
    <b:Author>
      <b:Author>
        <b:NameList>
          <b:Person>
            <b:Last>Edison</b:Last>
            <b:First>Hali</b:First>
          </b:Person>
        </b:NameList>
      </b:Author>
    </b:Author>
    <b:Title>The Effectiveness of Central Bank Intervention: A Survey of the Post-1982 Literature</b:Title>
    <b:City>Princeton, NJ</b:City>
    <b:Year>1993</b:Year>
    <b:PublicationTitle>Special Papers on International Economics</b:PublicationTitle>
    <b:RefOrder>47</b:RefOrder>
  </b:Source>
  <b:Source>
    <b:Tag>Jos12</b:Tag>
    <b:SourceType>Misc</b:SourceType>
    <b:Guid>{90B8705C-B909-416A-94A7-DA29B3F14619}</b:Guid>
    <b:Author>
      <b:Author>
        <b:NameList>
          <b:Person>
            <b:Last>Gagnon</b:Last>
            <b:First>Joseph</b:First>
            <b:Middle>E.</b:Middle>
          </b:Person>
        </b:NameList>
      </b:Author>
    </b:Author>
    <b:Title>Combating Widespread Currency Manipulation</b:Title>
    <b:Year>2012</b:Year>
    <b:PublicationTitle>Policy Brief in International Economics</b:PublicationTitle>
    <b:Publisher>Peterson Institute for International Economics</b:Publisher>
    <b:RefOrder>48</b:RefOrder>
  </b:Source>
  <b:Source>
    <b:Tag>Sta15</b:Tag>
    <b:SourceType>Misc</b:SourceType>
    <b:Guid>{04E52EAB-039E-474E-88B1-0B1DD24F95BA}</b:Guid>
    <b:Title>IMF Completes the 2015 Article IV Consultation Mission to China</b:Title>
    <b:Year>2015</b:Year>
    <b:PublicationTitle>Internation Monetary Fund Press Release</b:PublicationTitle>
    <b:Month>May</b:Month>
    <b:Day>26</b:Day>
    <b:Publisher>IMF Press Release No. 15/237</b:Publisher>
    <b:Author>
      <b:Author>
        <b:NameList>
          <b:Person>
            <b:Last>IMF</b:Last>
          </b:Person>
        </b:NameList>
      </b:Author>
    </b:Author>
    <b:RefOrder>49</b:RefOrder>
  </b:Source>
  <b:Source>
    <b:Tag>Ito02</b:Tag>
    <b:SourceType>Misc</b:SourceType>
    <b:Guid>{AAEEBCD9-D84D-464A-9857-589909242D4D}</b:Guid>
    <b:Author>
      <b:Author>
        <b:NameList>
          <b:Person>
            <b:Last>Ito</b:Last>
            <b:First>Takatoshi</b:First>
          </b:Person>
        </b:NameList>
      </b:Author>
    </b:Author>
    <b:Title>Is Foreign Exchange Intervention Effective: The Japanese Experience in the 1990s</b:Title>
    <b:Year>2003</b:Year>
    <b:PublicationTitle>National Bureau of Economic Council</b:PublicationTitle>
    <b:Month>April</b:Month>
    <b:Publisher>National Bureau of Economic Council</b:Publisher>
    <b:RefOrder>50</b:RefOrder>
  </b:Source>
  <b:Source>
    <b:Tag>Ric12</b:Tag>
    <b:SourceType>JournalArticle</b:SourceType>
    <b:Guid>{8B86AA3C-1DE0-46B7-AA52-EBFD94701566}</b:Guid>
    <b:Author>
      <b:Author>
        <b:NameList>
          <b:Person>
            <b:Last>Portes</b:Last>
            <b:First>Richard</b:First>
          </b:Person>
        </b:NameList>
      </b:Author>
    </b:Author>
    <b:Title>Monetary Policies and Exchange Rates at the Zero Lower Bound</b:Title>
    <b:Year>2012</b:Year>
    <b:Pages>157-163</b:Pages>
    <b:JournalName>Journal of Money, Credit and Banking 44.s1</b:JournalName>
    <b:RefOrder>51</b:RefOrder>
  </b:Source>
  <b:Source>
    <b:Tag>Wor83</b:Tag>
    <b:SourceType>Report</b:SourceType>
    <b:Guid>{FB4F8F50-5817-487D-8D18-788DA1F7460A}</b:Guid>
    <b:Author>
      <b:Author>
        <b:NameList>
          <b:Person>
            <b:Last>Report</b:Last>
          </b:Person>
        </b:NameList>
      </b:Author>
    </b:Author>
    <b:Title>of the Working Group on Exchange Market "Jurgensen Report"</b:Title>
    <b:Year>1983</b:Year>
    <b:City>Washington D.C.</b:City>
    <b:Publisher>Department of Treasury</b:Publisher>
    <b:RefOrder>52</b:RefOrder>
  </b:Source>
  <b:Source>
    <b:Tag>Yel89</b:Tag>
    <b:SourceType>JournalArticle</b:SourceType>
    <b:Guid>{D703A0B5-7FE5-48F4-9238-07C084B7AF7E}</b:Guid>
    <b:Author>
      <b:Author>
        <b:NameList>
          <b:Person>
            <b:Last>Rose</b:Last>
            <b:First>Andrew</b:First>
            <b:Middle>and Yellen, Janet</b:Middle>
          </b:Person>
        </b:NameList>
      </b:Author>
    </b:Author>
    <b:Title>Is there a J-curve?</b:Title>
    <b:PublicationTitle>Journal of Monetary Economics 24.1</b:PublicationTitle>
    <b:Year>1989</b:Year>
    <b:JournalName>Jourrnal of Monetary Economics 24.1</b:JournalName>
    <b:Pages>53-68</b:Pages>
    <b:RefOrder>53</b:RefOrder>
  </b:Source>
  <b:Source>
    <b:Tag>Kat931</b:Tag>
    <b:SourceType>JournalArticle</b:SourceType>
    <b:Guid>{AC699EBF-D57D-4429-BFF3-71D0F7923E70}</b:Guid>
    <b:Author>
      <b:Author>
        <b:NameList>
          <b:Person>
            <b:Last>Dominguez</b:Last>
            <b:First>kathryn</b:First>
            <b:Middle>and Jeffrey Frankel</b:Middle>
          </b:Person>
        </b:NameList>
      </b:Author>
    </b:Author>
    <b:Title>Does Foreign Exchange Intervention Matter? The Portfolio Effect</b:Title>
    <b:JournalName>American Economic Review 83</b:JournalName>
    <b:Year>1993</b:Year>
    <b:Pages>1356-1369</b:Pages>
    <b:RefOrder>54</b:RefOrder>
  </b:Source>
  <b:Source>
    <b:Tag>Kat93</b:Tag>
    <b:SourceType>JournalArticle</b:SourceType>
    <b:Guid>{C69CBD96-A91E-4CF9-BDAB-549386BC43CB}</b:Guid>
    <b:Author>
      <b:Author>
        <b:NameList>
          <b:Person>
            <b:Last>Dominguez</b:Last>
            <b:First>Kathryn</b:First>
            <b:Middle>and Jeffrey Frankel</b:Middle>
          </b:Person>
        </b:NameList>
      </b:Author>
    </b:Author>
    <b:Title>Does Foreign Exchange Intervention Work?</b:Title>
    <b:JournalName>Institute for International Economics 83</b:JournalName>
    <b:Year>1993</b:Year>
    <b:Pages>1356-1369</b:Pages>
    <b:RefOrder>55</b:RefOrder>
  </b:Source>
  <b:Source>
    <b:Tag>Dom93</b:Tag>
    <b:SourceType>BookSection</b:SourceType>
    <b:Guid>{1E129098-E297-4BBC-9E1C-0BBC7D16F1B9}</b:Guid>
    <b:Author>
      <b:Author>
        <b:NameList>
          <b:Person>
            <b:Last>Dominguez</b:Last>
            <b:First>Kathryn</b:First>
            <b:Middle>and Jeffrey Frankel</b:Middle>
          </b:Person>
        </b:NameList>
      </b:Author>
      <b:BookAuthor>
        <b:NameList>
          <b:Person>
            <b:Last>Frankel</b:Last>
            <b:First>Jeffrey</b:First>
          </b:Person>
        </b:NameList>
      </b:BookAuthor>
    </b:Author>
    <b:Title>Foreign Exchange Intervention: An Empirical Assessement</b:Title>
    <b:BookTitle>On Exchange Rates</b:BookTitle>
    <b:Year>1993</b:Year>
    <b:City>Cambridge</b:City>
    <b:Publisher>MIT Press</b:Publisher>
    <b:RefOrder>56</b:RefOrder>
  </b:Source>
  <b:Source>
    <b:Tag>Mic02</b:Tag>
    <b:SourceType>JournalArticle</b:SourceType>
    <b:Guid>{0D530502-E386-4F51-9CB8-512141A5C230}</b:Guid>
    <b:Author>
      <b:Author>
        <b:NameList>
          <b:Person>
            <b:Last>Devereux</b:Last>
            <b:First>Michael</b:First>
            <b:Middle>and Charles Engle</b:Middle>
          </b:Person>
        </b:NameList>
      </b:Author>
    </b:Author>
    <b:Title>Exchange rate pass-through, exchange rate volatility, and exchange rate disconnect</b:Title>
    <b:Year>2002</b:Year>
    <b:JournalName>Journal of Monetary Economics 49.5</b:JournalName>
    <b:Pages>913-940</b:Pages>
    <b:RefOrder>57</b:RefOrder>
  </b:Source>
  <b:Source>
    <b:Tag>Sac86</b:Tag>
    <b:SourceType>JournalArticle</b:SourceType>
    <b:Guid>{08553272-345C-4C0C-859F-2CDED454129E}</b:Guid>
    <b:Author>
      <b:Author>
        <b:NameList>
          <b:Person>
            <b:Last>Eichengreen</b:Last>
            <b:First>Barry</b:First>
            <b:Middle>and Jeffrey Sachs,</b:Middle>
          </b:Person>
        </b:NameList>
      </b:Author>
    </b:Author>
    <b:Title>Competitive Devaluation and the Great Depression: A Theoretical Reassessment</b:Title>
    <b:JournalName>Economic Letters</b:JournalName>
    <b:Year>1986</b:Year>
    <b:Pages>67-71</b:Pages>
    <b:City>Cambridge, MA</b:City>
    <b:Publisher>North Holland</b:Publisher>
    <b:Volume>22</b:Volume>
    <b:RefOrder>58</b:RefOrder>
  </b:Source>
  <b:Source>
    <b:Tag>Sac85</b:Tag>
    <b:SourceType>JournalArticle</b:SourceType>
    <b:Guid>{9098E90D-CDDE-423A-B799-6965985A5E80}</b:Guid>
    <b:Author>
      <b:Author>
        <b:NameList>
          <b:Person>
            <b:Last>Eichengreen</b:Last>
            <b:First>Barry</b:First>
            <b:Middle>and Jeffrey Sachs</b:Middle>
          </b:Person>
        </b:NameList>
      </b:Author>
    </b:Author>
    <b:Title>Exchange Rates and Economic Recovery in the 1930s</b:Title>
    <b:Year>1985</b:Year>
    <b:JournalName>Journal of Economic History</b:JournalName>
    <b:Pages>925-946</b:Pages>
    <b:Volume>45</b:Volume>
    <b:RefOrder>59</b:RefOrder>
  </b:Source>
  <b:Source>
    <b:Tag>Jef07</b:Tag>
    <b:SourceType>Misc</b:SourceType>
    <b:Guid>{D6B3D3DB-2A7B-4681-8B4C-BD4CE6A5323D}</b:Guid>
    <b:Author>
      <b:Author>
        <b:NameList>
          <b:Person>
            <b:Last>Frankel</b:Last>
            <b:First>Jeffrey</b:First>
            <b:Middle>and Shang-Jin Wei</b:Middle>
          </b:Person>
        </b:NameList>
      </b:Author>
    </b:Author>
    <b:Title>Assessing China's Exchange Rate Regimes</b:Title>
    <b:Year>2007</b:Year>
    <b:Month>July</b:Month>
    <b:PublicationTitle>Economic Policy 51</b:PublicationTitle>
    <b:Publisher>National Bureau of Economic Research</b:Publisher>
    <b:RefOrder>60</b:RefOrder>
  </b:Source>
  <b:Source>
    <b:Tag>Dal83</b:Tag>
    <b:SourceType>JournalArticle</b:SourceType>
    <b:Guid>{CF71C329-35E1-45C7-BC12-C4B7E2CAC004}</b:Guid>
    <b:Author>
      <b:Author>
        <b:NameList>
          <b:Person>
            <b:Last>Henderson</b:Last>
            <b:First>Dale</b:First>
            <b:Middle>and Stephanie Sampson</b:Middle>
          </b:Person>
        </b:NameList>
      </b:Author>
    </b:Author>
    <b:Title>Intervention in Foreign Exchange Markets: A Summary of Ten Staff Studies</b:Title>
    <b:Year>1983</b:Year>
    <b:JournalName>Federal Reserve Bulletin 69</b:JournalName>
    <b:Pages>830-836</b:Pages>
    <b:RefOrder>61</b:RefOrder>
  </b:Source>
  <b:Source>
    <b:Tag>Jon05</b:Tag>
    <b:SourceType>JournalArticle</b:SourceType>
    <b:Guid>{5D5562EA-3623-4BCC-870F-734FB10C6579}</b:Guid>
    <b:Author>
      <b:Author>
        <b:NameList>
          <b:Person>
            <b:Last>Kearns</b:Last>
            <b:First>Jonathan</b:First>
            <b:Middle>and Roberto Rigobon</b:Middle>
          </b:Person>
        </b:NameList>
      </b:Author>
    </b:Author>
    <b:Title>Identifying the Efficacy of Central Bank Interventions: Evidence from Australia and Japan</b:Title>
    <b:Year>2005</b:Year>
    <b:JournalName>Journal of Internation Economics 66</b:JournalName>
    <b:Pages>31-48</b:Pages>
    <b:RefOrder>62</b:RefOrder>
  </b:Source>
  <b:Source>
    <b:Tag>Kes15</b:Tag>
    <b:SourceType>Misc</b:SourceType>
    <b:Guid>{843C78F3-3C1E-482A-8ECF-38591CE6CC5B}</b:Guid>
    <b:Author>
      <b:Author>
        <b:NameList>
          <b:Person>
            <b:Last>Kessler</b:Last>
            <b:First>Martin</b:First>
            <b:Middle>and Arvind Subramanian</b:Middle>
          </b:Person>
        </b:NameList>
      </b:Author>
    </b:Author>
    <b:Title>Is the Renminbi Still Undervalued? Not According to New PPP Estimates</b:Title>
    <b:JournalName>Peterson Institute for International Economics</b:JournalName>
    <b:Year>2015</b:Year>
    <b:PublicationTitle>Peterson Institute for International Economics</b:PublicationTitle>
    <b:Month>May</b:Month>
    <b:Day>1</b:Day>
    <b:Publisher>Peterson Institute for International Economics</b:Publisher>
    <b:RefOrder>63</b:RefOrder>
  </b:Source>
  <b:Source>
    <b:Tag>Rus15</b:Tag>
    <b:SourceType>ConferenceProceedings</b:SourceType>
    <b:Guid>{B80A7F6A-A99B-4A29-94BF-511142E163CA}</b:Guid>
    <b:Author>
      <b:Author>
        <b:NameList>
          <b:Person>
            <b:Last>Green</b:Last>
            <b:First>Russell,</b:First>
            <b:Middle>Daivd Papell and Ruxandar Prodan</b:Middle>
          </b:Person>
        </b:NameList>
      </b:Author>
    </b:Author>
    <b:Title>Why Was the Plaza Accord Unique?</b:Title>
    <b:Year>2015</b:Year>
    <b:City>Houston, TX</b:City>
    <b:Publisher>James Baker Institute for Public Policy, Rice University</b:Publisher>
    <b:ConferenceName>Conference on Currency Policy Then and Now: 30th Anniversary of the Plaza Accord</b:ConferenceName>
    <b:RefOrder>64</b:RefOrder>
  </b:Source>
  <b:Source>
    <b:Tag>Rob87</b:Tag>
    <b:SourceType>Book</b:SourceType>
    <b:Guid>{91B410B7-2C4E-43FE-A94B-24BC2E8443FB}</b:Guid>
    <b:Author>
      <b:Author>
        <b:NameList>
          <b:Person>
            <b:Last>Putnam</b:Last>
            <b:First>Robert</b:First>
            <b:Middle>and Nicholas Bayne</b:Middle>
          </b:Person>
        </b:NameList>
      </b:Author>
    </b:Author>
    <b:Title>Hanging together: The seven-power summits</b:Title>
    <b:Year>1987</b:Year>
    <b:City>Cambridge, MA</b:City>
    <b:Publisher>Harvard University Press</b:Publisher>
    <b:RefOrder>65</b:RefOrder>
  </b:Source>
</b:Sources>
</file>

<file path=customXml/itemProps1.xml><?xml version="1.0" encoding="utf-8"?>
<ds:datastoreItem xmlns:ds="http://schemas.openxmlformats.org/officeDocument/2006/customXml" ds:itemID="{4BBB0FAF-A986-44E9-B5EC-0BC57A761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8399</Words>
  <Characters>47880</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itfsa</dc:creator>
  <cp:lastModifiedBy>itfsa</cp:lastModifiedBy>
  <cp:revision>2</cp:revision>
  <cp:lastPrinted>2015-10-26T14:22:00Z</cp:lastPrinted>
  <dcterms:created xsi:type="dcterms:W3CDTF">2015-12-10T22:44:00Z</dcterms:created>
  <dcterms:modified xsi:type="dcterms:W3CDTF">2015-12-10T22:44:00Z</dcterms:modified>
</cp:coreProperties>
</file>