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E2" w:rsidRPr="004A1E82" w:rsidRDefault="001A159C" w:rsidP="004C1622">
      <w:pPr>
        <w:jc w:val="center"/>
        <w:rPr>
          <w:rFonts w:ascii="Times New Roman" w:hAnsi="Times New Roman"/>
          <w:b/>
          <w:sz w:val="20"/>
          <w:szCs w:val="20"/>
        </w:rPr>
      </w:pPr>
      <w:r w:rsidRPr="004A1E82">
        <w:rPr>
          <w:rFonts w:ascii="Times New Roman" w:hAnsi="Times New Roman"/>
          <w:b/>
          <w:sz w:val="28"/>
          <w:szCs w:val="28"/>
        </w:rPr>
        <w:t>Bias in Official Fiscal Forecasts: Can Private Forecasts Help?</w:t>
      </w:r>
      <w:r w:rsidR="00552E57" w:rsidRPr="004A1E82">
        <w:rPr>
          <w:rFonts w:ascii="Times New Roman" w:hAnsi="Times New Roman"/>
          <w:b/>
          <w:sz w:val="28"/>
          <w:szCs w:val="28"/>
        </w:rPr>
        <w:t xml:space="preserve"> </w:t>
      </w:r>
    </w:p>
    <w:p w:rsidR="004A1E82" w:rsidRDefault="004A1E82" w:rsidP="004C1622">
      <w:pPr>
        <w:jc w:val="center"/>
        <w:rPr>
          <w:rFonts w:ascii="Times New Roman" w:hAnsi="Times New Roman"/>
        </w:rPr>
      </w:pPr>
    </w:p>
    <w:p w:rsidR="004A1E82" w:rsidRDefault="000D2604" w:rsidP="004C1622">
      <w:pPr>
        <w:jc w:val="center"/>
        <w:rPr>
          <w:rFonts w:ascii="Times New Roman" w:hAnsi="Times New Roman"/>
        </w:rPr>
      </w:pPr>
      <w:r>
        <w:rPr>
          <w:rFonts w:ascii="Times New Roman" w:hAnsi="Times New Roman"/>
        </w:rPr>
        <w:br/>
      </w:r>
      <w:r w:rsidR="001A159C" w:rsidRPr="0079708D">
        <w:rPr>
          <w:rFonts w:ascii="Times New Roman" w:hAnsi="Times New Roman"/>
        </w:rPr>
        <w:t>Jeffrey Frankel and Jesse Schreger</w:t>
      </w:r>
      <w:r w:rsidR="001A159C" w:rsidRPr="0079708D">
        <w:rPr>
          <w:rFonts w:ascii="Times New Roman" w:hAnsi="Times New Roman"/>
        </w:rPr>
        <w:br/>
        <w:t>Harvard University</w:t>
      </w:r>
      <w:r w:rsidR="001A159C" w:rsidRPr="0079708D">
        <w:rPr>
          <w:rFonts w:ascii="Times New Roman" w:hAnsi="Times New Roman"/>
        </w:rPr>
        <w:br/>
      </w:r>
    </w:p>
    <w:p w:rsidR="006122E2" w:rsidRPr="0079708D" w:rsidRDefault="001A159C" w:rsidP="004C1622">
      <w:pPr>
        <w:jc w:val="center"/>
        <w:rPr>
          <w:rFonts w:ascii="Times New Roman" w:hAnsi="Times New Roman"/>
        </w:rPr>
      </w:pPr>
      <w:r w:rsidRPr="00E63E95">
        <w:rPr>
          <w:rFonts w:ascii="Times New Roman" w:hAnsi="Times New Roman"/>
          <w:sz w:val="22"/>
          <w:szCs w:val="22"/>
        </w:rPr>
        <w:t>June 1</w:t>
      </w:r>
      <w:r w:rsidR="00874883" w:rsidRPr="00E63E95">
        <w:rPr>
          <w:rFonts w:ascii="Times New Roman" w:hAnsi="Times New Roman"/>
          <w:sz w:val="22"/>
          <w:szCs w:val="22"/>
        </w:rPr>
        <w:t>8</w:t>
      </w:r>
      <w:r w:rsidRPr="00E63E95">
        <w:rPr>
          <w:rFonts w:ascii="Times New Roman" w:hAnsi="Times New Roman"/>
          <w:sz w:val="22"/>
          <w:szCs w:val="22"/>
        </w:rPr>
        <w:t>, 2013</w:t>
      </w:r>
      <w:r w:rsidR="000F62FE">
        <w:rPr>
          <w:rFonts w:ascii="Times New Roman" w:hAnsi="Times New Roman"/>
        </w:rPr>
        <w:t xml:space="preserve"> </w:t>
      </w:r>
      <w:r w:rsidR="00FB399E" w:rsidRPr="000F62FE">
        <w:rPr>
          <w:rFonts w:ascii="Times New Roman" w:hAnsi="Times New Roman"/>
          <w:sz w:val="22"/>
          <w:szCs w:val="22"/>
        </w:rPr>
        <w:t>+</w:t>
      </w:r>
      <w:proofErr w:type="spellStart"/>
      <w:r w:rsidR="00FB399E" w:rsidRPr="000F62FE">
        <w:rPr>
          <w:rFonts w:ascii="Times New Roman" w:hAnsi="Times New Roman"/>
          <w:sz w:val="2"/>
          <w:szCs w:val="2"/>
        </w:rPr>
        <w:t>Merolapub</w:t>
      </w:r>
      <w:r w:rsidR="000F62FE" w:rsidRPr="000F62FE">
        <w:rPr>
          <w:rFonts w:ascii="Times New Roman" w:hAnsi="Times New Roman"/>
          <w:sz w:val="18"/>
          <w:szCs w:val="18"/>
        </w:rPr>
        <w:t>Tbls&amp;F</w:t>
      </w:r>
      <w:bookmarkStart w:id="0" w:name="_GoBack"/>
      <w:bookmarkEnd w:id="0"/>
      <w:r w:rsidR="000F62FE" w:rsidRPr="000F62FE">
        <w:rPr>
          <w:rFonts w:ascii="Times New Roman" w:hAnsi="Times New Roman"/>
          <w:sz w:val="18"/>
          <w:szCs w:val="18"/>
        </w:rPr>
        <w:t>igs</w:t>
      </w:r>
      <w:proofErr w:type="spellEnd"/>
      <w:r w:rsidR="00D549F3">
        <w:rPr>
          <w:rFonts w:ascii="Times New Roman" w:hAnsi="Times New Roman"/>
          <w:sz w:val="18"/>
          <w:szCs w:val="18"/>
        </w:rPr>
        <w:t xml:space="preserve"> + May</w:t>
      </w:r>
      <w:r w:rsidR="006D5A86">
        <w:rPr>
          <w:rFonts w:ascii="Times New Roman" w:hAnsi="Times New Roman"/>
          <w:sz w:val="18"/>
          <w:szCs w:val="18"/>
        </w:rPr>
        <w:t xml:space="preserve"> 16,</w:t>
      </w:r>
      <w:r w:rsidR="00D549F3">
        <w:rPr>
          <w:rFonts w:ascii="Times New Roman" w:hAnsi="Times New Roman"/>
          <w:sz w:val="18"/>
          <w:szCs w:val="18"/>
        </w:rPr>
        <w:t xml:space="preserve"> 2014</w:t>
      </w:r>
    </w:p>
    <w:p w:rsidR="00446597" w:rsidRPr="000F62FE" w:rsidRDefault="000D2604" w:rsidP="004C1622">
      <w:pPr>
        <w:jc w:val="center"/>
        <w:rPr>
          <w:rFonts w:ascii="Times New Roman" w:hAnsi="Times New Roman"/>
          <w:sz w:val="22"/>
          <w:szCs w:val="22"/>
        </w:rPr>
      </w:pPr>
      <w:r>
        <w:rPr>
          <w:rFonts w:ascii="Times New Roman" w:hAnsi="Times New Roman"/>
        </w:rPr>
        <w:br/>
      </w:r>
      <w:r w:rsidR="006122E2">
        <w:rPr>
          <w:rFonts w:ascii="Times New Roman" w:hAnsi="Times New Roman"/>
        </w:rPr>
        <w:br/>
      </w:r>
      <w:r w:rsidR="006122E2" w:rsidRPr="000F62FE">
        <w:rPr>
          <w:rFonts w:ascii="Times New Roman" w:hAnsi="Times New Roman"/>
          <w:sz w:val="22"/>
          <w:szCs w:val="22"/>
        </w:rPr>
        <w:t xml:space="preserve">The authors </w:t>
      </w:r>
      <w:r w:rsidR="00B61372" w:rsidRPr="000F62FE">
        <w:rPr>
          <w:rFonts w:ascii="Times New Roman" w:hAnsi="Times New Roman"/>
          <w:sz w:val="22"/>
          <w:szCs w:val="22"/>
        </w:rPr>
        <w:t xml:space="preserve">wish to </w:t>
      </w:r>
      <w:r w:rsidR="006122E2" w:rsidRPr="000F62FE">
        <w:rPr>
          <w:rFonts w:ascii="Times New Roman" w:hAnsi="Times New Roman"/>
          <w:sz w:val="22"/>
          <w:szCs w:val="22"/>
        </w:rPr>
        <w:t xml:space="preserve">acknowledge </w:t>
      </w:r>
      <w:r w:rsidR="00B61372" w:rsidRPr="000F62FE">
        <w:rPr>
          <w:rFonts w:ascii="Times New Roman" w:hAnsi="Times New Roman"/>
          <w:sz w:val="22"/>
          <w:szCs w:val="22"/>
        </w:rPr>
        <w:t xml:space="preserve">capable research assistance from Marco Martinez del Angel; helpful conversations with Philip Hubbard, publisher of </w:t>
      </w:r>
      <w:r w:rsidR="00B61372" w:rsidRPr="000F62FE">
        <w:rPr>
          <w:rFonts w:ascii="Times New Roman" w:hAnsi="Times New Roman"/>
          <w:i/>
          <w:sz w:val="22"/>
          <w:szCs w:val="22"/>
        </w:rPr>
        <w:t>Consensus Economics</w:t>
      </w:r>
      <w:r w:rsidR="00B61372" w:rsidRPr="000F62FE">
        <w:rPr>
          <w:rFonts w:ascii="Times New Roman" w:hAnsi="Times New Roman"/>
          <w:sz w:val="22"/>
          <w:szCs w:val="22"/>
        </w:rPr>
        <w:t xml:space="preserve">; and </w:t>
      </w:r>
      <w:r w:rsidR="006122E2" w:rsidRPr="000F62FE">
        <w:rPr>
          <w:rFonts w:ascii="Times New Roman" w:hAnsi="Times New Roman"/>
          <w:sz w:val="22"/>
          <w:szCs w:val="22"/>
        </w:rPr>
        <w:t>support from the Smith Richardson Foundation</w:t>
      </w:r>
      <w:r w:rsidR="002A5D20" w:rsidRPr="000F62FE">
        <w:rPr>
          <w:rFonts w:ascii="Times New Roman" w:hAnsi="Times New Roman"/>
          <w:sz w:val="22"/>
          <w:szCs w:val="22"/>
        </w:rPr>
        <w:t xml:space="preserve"> and the </w:t>
      </w:r>
      <w:proofErr w:type="spellStart"/>
      <w:r w:rsidR="002A5D20" w:rsidRPr="000F62FE">
        <w:rPr>
          <w:rFonts w:ascii="Times New Roman" w:hAnsi="Times New Roman"/>
          <w:sz w:val="22"/>
          <w:szCs w:val="22"/>
        </w:rPr>
        <w:t>Weatherhead</w:t>
      </w:r>
      <w:proofErr w:type="spellEnd"/>
      <w:r w:rsidR="002A5D20" w:rsidRPr="000F62FE">
        <w:rPr>
          <w:rFonts w:ascii="Times New Roman" w:hAnsi="Times New Roman"/>
          <w:sz w:val="22"/>
          <w:szCs w:val="22"/>
        </w:rPr>
        <w:t xml:space="preserve"> Center</w:t>
      </w:r>
      <w:r w:rsidR="00B57DA6" w:rsidRPr="000F62FE">
        <w:rPr>
          <w:rFonts w:ascii="Times New Roman" w:hAnsi="Times New Roman"/>
          <w:sz w:val="22"/>
          <w:szCs w:val="22"/>
        </w:rPr>
        <w:t xml:space="preserve"> for International Affairs</w:t>
      </w:r>
      <w:r w:rsidR="00B61372" w:rsidRPr="000F62FE">
        <w:rPr>
          <w:rFonts w:ascii="Times New Roman" w:hAnsi="Times New Roman"/>
          <w:sz w:val="22"/>
          <w:szCs w:val="22"/>
        </w:rPr>
        <w:t>. V</w:t>
      </w:r>
      <w:r w:rsidR="006122E2" w:rsidRPr="000F62FE">
        <w:rPr>
          <w:rFonts w:ascii="Times New Roman" w:hAnsi="Times New Roman"/>
          <w:sz w:val="22"/>
          <w:szCs w:val="22"/>
        </w:rPr>
        <w:t xml:space="preserve">iews and findings are ours alone.  </w:t>
      </w:r>
    </w:p>
    <w:p w:rsidR="000D2604" w:rsidRDefault="000D2604" w:rsidP="004C1622">
      <w:pPr>
        <w:spacing w:line="360" w:lineRule="auto"/>
        <w:jc w:val="center"/>
        <w:rPr>
          <w:rFonts w:ascii="Times New Roman" w:hAnsi="Times New Roman"/>
          <w:sz w:val="32"/>
        </w:rPr>
      </w:pPr>
    </w:p>
    <w:p w:rsidR="004A1E82" w:rsidRDefault="004A1E82" w:rsidP="004C1622">
      <w:pPr>
        <w:spacing w:line="360" w:lineRule="auto"/>
        <w:jc w:val="center"/>
        <w:rPr>
          <w:rFonts w:ascii="Times New Roman" w:hAnsi="Times New Roman"/>
          <w:sz w:val="32"/>
        </w:rPr>
      </w:pPr>
    </w:p>
    <w:p w:rsidR="004A1E82" w:rsidRDefault="004A1E82" w:rsidP="004C1622">
      <w:pPr>
        <w:spacing w:line="360" w:lineRule="auto"/>
        <w:jc w:val="center"/>
        <w:rPr>
          <w:rFonts w:ascii="Times New Roman" w:hAnsi="Times New Roman"/>
          <w:sz w:val="32"/>
        </w:rPr>
      </w:pPr>
    </w:p>
    <w:p w:rsidR="006122E2" w:rsidRPr="00712A24" w:rsidRDefault="006122E2" w:rsidP="004C1622">
      <w:pPr>
        <w:spacing w:line="360" w:lineRule="auto"/>
        <w:jc w:val="center"/>
        <w:outlineLvl w:val="0"/>
        <w:rPr>
          <w:rFonts w:ascii="Times New Roman" w:hAnsi="Times New Roman"/>
          <w:sz w:val="28"/>
          <w:szCs w:val="28"/>
        </w:rPr>
      </w:pPr>
      <w:r>
        <w:rPr>
          <w:rFonts w:ascii="Times New Roman" w:hAnsi="Times New Roman"/>
          <w:sz w:val="28"/>
          <w:szCs w:val="28"/>
        </w:rPr>
        <w:t>Abstract</w:t>
      </w:r>
    </w:p>
    <w:p w:rsidR="006122E2" w:rsidRDefault="00E63E95" w:rsidP="004C1622">
      <w:pPr>
        <w:autoSpaceDE w:val="0"/>
        <w:autoSpaceDN w:val="0"/>
        <w:adjustRightInd w:val="0"/>
        <w:spacing w:line="360" w:lineRule="auto"/>
        <w:ind w:firstLine="720"/>
        <w:rPr>
          <w:rFonts w:ascii="Times New Roman" w:hAnsi="Times New Roman"/>
          <w:sz w:val="22"/>
          <w:szCs w:val="22"/>
        </w:rPr>
      </w:pPr>
      <w:r>
        <w:br/>
      </w:r>
      <w:r w:rsidR="00066743">
        <w:t xml:space="preserve">Government forecasts of GDP growth and budget balances are </w:t>
      </w:r>
      <w:r w:rsidR="00FA53D8">
        <w:t xml:space="preserve">generally </w:t>
      </w:r>
      <w:r w:rsidR="00066743">
        <w:t>more over-optimistic than private sector forecasts, in a sample of 31 countrie</w:t>
      </w:r>
      <w:r w:rsidR="00482540">
        <w:t xml:space="preserve">s. When official forecasts </w:t>
      </w:r>
      <w:r w:rsidR="00066743">
        <w:t>are especially optimistic relative to private forecasts ex ante, they are more likely</w:t>
      </w:r>
      <w:r w:rsidR="006D5A86">
        <w:t xml:space="preserve"> also</w:t>
      </w:r>
      <w:r w:rsidR="00066743">
        <w:t xml:space="preserve"> to be over-optimistic relative to realizations ex post.  Euro area governments during the period 1999-20</w:t>
      </w:r>
      <w:r w:rsidR="00C93653">
        <w:t>07</w:t>
      </w:r>
      <w:r w:rsidR="00066743">
        <w:t xml:space="preserve"> assiduously and inaccurately avoided forecasting deficit levels that would exceed the 3% Stability and Growth Pact threshold; private sector forecasters were not subject to this crude bias.   </w:t>
      </w:r>
      <w:proofErr w:type="gramStart"/>
      <w:r w:rsidR="009B2CDF">
        <w:t>Three important implications.</w:t>
      </w:r>
      <w:proofErr w:type="gramEnd"/>
      <w:r w:rsidR="009B2CDF">
        <w:t xml:space="preserve">   First, the severe recessions that began in 2008 do not explain</w:t>
      </w:r>
      <w:r w:rsidR="00DE7792">
        <w:t xml:space="preserve"> the</w:t>
      </w:r>
      <w:r w:rsidR="009B2CDF">
        <w:t xml:space="preserve"> findings of optimism bias.  Second, the over-optimism </w:t>
      </w:r>
      <w:r w:rsidR="00FA53D8">
        <w:t>behaves as if</w:t>
      </w:r>
      <w:r w:rsidR="009B2CDF">
        <w:t xml:space="preserve"> specifically designed so as to “game” checks on budget deficits, rather than by politicians’ desire to “talk up” the economy in general.   Third, the budget-making process could </w:t>
      </w:r>
      <w:r w:rsidR="00FA53D8">
        <w:t xml:space="preserve">probably </w:t>
      </w:r>
      <w:r w:rsidR="009B2CDF">
        <w:t>be improved by using private-sector forecasts.</w:t>
      </w:r>
    </w:p>
    <w:p w:rsidR="000D2604" w:rsidRDefault="000D2604" w:rsidP="004C1622">
      <w:pPr>
        <w:pStyle w:val="ListParagraph"/>
        <w:spacing w:line="480" w:lineRule="auto"/>
        <w:ind w:left="0"/>
        <w:rPr>
          <w:rFonts w:ascii="Times New Roman" w:hAnsi="Times New Roman"/>
          <w:sz w:val="22"/>
          <w:szCs w:val="22"/>
        </w:rPr>
      </w:pPr>
    </w:p>
    <w:p w:rsidR="006122E2" w:rsidRPr="001E579D" w:rsidRDefault="006122E2" w:rsidP="004C1622">
      <w:pPr>
        <w:pStyle w:val="ListParagraph"/>
        <w:spacing w:line="480" w:lineRule="auto"/>
        <w:ind w:left="0"/>
        <w:rPr>
          <w:rFonts w:ascii="Times New Roman" w:hAnsi="Times New Roman"/>
          <w:sz w:val="22"/>
          <w:szCs w:val="22"/>
        </w:rPr>
      </w:pPr>
    </w:p>
    <w:p w:rsidR="006122E2" w:rsidRPr="004C1622" w:rsidRDefault="00B61372" w:rsidP="004C1622">
      <w:pPr>
        <w:rPr>
          <w:rFonts w:ascii="Times New Roman" w:hAnsi="Times New Roman"/>
        </w:rPr>
      </w:pPr>
      <w:r w:rsidRPr="004C1622">
        <w:rPr>
          <w:rFonts w:ascii="Times New Roman" w:hAnsi="Times New Roman"/>
        </w:rPr>
        <w:t>JEL classification numbers:   E62, F3</w:t>
      </w:r>
      <w:r w:rsidR="006122E2" w:rsidRPr="004C1622">
        <w:rPr>
          <w:rFonts w:ascii="Times New Roman" w:hAnsi="Times New Roman"/>
        </w:rPr>
        <w:br/>
      </w:r>
    </w:p>
    <w:p w:rsidR="006122E2" w:rsidRPr="004C1622" w:rsidRDefault="006122E2" w:rsidP="004C1622">
      <w:pPr>
        <w:rPr>
          <w:rFonts w:ascii="Times New Roman" w:hAnsi="Times New Roman"/>
        </w:rPr>
      </w:pPr>
      <w:r w:rsidRPr="004C1622">
        <w:rPr>
          <w:rFonts w:ascii="Times New Roman" w:hAnsi="Times New Roman"/>
        </w:rPr>
        <w:t xml:space="preserve">Keywords: </w:t>
      </w:r>
      <w:r w:rsidR="00874883" w:rsidRPr="004C1622">
        <w:rPr>
          <w:rFonts w:ascii="Times New Roman" w:hAnsi="Times New Roman"/>
        </w:rPr>
        <w:t>budget, deficit, euro, fiscal, government, optimism, optimistic, forecast, official, SGP.</w:t>
      </w:r>
    </w:p>
    <w:p w:rsidR="004A1E82" w:rsidRDefault="006122E2" w:rsidP="004A1E82">
      <w:pPr>
        <w:jc w:val="center"/>
        <w:rPr>
          <w:rFonts w:ascii="Times New Roman" w:hAnsi="Times New Roman"/>
          <w:b/>
          <w:sz w:val="28"/>
          <w:szCs w:val="28"/>
        </w:rPr>
      </w:pPr>
      <w:r>
        <w:br w:type="page"/>
      </w:r>
    </w:p>
    <w:p w:rsidR="004A1E82" w:rsidRPr="004A1E82" w:rsidRDefault="004A1E82" w:rsidP="004A1E82">
      <w:pPr>
        <w:jc w:val="center"/>
        <w:rPr>
          <w:rFonts w:ascii="Times New Roman" w:hAnsi="Times New Roman"/>
          <w:b/>
        </w:rPr>
      </w:pPr>
      <w:r w:rsidRPr="004A1E82">
        <w:rPr>
          <w:rFonts w:ascii="Times New Roman" w:hAnsi="Times New Roman"/>
          <w:b/>
        </w:rPr>
        <w:lastRenderedPageBreak/>
        <w:t xml:space="preserve">Bias in Official Fiscal Forecasts: Can Private Forecasts Help? </w:t>
      </w:r>
    </w:p>
    <w:p w:rsidR="00D62779" w:rsidRDefault="00D62779" w:rsidP="004C1622">
      <w:pPr>
        <w:spacing w:line="480" w:lineRule="auto"/>
        <w:jc w:val="center"/>
      </w:pPr>
    </w:p>
    <w:p w:rsidR="004C1622" w:rsidRDefault="00D62779" w:rsidP="004C1622">
      <w:pPr>
        <w:spacing w:line="480" w:lineRule="auto"/>
        <w:rPr>
          <w:b/>
        </w:rPr>
      </w:pPr>
      <w:r w:rsidRPr="00D62779">
        <w:rPr>
          <w:b/>
        </w:rPr>
        <w:t>Introduction</w:t>
      </w:r>
      <w:r w:rsidR="00A47BF3">
        <w:rPr>
          <w:b/>
        </w:rPr>
        <w:t xml:space="preserve"> </w:t>
      </w:r>
    </w:p>
    <w:p w:rsidR="0005192B" w:rsidRPr="004C1622" w:rsidRDefault="00F656B6" w:rsidP="004C1622">
      <w:pPr>
        <w:spacing w:line="480" w:lineRule="auto"/>
        <w:ind w:firstLine="720"/>
      </w:pPr>
      <w:r w:rsidRPr="004C1622">
        <w:t>Excessive public debts and deficits are among the most widely discussed of macroeconomic problems.   Why do countries find it so hard to get their deficits under control?  There are many theories, most having to do with short horizons on the part of politicians</w:t>
      </w:r>
      <w:r w:rsidRPr="004C1622">
        <w:rPr>
          <w:rStyle w:val="FootnoteReference"/>
        </w:rPr>
        <w:footnoteReference w:id="1"/>
      </w:r>
      <w:r w:rsidRPr="004C1622">
        <w:t xml:space="preserve"> and dispersion of political power.</w:t>
      </w:r>
      <w:r w:rsidRPr="004C1622">
        <w:rPr>
          <w:rStyle w:val="FootnoteReference"/>
        </w:rPr>
        <w:footnoteReference w:id="2"/>
      </w:r>
      <w:r w:rsidRPr="004C1622">
        <w:t xml:space="preserve">   But we believe that systematic patterns in the errors that official budget agencies make in their forecasts also play an important role.</w:t>
      </w:r>
    </w:p>
    <w:p w:rsidR="0005192B" w:rsidRPr="004C1622" w:rsidRDefault="009B3995" w:rsidP="004C1622">
      <w:pPr>
        <w:spacing w:line="480" w:lineRule="auto"/>
        <w:ind w:firstLine="720"/>
      </w:pPr>
      <w:r w:rsidRPr="004C1622">
        <w:t>To take an egregious example</w:t>
      </w:r>
      <w:r w:rsidR="00F656B6" w:rsidRPr="004C1622">
        <w:t xml:space="preserve">, the official Greek forecast </w:t>
      </w:r>
      <w:r w:rsidRPr="004C1622">
        <w:t xml:space="preserve">in 2000 </w:t>
      </w:r>
      <w:r w:rsidR="00F656B6" w:rsidRPr="004C1622">
        <w:t>said that the fiscal deficit would fall below 2% of GDP one year in the future, fall below 1% of GDP two years into the future, and convert to a surplus three years into the</w:t>
      </w:r>
      <w:r w:rsidRPr="004C1622">
        <w:t xml:space="preserve"> future. </w:t>
      </w:r>
      <w:proofErr w:type="gramStart"/>
      <w:r w:rsidRPr="004C1622">
        <w:t>(Figure 1).</w:t>
      </w:r>
      <w:proofErr w:type="gramEnd"/>
      <w:r w:rsidRPr="004C1622">
        <w:t xml:space="preserve">   The subsequent budget deficit actually fell into the </w:t>
      </w:r>
      <w:r w:rsidR="00F656B6" w:rsidRPr="004C1622">
        <w:t>range of 4-5%</w:t>
      </w:r>
      <w:r w:rsidRPr="004C1622">
        <w:t>,</w:t>
      </w:r>
      <w:r w:rsidR="00F656B6" w:rsidRPr="004C1622">
        <w:t xml:space="preserve"> well above the 3% of GDP ceiling required by the Maastricht criterion and the Stability and Growth Pact.  Did the Greek government adjust its overall fiscal policies in response to missing the targets?  No, it adjusted its forecasts, predicting steady progress toward budget balance in the future.   This pattern also describes the forecasts reported by the government in 2001, and every year for the next ten years: always overly optimistic, and the more so the longer the horizon.</w:t>
      </w:r>
    </w:p>
    <w:p w:rsidR="0005192B" w:rsidRPr="004C1622" w:rsidRDefault="00F656B6" w:rsidP="004C1622">
      <w:pPr>
        <w:spacing w:line="480" w:lineRule="auto"/>
        <w:ind w:firstLine="720"/>
      </w:pPr>
      <w:r w:rsidRPr="004C1622">
        <w:t xml:space="preserve">The same pattern extends </w:t>
      </w:r>
      <w:r w:rsidR="009B3995" w:rsidRPr="004C1622">
        <w:t xml:space="preserve">qualitatively </w:t>
      </w:r>
      <w:r w:rsidRPr="004C1622">
        <w:t xml:space="preserve">to most other industrialized countries.  Having a fiscal rule like the Stability and Growth Pact does not seem to help.  In fact it worsens the bias toward overoptimistic forecasting.   Most euro countries, even when they ran deficits that exceeded </w:t>
      </w:r>
      <w:r w:rsidRPr="004C1622">
        <w:lastRenderedPageBreak/>
        <w:t>3% of GDP, continued to forecast future budget deficits that would fall under that threshold, every year until the crisis of 2010 hit</w:t>
      </w:r>
      <w:r w:rsidR="004A1E82">
        <w:t>, and in some cases even then</w:t>
      </w:r>
      <w:r w:rsidRPr="004C1622">
        <w:t>.</w:t>
      </w:r>
    </w:p>
    <w:p w:rsidR="0005192B" w:rsidRPr="004C1622" w:rsidRDefault="00F656B6" w:rsidP="004C1622">
      <w:pPr>
        <w:spacing w:line="480" w:lineRule="auto"/>
        <w:ind w:firstLine="720"/>
      </w:pPr>
      <w:proofErr w:type="gramStart"/>
      <w:r w:rsidRPr="004C1622">
        <w:t xml:space="preserve">Previous research (Frankel, 2011; Frankel and Schreger, 2013) studies forecasts of real growth rates and budget balances made by official government agencies among </w:t>
      </w:r>
      <w:r w:rsidR="00552E57" w:rsidRPr="004C1622">
        <w:t>24 countries [or up to 34 in some cases, mostly over the period 1999-2011]</w:t>
      </w:r>
      <w:r w:rsidRPr="004C1622">
        <w:t>.</w:t>
      </w:r>
      <w:proofErr w:type="gramEnd"/>
      <w:r w:rsidRPr="004C1622">
        <w:t xml:space="preserve">  In general, the forecasts are found: (i) to have a positive average bias, (ii) to be more biased in booms, (iii) to be even more biased at the 3-year horizon than at shorter horizons.    This over-optimism in official forecasts can help explain excessive budget deficits:   if rapid growth is expected, retrenchment is treated as unnecessary.  Many believe that better fiscal policy can be obtained by means of rules such as ceilings for the deficit or, better yet, the structural deficit.  But we also find: (</w:t>
      </w:r>
      <w:proofErr w:type="gramStart"/>
      <w:r w:rsidRPr="004C1622">
        <w:t>iv</w:t>
      </w:r>
      <w:proofErr w:type="gramEnd"/>
      <w:r w:rsidRPr="004C1622">
        <w:t xml:space="preserve">) countries subject to a budget rule, in the form of euroland’s Stability and Growth Path, make official forecasts of growth and budget deficits that are even more biased.  This effect may help explain frequent violations of the SGP.  </w:t>
      </w:r>
    </w:p>
    <w:p w:rsidR="0005192B" w:rsidRPr="004C1622" w:rsidRDefault="00F656B6" w:rsidP="004C1622">
      <w:pPr>
        <w:spacing w:line="480" w:lineRule="auto"/>
        <w:ind w:firstLine="720"/>
      </w:pPr>
      <w:r w:rsidRPr="004C1622">
        <w:t xml:space="preserve">The question becomes how to overcome governments’ tendency to satisfy fiscal targets by wishful thinking rather than by action.   One possibility is a rule whereby the government must use </w:t>
      </w:r>
      <w:r w:rsidR="0086532B" w:rsidRPr="004C1622">
        <w:t xml:space="preserve">in its fiscal planning process </w:t>
      </w:r>
      <w:r w:rsidRPr="004C1622">
        <w:t>forecasts coming from the private sector or some other independent body</w:t>
      </w:r>
      <w:r w:rsidR="0086532B" w:rsidRPr="004C1622">
        <w:t xml:space="preserve"> that is insulated from political pressures or the temptations of wishful thinking.</w:t>
      </w:r>
    </w:p>
    <w:p w:rsidR="0005192B" w:rsidRPr="004C1622" w:rsidRDefault="0086532B" w:rsidP="004C1622">
      <w:pPr>
        <w:spacing w:line="480" w:lineRule="auto"/>
      </w:pPr>
      <w:r w:rsidRPr="004C1622">
        <w:t xml:space="preserve">(Chile instituted such a system </w:t>
      </w:r>
      <w:r w:rsidR="00F656B6" w:rsidRPr="004C1622">
        <w:t>in 2000</w:t>
      </w:r>
      <w:r w:rsidRPr="004C1622">
        <w:t>.  This presumably explains why its budget forecasts have not been overly optimistic, even in booms</w:t>
      </w:r>
      <w:r w:rsidR="00CD3ED1" w:rsidRPr="004C1622">
        <w:t>.</w:t>
      </w:r>
      <w:r w:rsidR="005031FA" w:rsidRPr="004C1622">
        <w:rPr>
          <w:rStyle w:val="FootnoteReference"/>
        </w:rPr>
        <w:footnoteReference w:id="3"/>
      </w:r>
      <w:r w:rsidR="00CD3ED1" w:rsidRPr="004C1622">
        <w:t>)</w:t>
      </w:r>
    </w:p>
    <w:p w:rsidR="00C93653" w:rsidRPr="004C1622" w:rsidRDefault="00CD3ED1" w:rsidP="004C1622">
      <w:pPr>
        <w:spacing w:line="480" w:lineRule="auto"/>
        <w:ind w:firstLine="720"/>
      </w:pPr>
      <w:r w:rsidRPr="004C1622">
        <w:t xml:space="preserve">When governments are overly optimistic, subsequent realized budget deficits turn out to be larger than projected and realized surpluses are smaller.   If no one used the forecasts for anything, then these mistakes would not matter even though they are systematic.  But the forecasts of the </w:t>
      </w:r>
      <w:r w:rsidRPr="004C1622">
        <w:lastRenderedPageBreak/>
        <w:t>budget or economic agency within each government are used as the basis for fiscal planning. If the forecast is for a strong budget, tax parameters and spending policies are likely to be eased accordingly.  Thus the excessive optimism in forecasts can help explain excessive deficits in practice.   (Returning to the case of Chile, its avoidance of overly optimistic forecasts may explain</w:t>
      </w:r>
      <w:r w:rsidR="0086532B" w:rsidRPr="004C1622">
        <w:t xml:space="preserve"> why it was able to take advantage of the 2000-2008 </w:t>
      </w:r>
      <w:proofErr w:type="gramStart"/>
      <w:r w:rsidR="0086532B" w:rsidRPr="004C1622">
        <w:t>boom</w:t>
      </w:r>
      <w:proofErr w:type="gramEnd"/>
      <w:r w:rsidR="0086532B" w:rsidRPr="004C1622">
        <w:t xml:space="preserve"> to run a surplus</w:t>
      </w:r>
      <w:r w:rsidRPr="004C1622">
        <w:t>, when so many other countries did not</w:t>
      </w:r>
      <w:r w:rsidR="0086532B" w:rsidRPr="004C1622">
        <w:t xml:space="preserve">.) </w:t>
      </w:r>
    </w:p>
    <w:p w:rsidR="00C93653" w:rsidRPr="0079708D" w:rsidRDefault="001A159C" w:rsidP="004C1622">
      <w:pPr>
        <w:spacing w:line="480" w:lineRule="auto"/>
        <w:ind w:firstLine="720"/>
      </w:pPr>
      <w:r w:rsidRPr="0079708D">
        <w:t xml:space="preserve">The present paper seeks further progress on these issues by </w:t>
      </w:r>
      <w:r w:rsidR="00D168A6">
        <w:t>expanding the data set in crucial ways.   Mo</w:t>
      </w:r>
      <w:r w:rsidR="008A3EF6">
        <w:t>st</w:t>
      </w:r>
      <w:r w:rsidR="00D168A6">
        <w:t xml:space="preserve"> importantly, it </w:t>
      </w:r>
      <w:r w:rsidRPr="0079708D">
        <w:t>bring</w:t>
      </w:r>
      <w:r w:rsidR="00D168A6">
        <w:t xml:space="preserve">s data on private sector forecasts together with </w:t>
      </w:r>
      <w:r w:rsidR="00066743">
        <w:t>the official</w:t>
      </w:r>
      <w:r w:rsidR="00D168A6">
        <w:t xml:space="preserve"> government forecasts.  The resulting extension of the analysis helps answer two important questions.   First, might the earlier findings of over-optimism be explained by one major historical event,</w:t>
      </w:r>
      <w:r w:rsidR="008A3EF6">
        <w:t xml:space="preserve"> </w:t>
      </w:r>
      <w:r w:rsidR="00D168A6">
        <w:t xml:space="preserve">the severe global financial crisis and recession that began in 2008 and which everyone underestimated?  </w:t>
      </w:r>
      <w:r w:rsidR="007E6AAD">
        <w:t>More generally, w</w:t>
      </w:r>
      <w:r w:rsidR="00D168A6">
        <w:t xml:space="preserve">hen the time sample is short, </w:t>
      </w:r>
      <w:r w:rsidR="007E6AAD">
        <w:t>results based on ex post realizations can be too sensitive to particular historical outcomes.</w:t>
      </w:r>
      <w:r w:rsidR="00D168A6">
        <w:t xml:space="preserve"> </w:t>
      </w:r>
      <w:r w:rsidR="007E6AAD">
        <w:t xml:space="preserve">  Private sector forecasts offer an alternative standard by which to judge the performance of official forecasts </w:t>
      </w:r>
      <w:r w:rsidR="00066743">
        <w:t>and less</w:t>
      </w:r>
      <w:r w:rsidR="007E6AAD">
        <w:t xml:space="preserve"> sensitive to historically volatile ex post outcomes.</w:t>
      </w:r>
      <w:r w:rsidR="00D168A6">
        <w:t xml:space="preserve">    </w:t>
      </w:r>
      <w:r w:rsidR="00066743">
        <w:t xml:space="preserve">Second, if the reform proposal is that governments should use in the budget-making process independent projections such as those by private forecasters, what better way to test it than to see if private forecasters suffer from optimism bias as badly as the government forecasters?   </w:t>
      </w:r>
    </w:p>
    <w:p w:rsidR="001D447D" w:rsidRDefault="001D447D" w:rsidP="004C1622">
      <w:pPr>
        <w:spacing w:line="480" w:lineRule="auto"/>
      </w:pPr>
      <w:r>
        <w:tab/>
        <w:t>We have three main results</w:t>
      </w:r>
      <w:r w:rsidR="00DE0D35">
        <w:t xml:space="preserve">, for a sample of 31 countries during </w:t>
      </w:r>
      <w:r w:rsidR="00A53E95">
        <w:t xml:space="preserve">sample periods that usually go up to </w:t>
      </w:r>
      <w:r w:rsidR="00DE0D35">
        <w:t xml:space="preserve">2012.  </w:t>
      </w:r>
      <w:r>
        <w:t xml:space="preserve"> First, official forecasters are more over-optimistic than private sector forecasters on average</w:t>
      </w:r>
      <w:r w:rsidR="004D22B5">
        <w:t xml:space="preserve"> at the two-year horizon for budget balances and at the one</w:t>
      </w:r>
      <w:proofErr w:type="gramStart"/>
      <w:r w:rsidR="006D5A86">
        <w:t>-</w:t>
      </w:r>
      <w:r w:rsidR="004D22B5">
        <w:t xml:space="preserve"> </w:t>
      </w:r>
      <w:r w:rsidR="006D5A86">
        <w:t xml:space="preserve"> </w:t>
      </w:r>
      <w:r w:rsidR="004D22B5">
        <w:t>and</w:t>
      </w:r>
      <w:proofErr w:type="gramEnd"/>
      <w:r w:rsidR="004D22B5">
        <w:t xml:space="preserve"> </w:t>
      </w:r>
      <w:r w:rsidR="008F055E">
        <w:t>two</w:t>
      </w:r>
      <w:r w:rsidR="006D5A86">
        <w:t>-</w:t>
      </w:r>
      <w:r w:rsidR="004D22B5">
        <w:t>year horizon for real GDP forecasts</w:t>
      </w:r>
      <w:r>
        <w:t>.  Second</w:t>
      </w:r>
      <w:r w:rsidR="004D22B5">
        <w:t xml:space="preserve">, </w:t>
      </w:r>
      <w:r w:rsidR="00611F22" w:rsidRPr="00866AA7">
        <w:t xml:space="preserve">the difference between the official forecast and the private forecast is positively correlated with the difference between the official forecast and the ex post realization, </w:t>
      </w:r>
      <w:r w:rsidR="00611F22" w:rsidRPr="00866AA7">
        <w:lastRenderedPageBreak/>
        <w:t>that is, the prediction error.</w:t>
      </w:r>
      <w:r w:rsidRPr="005031FA">
        <w:t xml:space="preserve">  Third</w:t>
      </w:r>
      <w:r>
        <w:t xml:space="preserve">, while euro area governments were </w:t>
      </w:r>
      <w:r w:rsidR="008A3EF6">
        <w:t xml:space="preserve">very </w:t>
      </w:r>
      <w:r>
        <w:t>reluctant to forecast violations of the 3% deficit/GDP cap in the Stability and Growth Pact</w:t>
      </w:r>
      <w:r w:rsidR="008A3EF6">
        <w:t xml:space="preserve"> during the period 1999-200</w:t>
      </w:r>
      <w:r w:rsidR="004D22B5">
        <w:t>7</w:t>
      </w:r>
      <w:r>
        <w:t xml:space="preserve">, private sector forecasters were not. </w:t>
      </w:r>
      <w:r w:rsidR="00050511">
        <w:t xml:space="preserve"> Together, these results suggest that incorporating private sector forecasts into the budget process could help countries stick to fiscal rules by identifying over-optimism ex ante rather than </w:t>
      </w:r>
      <w:proofErr w:type="gramStart"/>
      <w:r w:rsidR="00050511">
        <w:t>just</w:t>
      </w:r>
      <w:r w:rsidR="005C2138">
        <w:t xml:space="preserve"> </w:t>
      </w:r>
      <w:r w:rsidR="00050511">
        <w:t xml:space="preserve"> ex</w:t>
      </w:r>
      <w:proofErr w:type="gramEnd"/>
      <w:r w:rsidR="00050511">
        <w:t xml:space="preserve"> post. </w:t>
      </w:r>
    </w:p>
    <w:p w:rsidR="009454CF" w:rsidRDefault="009454CF" w:rsidP="004C1622">
      <w:pPr>
        <w:spacing w:line="480" w:lineRule="auto"/>
        <w:rPr>
          <w:b/>
        </w:rPr>
      </w:pPr>
    </w:p>
    <w:p w:rsidR="006A26DF" w:rsidRDefault="006A26DF" w:rsidP="004C1622">
      <w:pPr>
        <w:spacing w:line="480" w:lineRule="auto"/>
        <w:rPr>
          <w:b/>
        </w:rPr>
      </w:pPr>
      <w:r w:rsidRPr="006A26DF">
        <w:rPr>
          <w:b/>
        </w:rPr>
        <w:t xml:space="preserve"> Related Literature</w:t>
      </w:r>
    </w:p>
    <w:p w:rsidR="00C633F6" w:rsidRDefault="006A26DF" w:rsidP="004C1622">
      <w:pPr>
        <w:spacing w:line="480" w:lineRule="auto"/>
      </w:pPr>
      <w:r>
        <w:rPr>
          <w:b/>
        </w:rPr>
        <w:tab/>
      </w:r>
      <w:r>
        <w:t xml:space="preserve">Our work builds on a </w:t>
      </w:r>
      <w:r w:rsidR="008A3EF6">
        <w:t xml:space="preserve">moderately </w:t>
      </w:r>
      <w:r>
        <w:t xml:space="preserve">large literature that tries to understand bias in government forecasts. </w:t>
      </w:r>
      <w:proofErr w:type="spellStart"/>
      <w:r w:rsidR="00C83486">
        <w:t>Jonung</w:t>
      </w:r>
      <w:proofErr w:type="spellEnd"/>
      <w:r w:rsidR="00C83486">
        <w:t xml:space="preserve"> and Larch (2006) demonstrate that European Union </w:t>
      </w:r>
      <w:r w:rsidR="00066743">
        <w:t>countries</w:t>
      </w:r>
      <w:r w:rsidR="00C83486">
        <w:t xml:space="preserve"> have overly optimistic forecasts and propose independent budget forecasting as a remedy. </w:t>
      </w:r>
      <w:proofErr w:type="spellStart"/>
      <w:r w:rsidR="007455D8">
        <w:t>Debrun</w:t>
      </w:r>
      <w:proofErr w:type="spellEnd"/>
      <w:r w:rsidR="007455D8">
        <w:t xml:space="preserve"> </w:t>
      </w:r>
      <w:proofErr w:type="gramStart"/>
      <w:r w:rsidR="007455D8">
        <w:t>et</w:t>
      </w:r>
      <w:proofErr w:type="gramEnd"/>
      <w:r w:rsidR="007455D8">
        <w:t xml:space="preserve">. al. (2009) survey the literature on the performance of independent fiscal agencies. </w:t>
      </w:r>
      <w:proofErr w:type="spellStart"/>
      <w:r>
        <w:t>Merola</w:t>
      </w:r>
      <w:proofErr w:type="spellEnd"/>
      <w:r>
        <w:t xml:space="preserve"> and Perez (2012) compare the forecasts of European governments in their Stability and Convergence Programs (SCPs) to the forecasts made by the European Commission (EC)</w:t>
      </w:r>
      <w:r w:rsidR="00545D27">
        <w:t>;</w:t>
      </w:r>
      <w:r>
        <w:t xml:space="preserve"> </w:t>
      </w:r>
      <w:r w:rsidR="00545D27">
        <w:t>t</w:t>
      </w:r>
      <w:r w:rsidR="005C2138">
        <w:t>hey</w:t>
      </w:r>
      <w:r>
        <w:t xml:space="preserve"> find that the forecasts made by the EC are no better than those made by national governments and </w:t>
      </w:r>
      <w:r w:rsidR="005C2138">
        <w:t>are</w:t>
      </w:r>
      <w:r>
        <w:t xml:space="preserve"> affected </w:t>
      </w:r>
      <w:r w:rsidR="005C2138">
        <w:t xml:space="preserve">similarly </w:t>
      </w:r>
      <w:r>
        <w:t xml:space="preserve">by political economy factors, such as over-optimism in budget years.  </w:t>
      </w:r>
      <w:proofErr w:type="spellStart"/>
      <w:r>
        <w:t>Beetsma</w:t>
      </w:r>
      <w:proofErr w:type="spellEnd"/>
      <w:r>
        <w:t xml:space="preserve"> </w:t>
      </w:r>
      <w:proofErr w:type="gramStart"/>
      <w:r>
        <w:t>et</w:t>
      </w:r>
      <w:proofErr w:type="gramEnd"/>
      <w:r>
        <w:t>. al. (2012) also analyze the sources of national budget forecast errors from national SCPs and find that political factors</w:t>
      </w:r>
      <w:r w:rsidR="00BC5450">
        <w:t>, specifically upcoming elections,</w:t>
      </w:r>
      <w:r>
        <w:t xml:space="preserve"> play a role in </w:t>
      </w:r>
      <w:r w:rsidR="00BC5450">
        <w:t xml:space="preserve">explaining government over-optimism.  Pina and </w:t>
      </w:r>
      <w:proofErr w:type="spellStart"/>
      <w:r w:rsidR="00BC5450">
        <w:t>Venes</w:t>
      </w:r>
      <w:proofErr w:type="spellEnd"/>
      <w:r w:rsidR="00BC5450">
        <w:t xml:space="preserve"> (2011) also point to the importance of upcoming elections in over-</w:t>
      </w:r>
      <w:r w:rsidR="005C2138">
        <w:t>optimism</w:t>
      </w:r>
      <w:r w:rsidR="002F06AD">
        <w:t xml:space="preserve">. </w:t>
      </w:r>
      <w:proofErr w:type="spellStart"/>
      <w:r w:rsidR="00BC5450">
        <w:t>Beetsma</w:t>
      </w:r>
      <w:proofErr w:type="spellEnd"/>
      <w:r w:rsidR="00BC5450">
        <w:t xml:space="preserve"> </w:t>
      </w:r>
      <w:proofErr w:type="gramStart"/>
      <w:r w:rsidR="00BC5450">
        <w:t>et</w:t>
      </w:r>
      <w:proofErr w:type="gramEnd"/>
      <w:r w:rsidR="00BC5450">
        <w:t>. al. break the budget forecasts into an implementation error, the difference between the initial projection in the budget and the preliminary figures calculated at the end of that fiscal year, and the revision error, or the difference between the preliminary measure and the final statistic.  The authors find that implementation errors are driven by overly optimistic</w:t>
      </w:r>
      <w:r w:rsidR="00B43592">
        <w:t xml:space="preserve"> expenditure projections, where</w:t>
      </w:r>
      <w:r w:rsidR="00BC5450">
        <w:t xml:space="preserve">as revision errors are driven by overly optimistic revenue forecasts. </w:t>
      </w:r>
      <w:r w:rsidR="00E237F4">
        <w:t xml:space="preserve">  </w:t>
      </w:r>
      <w:r w:rsidR="00066743">
        <w:lastRenderedPageBreak/>
        <w:t xml:space="preserve">Frankel (2011) shows across a cross-section of countries that government forecasts are overly optimistic in booms.  </w:t>
      </w:r>
      <w:r w:rsidR="00C633F6">
        <w:t>Frankel and Schreger (2013) find that euro area countries are much less likely to forecast a breach of the 3% limit but are no less likel</w:t>
      </w:r>
      <w:r w:rsidR="005C2138">
        <w:t xml:space="preserve">y actually </w:t>
      </w:r>
      <w:r w:rsidR="00A93827">
        <w:t xml:space="preserve">to </w:t>
      </w:r>
      <w:r w:rsidR="005C2138">
        <w:t xml:space="preserve">breach the limit. Pina and </w:t>
      </w:r>
      <w:proofErr w:type="spellStart"/>
      <w:r w:rsidR="005C2138">
        <w:t>Venes</w:t>
      </w:r>
      <w:proofErr w:type="spellEnd"/>
      <w:r w:rsidR="005C2138">
        <w:t xml:space="preserve"> (2011) find a similar result.</w:t>
      </w:r>
    </w:p>
    <w:p w:rsidR="006A26DF" w:rsidRPr="00B20A9E" w:rsidRDefault="00C633F6" w:rsidP="004C1622">
      <w:pPr>
        <w:spacing w:line="480" w:lineRule="auto"/>
      </w:pPr>
      <w:r>
        <w:tab/>
      </w:r>
      <w:proofErr w:type="spellStart"/>
      <w:r w:rsidR="00E237F4">
        <w:t>Boylan</w:t>
      </w:r>
      <w:proofErr w:type="spellEnd"/>
      <w:r w:rsidR="00E237F4">
        <w:t xml:space="preserve"> (2008) examines the forecasting behavior of individual US state governments and finds an election year bias. Bischoff and </w:t>
      </w:r>
      <w:proofErr w:type="spellStart"/>
      <w:r w:rsidR="00E237F4">
        <w:t>Gohout</w:t>
      </w:r>
      <w:proofErr w:type="spellEnd"/>
      <w:r w:rsidR="00E237F4">
        <w:t xml:space="preserve"> (2010) undertake a similar exercise </w:t>
      </w:r>
      <w:r w:rsidR="00856331">
        <w:t>for</w:t>
      </w:r>
      <w:r w:rsidR="00E237F4">
        <w:t xml:space="preserve"> West German States.</w:t>
      </w:r>
      <w:r w:rsidR="00AB2C07">
        <w:t xml:space="preserve">   </w:t>
      </w:r>
      <w:proofErr w:type="spellStart"/>
      <w:r w:rsidR="00AB2C07">
        <w:t>Beetsma</w:t>
      </w:r>
      <w:proofErr w:type="spellEnd"/>
      <w:r w:rsidR="00AB2C07">
        <w:t xml:space="preserve"> </w:t>
      </w:r>
      <w:proofErr w:type="gramStart"/>
      <w:r w:rsidR="00AB2C07">
        <w:t>et</w:t>
      </w:r>
      <w:proofErr w:type="gramEnd"/>
      <w:r w:rsidR="00AB2C07">
        <w:t>. al. (2013) stud</w:t>
      </w:r>
      <w:r w:rsidR="00A93827">
        <w:t>y</w:t>
      </w:r>
      <w:r w:rsidR="00AB2C07">
        <w:t xml:space="preserve"> budget forecasting in the Netherlands from 1958-2009 and find that the plans are on unbiased </w:t>
      </w:r>
      <w:r w:rsidR="00856331">
        <w:t>on average.</w:t>
      </w:r>
      <w:r w:rsidR="00AB2C07">
        <w:t xml:space="preserve"> </w:t>
      </w:r>
    </w:p>
    <w:p w:rsidR="00B20A9E" w:rsidRDefault="00BC5450" w:rsidP="004C1622">
      <w:pPr>
        <w:spacing w:line="480" w:lineRule="auto"/>
      </w:pPr>
      <w:r>
        <w:rPr>
          <w:b/>
        </w:rPr>
        <w:tab/>
      </w:r>
      <w:proofErr w:type="spellStart"/>
      <w:r>
        <w:t>Muhleisen</w:t>
      </w:r>
      <w:proofErr w:type="spellEnd"/>
      <w:r>
        <w:t xml:space="preserve"> </w:t>
      </w:r>
      <w:proofErr w:type="gramStart"/>
      <w:r>
        <w:t>et</w:t>
      </w:r>
      <w:proofErr w:type="gramEnd"/>
      <w:r>
        <w:t xml:space="preserve">. al. (2005) </w:t>
      </w:r>
      <w:proofErr w:type="gramStart"/>
      <w:r>
        <w:t>compare</w:t>
      </w:r>
      <w:proofErr w:type="gramEnd"/>
      <w:r>
        <w:t xml:space="preserve"> the forecasting </w:t>
      </w:r>
      <w:r w:rsidR="00407A72">
        <w:t>of</w:t>
      </w:r>
      <w:r>
        <w:t xml:space="preserve"> Canada to that of other developed economies and find that countries with fiscal rules and strong budgetary institutions are more successful in their budget forecasting. </w:t>
      </w:r>
      <w:r w:rsidR="00B20A9E">
        <w:t xml:space="preserve"> </w:t>
      </w:r>
      <w:proofErr w:type="spellStart"/>
      <w:r w:rsidR="00B20A9E">
        <w:t>Poplawski</w:t>
      </w:r>
      <w:proofErr w:type="spellEnd"/>
      <w:r w:rsidR="00B20A9E">
        <w:t xml:space="preserve">-Ribeiro and </w:t>
      </w:r>
      <w:proofErr w:type="spellStart"/>
      <w:r w:rsidR="00B20A9E">
        <w:t>Rulke</w:t>
      </w:r>
      <w:proofErr w:type="spellEnd"/>
      <w:r w:rsidR="00B20A9E">
        <w:t xml:space="preserve"> (2011) use the same </w:t>
      </w:r>
      <w:r w:rsidR="00407A72">
        <w:t>private sector</w:t>
      </w:r>
      <w:r w:rsidR="00B20A9E">
        <w:t xml:space="preserve"> forecast data that we do, and examine whether </w:t>
      </w:r>
      <w:r w:rsidR="00407A72">
        <w:t>adoption of the SGP</w:t>
      </w:r>
      <w:r w:rsidR="00B20A9E">
        <w:t xml:space="preserve"> leads private, national and EC forecasts to converge</w:t>
      </w:r>
      <w:r w:rsidR="004D22B5">
        <w:t xml:space="preserve"> and find mixed results.</w:t>
      </w:r>
    </w:p>
    <w:p w:rsidR="009454CF" w:rsidRDefault="00B20A9E" w:rsidP="004C1622">
      <w:pPr>
        <w:spacing w:line="480" w:lineRule="auto"/>
      </w:pPr>
      <w:r>
        <w:tab/>
      </w:r>
    </w:p>
    <w:p w:rsidR="009454CF" w:rsidRPr="00B87873" w:rsidRDefault="009454CF" w:rsidP="004C1622">
      <w:pPr>
        <w:spacing w:line="480" w:lineRule="auto"/>
        <w:rPr>
          <w:b/>
        </w:rPr>
      </w:pPr>
      <w:r w:rsidRPr="00B87873">
        <w:rPr>
          <w:b/>
        </w:rPr>
        <w:t>Data</w:t>
      </w:r>
      <w:r w:rsidR="008A3EF6" w:rsidRPr="00B87873">
        <w:rPr>
          <w:b/>
        </w:rPr>
        <w:t xml:space="preserve"> on Private Forecasts</w:t>
      </w:r>
    </w:p>
    <w:p w:rsidR="008A3EF6" w:rsidRDefault="009454CF" w:rsidP="004C1622">
      <w:pPr>
        <w:spacing w:line="480" w:lineRule="auto"/>
      </w:pPr>
      <w:r w:rsidRPr="009454CF">
        <w:tab/>
        <w:t>In this paper</w:t>
      </w:r>
      <w:r>
        <w:t xml:space="preserve">, we use three types of data: government forecasts from national budgets, private sector forecasts, and realizations from international organizations and national sources. </w:t>
      </w:r>
      <w:r w:rsidR="008A3EF6">
        <w:rPr>
          <w:rStyle w:val="FootnoteReference"/>
        </w:rPr>
        <w:footnoteReference w:id="4"/>
      </w:r>
      <w:r w:rsidR="000A106C">
        <w:t xml:space="preserve">  </w:t>
      </w:r>
      <w:r w:rsidR="008A3EF6">
        <w:t xml:space="preserve">  The most important respect in which we seek to improve on earlier research is the use of the private sector forecasts.</w:t>
      </w:r>
    </w:p>
    <w:p w:rsidR="00115798" w:rsidRDefault="000A106C" w:rsidP="004C1622">
      <w:pPr>
        <w:spacing w:line="480" w:lineRule="auto"/>
      </w:pPr>
      <w:r>
        <w:tab/>
        <w:t xml:space="preserve">Our private sector forecasts come from </w:t>
      </w:r>
      <w:r w:rsidR="001A159C" w:rsidRPr="0079708D">
        <w:rPr>
          <w:i/>
        </w:rPr>
        <w:t>Consensus Economics</w:t>
      </w:r>
      <w:r>
        <w:t xml:space="preserve">.  </w:t>
      </w:r>
      <w:r w:rsidR="00066743">
        <w:t xml:space="preserve">Every month, </w:t>
      </w:r>
      <w:r w:rsidR="001A159C" w:rsidRPr="0079708D">
        <w:rPr>
          <w:i/>
        </w:rPr>
        <w:t>Consensus Economics</w:t>
      </w:r>
      <w:r w:rsidR="00066743">
        <w:t xml:space="preserve"> surveys a number of private sector forecasters for their one- and two-year ahead forecasts about a number of macroeconomic variables. </w:t>
      </w:r>
      <w:r w:rsidR="003F37CD">
        <w:t xml:space="preserve">Here, we examine </w:t>
      </w:r>
      <w:r w:rsidR="00115798">
        <w:t xml:space="preserve">forecasts of </w:t>
      </w:r>
      <w:r w:rsidR="003F37CD">
        <w:t xml:space="preserve">real GDP and </w:t>
      </w:r>
      <w:r w:rsidR="00115798">
        <w:lastRenderedPageBreak/>
        <w:t xml:space="preserve">the </w:t>
      </w:r>
      <w:r w:rsidR="003F37CD">
        <w:t xml:space="preserve">budget balance.  </w:t>
      </w:r>
      <w:r w:rsidR="001A159C" w:rsidRPr="0079708D">
        <w:rPr>
          <w:i/>
        </w:rPr>
        <w:t>Consensus</w:t>
      </w:r>
      <w:r>
        <w:t xml:space="preserve"> poll</w:t>
      </w:r>
      <w:r w:rsidR="003F37CD">
        <w:t>s</w:t>
      </w:r>
      <w:r>
        <w:t xml:space="preserve"> private sector forecasters </w:t>
      </w:r>
      <w:r w:rsidR="006D5A86">
        <w:t xml:space="preserve">more commonly </w:t>
      </w:r>
      <w:r>
        <w:t xml:space="preserve">on Real GDP growth than </w:t>
      </w:r>
      <w:r w:rsidR="006D5A86">
        <w:t xml:space="preserve">on </w:t>
      </w:r>
      <w:r>
        <w:t xml:space="preserve">the budget balance, limiting the size of our </w:t>
      </w:r>
      <w:r w:rsidR="003F37CD">
        <w:t xml:space="preserve">budget balance </w:t>
      </w:r>
      <w:r>
        <w:t>sample</w:t>
      </w:r>
      <w:r w:rsidR="003F37CD">
        <w:t xml:space="preserve"> and leading to different country and </w:t>
      </w:r>
      <w:proofErr w:type="gramStart"/>
      <w:r w:rsidR="003F37CD">
        <w:t>years</w:t>
      </w:r>
      <w:proofErr w:type="gramEnd"/>
      <w:r w:rsidR="003F37CD">
        <w:t xml:space="preserve"> coverage across the variables</w:t>
      </w:r>
      <w:r>
        <w:t xml:space="preserve">.  </w:t>
      </w:r>
    </w:p>
    <w:p w:rsidR="00C93653" w:rsidRDefault="000A106C" w:rsidP="004C1622">
      <w:pPr>
        <w:spacing w:line="480" w:lineRule="auto"/>
        <w:ind w:firstLine="720"/>
      </w:pPr>
      <w:r>
        <w:t>In addition</w:t>
      </w:r>
      <w:r w:rsidR="006D5A86">
        <w:t>,</w:t>
      </w:r>
      <w:r>
        <w:t xml:space="preserve"> for many countries private forecasters forecast the size of the budget balance in terms </w:t>
      </w:r>
      <w:r w:rsidR="00066743">
        <w:t>of local</w:t>
      </w:r>
      <w:r>
        <w:t xml:space="preserve"> currency, rather than as a percentage of GDP.  In these cases, we create a private sector forecast for the deficit/GDP</w:t>
      </w:r>
      <w:r w:rsidR="0022529B">
        <w:t xml:space="preserve"> ratio</w:t>
      </w:r>
      <w:r>
        <w:t xml:space="preserve"> by first estimating the implied private sector forecast for the level of nominal GDP.  We take the previous year’s nominal GDP and multiply it by (1+Real GDP Growth Rate Forecast)*(1+Inflation rate forecast). </w:t>
      </w:r>
    </w:p>
    <w:p w:rsidR="00C93653" w:rsidRDefault="000A106C" w:rsidP="004C1622">
      <w:pPr>
        <w:spacing w:line="480" w:lineRule="auto"/>
        <w:ind w:firstLine="720"/>
      </w:pPr>
      <w:r>
        <w:t>Unfortunately, GDP deflator forecasts are unavailable and so we use CPI inflation for the inflation rate.  For the two</w:t>
      </w:r>
      <w:r w:rsidR="00115798">
        <w:t>-</w:t>
      </w:r>
      <w:r>
        <w:t>year ahead nominal GDP forecast</w:t>
      </w:r>
      <w:r w:rsidR="0022529B">
        <w:t>s</w:t>
      </w:r>
      <w:r>
        <w:t>, we multiply our one year ahead estimate by one plus the two</w:t>
      </w:r>
      <w:r w:rsidR="00115798">
        <w:t>-</w:t>
      </w:r>
      <w:r>
        <w:t>year ahead Real GDP Growth Rate Forecast and one plus the two</w:t>
      </w:r>
      <w:r w:rsidR="00115798">
        <w:t>-</w:t>
      </w:r>
      <w:r>
        <w:t>year ahead inflation rate.  We then divide the budget balance forecast (in levels) by our estimated nominal GDP forecasts.</w:t>
      </w:r>
      <w:r w:rsidR="004611BA">
        <w:t xml:space="preserve">   In the case of countries where the fiscal year differs from the calendar year but only private sector calendar year GDP growth and inflation forecasts are available, we collect official forecast data </w:t>
      </w:r>
      <w:r w:rsidR="00505627">
        <w:t xml:space="preserve">on the level of the budget deficit and divide both the official and private sector forecasts by realized GDP.  </w:t>
      </w:r>
      <w:r w:rsidR="00115798">
        <w:t>Although</w:t>
      </w:r>
      <w:r w:rsidR="00505627">
        <w:t xml:space="preserve"> this means that </w:t>
      </w:r>
      <w:r w:rsidR="0090203C">
        <w:t xml:space="preserve">these countries are treated slightly differently than the others, within each country the treatment is identical </w:t>
      </w:r>
      <w:r w:rsidR="0022529B">
        <w:t>across private and official forecasts, minimizing the potential bias</w:t>
      </w:r>
      <w:r w:rsidR="0090203C">
        <w:t xml:space="preserve">. The annual variation in the level of GDP is much smaller than the variation in the level of the budget deficit.  </w:t>
      </w:r>
      <w:r w:rsidR="004C1622">
        <w:t>(</w:t>
      </w:r>
      <w:r w:rsidR="0090203C">
        <w:t xml:space="preserve">The countries with fiscal years </w:t>
      </w:r>
      <w:r w:rsidR="003858B9">
        <w:t xml:space="preserve">other than the calendar year </w:t>
      </w:r>
      <w:r w:rsidR="0090203C">
        <w:t>are Australia, Canada, New Zealand, the United States and the UK</w:t>
      </w:r>
      <w:r w:rsidR="004C1622">
        <w:t>.)</w:t>
      </w:r>
    </w:p>
    <w:p w:rsidR="001A3303" w:rsidRDefault="003749FE" w:rsidP="004C1622">
      <w:pPr>
        <w:spacing w:line="480" w:lineRule="auto"/>
      </w:pPr>
      <w:r>
        <w:tab/>
        <w:t xml:space="preserve">In order to make sure our private and official forecasts are comparable, we match the two forecasts by the date the forecast was made. </w:t>
      </w:r>
      <w:r w:rsidR="007B6C50">
        <w:t xml:space="preserve"> Every month, </w:t>
      </w:r>
      <w:r w:rsidR="001A159C" w:rsidRPr="0079708D">
        <w:rPr>
          <w:i/>
        </w:rPr>
        <w:t>Consensus</w:t>
      </w:r>
      <w:r w:rsidR="007B6C50">
        <w:t xml:space="preserve"> releases two sets of forecast</w:t>
      </w:r>
      <w:r w:rsidR="00E474EA">
        <w:t>s</w:t>
      </w:r>
      <w:r w:rsidR="007B6C50">
        <w:t xml:space="preserve"> for the two upcoming years.  The forecasts are not for a fixed horizon, but rather forecast</w:t>
      </w:r>
      <w:r w:rsidR="0022529B">
        <w:t xml:space="preserve"> </w:t>
      </w:r>
      <w:r w:rsidR="007B6C50">
        <w:t xml:space="preserve">a given </w:t>
      </w:r>
      <w:r w:rsidR="007B6C50">
        <w:lastRenderedPageBreak/>
        <w:t xml:space="preserve">variable for a given year.  For instance, in the January 2003 release of </w:t>
      </w:r>
      <w:r w:rsidR="001A159C" w:rsidRPr="0079708D">
        <w:rPr>
          <w:i/>
        </w:rPr>
        <w:t>Consensus Economics</w:t>
      </w:r>
      <w:r w:rsidR="007B6C50">
        <w:t xml:space="preserve">, </w:t>
      </w:r>
      <w:r w:rsidR="00E474EA">
        <w:t>respondents</w:t>
      </w:r>
      <w:r w:rsidR="007B6C50">
        <w:t xml:space="preserve"> will forecast French </w:t>
      </w:r>
      <w:r w:rsidR="0022529B">
        <w:t>real GDP growth</w:t>
      </w:r>
      <w:r w:rsidR="007B6C50">
        <w:t xml:space="preserve"> for</w:t>
      </w:r>
      <w:r w:rsidR="0022529B">
        <w:t xml:space="preserve"> the</w:t>
      </w:r>
      <w:r w:rsidR="007B6C50">
        <w:t xml:space="preserve"> 2003 and 2004</w:t>
      </w:r>
      <w:r w:rsidR="0022529B">
        <w:t xml:space="preserve"> calendar years</w:t>
      </w:r>
      <w:r w:rsidR="007B6C50">
        <w:t xml:space="preserve">. In February 2003, the same variables will be forecast, but now instead of being 12 and 24 month forecasts, they are 11 and 23 month forecasts. In contrast, our government forecasts are made only once a year in the official budget document.   We match private and official forecasts so that there is at most a 3 month gap between their forecast dates. </w:t>
      </w:r>
      <w:r w:rsidR="004611BA">
        <w:t xml:space="preserve"> </w:t>
      </w:r>
      <w:r w:rsidR="004516FA">
        <w:t>77.7</w:t>
      </w:r>
      <w:r w:rsidR="004611BA">
        <w:t xml:space="preserve">% of our matches are exact to the month, </w:t>
      </w:r>
      <w:r w:rsidR="004516FA">
        <w:t>15.0</w:t>
      </w:r>
      <w:r w:rsidR="004611BA">
        <w:t>% differ by one month</w:t>
      </w:r>
      <w:proofErr w:type="gramStart"/>
      <w:r w:rsidR="004611BA">
        <w:t xml:space="preserve">, </w:t>
      </w:r>
      <w:r w:rsidR="004516FA">
        <w:t xml:space="preserve"> 6.4</w:t>
      </w:r>
      <w:proofErr w:type="gramEnd"/>
      <w:r w:rsidR="004611BA">
        <w:t>% differ by two months</w:t>
      </w:r>
      <w:r w:rsidR="00066743">
        <w:t>, and</w:t>
      </w:r>
      <w:r w:rsidR="004611BA">
        <w:t xml:space="preserve"> </w:t>
      </w:r>
      <w:r w:rsidR="004516FA">
        <w:t>0.9</w:t>
      </w:r>
      <w:r w:rsidR="004611BA">
        <w:t xml:space="preserve">% differ by 3 months for budget deficit forecasts.  For real GDP growth rate forecasts, </w:t>
      </w:r>
      <w:r w:rsidR="004516FA">
        <w:t>71.4</w:t>
      </w:r>
      <w:r w:rsidR="004611BA">
        <w:t xml:space="preserve">% of matches are exact, </w:t>
      </w:r>
      <w:r w:rsidR="004516FA">
        <w:t>19.2</w:t>
      </w:r>
      <w:r w:rsidR="004611BA">
        <w:t xml:space="preserve">% differ by one month, </w:t>
      </w:r>
      <w:r w:rsidR="004516FA">
        <w:t>8.8</w:t>
      </w:r>
      <w:r w:rsidR="004611BA">
        <w:t xml:space="preserve">% differ by two months, and </w:t>
      </w:r>
      <w:r w:rsidR="004516FA">
        <w:t>0.6</w:t>
      </w:r>
      <w:r w:rsidR="004611BA">
        <w:t xml:space="preserve">% </w:t>
      </w:r>
      <w:proofErr w:type="gramStart"/>
      <w:r w:rsidR="004611BA">
        <w:t>differ</w:t>
      </w:r>
      <w:proofErr w:type="gramEnd"/>
      <w:r w:rsidR="004611BA">
        <w:t xml:space="preserve"> by 3 months.  Only one observation is used per country</w:t>
      </w:r>
      <w:r w:rsidR="0022529B">
        <w:t>-</w:t>
      </w:r>
      <w:r w:rsidR="004611BA">
        <w:t xml:space="preserve">year, and no matches with a horizon </w:t>
      </w:r>
      <w:r w:rsidR="0022529B">
        <w:t xml:space="preserve">difference </w:t>
      </w:r>
      <w:r w:rsidR="004611BA">
        <w:t xml:space="preserve">greater than 3 months are used. There still is the possibility that the forecasts were not made at the same time, as the official forecast date is the date that the budget was released whereas the private forecast date is the date that </w:t>
      </w:r>
      <w:r w:rsidR="001A159C" w:rsidRPr="0079708D">
        <w:rPr>
          <w:i/>
        </w:rPr>
        <w:t>Consensus</w:t>
      </w:r>
      <w:r w:rsidR="004611BA">
        <w:t xml:space="preserve"> polled the firms.  There is presumably a lag between when government forecasts are actually made and when the budget is released.  </w:t>
      </w:r>
    </w:p>
    <w:p w:rsidR="00B20A9E" w:rsidRPr="00B87873" w:rsidRDefault="001A3303" w:rsidP="004C1622">
      <w:pPr>
        <w:spacing w:line="480" w:lineRule="auto"/>
        <w:rPr>
          <w:b/>
          <w:sz w:val="28"/>
        </w:rPr>
      </w:pPr>
      <w:r>
        <w:tab/>
        <w:t xml:space="preserve">Table 1 summarizes the dataset.  Each column </w:t>
      </w:r>
      <w:r w:rsidR="00E474EA">
        <w:t>shows the</w:t>
      </w:r>
      <w:r>
        <w:t xml:space="preserve"> </w:t>
      </w:r>
      <w:r w:rsidR="004516FA">
        <w:t>first and last year we have a</w:t>
      </w:r>
      <w:r>
        <w:t xml:space="preserve"> matched private forecast, government forecast and realization.   The data</w:t>
      </w:r>
      <w:r w:rsidR="00E474EA">
        <w:t xml:space="preserve"> set</w:t>
      </w:r>
      <w:r>
        <w:t xml:space="preserve"> is </w:t>
      </w:r>
      <w:r w:rsidR="00EB38F2">
        <w:t>an</w:t>
      </w:r>
      <w:r>
        <w:t xml:space="preserve"> unbalanced panel with a different set of countries having Real GDP and budget balance forecasts.  </w:t>
      </w:r>
    </w:p>
    <w:p w:rsidR="0015688F" w:rsidRPr="006A26DF" w:rsidRDefault="0015688F" w:rsidP="004C1622">
      <w:pPr>
        <w:spacing w:line="480" w:lineRule="auto"/>
        <w:rPr>
          <w:b/>
        </w:rPr>
      </w:pPr>
    </w:p>
    <w:p w:rsidR="0015688F" w:rsidRPr="00B87873" w:rsidRDefault="0015688F" w:rsidP="004C1622">
      <w:pPr>
        <w:spacing w:line="480" w:lineRule="auto"/>
        <w:rPr>
          <w:b/>
        </w:rPr>
      </w:pPr>
      <w:r w:rsidRPr="00B87873">
        <w:rPr>
          <w:b/>
        </w:rPr>
        <w:t>What are the differences between private and official forecasts?</w:t>
      </w:r>
    </w:p>
    <w:p w:rsidR="00133C07" w:rsidRDefault="00A47BF3" w:rsidP="004C1622">
      <w:pPr>
        <w:spacing w:line="480" w:lineRule="auto"/>
      </w:pPr>
      <w:r w:rsidRPr="00A47BF3">
        <w:tab/>
        <w:t>Having constructed</w:t>
      </w:r>
      <w:r>
        <w:t xml:space="preserve"> a dataset combining </w:t>
      </w:r>
      <w:r w:rsidR="00874F1A">
        <w:t xml:space="preserve">the private and official forecasts, we then turn to understanding how the two sets of forecasts differ. </w:t>
      </w:r>
      <w:r w:rsidR="00A93D4E">
        <w:t>Here</w:t>
      </w:r>
      <w:r w:rsidR="00874F1A">
        <w:t xml:space="preserve">, we only use the mean private forecast in the </w:t>
      </w:r>
      <w:r w:rsidR="001A159C" w:rsidRPr="0079708D">
        <w:rPr>
          <w:i/>
        </w:rPr>
        <w:t>Consensus</w:t>
      </w:r>
      <w:r w:rsidR="00874F1A">
        <w:t xml:space="preserve"> dataset and compare it to the single official forecast.  In Table </w:t>
      </w:r>
      <w:r w:rsidR="00EB38F2">
        <w:t>2</w:t>
      </w:r>
      <w:r w:rsidR="00874F1A">
        <w:t>, we present the means, standard deviation and number of observations for dates w</w:t>
      </w:r>
      <w:r w:rsidR="0022529B">
        <w:t>h</w:t>
      </w:r>
      <w:r w:rsidR="00874F1A">
        <w:t xml:space="preserve">ere we were able to match the </w:t>
      </w:r>
      <w:r w:rsidR="001A159C" w:rsidRPr="0079708D">
        <w:rPr>
          <w:i/>
        </w:rPr>
        <w:lastRenderedPageBreak/>
        <w:t>Consensus</w:t>
      </w:r>
      <w:r w:rsidR="00874F1A">
        <w:t xml:space="preserve"> and Official data, as well as having data on the </w:t>
      </w:r>
      <w:r w:rsidR="0022529B">
        <w:t>realization</w:t>
      </w:r>
      <w:r w:rsidR="00133C07">
        <w:t xml:space="preserve">.  For several countries, the 2012 realizations were not available at the time of writing.  </w:t>
      </w:r>
      <w:r w:rsidR="001C60F9">
        <w:t>[</w:t>
      </w:r>
      <w:r w:rsidR="00133C07">
        <w:t>More information can be found in the data appendix</w:t>
      </w:r>
      <w:r w:rsidR="001C60F9">
        <w:t xml:space="preserve"> available on request</w:t>
      </w:r>
      <w:r w:rsidR="00133C07">
        <w:t>.</w:t>
      </w:r>
      <w:r w:rsidR="001C60F9">
        <w:t>]</w:t>
      </w:r>
      <w:r w:rsidR="00133C07">
        <w:t xml:space="preserve"> </w:t>
      </w:r>
    </w:p>
    <w:p w:rsidR="00133C07" w:rsidRDefault="00133C07" w:rsidP="004C1622">
      <w:pPr>
        <w:spacing w:line="480" w:lineRule="auto"/>
      </w:pPr>
      <w:r>
        <w:tab/>
        <w:t xml:space="preserve">In Table </w:t>
      </w:r>
      <w:r w:rsidR="00EB38F2">
        <w:t>2</w:t>
      </w:r>
      <w:r>
        <w:t>A, we compare the one</w:t>
      </w:r>
      <w:r w:rsidR="00E474EA">
        <w:t>-</w:t>
      </w:r>
      <w:r>
        <w:t xml:space="preserve"> and two</w:t>
      </w:r>
      <w:r w:rsidR="00E474EA">
        <w:t>-</w:t>
      </w:r>
      <w:r>
        <w:t>year ahead budget balance forecasts</w:t>
      </w:r>
      <w:r w:rsidR="00CC7DB3">
        <w:t xml:space="preserve"> and actual outcomes</w:t>
      </w:r>
      <w:r>
        <w:t xml:space="preserve">.  </w:t>
      </w:r>
      <w:r w:rsidR="004516FA">
        <w:t xml:space="preserve">At the one year horizon, </w:t>
      </w:r>
      <w:r w:rsidR="004E1BDE">
        <w:t xml:space="preserve">mean </w:t>
      </w:r>
      <w:r w:rsidR="004516FA">
        <w:t xml:space="preserve">actual budget deficits are </w:t>
      </w:r>
      <w:r w:rsidR="004E1BDE">
        <w:t>roughly the same size as</w:t>
      </w:r>
      <w:r w:rsidR="004516FA">
        <w:t xml:space="preserve"> </w:t>
      </w:r>
      <w:r w:rsidR="004516FA">
        <w:rPr>
          <w:i/>
        </w:rPr>
        <w:t>Consensus</w:t>
      </w:r>
      <w:r w:rsidR="004516FA">
        <w:t xml:space="preserve"> </w:t>
      </w:r>
      <w:r w:rsidR="004E1BDE">
        <w:t>and</w:t>
      </w:r>
      <w:r w:rsidR="004516FA">
        <w:t xml:space="preserve"> Official forecasts. </w:t>
      </w:r>
      <w:r>
        <w:t xml:space="preserve">At </w:t>
      </w:r>
      <w:r w:rsidR="004516FA">
        <w:t xml:space="preserve">the two year horizon, however, </w:t>
      </w:r>
      <w:r>
        <w:t xml:space="preserve">budget balances </w:t>
      </w:r>
      <w:r w:rsidR="00E474EA">
        <w:t>show</w:t>
      </w:r>
      <w:r>
        <w:t xml:space="preserve"> larger deficits than forecast </w:t>
      </w:r>
      <w:r w:rsidR="008A6CE8">
        <w:t>in</w:t>
      </w:r>
      <w:r>
        <w:t xml:space="preserve"> either </w:t>
      </w:r>
      <w:r w:rsidR="001A159C" w:rsidRPr="0079708D">
        <w:rPr>
          <w:i/>
        </w:rPr>
        <w:t>Consensus</w:t>
      </w:r>
      <w:r>
        <w:t xml:space="preserve"> or Official forecasts, but </w:t>
      </w:r>
      <w:r w:rsidR="001A159C" w:rsidRPr="0079708D">
        <w:rPr>
          <w:i/>
        </w:rPr>
        <w:t>Consensus</w:t>
      </w:r>
      <w:r>
        <w:t xml:space="preserve"> forecasts are closer</w:t>
      </w:r>
      <w:r w:rsidR="008A6CE8">
        <w:t xml:space="preserve"> to the realizations</w:t>
      </w:r>
      <w:r>
        <w:t xml:space="preserve">.  The standard deviation of actual budget balances is larger than the </w:t>
      </w:r>
      <w:r w:rsidR="001A159C" w:rsidRPr="0079708D">
        <w:rPr>
          <w:i/>
        </w:rPr>
        <w:t>Consensus</w:t>
      </w:r>
      <w:r>
        <w:t xml:space="preserve"> or Official forecasts</w:t>
      </w:r>
      <w:r w:rsidR="006D5A86">
        <w:t>, as one would expect</w:t>
      </w:r>
      <w:r>
        <w:t>.  The same pattern is found for Real GDP growth rate forecasts</w:t>
      </w:r>
      <w:r w:rsidR="004E1BDE">
        <w:t xml:space="preserve"> at both one- and two-year horizons</w:t>
      </w:r>
      <w:r>
        <w:t xml:space="preserve"> in Table </w:t>
      </w:r>
      <w:r w:rsidR="00EB38F2">
        <w:t>2</w:t>
      </w:r>
      <w:r>
        <w:t>B.</w:t>
      </w:r>
    </w:p>
    <w:p w:rsidR="004E1BDE" w:rsidRDefault="00133C07" w:rsidP="004C1622">
      <w:pPr>
        <w:spacing w:line="480" w:lineRule="auto"/>
      </w:pPr>
      <w:r>
        <w:tab/>
        <w:t xml:space="preserve">In Table </w:t>
      </w:r>
      <w:r w:rsidR="00EB38F2">
        <w:t>3</w:t>
      </w:r>
      <w:r>
        <w:t>, we run two-sided t-tests for equality of means across the various forecasts</w:t>
      </w:r>
      <w:r w:rsidR="00E266E9">
        <w:t xml:space="preserve"> and </w:t>
      </w:r>
      <w:r w:rsidR="008A6CE8">
        <w:t>realizations</w:t>
      </w:r>
      <w:r>
        <w:t xml:space="preserve">.  </w:t>
      </w:r>
      <w:r w:rsidR="005C1154">
        <w:t xml:space="preserve">We restrict all of our tests to a common sample by variable but the sample differs across variables, as can be seen in the number of observations.  </w:t>
      </w:r>
      <w:r>
        <w:t xml:space="preserve">In Table </w:t>
      </w:r>
      <w:r w:rsidR="00EB38F2">
        <w:t>3</w:t>
      </w:r>
      <w:r>
        <w:t xml:space="preserve">A, we see that the mean </w:t>
      </w:r>
      <w:r w:rsidR="00E266E9">
        <w:t>one</w:t>
      </w:r>
      <w:r w:rsidR="00E474EA">
        <w:t>-</w:t>
      </w:r>
      <w:r w:rsidR="00E266E9">
        <w:t xml:space="preserve">year ahead ex post </w:t>
      </w:r>
      <w:r w:rsidR="001A159C" w:rsidRPr="0079708D">
        <w:rPr>
          <w:i/>
        </w:rPr>
        <w:t>Consensus</w:t>
      </w:r>
      <w:r>
        <w:t xml:space="preserve"> </w:t>
      </w:r>
      <w:r w:rsidR="00E266E9">
        <w:t xml:space="preserve">budget balance </w:t>
      </w:r>
      <w:r>
        <w:t>forecast error</w:t>
      </w:r>
      <w:r w:rsidR="004E1BDE">
        <w:t>, ex post Official budget balance forecast error, and the difference between the three forecasts are</w:t>
      </w:r>
      <w:r>
        <w:t xml:space="preserve">  </w:t>
      </w:r>
      <w:r w:rsidR="006D5A86">
        <w:t>not significantly different from</w:t>
      </w:r>
      <w:r>
        <w:t xml:space="preserve"> zero.  </w:t>
      </w:r>
      <w:r w:rsidR="00A0331E">
        <w:tab/>
      </w:r>
    </w:p>
    <w:p w:rsidR="00C93653" w:rsidRDefault="00C33375" w:rsidP="004C1622">
      <w:pPr>
        <w:spacing w:line="480" w:lineRule="auto"/>
        <w:ind w:firstLine="720"/>
      </w:pPr>
      <w:r>
        <w:t>At the two year horizon</w:t>
      </w:r>
      <w:r w:rsidR="004E1BDE">
        <w:t xml:space="preserve">, however, </w:t>
      </w:r>
      <w:r>
        <w:t xml:space="preserve">both Official and </w:t>
      </w:r>
      <w:r>
        <w:rPr>
          <w:i/>
        </w:rPr>
        <w:t xml:space="preserve">Consensus </w:t>
      </w:r>
      <w:r>
        <w:t>forecasts are significantly over-optimistic ex post.  However, while Official forecasts were ex post over-optimistic by 0.</w:t>
      </w:r>
      <w:r w:rsidR="00446597">
        <w:t>66</w:t>
      </w:r>
      <w:r>
        <w:t xml:space="preserve">% of GDP on average, </w:t>
      </w:r>
      <w:r w:rsidR="004A1E82">
        <w:t>official</w:t>
      </w:r>
      <w:r w:rsidR="00A0331E">
        <w:t xml:space="preserve"> forecasts are on average 0.</w:t>
      </w:r>
      <w:r w:rsidR="00446597">
        <w:t>17</w:t>
      </w:r>
      <w:r w:rsidR="00A0331E">
        <w:t xml:space="preserve">% more optimistic than </w:t>
      </w:r>
      <w:r w:rsidR="001A159C" w:rsidRPr="0079708D">
        <w:rPr>
          <w:i/>
        </w:rPr>
        <w:t>Consensus</w:t>
      </w:r>
      <w:r w:rsidR="00A0331E">
        <w:t xml:space="preserve"> forecasts</w:t>
      </w:r>
      <w:r w:rsidR="00CC7DB3">
        <w:t>.  This criterion of ov</w:t>
      </w:r>
      <w:r w:rsidR="004A1E82">
        <w:t>er-optimism is even more highly</w:t>
      </w:r>
      <w:r w:rsidR="00A0331E">
        <w:t xml:space="preserve"> significant </w:t>
      </w:r>
      <w:r w:rsidR="00CC7DB3">
        <w:t xml:space="preserve">statistically than judging official forecasts against the standard of ex post outcomes.  Given how </w:t>
      </w:r>
      <w:proofErr w:type="gramStart"/>
      <w:r w:rsidR="00CC7DB3">
        <w:t>bad</w:t>
      </w:r>
      <w:proofErr w:type="gramEnd"/>
      <w:r w:rsidR="00CC7DB3">
        <w:t xml:space="preserve"> were the ex post outcomes after the global financial crisis, this is an important finding.   Because </w:t>
      </w:r>
      <w:r w:rsidR="00692509">
        <w:t xml:space="preserve">the comparison of official forecasts with private forecasts makes no use of ex post data, it is immune from the possibility that our </w:t>
      </w:r>
      <w:r w:rsidR="00692509">
        <w:lastRenderedPageBreak/>
        <w:t>results are driven by on</w:t>
      </w:r>
      <w:r w:rsidR="004C1622">
        <w:t xml:space="preserve">e record-breaking recession.   </w:t>
      </w:r>
      <w:r w:rsidR="00692509">
        <w:t>Intuitively</w:t>
      </w:r>
      <w:r w:rsidR="00066743">
        <w:t>, it</w:t>
      </w:r>
      <w:r w:rsidR="00692509">
        <w:t xml:space="preserve"> is harder to excuse the authorities from under-estimating the severity of the recession to the extent that private forecasters did not make the same mistake.</w:t>
      </w:r>
      <w:r w:rsidR="004C1622">
        <w:t xml:space="preserve"> </w:t>
      </w:r>
    </w:p>
    <w:p w:rsidR="00203869" w:rsidRDefault="00A0331E" w:rsidP="004C1622">
      <w:pPr>
        <w:spacing w:line="480" w:lineRule="auto"/>
      </w:pPr>
      <w:r>
        <w:tab/>
        <w:t xml:space="preserve">Table </w:t>
      </w:r>
      <w:r w:rsidR="00EB38F2">
        <w:t>3</w:t>
      </w:r>
      <w:r>
        <w:t xml:space="preserve">B conducts the corresponding t-tests for Real GDP growth rate forecasts.  </w:t>
      </w:r>
      <w:r w:rsidR="000815E5">
        <w:t xml:space="preserve">At the one year horizon, </w:t>
      </w:r>
      <w:r w:rsidR="001A159C" w:rsidRPr="0079708D">
        <w:rPr>
          <w:i/>
        </w:rPr>
        <w:t>Consensus</w:t>
      </w:r>
      <w:r w:rsidR="000815E5">
        <w:t xml:space="preserve"> forecasts do not have statistically significant ex post errors (point estimate of 0.1</w:t>
      </w:r>
      <w:r w:rsidR="00311C89">
        <w:t>8</w:t>
      </w:r>
      <w:r w:rsidR="000815E5">
        <w:t>%), but Official forecasts have a mean over-optimism of 0.</w:t>
      </w:r>
      <w:r w:rsidR="00311C89">
        <w:t>32</w:t>
      </w:r>
      <w:r w:rsidR="000815E5">
        <w:t xml:space="preserve">%.  </w:t>
      </w:r>
      <w:r>
        <w:t xml:space="preserve">  </w:t>
      </w:r>
      <w:r w:rsidR="000815E5">
        <w:t xml:space="preserve">In addition, official forecasts are significantly more optimistic than private </w:t>
      </w:r>
      <w:r w:rsidR="00066743">
        <w:t>sector forecasts</w:t>
      </w:r>
      <w:r w:rsidR="000815E5">
        <w:t xml:space="preserve">, with a mean difference of 0.14%.   The </w:t>
      </w:r>
      <w:r w:rsidR="00E474EA">
        <w:t>differences</w:t>
      </w:r>
      <w:r w:rsidR="000815E5">
        <w:t xml:space="preserve"> are larger at the two</w:t>
      </w:r>
      <w:r w:rsidR="00E474EA">
        <w:t>-</w:t>
      </w:r>
      <w:r w:rsidR="000815E5">
        <w:t>year horizon, with ex post official forecasts errors of 1.1</w:t>
      </w:r>
      <w:r w:rsidR="00311C89">
        <w:t>5</w:t>
      </w:r>
      <w:r w:rsidR="000815E5">
        <w:t>%, private forecast errors of 0.</w:t>
      </w:r>
      <w:r w:rsidR="00311C89">
        <w:t>99</w:t>
      </w:r>
      <w:r w:rsidR="000815E5">
        <w:t xml:space="preserve">%, and a mean difference between the two of 0.16%, all of which are significant at the 1% level. </w:t>
      </w:r>
    </w:p>
    <w:p w:rsidR="0015688F" w:rsidRPr="00A47BF3" w:rsidRDefault="00203869" w:rsidP="004C1622">
      <w:pPr>
        <w:spacing w:line="480" w:lineRule="auto"/>
      </w:pPr>
      <w:r>
        <w:tab/>
      </w:r>
      <w:r w:rsidRPr="004C1622">
        <w:t xml:space="preserve">Figures </w:t>
      </w:r>
      <w:r w:rsidR="000A3867" w:rsidRPr="004C1622">
        <w:t xml:space="preserve">2 </w:t>
      </w:r>
      <w:r w:rsidRPr="004C1622">
        <w:t xml:space="preserve">and </w:t>
      </w:r>
      <w:r w:rsidR="000A3867" w:rsidRPr="004C1622">
        <w:t>3</w:t>
      </w:r>
      <w:r w:rsidR="000A3867">
        <w:t xml:space="preserve"> </w:t>
      </w:r>
      <w:proofErr w:type="gramStart"/>
      <w:r>
        <w:t>plot</w:t>
      </w:r>
      <w:proofErr w:type="gramEnd"/>
      <w:r>
        <w:t xml:space="preserve"> the </w:t>
      </w:r>
      <w:r w:rsidR="00E474EA">
        <w:t xml:space="preserve">data for the </w:t>
      </w:r>
      <w:r w:rsidR="00AD7E13">
        <w:t>example</w:t>
      </w:r>
      <w:r>
        <w:t xml:space="preserve"> of Italy, comparing private and official forecasts with the actual realizations.  While private and official forecasts co-move strongly, government forecasters consistently predict smaller deficits and faster growth.  In sample, both private and official forecasts proved themselves </w:t>
      </w:r>
      <w:r w:rsidR="00E474EA">
        <w:t xml:space="preserve">to be </w:t>
      </w:r>
      <w:r>
        <w:t>generally over-optimistic, but private forecasts less so.</w:t>
      </w:r>
    </w:p>
    <w:p w:rsidR="0015688F" w:rsidRPr="0015688F" w:rsidRDefault="0015688F" w:rsidP="004C1622">
      <w:pPr>
        <w:spacing w:line="480" w:lineRule="auto"/>
        <w:rPr>
          <w:b/>
          <w:sz w:val="28"/>
        </w:rPr>
      </w:pPr>
    </w:p>
    <w:p w:rsidR="00E20C43" w:rsidRPr="00B87873" w:rsidRDefault="0015688F" w:rsidP="004C1622">
      <w:pPr>
        <w:spacing w:line="480" w:lineRule="auto"/>
        <w:rPr>
          <w:b/>
        </w:rPr>
      </w:pPr>
      <w:r w:rsidRPr="00B87873">
        <w:rPr>
          <w:b/>
        </w:rPr>
        <w:t xml:space="preserve">Can </w:t>
      </w:r>
      <w:r w:rsidR="007A758A" w:rsidRPr="00B87873">
        <w:rPr>
          <w:b/>
        </w:rPr>
        <w:t>private forecasts</w:t>
      </w:r>
      <w:r w:rsidRPr="00B87873">
        <w:rPr>
          <w:b/>
        </w:rPr>
        <w:t xml:space="preserve"> be used to </w:t>
      </w:r>
      <w:r w:rsidR="00E266E9" w:rsidRPr="00B87873">
        <w:rPr>
          <w:b/>
        </w:rPr>
        <w:t>predict</w:t>
      </w:r>
      <w:r w:rsidRPr="00B87873">
        <w:rPr>
          <w:b/>
        </w:rPr>
        <w:t xml:space="preserve"> when official </w:t>
      </w:r>
      <w:r w:rsidR="007A758A" w:rsidRPr="00B87873">
        <w:rPr>
          <w:b/>
        </w:rPr>
        <w:t>forecasts</w:t>
      </w:r>
      <w:r w:rsidRPr="00B87873">
        <w:rPr>
          <w:b/>
        </w:rPr>
        <w:t xml:space="preserve"> will prove to be over optimistic?</w:t>
      </w:r>
    </w:p>
    <w:p w:rsidR="00A51B21" w:rsidRDefault="00E20C43" w:rsidP="004C1622">
      <w:pPr>
        <w:spacing w:line="480" w:lineRule="auto"/>
      </w:pPr>
      <w:r>
        <w:rPr>
          <w:b/>
          <w:sz w:val="28"/>
        </w:rPr>
        <w:tab/>
      </w:r>
      <w:r>
        <w:t>In this section, we want to see if we can use</w:t>
      </w:r>
      <w:r w:rsidR="00F208ED">
        <w:t xml:space="preserve"> private forecasts</w:t>
      </w:r>
      <w:r>
        <w:t xml:space="preserve"> to </w:t>
      </w:r>
      <w:r w:rsidR="00F208ED">
        <w:t>improve on the performance of predictions made by the official agencies</w:t>
      </w:r>
      <w:r>
        <w:t xml:space="preserve">.  In other words, </w:t>
      </w:r>
      <w:r w:rsidR="00F208ED">
        <w:t xml:space="preserve">is the </w:t>
      </w:r>
      <w:proofErr w:type="spellStart"/>
      <w:r w:rsidR="00F208ED">
        <w:t>ex ante</w:t>
      </w:r>
      <w:proofErr w:type="spellEnd"/>
      <w:r w:rsidR="00F208ED">
        <w:t xml:space="preserve"> discrepancy between private and official forecasts positively correlated with the discrepancy between official forecasts and the realized outcome, that is, the ex post prediction error</w:t>
      </w:r>
      <w:r>
        <w:t xml:space="preserve">?  In Table </w:t>
      </w:r>
      <w:r w:rsidR="00EB38F2">
        <w:t>4</w:t>
      </w:r>
      <w:r>
        <w:t xml:space="preserve">, we see that the answer is </w:t>
      </w:r>
      <w:r w:rsidR="00E266E9">
        <w:t>yes</w:t>
      </w:r>
      <w:r>
        <w:t xml:space="preserve">.  </w:t>
      </w:r>
    </w:p>
    <w:p w:rsidR="00E20C43" w:rsidRPr="00A51B21" w:rsidRDefault="008A6CE8" w:rsidP="004C1622">
      <w:pPr>
        <w:spacing w:line="480" w:lineRule="auto"/>
      </w:pPr>
      <w:r>
        <w:lastRenderedPageBreak/>
        <w:tab/>
      </w:r>
      <w:r w:rsidR="00E20C43">
        <w:t>We define</w:t>
      </w:r>
      <w:r w:rsidR="00E266E9">
        <w:t xml:space="preserve"> the </w:t>
      </w:r>
      <w:r w:rsidR="00AD7E13">
        <w:t>Government</w:t>
      </w:r>
      <w:r w:rsidR="00E266E9">
        <w:t>-Consensus Budget Balance disagreement (</w:t>
      </w:r>
      <w:proofErr w:type="spellStart"/>
      <w:r w:rsidR="00EB38F2">
        <w:rPr>
          <w:i/>
        </w:rPr>
        <w:t>Gov</w:t>
      </w:r>
      <w:proofErr w:type="spellEnd"/>
      <w:r w:rsidR="00EB38F2">
        <w:rPr>
          <w:i/>
        </w:rPr>
        <w:t>-Con</w:t>
      </w:r>
      <w:r w:rsidR="00E266E9">
        <w:rPr>
          <w:i/>
        </w:rPr>
        <w:t>)</w:t>
      </w:r>
      <w:r w:rsidR="00A51B21">
        <w:rPr>
          <w:i/>
        </w:rPr>
        <w:t xml:space="preserve"> </w:t>
      </w:r>
      <w:r w:rsidR="00A51B21">
        <w:t xml:space="preserve">and the government </w:t>
      </w:r>
      <w:r w:rsidR="00A51B21" w:rsidRPr="008A6CE8">
        <w:rPr>
          <w:i/>
        </w:rPr>
        <w:t>i</w:t>
      </w:r>
      <w:r w:rsidR="00A51B21">
        <w:t>-year ahead forecast error (</w:t>
      </w:r>
      <w:r w:rsidR="00A51B21">
        <w:rPr>
          <w:i/>
        </w:rPr>
        <w:t>BBE</w:t>
      </w:r>
      <w:r w:rsidR="00BB6A69">
        <w:rPr>
          <w:i/>
        </w:rPr>
        <w:t>g</w:t>
      </w:r>
      <w:r w:rsidR="00A51B21" w:rsidRPr="00A51B21">
        <w:rPr>
          <w:i/>
          <w:vertAlign w:val="subscript"/>
        </w:rPr>
        <w:t>t+i</w:t>
      </w:r>
      <w:r w:rsidR="00A51B21">
        <w:t>)</w:t>
      </w:r>
    </w:p>
    <w:p w:rsidR="00A51B21" w:rsidRDefault="00EB38F2" w:rsidP="004C1622">
      <w:pPr>
        <w:spacing w:line="480" w:lineRule="auto"/>
        <w:jc w:val="center"/>
        <w:rPr>
          <w:i/>
        </w:rPr>
      </w:pPr>
      <w:proofErr w:type="spellStart"/>
      <w:r>
        <w:rPr>
          <w:i/>
        </w:rPr>
        <w:t>Gov</w:t>
      </w:r>
      <w:proofErr w:type="spellEnd"/>
      <w:r>
        <w:rPr>
          <w:i/>
        </w:rPr>
        <w:t>-Con</w:t>
      </w:r>
      <w:r w:rsidR="00E20C43" w:rsidRPr="00CF39D0">
        <w:rPr>
          <w:i/>
        </w:rPr>
        <w:t xml:space="preserve"> BB</w:t>
      </w:r>
      <w:r w:rsidR="00A51B21" w:rsidRPr="00B45A69">
        <w:rPr>
          <w:rFonts w:ascii="Times New Roman" w:hAnsi="Times New Roman"/>
          <w:i/>
          <w:vertAlign w:val="subscript"/>
        </w:rPr>
        <w:t>t+i</w:t>
      </w:r>
      <w:r w:rsidR="00A51B21" w:rsidRPr="00B45A69">
        <w:rPr>
          <w:rFonts w:ascii="Times New Roman" w:hAnsi="Times New Roman"/>
          <w:i/>
        </w:rPr>
        <w:t xml:space="preserve"> </w:t>
      </w:r>
      <w:r w:rsidR="00E20C43" w:rsidRPr="00CF39D0">
        <w:rPr>
          <w:i/>
        </w:rPr>
        <w:t>=BB_</w:t>
      </w:r>
      <w:r w:rsidR="00A51B21">
        <w:rPr>
          <w:i/>
        </w:rPr>
        <w:t>Gov</w:t>
      </w:r>
      <w:r w:rsidR="000779E6" w:rsidRPr="00B45A69">
        <w:rPr>
          <w:rFonts w:ascii="Times New Roman" w:hAnsi="Times New Roman"/>
          <w:i/>
          <w:vertAlign w:val="subscript"/>
        </w:rPr>
        <w:t>t+</w:t>
      </w:r>
      <w:proofErr w:type="gramStart"/>
      <w:r w:rsidR="000779E6" w:rsidRPr="00B45A69">
        <w:rPr>
          <w:rFonts w:ascii="Times New Roman" w:hAnsi="Times New Roman"/>
          <w:i/>
          <w:vertAlign w:val="subscript"/>
        </w:rPr>
        <w:t>i</w:t>
      </w:r>
      <w:r w:rsidR="000779E6" w:rsidRPr="00B45A69">
        <w:rPr>
          <w:rFonts w:ascii="Times New Roman" w:hAnsi="Times New Roman"/>
          <w:i/>
        </w:rPr>
        <w:t xml:space="preserve"> </w:t>
      </w:r>
      <w:r w:rsidR="00E20C43" w:rsidRPr="00CF39D0">
        <w:rPr>
          <w:i/>
        </w:rPr>
        <w:t xml:space="preserve"> –</w:t>
      </w:r>
      <w:proofErr w:type="gramEnd"/>
      <w:r w:rsidR="00E20C43" w:rsidRPr="00CF39D0">
        <w:rPr>
          <w:i/>
        </w:rPr>
        <w:t xml:space="preserve"> BB_Con</w:t>
      </w:r>
      <w:r w:rsidR="000779E6" w:rsidRPr="00B45A69">
        <w:rPr>
          <w:rFonts w:ascii="Times New Roman" w:hAnsi="Times New Roman"/>
          <w:i/>
          <w:vertAlign w:val="subscript"/>
        </w:rPr>
        <w:t>t+i</w:t>
      </w:r>
      <w:r w:rsidR="000779E6" w:rsidRPr="00B45A69">
        <w:rPr>
          <w:rFonts w:ascii="Times New Roman" w:hAnsi="Times New Roman"/>
          <w:i/>
        </w:rPr>
        <w:t xml:space="preserve"> </w:t>
      </w:r>
    </w:p>
    <w:p w:rsidR="00A51B21" w:rsidRPr="00AD7E13" w:rsidRDefault="00A51B21" w:rsidP="004C1622">
      <w:pPr>
        <w:spacing w:line="480" w:lineRule="auto"/>
        <w:jc w:val="center"/>
        <w:rPr>
          <w:i/>
        </w:rPr>
      </w:pPr>
      <w:r w:rsidRPr="00AD7E13">
        <w:rPr>
          <w:i/>
        </w:rPr>
        <w:t>BBEg</w:t>
      </w:r>
      <w:r w:rsidRPr="00AD7E13">
        <w:rPr>
          <w:rFonts w:ascii="Times New Roman" w:hAnsi="Times New Roman"/>
          <w:i/>
          <w:vertAlign w:val="subscript"/>
        </w:rPr>
        <w:t>t+i</w:t>
      </w:r>
      <w:r w:rsidRPr="00AD7E13">
        <w:rPr>
          <w:i/>
        </w:rPr>
        <w:t xml:space="preserve"> =BB_Gov</w:t>
      </w:r>
      <w:r w:rsidRPr="00AD7E13">
        <w:rPr>
          <w:rFonts w:ascii="Times New Roman" w:hAnsi="Times New Roman"/>
          <w:i/>
          <w:vertAlign w:val="subscript"/>
        </w:rPr>
        <w:t>t+i</w:t>
      </w:r>
      <w:r w:rsidRPr="00AD7E13">
        <w:rPr>
          <w:i/>
        </w:rPr>
        <w:t xml:space="preserve"> –BB</w:t>
      </w:r>
      <w:r w:rsidRPr="00AD7E13">
        <w:rPr>
          <w:rFonts w:ascii="Times New Roman" w:hAnsi="Times New Roman"/>
          <w:i/>
          <w:vertAlign w:val="subscript"/>
        </w:rPr>
        <w:t xml:space="preserve">t+i </w:t>
      </w:r>
    </w:p>
    <w:p w:rsidR="00FC196E" w:rsidRDefault="00270B73" w:rsidP="004C1622">
      <w:pPr>
        <w:spacing w:line="480" w:lineRule="auto"/>
      </w:pPr>
      <w:r>
        <w:t>where</w:t>
      </w:r>
      <w:r w:rsidR="000779E6">
        <w:t xml:space="preserve"> </w:t>
      </w:r>
      <w:r w:rsidR="000779E6" w:rsidRPr="00CF39D0">
        <w:rPr>
          <w:i/>
        </w:rPr>
        <w:t>BB_</w:t>
      </w:r>
      <w:r w:rsidR="000779E6">
        <w:rPr>
          <w:i/>
        </w:rPr>
        <w:t>Gov</w:t>
      </w:r>
      <w:r w:rsidR="000779E6" w:rsidRPr="00B45A69">
        <w:rPr>
          <w:rFonts w:ascii="Times New Roman" w:hAnsi="Times New Roman"/>
          <w:i/>
          <w:vertAlign w:val="subscript"/>
        </w:rPr>
        <w:t>t+i</w:t>
      </w:r>
      <w:r w:rsidR="000779E6" w:rsidRPr="00B45A69">
        <w:rPr>
          <w:rFonts w:ascii="Times New Roman" w:hAnsi="Times New Roman"/>
          <w:i/>
        </w:rPr>
        <w:t xml:space="preserve"> </w:t>
      </w:r>
      <w:r w:rsidR="000779E6" w:rsidRPr="00CF39D0">
        <w:rPr>
          <w:i/>
        </w:rPr>
        <w:t xml:space="preserve"> </w:t>
      </w:r>
      <w:r w:rsidR="000779E6">
        <w:t xml:space="preserve">denotes the </w:t>
      </w:r>
      <w:r w:rsidR="000779E6" w:rsidRPr="00826523">
        <w:rPr>
          <w:i/>
        </w:rPr>
        <w:t>i</w:t>
      </w:r>
      <w:r w:rsidR="000779E6">
        <w:t>-year ahead government budget balance forecast (as a % of GDP)</w:t>
      </w:r>
      <w:r>
        <w:t xml:space="preserve"> made in year </w:t>
      </w:r>
      <w:r>
        <w:rPr>
          <w:i/>
        </w:rPr>
        <w:t>t</w:t>
      </w:r>
      <w:r>
        <w:t xml:space="preserve">, </w:t>
      </w:r>
      <w:r w:rsidRPr="00CF39D0">
        <w:rPr>
          <w:i/>
        </w:rPr>
        <w:t>BB_</w:t>
      </w:r>
      <w:r>
        <w:rPr>
          <w:i/>
        </w:rPr>
        <w:t>Gov</w:t>
      </w:r>
      <w:r w:rsidRPr="00B45A69">
        <w:rPr>
          <w:rFonts w:ascii="Times New Roman" w:hAnsi="Times New Roman"/>
          <w:i/>
          <w:vertAlign w:val="subscript"/>
        </w:rPr>
        <w:t>t+i</w:t>
      </w:r>
      <w:r w:rsidRPr="00B45A69">
        <w:rPr>
          <w:rFonts w:ascii="Times New Roman" w:hAnsi="Times New Roman"/>
          <w:i/>
        </w:rPr>
        <w:t xml:space="preserve"> </w:t>
      </w:r>
      <w:r w:rsidRPr="00CF39D0">
        <w:rPr>
          <w:i/>
        </w:rPr>
        <w:t xml:space="preserve"> </w:t>
      </w:r>
      <w:r>
        <w:t xml:space="preserve">denotes the  i-year ahead </w:t>
      </w:r>
      <w:r w:rsidR="001A159C" w:rsidRPr="0079708D">
        <w:rPr>
          <w:i/>
        </w:rPr>
        <w:t>Consensus</w:t>
      </w:r>
      <w:r>
        <w:t xml:space="preserve"> budget balance forecast made in year </w:t>
      </w:r>
      <w:r>
        <w:rPr>
          <w:i/>
        </w:rPr>
        <w:t>t</w:t>
      </w:r>
      <w:r>
        <w:t xml:space="preserve">, and </w:t>
      </w:r>
      <w:r w:rsidRPr="00B45A69">
        <w:rPr>
          <w:rFonts w:ascii="Times New Roman" w:hAnsi="Times New Roman"/>
          <w:i/>
        </w:rPr>
        <w:t>BB</w:t>
      </w:r>
      <w:r w:rsidRPr="00B45A69">
        <w:rPr>
          <w:rFonts w:ascii="Times New Roman" w:hAnsi="Times New Roman"/>
          <w:i/>
          <w:vertAlign w:val="subscript"/>
        </w:rPr>
        <w:t>t</w:t>
      </w:r>
      <w:r>
        <w:rPr>
          <w:rFonts w:ascii="Times New Roman" w:hAnsi="Times New Roman"/>
          <w:i/>
          <w:vertAlign w:val="subscript"/>
        </w:rPr>
        <w:t>+i</w:t>
      </w:r>
      <w:r w:rsidRPr="00B45A69">
        <w:rPr>
          <w:rFonts w:ascii="Times New Roman" w:hAnsi="Times New Roman"/>
          <w:i/>
        </w:rPr>
        <w:t xml:space="preserve"> </w:t>
      </w:r>
      <w:r>
        <w:rPr>
          <w:rFonts w:ascii="Times New Roman" w:hAnsi="Times New Roman"/>
          <w:i/>
        </w:rPr>
        <w:t xml:space="preserve"> </w:t>
      </w:r>
      <w:r>
        <w:rPr>
          <w:rFonts w:ascii="Times New Roman" w:hAnsi="Times New Roman"/>
        </w:rPr>
        <w:t xml:space="preserve">denotes the actual budget balance in year </w:t>
      </w:r>
      <w:r>
        <w:rPr>
          <w:rFonts w:ascii="Times New Roman" w:hAnsi="Times New Roman"/>
          <w:i/>
        </w:rPr>
        <w:t>t+i.</w:t>
      </w:r>
      <w:r>
        <w:rPr>
          <w:rFonts w:ascii="Times New Roman" w:hAnsi="Times New Roman"/>
        </w:rPr>
        <w:t xml:space="preserve"> </w:t>
      </w:r>
      <w:r>
        <w:t xml:space="preserve"> </w:t>
      </w:r>
      <w:r w:rsidR="00CF39D0">
        <w:t>In Table</w:t>
      </w:r>
      <w:r w:rsidR="005B38B0">
        <w:t xml:space="preserve"> </w:t>
      </w:r>
      <w:r w:rsidR="00857FAF">
        <w:t>4</w:t>
      </w:r>
      <w:r w:rsidR="00CF39D0">
        <w:t xml:space="preserve">, we </w:t>
      </w:r>
      <w:proofErr w:type="gramStart"/>
      <w:r w:rsidR="00CF39D0">
        <w:t>regress</w:t>
      </w:r>
      <w:proofErr w:type="gramEnd"/>
      <w:r w:rsidR="00CF39D0">
        <w:t xml:space="preserve"> one</w:t>
      </w:r>
      <w:r w:rsidR="0049136B">
        <w:t>-</w:t>
      </w:r>
      <w:r w:rsidR="00CF39D0">
        <w:t xml:space="preserve"> and two</w:t>
      </w:r>
      <w:r w:rsidR="0049136B">
        <w:t>-</w:t>
      </w:r>
      <w:r w:rsidR="00CF39D0">
        <w:t>year ex post official forecast errors on this variable and various combinations of country and year fixed effect</w:t>
      </w:r>
      <w:r w:rsidR="00857FAF">
        <w:t>s</w:t>
      </w:r>
      <w:r w:rsidR="00CF39D0">
        <w:t xml:space="preserve"> and find that contemporary disagreement </w:t>
      </w:r>
      <w:r w:rsidR="00FC196E">
        <w:t xml:space="preserve">between private and official forecasters is a useful measure </w:t>
      </w:r>
      <w:r w:rsidR="00165FA4">
        <w:t>for</w:t>
      </w:r>
      <w:r w:rsidR="00FC196E">
        <w:t xml:space="preserve"> predicting when government forecasts will prove over-optimistic.  In our baseline specification (columns 1 and 2) without any fixed effects, for every 1% </w:t>
      </w:r>
      <w:r w:rsidR="0049136B">
        <w:t xml:space="preserve">that the </w:t>
      </w:r>
      <w:r w:rsidR="00FC196E">
        <w:t>government forecasts are more optimistic than private forecasts</w:t>
      </w:r>
      <w:r w:rsidR="0049136B" w:rsidRPr="0049136B">
        <w:t xml:space="preserve"> </w:t>
      </w:r>
      <w:r w:rsidR="0049136B">
        <w:t>at the one year horizon</w:t>
      </w:r>
      <w:r w:rsidR="00FC196E">
        <w:t>, we find an ex post government error of 0.</w:t>
      </w:r>
      <w:r w:rsidR="004B32C2">
        <w:t>93</w:t>
      </w:r>
      <w:r w:rsidR="00FC196E">
        <w:t xml:space="preserve">%. At the two year horizon, </w:t>
      </w:r>
      <w:r w:rsidR="00165FA4">
        <w:t xml:space="preserve">the </w:t>
      </w:r>
      <w:r w:rsidR="00FC196E">
        <w:t xml:space="preserve">point estimate </w:t>
      </w:r>
      <w:r w:rsidR="004B32C2">
        <w:t>is</w:t>
      </w:r>
      <w:r w:rsidR="00FC196E">
        <w:t xml:space="preserve"> </w:t>
      </w:r>
      <w:r w:rsidR="004B32C2">
        <w:t>0.</w:t>
      </w:r>
      <w:r w:rsidR="00446597">
        <w:t>61</w:t>
      </w:r>
      <w:r w:rsidR="00FC196E">
        <w:t xml:space="preserve">%.  One way to read this is that when government forecasts are </w:t>
      </w:r>
      <w:r w:rsidR="00093A45">
        <w:t>unusually</w:t>
      </w:r>
      <w:r w:rsidR="00FC196E">
        <w:t xml:space="preserve"> optimistic </w:t>
      </w:r>
      <w:r w:rsidR="00093A45">
        <w:t>relative to</w:t>
      </w:r>
      <w:r w:rsidR="00FC196E">
        <w:t xml:space="preserve"> private forecasters, </w:t>
      </w:r>
      <w:r w:rsidR="00093A45">
        <w:t>government forecasts on average are also unusually optimistic relative to the ex post outcome</w:t>
      </w:r>
      <w:r w:rsidR="00FC196E">
        <w:t xml:space="preserve">.  </w:t>
      </w:r>
      <w:r w:rsidR="00BB6A69">
        <w:t>With only a constant and the difference between private and official forecasts</w:t>
      </w:r>
      <w:r w:rsidR="00093A45">
        <w:t xml:space="preserve"> in the equation</w:t>
      </w:r>
      <w:r w:rsidR="00BB6A69">
        <w:t xml:space="preserve">, we have an R-squared of </w:t>
      </w:r>
      <w:r w:rsidR="004B32C2">
        <w:t>18</w:t>
      </w:r>
      <w:r w:rsidR="00BB6A69">
        <w:t xml:space="preserve">% at the one year horizon and an R-squared of </w:t>
      </w:r>
      <w:r w:rsidR="00446597">
        <w:t>4</w:t>
      </w:r>
      <w:r w:rsidR="00BB6A69">
        <w:t xml:space="preserve">% at the two year horizon.  </w:t>
      </w:r>
      <w:r w:rsidR="00446597">
        <w:t>When we include year fixed effects, the results are further strengthened (columns 5 and 6), meaning that in a given year, those cou</w:t>
      </w:r>
      <w:r w:rsidR="008F055E">
        <w:t xml:space="preserve">ntries that made forecasts </w:t>
      </w:r>
      <w:r w:rsidR="00446597">
        <w:t>relatively more optimistic than private sector forecasts have larger ex post budget deficits than those countries that did not.  However, the result is not as strong within country, as the addition of country fixed effects reduces the significance level at t</w:t>
      </w:r>
      <w:r w:rsidR="00733A5B">
        <w:t xml:space="preserve">he one-year horizon and </w:t>
      </w:r>
      <w:r w:rsidR="006D5A86">
        <w:t xml:space="preserve">reduces </w:t>
      </w:r>
      <w:r w:rsidR="00733A5B">
        <w:t xml:space="preserve">the </w:t>
      </w:r>
      <w:r w:rsidR="00446597">
        <w:t xml:space="preserve">point estimate and all significance at the two-year horizon. </w:t>
      </w:r>
    </w:p>
    <w:p w:rsidR="00A221DA" w:rsidRDefault="00FC196E" w:rsidP="004C1622">
      <w:pPr>
        <w:spacing w:line="480" w:lineRule="auto"/>
      </w:pPr>
      <w:r>
        <w:lastRenderedPageBreak/>
        <w:tab/>
        <w:t xml:space="preserve">This </w:t>
      </w:r>
      <w:r w:rsidR="00BB6A69">
        <w:t xml:space="preserve">same </w:t>
      </w:r>
      <w:r>
        <w:t xml:space="preserve">relationship is illustrated graphically in </w:t>
      </w:r>
      <w:r w:rsidRPr="004C1622">
        <w:t>Figure</w:t>
      </w:r>
      <w:r w:rsidR="00BB6A69" w:rsidRPr="004C1622">
        <w:t>s</w:t>
      </w:r>
      <w:r w:rsidRPr="004C1622">
        <w:t xml:space="preserve"> </w:t>
      </w:r>
      <w:r w:rsidR="000A3867" w:rsidRPr="004C1622">
        <w:t>4 and 5</w:t>
      </w:r>
      <w:r w:rsidRPr="004C1622">
        <w:t>.</w:t>
      </w:r>
      <w:r>
        <w:t xml:space="preserve">  </w:t>
      </w:r>
      <w:r w:rsidR="004A5684">
        <w:t xml:space="preserve">In the </w:t>
      </w:r>
      <w:r w:rsidR="00066743">
        <w:t>scatter plot</w:t>
      </w:r>
      <w:r w:rsidR="004A5684">
        <w:t xml:space="preserve">, each marker indicates the mean of a country. However, the regression line is not a fitted line through these country means.  Rather, the regression line is weighted by country-year, as in the pooled OLS in columns 1 and 2 of Table 4. </w:t>
      </w:r>
      <w:r w:rsidR="005D2B06">
        <w:t xml:space="preserve">Only countries with 4 or more observations are included. </w:t>
      </w:r>
    </w:p>
    <w:p w:rsidR="00A221DA" w:rsidRPr="005527FF" w:rsidRDefault="00A221DA" w:rsidP="004C1622">
      <w:pPr>
        <w:spacing w:line="480" w:lineRule="auto"/>
      </w:pPr>
      <w:r>
        <w:tab/>
      </w:r>
      <w:r w:rsidRPr="005527FF">
        <w:t xml:space="preserve">In Table </w:t>
      </w:r>
      <w:r w:rsidR="00857FAF">
        <w:t>5</w:t>
      </w:r>
      <w:r w:rsidRPr="005527FF">
        <w:t xml:space="preserve">, we run similar regressions as in Table </w:t>
      </w:r>
      <w:r w:rsidR="00857FAF">
        <w:t>4</w:t>
      </w:r>
      <w:r w:rsidR="005527FF" w:rsidRPr="005527FF">
        <w:t xml:space="preserve"> </w:t>
      </w:r>
      <w:r w:rsidRPr="005527FF">
        <w:t>but</w:t>
      </w:r>
      <w:r w:rsidR="00844B40">
        <w:t xml:space="preserve"> examine real GDP forecast errors.  We </w:t>
      </w:r>
      <w:r w:rsidRPr="005527FF">
        <w:t xml:space="preserve">replace </w:t>
      </w:r>
      <w:proofErr w:type="spellStart"/>
      <w:r w:rsidR="00857FAF">
        <w:rPr>
          <w:i/>
        </w:rPr>
        <w:t>Gov</w:t>
      </w:r>
      <w:proofErr w:type="spellEnd"/>
      <w:r w:rsidR="00857FAF">
        <w:rPr>
          <w:i/>
        </w:rPr>
        <w:t>-Con</w:t>
      </w:r>
      <w:r w:rsidRPr="005527FF">
        <w:rPr>
          <w:i/>
        </w:rPr>
        <w:t xml:space="preserve"> BB</w:t>
      </w:r>
      <w:r w:rsidRPr="005527FF">
        <w:t xml:space="preserve"> with </w:t>
      </w:r>
      <w:r w:rsidR="00165FA4">
        <w:t>an equivalent measure defined for real GDP growth rates</w:t>
      </w:r>
      <w:r w:rsidR="005D2B06">
        <w:t xml:space="preserve">, and similarly for growth rate forecast errors </w:t>
      </w:r>
      <w:r w:rsidR="005D2B06">
        <w:rPr>
          <w:rFonts w:ascii="Times New Roman" w:hAnsi="Times New Roman"/>
          <w:i/>
        </w:rPr>
        <w:t>GDPEg</w:t>
      </w:r>
    </w:p>
    <w:p w:rsidR="005D2B06" w:rsidRDefault="00EB38F2" w:rsidP="004C1622">
      <w:pPr>
        <w:spacing w:line="480" w:lineRule="auto"/>
        <w:jc w:val="center"/>
        <w:rPr>
          <w:i/>
        </w:rPr>
      </w:pPr>
      <w:proofErr w:type="spellStart"/>
      <w:r>
        <w:rPr>
          <w:i/>
        </w:rPr>
        <w:t>Gov</w:t>
      </w:r>
      <w:proofErr w:type="spellEnd"/>
      <w:r>
        <w:rPr>
          <w:i/>
        </w:rPr>
        <w:t>-Con</w:t>
      </w:r>
      <w:r w:rsidR="00A221DA" w:rsidRPr="005527FF">
        <w:rPr>
          <w:i/>
        </w:rPr>
        <w:t xml:space="preserve"> GDP</w:t>
      </w:r>
      <w:r w:rsidR="00882C5F" w:rsidRPr="00B45A69">
        <w:rPr>
          <w:rFonts w:ascii="Times New Roman" w:hAnsi="Times New Roman"/>
          <w:i/>
          <w:vertAlign w:val="subscript"/>
        </w:rPr>
        <w:t>t+i</w:t>
      </w:r>
      <w:r w:rsidR="00882C5F" w:rsidRPr="00B45A69">
        <w:rPr>
          <w:rFonts w:ascii="Times New Roman" w:hAnsi="Times New Roman"/>
          <w:i/>
        </w:rPr>
        <w:t xml:space="preserve"> </w:t>
      </w:r>
      <w:r w:rsidR="00A221DA" w:rsidRPr="005527FF">
        <w:rPr>
          <w:i/>
        </w:rPr>
        <w:t>=GDP_</w:t>
      </w:r>
      <w:r w:rsidR="00270B73">
        <w:rPr>
          <w:i/>
        </w:rPr>
        <w:t>Gov</w:t>
      </w:r>
      <w:r w:rsidR="00882C5F" w:rsidRPr="00B45A69">
        <w:rPr>
          <w:rFonts w:ascii="Times New Roman" w:hAnsi="Times New Roman"/>
          <w:i/>
          <w:vertAlign w:val="subscript"/>
        </w:rPr>
        <w:t>t+i</w:t>
      </w:r>
      <w:r w:rsidR="00882C5F" w:rsidRPr="00B45A69">
        <w:rPr>
          <w:rFonts w:ascii="Times New Roman" w:hAnsi="Times New Roman"/>
          <w:i/>
        </w:rPr>
        <w:t xml:space="preserve"> </w:t>
      </w:r>
      <w:r w:rsidR="00A221DA" w:rsidRPr="005527FF">
        <w:rPr>
          <w:i/>
        </w:rPr>
        <w:t>– GDP_Con</w:t>
      </w:r>
      <w:r w:rsidR="00882C5F" w:rsidRPr="00B45A69">
        <w:rPr>
          <w:rFonts w:ascii="Times New Roman" w:hAnsi="Times New Roman"/>
          <w:i/>
          <w:vertAlign w:val="subscript"/>
        </w:rPr>
        <w:t>t+</w:t>
      </w:r>
      <w:proofErr w:type="gramStart"/>
      <w:r w:rsidR="00882C5F" w:rsidRPr="00B45A69">
        <w:rPr>
          <w:rFonts w:ascii="Times New Roman" w:hAnsi="Times New Roman"/>
          <w:i/>
          <w:vertAlign w:val="subscript"/>
        </w:rPr>
        <w:t>i</w:t>
      </w:r>
      <w:r w:rsidR="00882C5F" w:rsidRPr="00B45A69">
        <w:rPr>
          <w:rFonts w:ascii="Times New Roman" w:hAnsi="Times New Roman"/>
          <w:i/>
        </w:rPr>
        <w:t xml:space="preserve"> </w:t>
      </w:r>
      <w:r w:rsidR="005F7EC1" w:rsidRPr="005527FF">
        <w:rPr>
          <w:i/>
        </w:rPr>
        <w:t>.</w:t>
      </w:r>
      <w:proofErr w:type="gramEnd"/>
    </w:p>
    <w:p w:rsidR="00270B73" w:rsidRPr="005D2B06" w:rsidRDefault="005D2B06" w:rsidP="004C1622">
      <w:pPr>
        <w:spacing w:line="480" w:lineRule="auto"/>
        <w:jc w:val="center"/>
        <w:rPr>
          <w:rFonts w:ascii="Times New Roman" w:hAnsi="Times New Roman"/>
          <w:i/>
        </w:rPr>
      </w:pPr>
      <w:r>
        <w:rPr>
          <w:rFonts w:ascii="Times New Roman" w:hAnsi="Times New Roman"/>
          <w:i/>
        </w:rPr>
        <w:t>GDPEg</w:t>
      </w:r>
      <w:r w:rsidRPr="00B45A69">
        <w:rPr>
          <w:rFonts w:ascii="Times New Roman" w:hAnsi="Times New Roman"/>
          <w:i/>
          <w:vertAlign w:val="subscript"/>
        </w:rPr>
        <w:t>t+i</w:t>
      </w:r>
      <w:r w:rsidRPr="00B45A69">
        <w:rPr>
          <w:rFonts w:ascii="Times New Roman" w:hAnsi="Times New Roman"/>
          <w:i/>
        </w:rPr>
        <w:t xml:space="preserve"> =</w:t>
      </w:r>
      <w:r>
        <w:rPr>
          <w:rFonts w:ascii="Times New Roman" w:hAnsi="Times New Roman"/>
          <w:i/>
        </w:rPr>
        <w:t>GDP_Gov</w:t>
      </w:r>
      <w:r w:rsidRPr="00B45A69">
        <w:rPr>
          <w:rFonts w:ascii="Times New Roman" w:hAnsi="Times New Roman"/>
          <w:i/>
          <w:vertAlign w:val="subscript"/>
        </w:rPr>
        <w:t>t+i</w:t>
      </w:r>
      <w:r w:rsidRPr="00B45A69">
        <w:rPr>
          <w:rFonts w:ascii="Times New Roman" w:hAnsi="Times New Roman"/>
          <w:i/>
        </w:rPr>
        <w:t xml:space="preserve"> </w:t>
      </w:r>
      <w:r>
        <w:rPr>
          <w:rFonts w:ascii="Times New Roman" w:hAnsi="Times New Roman"/>
          <w:i/>
        </w:rPr>
        <w:t>–GDP</w:t>
      </w:r>
      <w:r w:rsidRPr="00B45A69">
        <w:rPr>
          <w:rFonts w:ascii="Times New Roman" w:hAnsi="Times New Roman"/>
          <w:i/>
          <w:vertAlign w:val="subscript"/>
        </w:rPr>
        <w:t>t</w:t>
      </w:r>
      <w:r>
        <w:rPr>
          <w:rFonts w:ascii="Times New Roman" w:hAnsi="Times New Roman"/>
          <w:i/>
          <w:vertAlign w:val="subscript"/>
        </w:rPr>
        <w:t>+i</w:t>
      </w:r>
      <w:r w:rsidRPr="00B45A69">
        <w:rPr>
          <w:rFonts w:ascii="Times New Roman" w:hAnsi="Times New Roman"/>
          <w:i/>
        </w:rPr>
        <w:t xml:space="preserve"> </w:t>
      </w:r>
    </w:p>
    <w:p w:rsidR="00746276" w:rsidRPr="005527FF" w:rsidRDefault="00584965" w:rsidP="004C1622">
      <w:pPr>
        <w:spacing w:line="480" w:lineRule="auto"/>
      </w:pPr>
      <w:r w:rsidRPr="005527FF">
        <w:t>Despite economically si</w:t>
      </w:r>
      <w:r w:rsidR="00844B40">
        <w:t>gnificant point estimates</w:t>
      </w:r>
      <w:r w:rsidR="004B32C2">
        <w:t xml:space="preserve"> at the one-year horizon</w:t>
      </w:r>
      <w:r w:rsidR="00844B40">
        <w:t xml:space="preserve"> and occasional statistical significance, the results are not as clear as for budget balances in Table 4. </w:t>
      </w:r>
    </w:p>
    <w:p w:rsidR="005F7EC1" w:rsidRPr="005527FF" w:rsidRDefault="00746276" w:rsidP="004C1622">
      <w:pPr>
        <w:spacing w:line="480" w:lineRule="auto"/>
      </w:pPr>
      <w:r w:rsidRPr="005527FF">
        <w:tab/>
      </w:r>
      <w:r w:rsidR="005D2B06" w:rsidRPr="004C1622">
        <w:t xml:space="preserve">Figures </w:t>
      </w:r>
      <w:r w:rsidR="000A3867" w:rsidRPr="004C1622">
        <w:t>6 and 7</w:t>
      </w:r>
      <w:r w:rsidRPr="005527FF">
        <w:t xml:space="preserve"> </w:t>
      </w:r>
      <w:r w:rsidR="005D2B06">
        <w:t xml:space="preserve">plot </w:t>
      </w:r>
      <w:r w:rsidRPr="005527FF">
        <w:t>the equivalent figure</w:t>
      </w:r>
      <w:r w:rsidR="005D2B06">
        <w:t>s</w:t>
      </w:r>
      <w:r w:rsidRPr="005527FF">
        <w:t xml:space="preserve"> for Real GDP growth forecast disagreement and ex post real GDP forecasts errors. The re</w:t>
      </w:r>
      <w:r w:rsidR="004C1622">
        <w:t>sults are fairly inconclusive.</w:t>
      </w:r>
    </w:p>
    <w:p w:rsidR="0015688F" w:rsidRPr="005527FF" w:rsidRDefault="0015688F" w:rsidP="004C1622">
      <w:pPr>
        <w:spacing w:line="480" w:lineRule="auto"/>
        <w:rPr>
          <w:b/>
        </w:rPr>
      </w:pPr>
    </w:p>
    <w:p w:rsidR="00031807" w:rsidRPr="005527FF" w:rsidRDefault="0015688F" w:rsidP="004C1622">
      <w:pPr>
        <w:spacing w:line="480" w:lineRule="auto"/>
        <w:rPr>
          <w:b/>
        </w:rPr>
      </w:pPr>
      <w:r w:rsidRPr="005527FF">
        <w:rPr>
          <w:b/>
        </w:rPr>
        <w:t>Can private forecasts be used to make fiscal rules move effective?</w:t>
      </w:r>
    </w:p>
    <w:p w:rsidR="00341799" w:rsidRPr="005527FF" w:rsidRDefault="00031807" w:rsidP="004C1622">
      <w:pPr>
        <w:spacing w:line="480" w:lineRule="auto"/>
      </w:pPr>
      <w:r w:rsidRPr="005527FF">
        <w:tab/>
        <w:t>Finally, we turn to whether private forecast rules can potentially make fiscal rules more effective.  Frankel and Schreger (2013) demon</w:t>
      </w:r>
      <w:r w:rsidR="00341799" w:rsidRPr="005527FF">
        <w:t>strate</w:t>
      </w:r>
      <w:r w:rsidR="00661FFD">
        <w:t xml:space="preserve"> that </w:t>
      </w:r>
      <w:r w:rsidR="00BF60F6">
        <w:t xml:space="preserve">the extra bias among </w:t>
      </w:r>
      <w:r w:rsidR="00661FFD">
        <w:t>e</w:t>
      </w:r>
      <w:r w:rsidR="00341799" w:rsidRPr="005527FF">
        <w:t xml:space="preserve">uro area countries </w:t>
      </w:r>
      <w:r w:rsidR="00BF60F6">
        <w:t xml:space="preserve">took the specific form of </w:t>
      </w:r>
      <w:proofErr w:type="gramStart"/>
      <w:r w:rsidR="00BF60F6">
        <w:t xml:space="preserve">rarely </w:t>
      </w:r>
      <w:r w:rsidR="00341799" w:rsidRPr="005527FF">
        <w:t xml:space="preserve"> forecast</w:t>
      </w:r>
      <w:r w:rsidR="00BF60F6">
        <w:t>ing</w:t>
      </w:r>
      <w:proofErr w:type="gramEnd"/>
      <w:r w:rsidR="00BF60F6">
        <w:t xml:space="preserve"> that</w:t>
      </w:r>
      <w:r w:rsidR="00341799" w:rsidRPr="005527FF">
        <w:t xml:space="preserve"> their budget </w:t>
      </w:r>
      <w:r w:rsidR="00BF60F6">
        <w:t xml:space="preserve">would </w:t>
      </w:r>
      <w:r w:rsidR="00341799" w:rsidRPr="005527FF">
        <w:t xml:space="preserve">breach the 3% threshold enshrined in the Stability and Growth Pact </w:t>
      </w:r>
      <w:r w:rsidR="00AE3A69">
        <w:t>during the period 1999-20</w:t>
      </w:r>
      <w:r w:rsidR="004B32C2">
        <w:t>07</w:t>
      </w:r>
      <w:r w:rsidR="006D5A86">
        <w:t>.   (A</w:t>
      </w:r>
      <w:r w:rsidR="00AE3A69">
        <w:t xml:space="preserve">fter </w:t>
      </w:r>
      <w:r w:rsidR="006D5A86">
        <w:t>2007, t</w:t>
      </w:r>
      <w:r w:rsidR="00341799" w:rsidRPr="005527FF">
        <w:t xml:space="preserve">he financial crisis pushed them </w:t>
      </w:r>
      <w:r w:rsidR="00AE3A69">
        <w:t xml:space="preserve">too </w:t>
      </w:r>
      <w:r w:rsidR="00341799" w:rsidRPr="005527FF">
        <w:t>far past the threshold</w:t>
      </w:r>
      <w:r w:rsidR="00AE3A69">
        <w:t xml:space="preserve"> to </w:t>
      </w:r>
      <w:r w:rsidR="00310084">
        <w:t>keep up</w:t>
      </w:r>
      <w:r w:rsidR="00AE3A69">
        <w:t xml:space="preserve"> the pretense</w:t>
      </w:r>
      <w:r w:rsidR="00341799" w:rsidRPr="005527FF">
        <w:t>.</w:t>
      </w:r>
      <w:r w:rsidR="006D5A86">
        <w:t>)</w:t>
      </w:r>
      <w:r w:rsidR="00341799" w:rsidRPr="005527FF">
        <w:t xml:space="preserve"> This was in spite of the fact that their actual budget balances displayed no such discontinuity at 3%.</w:t>
      </w:r>
      <w:r w:rsidR="004B32C2">
        <w:rPr>
          <w:rStyle w:val="FootnoteReference"/>
        </w:rPr>
        <w:footnoteReference w:id="5"/>
      </w:r>
      <w:r w:rsidR="00341799" w:rsidRPr="005527FF">
        <w:t xml:space="preserve"> </w:t>
      </w:r>
    </w:p>
    <w:p w:rsidR="00405FF8" w:rsidRDefault="00341799" w:rsidP="004C1622">
      <w:pPr>
        <w:spacing w:line="480" w:lineRule="auto"/>
      </w:pPr>
      <w:r w:rsidRPr="005527FF">
        <w:lastRenderedPageBreak/>
        <w:tab/>
      </w:r>
      <w:r w:rsidRPr="004C1622">
        <w:t xml:space="preserve">In </w:t>
      </w:r>
      <w:r w:rsidR="00A90BA1" w:rsidRPr="004C1622">
        <w:t xml:space="preserve">Figure </w:t>
      </w:r>
      <w:r w:rsidR="000A3867" w:rsidRPr="004C1622">
        <w:t>8</w:t>
      </w:r>
      <w:r w:rsidRPr="004C1622">
        <w:t>,</w:t>
      </w:r>
      <w:r w:rsidRPr="005527FF">
        <w:t xml:space="preserve"> we replicate these results from Frankel and Schreger (2013) while </w:t>
      </w:r>
      <w:r w:rsidR="00BF60F6">
        <w:t xml:space="preserve">checking whether the private sector forecasters made a similar sort of error </w:t>
      </w:r>
      <w:r w:rsidR="004C1622">
        <w:t>(</w:t>
      </w:r>
      <w:r w:rsidR="00BF60F6">
        <w:t xml:space="preserve">in </w:t>
      </w:r>
      <w:r w:rsidRPr="005527FF">
        <w:t xml:space="preserve">those country-years where we also have </w:t>
      </w:r>
      <w:r w:rsidR="001A159C" w:rsidRPr="0079708D">
        <w:rPr>
          <w:i/>
        </w:rPr>
        <w:t>Consensus</w:t>
      </w:r>
      <w:r w:rsidR="00844B40">
        <w:t xml:space="preserve"> data</w:t>
      </w:r>
      <w:r w:rsidR="004C1622">
        <w:t>)</w:t>
      </w:r>
      <w:r w:rsidR="00844B40">
        <w:t>.  In the middle panel</w:t>
      </w:r>
      <w:r w:rsidRPr="005527FF">
        <w:t xml:space="preserve">, we </w:t>
      </w:r>
      <w:r w:rsidR="00C26F39">
        <w:t>reproduce the figure for</w:t>
      </w:r>
      <w:r w:rsidRPr="005527FF">
        <w:t xml:space="preserve"> official forecasts as in our earlier work.  In the upper left hand graph, we create the </w:t>
      </w:r>
      <w:r w:rsidR="00BF60F6">
        <w:t>analogous</w:t>
      </w:r>
      <w:r w:rsidRPr="005527FF">
        <w:t xml:space="preserve"> figure for </w:t>
      </w:r>
      <w:r w:rsidR="001A159C" w:rsidRPr="0079708D">
        <w:rPr>
          <w:i/>
        </w:rPr>
        <w:t>Consensus</w:t>
      </w:r>
      <w:r w:rsidRPr="005527FF">
        <w:t xml:space="preserve"> data a</w:t>
      </w:r>
      <w:r w:rsidR="005E7C28" w:rsidRPr="005527FF">
        <w:t xml:space="preserve">nd find no discontinuity at 3%.  In other words, if </w:t>
      </w:r>
      <w:r w:rsidR="004A1E82" w:rsidRPr="005527FF">
        <w:t xml:space="preserve">the </w:t>
      </w:r>
      <w:r w:rsidR="004A1E82">
        <w:t>national</w:t>
      </w:r>
      <w:r w:rsidR="00AE3A69">
        <w:t xml:space="preserve"> governments had been </w:t>
      </w:r>
      <w:r w:rsidR="005E7C28" w:rsidRPr="005527FF">
        <w:t xml:space="preserve">using private sector forecasts to determine when </w:t>
      </w:r>
      <w:r w:rsidR="00BF60F6">
        <w:t>their countries were</w:t>
      </w:r>
      <w:r w:rsidR="005E7C28" w:rsidRPr="005527FF">
        <w:t xml:space="preserve"> </w:t>
      </w:r>
      <w:r w:rsidR="00AE3A69">
        <w:t xml:space="preserve">likely to </w:t>
      </w:r>
      <w:r w:rsidR="005E7C28" w:rsidRPr="005527FF">
        <w:t>breach the 3% requirements of the SGP</w:t>
      </w:r>
      <w:r w:rsidR="00AE3A69">
        <w:t xml:space="preserve">, they could not have used wishful thinking to respond to </w:t>
      </w:r>
      <w:r w:rsidR="00BF60F6">
        <w:t>warnings</w:t>
      </w:r>
      <w:r w:rsidR="00AE3A69">
        <w:t xml:space="preserve"> from the EC</w:t>
      </w:r>
      <w:r w:rsidR="00A90BA1">
        <w:t>.</w:t>
      </w:r>
      <w:r w:rsidR="003225E5" w:rsidRPr="005527FF">
        <w:t xml:space="preserve">  In </w:t>
      </w:r>
      <w:r w:rsidR="003225E5" w:rsidRPr="004C1622">
        <w:t xml:space="preserve">Figure </w:t>
      </w:r>
      <w:r w:rsidR="000A3867" w:rsidRPr="004C1622">
        <w:t>9</w:t>
      </w:r>
      <w:r w:rsidR="003225E5" w:rsidRPr="005527FF">
        <w:t xml:space="preserve">, we also produce the same figures at the one-year horizon.  Although the </w:t>
      </w:r>
      <w:r w:rsidR="00826523">
        <w:t>e</w:t>
      </w:r>
      <w:r w:rsidR="003225E5" w:rsidRPr="005527FF">
        <w:t>uro area forecasts do not have the dramatic discontinuity at 3%, one can still see a large cluster of forecasts immediately to th</w:t>
      </w:r>
      <w:r w:rsidR="006D5A86">
        <w:t>e right of the 3% threshold which</w:t>
      </w:r>
      <w:r w:rsidR="003225E5" w:rsidRPr="005527FF">
        <w:t xml:space="preserve"> is absent from the </w:t>
      </w:r>
      <w:r w:rsidR="001A159C" w:rsidRPr="0079708D">
        <w:rPr>
          <w:i/>
        </w:rPr>
        <w:t>Consensus Forecasts</w:t>
      </w:r>
      <w:r w:rsidR="003225E5" w:rsidRPr="005527FF">
        <w:t>.</w:t>
      </w:r>
      <w:r w:rsidR="003225E5" w:rsidRPr="009C5BEF">
        <w:t xml:space="preserve">  </w:t>
      </w:r>
    </w:p>
    <w:p w:rsidR="00405FF8" w:rsidRPr="0079708D" w:rsidRDefault="001A159C" w:rsidP="004C1622">
      <w:pPr>
        <w:spacing w:line="480" w:lineRule="auto"/>
      </w:pPr>
      <w:r w:rsidRPr="0079708D">
        <w:tab/>
        <w:t xml:space="preserve">These results </w:t>
      </w:r>
      <w:r w:rsidR="00733A5B">
        <w:t xml:space="preserve">help </w:t>
      </w:r>
      <w:r w:rsidRPr="0079708D">
        <w:t>sharpen</w:t>
      </w:r>
      <w:r w:rsidR="00BF60F6">
        <w:t xml:space="preserve"> the evidence on bias in official forecasts.   They confirm that the existence of a fiscal rule such as the Stability and Growth Pact does nothing to solve the problem of over-optimism, and may even make it worse.   They m</w:t>
      </w:r>
      <w:r w:rsidR="00733A5B">
        <w:t>ight even</w:t>
      </w:r>
      <w:r w:rsidR="00BF60F6">
        <w:t xml:space="preserve"> shed some light on the motives of governments</w:t>
      </w:r>
      <w:r w:rsidR="003E726D">
        <w:t>.    The findings of over-optimism in the literature could have been explained in a number of ways.  One obvious hypothesis is that national leaders seek to convince their voters that their country’s generic economic performance is good, either for the political purpose of winning votes or for the economic purpose of boosting consumer and business confidence.    There may be psychological explanations as well.  But the finding of a threshold of 3% among the euro country forecasts suggests a narrower explanation</w:t>
      </w:r>
      <w:r w:rsidR="006E1FC8">
        <w:t xml:space="preserve">, that they were in effect </w:t>
      </w:r>
      <w:proofErr w:type="gramStart"/>
      <w:r w:rsidR="006E1FC8">
        <w:t>gaming</w:t>
      </w:r>
      <w:proofErr w:type="gramEnd"/>
      <w:r w:rsidR="006E1FC8">
        <w:t xml:space="preserve"> the rules of the E</w:t>
      </w:r>
      <w:r w:rsidR="00A5777C">
        <w:t>uropean</w:t>
      </w:r>
      <w:r w:rsidR="006E1FC8">
        <w:t xml:space="preserve"> Commission’s excessive deficit procedure under the SGP.</w:t>
      </w:r>
    </w:p>
    <w:p w:rsidR="00BF60F6" w:rsidRPr="00405FF8" w:rsidRDefault="00BF60F6" w:rsidP="004C1622">
      <w:pPr>
        <w:spacing w:line="480" w:lineRule="auto"/>
        <w:rPr>
          <w:b/>
          <w:sz w:val="28"/>
        </w:rPr>
      </w:pPr>
    </w:p>
    <w:p w:rsidR="00B87873" w:rsidRDefault="00B87873" w:rsidP="004C1622">
      <w:pPr>
        <w:spacing w:line="480" w:lineRule="auto"/>
        <w:rPr>
          <w:b/>
          <w:sz w:val="28"/>
        </w:rPr>
      </w:pPr>
    </w:p>
    <w:p w:rsidR="00B87873" w:rsidRDefault="00B87873" w:rsidP="004C1622">
      <w:pPr>
        <w:spacing w:line="480" w:lineRule="auto"/>
        <w:rPr>
          <w:b/>
          <w:sz w:val="28"/>
        </w:rPr>
      </w:pPr>
    </w:p>
    <w:p w:rsidR="005D2B06" w:rsidRDefault="00405FF8" w:rsidP="004C1622">
      <w:pPr>
        <w:spacing w:line="480" w:lineRule="auto"/>
        <w:rPr>
          <w:b/>
          <w:sz w:val="28"/>
        </w:rPr>
      </w:pPr>
      <w:r w:rsidRPr="00405FF8">
        <w:rPr>
          <w:b/>
          <w:sz w:val="28"/>
        </w:rPr>
        <w:t xml:space="preserve">Conclusion </w:t>
      </w:r>
    </w:p>
    <w:p w:rsidR="006261AE" w:rsidRDefault="00A17EF1" w:rsidP="004C1622">
      <w:pPr>
        <w:spacing w:line="480" w:lineRule="auto"/>
      </w:pPr>
      <w:r w:rsidRPr="00C26F39">
        <w:tab/>
        <w:t xml:space="preserve">In this paper we document three main findings.  First, official forecasts are </w:t>
      </w:r>
      <w:r w:rsidR="001C1D0C">
        <w:t xml:space="preserve">not only over-optimistic, but are </w:t>
      </w:r>
      <w:r w:rsidRPr="00C26F39">
        <w:t xml:space="preserve">more over-optimistic than private forecasts.  Second, </w:t>
      </w:r>
      <w:r w:rsidR="00AE3A69">
        <w:t xml:space="preserve">the </w:t>
      </w:r>
      <w:proofErr w:type="spellStart"/>
      <w:r w:rsidR="00AE3A69">
        <w:t>ex ante</w:t>
      </w:r>
      <w:proofErr w:type="spellEnd"/>
      <w:r w:rsidR="00AE3A69">
        <w:t xml:space="preserve"> discrepancy between private and official forecasts is positively correlated with the discrepancy between official forecasts and the realized outcome, that is, with the ex post prediction error.  Private sector forecasts can improve on official forecasts</w:t>
      </w:r>
      <w:r w:rsidR="00733A5B">
        <w:t xml:space="preserve"> (tho</w:t>
      </w:r>
      <w:r w:rsidR="004F00FF">
        <w:t xml:space="preserve">ugh less </w:t>
      </w:r>
      <w:r w:rsidR="004A1E82">
        <w:t>so when</w:t>
      </w:r>
      <w:r w:rsidR="00733A5B">
        <w:t xml:space="preserve"> we add fixed effects for countries)</w:t>
      </w:r>
      <w:r w:rsidR="00AE3A69">
        <w:t>.</w:t>
      </w:r>
      <w:r w:rsidRPr="00C26F39">
        <w:t xml:space="preserve">  Third, private sector forecasts predicted euro area countries would breach the 3% limit in the Stability and Growth Pact</w:t>
      </w:r>
      <w:r w:rsidR="00AE3A69">
        <w:t>, usually accurately,</w:t>
      </w:r>
      <w:r w:rsidRPr="00C26F39">
        <w:t xml:space="preserve"> even though government </w:t>
      </w:r>
      <w:r w:rsidR="00AE3A69">
        <w:t>agencies</w:t>
      </w:r>
      <w:r w:rsidR="00CE6DB9">
        <w:t xml:space="preserve"> </w:t>
      </w:r>
      <w:r w:rsidR="00AE3A69">
        <w:t>did</w:t>
      </w:r>
      <w:r w:rsidRPr="00C26F39">
        <w:t xml:space="preserve"> not forecast breaching the limit.  </w:t>
      </w:r>
    </w:p>
    <w:p w:rsidR="001C1D0C" w:rsidRDefault="00E25FEC" w:rsidP="004C1622">
      <w:pPr>
        <w:spacing w:line="480" w:lineRule="auto"/>
      </w:pPr>
      <w:r>
        <w:tab/>
        <w:t xml:space="preserve">The evidence is mounting that over-optimism in official forecasts may play a key role in delivering excessive budget deficits.  In the first place, we see that the severe recessions that began in 2008 are not driving the finding by themselves.  In the second place, we see that euro governments refrained from forecasting deficits over the 3 per cent SGP threshold, even when private forecasts and actual deficits were both above this level.  Apparently the optimism bias is not just an example of </w:t>
      </w:r>
      <w:r w:rsidR="004A1E82">
        <w:t>politicians’ general</w:t>
      </w:r>
      <w:r>
        <w:t xml:space="preserve"> tendency to look on the bright side.  </w:t>
      </w:r>
    </w:p>
    <w:p w:rsidR="00E25FEC" w:rsidRPr="00C26F39" w:rsidRDefault="00E25FEC" w:rsidP="001C1D0C">
      <w:pPr>
        <w:spacing w:line="480" w:lineRule="auto"/>
        <w:ind w:firstLine="720"/>
      </w:pPr>
      <w:r>
        <w:t xml:space="preserve">There </w:t>
      </w:r>
      <w:r w:rsidR="009B2CDF">
        <w:t>is</w:t>
      </w:r>
      <w:r>
        <w:t xml:space="preserve"> an important </w:t>
      </w:r>
      <w:r w:rsidR="009B2CDF">
        <w:t xml:space="preserve">possible </w:t>
      </w:r>
      <w:r>
        <w:t>implicatio</w:t>
      </w:r>
      <w:r w:rsidR="009B2CDF">
        <w:t>n for reform proposals:</w:t>
      </w:r>
      <w:r>
        <w:t xml:space="preserve">  Tightening fiscal rules </w:t>
      </w:r>
      <w:r w:rsidR="00733A5B">
        <w:t>will</w:t>
      </w:r>
      <w:r>
        <w:t xml:space="preserve"> not help</w:t>
      </w:r>
      <w:r w:rsidR="009B2CDF">
        <w:t xml:space="preserve"> limit budget deficits</w:t>
      </w:r>
      <w:r>
        <w:t xml:space="preserve">, if forecasts remain subject to </w:t>
      </w:r>
      <w:proofErr w:type="gramStart"/>
      <w:r>
        <w:t>gaming</w:t>
      </w:r>
      <w:proofErr w:type="gramEnd"/>
      <w:r>
        <w:t xml:space="preserve"> the rules or (more charitably) to wishful thinking.</w:t>
      </w:r>
      <w:r w:rsidR="009B2CDF">
        <w:t xml:space="preserve">  Giving independence to the agencies that make the forecasts used in the budget-making process or even using leading private forecasts directly may be more likely to help.</w:t>
      </w:r>
    </w:p>
    <w:p w:rsidR="00AC7C52" w:rsidRDefault="00AC7C52" w:rsidP="004C1622">
      <w:pPr>
        <w:spacing w:line="480" w:lineRule="auto"/>
        <w:rPr>
          <w:b/>
          <w:sz w:val="28"/>
        </w:rPr>
      </w:pPr>
    </w:p>
    <w:p w:rsidR="00B87873" w:rsidRDefault="00B87873" w:rsidP="00FA53D8">
      <w:pPr>
        <w:spacing w:line="360" w:lineRule="auto"/>
        <w:rPr>
          <w:b/>
          <w:sz w:val="28"/>
        </w:rPr>
      </w:pPr>
    </w:p>
    <w:p w:rsidR="00B87873" w:rsidRDefault="00B87873" w:rsidP="00FA53D8">
      <w:pPr>
        <w:spacing w:line="360" w:lineRule="auto"/>
        <w:rPr>
          <w:b/>
          <w:sz w:val="28"/>
        </w:rPr>
      </w:pPr>
    </w:p>
    <w:p w:rsidR="00B87873" w:rsidRDefault="00B87873" w:rsidP="00FA53D8">
      <w:pPr>
        <w:spacing w:line="360" w:lineRule="auto"/>
        <w:rPr>
          <w:b/>
          <w:sz w:val="28"/>
        </w:rPr>
      </w:pPr>
    </w:p>
    <w:p w:rsidR="00AC7C52" w:rsidRDefault="00AC7C52" w:rsidP="00FA53D8">
      <w:pPr>
        <w:spacing w:line="360" w:lineRule="auto"/>
        <w:rPr>
          <w:b/>
          <w:sz w:val="28"/>
        </w:rPr>
      </w:pPr>
      <w:r>
        <w:rPr>
          <w:b/>
          <w:sz w:val="28"/>
        </w:rPr>
        <w:t>References</w:t>
      </w:r>
    </w:p>
    <w:p w:rsidR="00867430" w:rsidRDefault="00867430" w:rsidP="00867430">
      <w:pPr>
        <w:jc w:val="both"/>
        <w:rPr>
          <w:rFonts w:ascii="Times New Roman" w:hAnsi="Times New Roman"/>
          <w:sz w:val="20"/>
          <w:szCs w:val="20"/>
        </w:rPr>
      </w:pPr>
    </w:p>
    <w:p w:rsidR="008111C9" w:rsidRPr="00991401" w:rsidRDefault="00867430" w:rsidP="00555938">
      <w:pPr>
        <w:spacing w:before="100" w:beforeAutospacing="1" w:after="100" w:afterAutospacing="1"/>
        <w:outlineLvl w:val="1"/>
        <w:rPr>
          <w:b/>
          <w:bCs/>
          <w:kern w:val="36"/>
          <w:sz w:val="22"/>
          <w:szCs w:val="22"/>
        </w:rPr>
      </w:pPr>
      <w:r w:rsidRPr="00991401">
        <w:rPr>
          <w:rFonts w:ascii="Times New Roman" w:hAnsi="Times New Roman"/>
          <w:sz w:val="22"/>
          <w:szCs w:val="22"/>
        </w:rPr>
        <w:t>Alesina, Alberto</w:t>
      </w:r>
      <w:proofErr w:type="gramStart"/>
      <w:r w:rsidRPr="00991401">
        <w:rPr>
          <w:rFonts w:ascii="Times New Roman" w:hAnsi="Times New Roman"/>
          <w:sz w:val="22"/>
          <w:szCs w:val="22"/>
        </w:rPr>
        <w:t xml:space="preserve">, </w:t>
      </w:r>
      <w:r w:rsidRPr="00991401">
        <w:rPr>
          <w:rFonts w:ascii="Times New Roman" w:hAnsi="Times New Roman"/>
          <w:bCs/>
          <w:sz w:val="22"/>
          <w:szCs w:val="22"/>
        </w:rPr>
        <w:t xml:space="preserve"> </w:t>
      </w:r>
      <w:r w:rsidR="008111C9" w:rsidRPr="00991401">
        <w:rPr>
          <w:sz w:val="22"/>
          <w:szCs w:val="22"/>
        </w:rPr>
        <w:t>Roberto</w:t>
      </w:r>
      <w:proofErr w:type="gramEnd"/>
      <w:r w:rsidR="008111C9" w:rsidRPr="00991401">
        <w:rPr>
          <w:sz w:val="22"/>
          <w:szCs w:val="22"/>
        </w:rPr>
        <w:t xml:space="preserve"> Perotti and Jose Tavares, 1998, "The Political Economy of Fiscal Adjustments," </w:t>
      </w:r>
      <w:r w:rsidR="008111C9" w:rsidRPr="00991401">
        <w:rPr>
          <w:i/>
          <w:sz w:val="22"/>
          <w:szCs w:val="22"/>
        </w:rPr>
        <w:t>Brookings Papers on Economic Activity,</w:t>
      </w:r>
      <w:r w:rsidR="008111C9" w:rsidRPr="00991401">
        <w:rPr>
          <w:sz w:val="22"/>
          <w:szCs w:val="22"/>
        </w:rPr>
        <w:t xml:space="preserve"> Vol. 28, no. 1: 197-248.</w:t>
      </w:r>
    </w:p>
    <w:p w:rsidR="00867430" w:rsidRPr="00991401" w:rsidRDefault="004A1E82" w:rsidP="00555938">
      <w:pPr>
        <w:jc w:val="both"/>
        <w:rPr>
          <w:rFonts w:ascii="Times New Roman" w:hAnsi="Times New Roman"/>
          <w:sz w:val="22"/>
          <w:szCs w:val="22"/>
        </w:rPr>
      </w:pPr>
      <w:proofErr w:type="gramStart"/>
      <w:r w:rsidRPr="00991401">
        <w:rPr>
          <w:rFonts w:ascii="Times New Roman" w:hAnsi="Times New Roman"/>
          <w:bCs/>
          <w:sz w:val="22"/>
          <w:szCs w:val="22"/>
        </w:rPr>
        <w:t>-----  and</w:t>
      </w:r>
      <w:proofErr w:type="gramEnd"/>
      <w:r w:rsidRPr="00991401">
        <w:rPr>
          <w:rFonts w:ascii="Times New Roman" w:hAnsi="Times New Roman"/>
          <w:bCs/>
          <w:sz w:val="22"/>
          <w:szCs w:val="22"/>
        </w:rPr>
        <w:t xml:space="preserve"> Guido Tabellini</w:t>
      </w:r>
      <w:r w:rsidRPr="00991401">
        <w:rPr>
          <w:rFonts w:ascii="Times New Roman" w:hAnsi="Times New Roman"/>
          <w:sz w:val="22"/>
          <w:szCs w:val="22"/>
        </w:rPr>
        <w:t xml:space="preserve">, 1990a, “Voting on the </w:t>
      </w:r>
      <w:r w:rsidRPr="00991401">
        <w:rPr>
          <w:rFonts w:ascii="Times New Roman" w:hAnsi="Times New Roman"/>
          <w:bCs/>
          <w:sz w:val="22"/>
          <w:szCs w:val="22"/>
        </w:rPr>
        <w:t>Budget Deficit</w:t>
      </w:r>
      <w:r w:rsidRPr="00991401">
        <w:rPr>
          <w:rFonts w:ascii="Times New Roman" w:hAnsi="Times New Roman"/>
          <w:sz w:val="22"/>
          <w:szCs w:val="22"/>
        </w:rPr>
        <w:t xml:space="preserve">,” </w:t>
      </w:r>
      <w:r w:rsidRPr="00991401">
        <w:rPr>
          <w:rStyle w:val="gsa1"/>
          <w:rFonts w:ascii="Times New Roman" w:hAnsi="Times New Roman"/>
          <w:sz w:val="22"/>
          <w:szCs w:val="22"/>
        </w:rPr>
        <w:t xml:space="preserve"> </w:t>
      </w:r>
      <w:r w:rsidRPr="00991401">
        <w:rPr>
          <w:rStyle w:val="gsa1"/>
          <w:rFonts w:ascii="Times New Roman" w:hAnsi="Times New Roman"/>
          <w:i/>
          <w:color w:val="000000"/>
          <w:sz w:val="22"/>
          <w:szCs w:val="22"/>
        </w:rPr>
        <w:t>American Economic Review</w:t>
      </w:r>
      <w:r w:rsidRPr="00991401">
        <w:rPr>
          <w:rStyle w:val="gsa1"/>
          <w:rFonts w:ascii="Times New Roman" w:hAnsi="Times New Roman"/>
          <w:color w:val="000000"/>
          <w:sz w:val="22"/>
          <w:szCs w:val="22"/>
        </w:rPr>
        <w:t>,</w:t>
      </w:r>
      <w:r w:rsidRPr="00991401">
        <w:rPr>
          <w:rStyle w:val="gsa1"/>
          <w:rFonts w:ascii="Times New Roman" w:hAnsi="Times New Roman"/>
          <w:sz w:val="22"/>
          <w:szCs w:val="22"/>
        </w:rPr>
        <w:t xml:space="preserve"> </w:t>
      </w:r>
      <w:r w:rsidRPr="00991401">
        <w:rPr>
          <w:rFonts w:ascii="Times New Roman" w:hAnsi="Times New Roman"/>
          <w:sz w:val="22"/>
          <w:szCs w:val="22"/>
        </w:rPr>
        <w:t>80, No. 1, March.</w:t>
      </w:r>
    </w:p>
    <w:p w:rsidR="00867430" w:rsidRPr="00991401" w:rsidRDefault="00867430" w:rsidP="00555938">
      <w:pPr>
        <w:jc w:val="both"/>
        <w:rPr>
          <w:rFonts w:ascii="Times New Roman" w:hAnsi="Times New Roman"/>
          <w:sz w:val="22"/>
          <w:szCs w:val="22"/>
        </w:rPr>
      </w:pPr>
      <w:r w:rsidRPr="00991401">
        <w:rPr>
          <w:rFonts w:ascii="Times New Roman" w:hAnsi="Times New Roman"/>
          <w:sz w:val="22"/>
          <w:szCs w:val="22"/>
        </w:rPr>
        <w:br/>
        <w:t>-----</w:t>
      </w:r>
      <w:r w:rsidRPr="00991401">
        <w:rPr>
          <w:rFonts w:ascii="Times New Roman" w:hAnsi="Times New Roman"/>
          <w:bCs/>
          <w:sz w:val="22"/>
          <w:szCs w:val="22"/>
        </w:rPr>
        <w:t xml:space="preserve"> </w:t>
      </w:r>
      <w:proofErr w:type="gramStart"/>
      <w:r w:rsidRPr="00991401">
        <w:rPr>
          <w:rFonts w:ascii="Times New Roman" w:hAnsi="Times New Roman"/>
          <w:bCs/>
          <w:sz w:val="22"/>
          <w:szCs w:val="22"/>
        </w:rPr>
        <w:t xml:space="preserve">and  </w:t>
      </w:r>
      <w:proofErr w:type="gramEnd"/>
      <w:r w:rsidR="00D549F3">
        <w:fldChar w:fldCharType="begin"/>
      </w:r>
      <w:r w:rsidR="00D549F3">
        <w:instrText xml:space="preserve"> HYPERLINK "http://restud.oxfordjournals.org/search?author1=Guido+Tabellini&amp;sortspec=date&amp;submit=Submit" </w:instrText>
      </w:r>
      <w:r w:rsidR="00D549F3">
        <w:fldChar w:fldCharType="separate"/>
      </w:r>
      <w:r w:rsidRPr="00991401">
        <w:rPr>
          <w:rStyle w:val="name"/>
          <w:rFonts w:ascii="Times New Roman" w:hAnsi="Times New Roman"/>
          <w:bCs/>
          <w:sz w:val="22"/>
          <w:szCs w:val="22"/>
        </w:rPr>
        <w:t>Guido Tabellini</w:t>
      </w:r>
      <w:r w:rsidR="00D549F3">
        <w:rPr>
          <w:rStyle w:val="name"/>
          <w:rFonts w:ascii="Times New Roman" w:hAnsi="Times New Roman"/>
          <w:bCs/>
          <w:sz w:val="22"/>
          <w:szCs w:val="22"/>
        </w:rPr>
        <w:fldChar w:fldCharType="end"/>
      </w:r>
      <w:r w:rsidRPr="00991401">
        <w:rPr>
          <w:rFonts w:ascii="Times New Roman" w:hAnsi="Times New Roman"/>
          <w:sz w:val="22"/>
          <w:szCs w:val="22"/>
        </w:rPr>
        <w:t>, 1990b, “</w:t>
      </w:r>
      <w:r w:rsidRPr="00991401">
        <w:rPr>
          <w:rFonts w:ascii="Times New Roman" w:hAnsi="Times New Roman"/>
          <w:bCs/>
          <w:kern w:val="36"/>
          <w:sz w:val="22"/>
          <w:szCs w:val="22"/>
        </w:rPr>
        <w:t xml:space="preserve">A Positive Theory of Fiscal Deficits and Government Debt,” </w:t>
      </w:r>
      <w:r w:rsidRPr="00991401">
        <w:rPr>
          <w:rStyle w:val="gsa1"/>
          <w:rFonts w:ascii="Times New Roman" w:hAnsi="Times New Roman"/>
          <w:i/>
          <w:color w:val="000000"/>
          <w:sz w:val="22"/>
          <w:szCs w:val="22"/>
        </w:rPr>
        <w:t>The Review of Economic Studies</w:t>
      </w:r>
      <w:r w:rsidRPr="00991401">
        <w:rPr>
          <w:rStyle w:val="gsa1"/>
          <w:rFonts w:ascii="Times New Roman" w:hAnsi="Times New Roman"/>
          <w:color w:val="000000"/>
          <w:sz w:val="22"/>
          <w:szCs w:val="22"/>
        </w:rPr>
        <w:t>.</w:t>
      </w:r>
    </w:p>
    <w:p w:rsidR="00867430" w:rsidRPr="00991401" w:rsidRDefault="00867430"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Beetsma</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Roel</w:t>
      </w:r>
      <w:proofErr w:type="spellEnd"/>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Massimo </w:t>
      </w:r>
      <w:proofErr w:type="spellStart"/>
      <w:r w:rsidRPr="00991401">
        <w:rPr>
          <w:rFonts w:ascii="Times New Roman" w:hAnsi="Times New Roman" w:cs="Helvetica"/>
          <w:color w:val="000000"/>
          <w:sz w:val="22"/>
          <w:szCs w:val="22"/>
        </w:rPr>
        <w:t>Giuliodori</w:t>
      </w:r>
      <w:proofErr w:type="spellEnd"/>
      <w:r w:rsidRPr="00991401">
        <w:rPr>
          <w:rFonts w:ascii="Times New Roman" w:hAnsi="Times New Roman" w:cs="Helvetica"/>
          <w:color w:val="000000"/>
          <w:sz w:val="22"/>
          <w:szCs w:val="22"/>
        </w:rPr>
        <w:t xml:space="preserve">, “Fiscal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 xml:space="preserve">djustment to </w:t>
      </w:r>
      <w:r w:rsidR="00CE6DB9" w:rsidRPr="00991401">
        <w:rPr>
          <w:rFonts w:ascii="Times New Roman" w:hAnsi="Times New Roman" w:cs="Helvetica"/>
          <w:color w:val="000000"/>
          <w:sz w:val="22"/>
          <w:szCs w:val="22"/>
        </w:rPr>
        <w:t>C</w:t>
      </w:r>
      <w:r w:rsidRPr="00991401">
        <w:rPr>
          <w:rFonts w:ascii="Times New Roman" w:hAnsi="Times New Roman" w:cs="Helvetica"/>
          <w:color w:val="000000"/>
          <w:sz w:val="22"/>
          <w:szCs w:val="22"/>
        </w:rPr>
        <w:t xml:space="preserve">yclical </w:t>
      </w:r>
      <w:r w:rsidR="00CE6DB9" w:rsidRPr="00991401">
        <w:rPr>
          <w:rFonts w:ascii="Times New Roman" w:hAnsi="Times New Roman" w:cs="Helvetica"/>
          <w:color w:val="000000"/>
          <w:sz w:val="22"/>
          <w:szCs w:val="22"/>
        </w:rPr>
        <w:t>D</w:t>
      </w:r>
      <w:r w:rsidRPr="00991401">
        <w:rPr>
          <w:rFonts w:ascii="Times New Roman" w:hAnsi="Times New Roman" w:cs="Helvetica"/>
          <w:color w:val="000000"/>
          <w:sz w:val="22"/>
          <w:szCs w:val="22"/>
        </w:rPr>
        <w:t xml:space="preserve">evelopments in the OECD: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 xml:space="preserve">n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mpirical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 xml:space="preserve">nalysis </w:t>
      </w:r>
      <w:r w:rsidR="00CE6DB9" w:rsidRPr="00991401">
        <w:rPr>
          <w:rFonts w:ascii="Times New Roman" w:hAnsi="Times New Roman" w:cs="Helvetica"/>
          <w:color w:val="000000"/>
          <w:sz w:val="22"/>
          <w:szCs w:val="22"/>
        </w:rPr>
        <w:t>B</w:t>
      </w:r>
      <w:r w:rsidRPr="00991401">
        <w:rPr>
          <w:rFonts w:ascii="Times New Roman" w:hAnsi="Times New Roman" w:cs="Helvetica"/>
          <w:color w:val="000000"/>
          <w:sz w:val="22"/>
          <w:szCs w:val="22"/>
        </w:rPr>
        <w:t xml:space="preserve">ased on </w:t>
      </w:r>
      <w:r w:rsidR="00CE6DB9" w:rsidRPr="00991401">
        <w:rPr>
          <w:rFonts w:ascii="Times New Roman" w:hAnsi="Times New Roman" w:cs="Helvetica"/>
          <w:color w:val="000000"/>
          <w:sz w:val="22"/>
          <w:szCs w:val="22"/>
        </w:rPr>
        <w:t>R</w:t>
      </w:r>
      <w:r w:rsidRPr="00991401">
        <w:rPr>
          <w:rFonts w:ascii="Times New Roman" w:hAnsi="Times New Roman" w:cs="Helvetica"/>
          <w:color w:val="000000"/>
          <w:sz w:val="22"/>
          <w:szCs w:val="22"/>
        </w:rPr>
        <w:t xml:space="preserve">eal-time </w:t>
      </w:r>
      <w:r w:rsidR="00CE6DB9" w:rsidRPr="00991401">
        <w:rPr>
          <w:rFonts w:ascii="Times New Roman" w:hAnsi="Times New Roman" w:cs="Helvetica"/>
          <w:color w:val="000000"/>
          <w:sz w:val="22"/>
          <w:szCs w:val="22"/>
        </w:rPr>
        <w:t>D</w:t>
      </w:r>
      <w:r w:rsidRPr="00991401">
        <w:rPr>
          <w:rFonts w:ascii="Times New Roman" w:hAnsi="Times New Roman" w:cs="Helvetica"/>
          <w:color w:val="000000"/>
          <w:sz w:val="22"/>
          <w:szCs w:val="22"/>
        </w:rPr>
        <w:t xml:space="preserve">ata,” </w:t>
      </w:r>
      <w:r w:rsidRPr="00991401">
        <w:rPr>
          <w:rFonts w:ascii="Times New Roman" w:hAnsi="Times New Roman" w:cs="Helvetica"/>
          <w:i/>
          <w:color w:val="000000"/>
          <w:sz w:val="22"/>
          <w:szCs w:val="22"/>
        </w:rPr>
        <w:t>Oxford Economic Papers</w:t>
      </w:r>
      <w:r w:rsidRPr="00991401">
        <w:rPr>
          <w:rFonts w:ascii="Times New Roman" w:hAnsi="Times New Roman" w:cs="Helvetica"/>
          <w:color w:val="000000"/>
          <w:sz w:val="22"/>
          <w:szCs w:val="22"/>
        </w:rPr>
        <w:t>, 2010, 52 (3), 419–441.</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Beetsma</w:t>
      </w:r>
      <w:proofErr w:type="spellEnd"/>
      <w:r w:rsidRPr="00991401">
        <w:rPr>
          <w:rFonts w:ascii="Times New Roman" w:hAnsi="Times New Roman" w:cs="Helvetica"/>
          <w:color w:val="000000"/>
          <w:sz w:val="22"/>
          <w:szCs w:val="22"/>
        </w:rPr>
        <w:t>,</w:t>
      </w:r>
      <w:r w:rsidR="007A0812"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Roel</w:t>
      </w:r>
      <w:proofErr w:type="spellEnd"/>
      <w:r w:rsidRPr="00991401">
        <w:rPr>
          <w:rFonts w:ascii="Times New Roman" w:hAnsi="Times New Roman" w:cs="Helvetica"/>
          <w:color w:val="000000"/>
          <w:sz w:val="22"/>
          <w:szCs w:val="22"/>
        </w:rPr>
        <w:t xml:space="preserve">, Benjamin </w:t>
      </w:r>
      <w:proofErr w:type="spellStart"/>
      <w:r w:rsidRPr="00991401">
        <w:rPr>
          <w:rFonts w:ascii="Times New Roman" w:hAnsi="Times New Roman" w:cs="Helvetica"/>
          <w:color w:val="000000"/>
          <w:sz w:val="22"/>
          <w:szCs w:val="22"/>
        </w:rPr>
        <w:t>Bluhm</w:t>
      </w:r>
      <w:proofErr w:type="spellEnd"/>
      <w:r w:rsidRPr="00991401">
        <w:rPr>
          <w:rFonts w:ascii="Times New Roman" w:hAnsi="Times New Roman" w:cs="Helvetica"/>
          <w:color w:val="000000"/>
          <w:sz w:val="22"/>
          <w:szCs w:val="22"/>
        </w:rPr>
        <w:t xml:space="preserve"> Massimo </w:t>
      </w:r>
      <w:proofErr w:type="spellStart"/>
      <w:r w:rsidRPr="00991401">
        <w:rPr>
          <w:rFonts w:ascii="Times New Roman" w:hAnsi="Times New Roman" w:cs="Helvetica"/>
          <w:color w:val="000000"/>
          <w:sz w:val="22"/>
          <w:szCs w:val="22"/>
        </w:rPr>
        <w:t>Giuliodori</w:t>
      </w:r>
      <w:proofErr w:type="spellEnd"/>
      <w:r w:rsidRPr="00991401">
        <w:rPr>
          <w:rFonts w:ascii="Times New Roman" w:hAnsi="Times New Roman" w:cs="Helvetica"/>
          <w:color w:val="000000"/>
          <w:sz w:val="22"/>
          <w:szCs w:val="22"/>
        </w:rPr>
        <w:t xml:space="preserve"> and Peter </w:t>
      </w:r>
      <w:proofErr w:type="spellStart"/>
      <w:r w:rsidRPr="00991401">
        <w:rPr>
          <w:rFonts w:ascii="Times New Roman" w:hAnsi="Times New Roman" w:cs="Helvetica"/>
          <w:color w:val="000000"/>
          <w:sz w:val="22"/>
          <w:szCs w:val="22"/>
        </w:rPr>
        <w:t>Wierts</w:t>
      </w:r>
      <w:proofErr w:type="spellEnd"/>
      <w:r w:rsidRPr="00991401">
        <w:rPr>
          <w:rFonts w:ascii="Times New Roman" w:hAnsi="Times New Roman" w:cs="Helvetica"/>
          <w:color w:val="000000"/>
          <w:sz w:val="22"/>
          <w:szCs w:val="22"/>
        </w:rPr>
        <w:t xml:space="preserve">, “From Budgetary Forecasts to Ex Post Fiscal Data: Exploring the Evolution of Fiscal Forecast Errors in the European Union,” </w:t>
      </w:r>
      <w:r w:rsidRPr="00991401">
        <w:rPr>
          <w:rFonts w:ascii="Times New Roman" w:hAnsi="Times New Roman" w:cs="Helvetica"/>
          <w:i/>
          <w:color w:val="000000"/>
          <w:sz w:val="22"/>
          <w:szCs w:val="22"/>
        </w:rPr>
        <w:t>Contemporary Economic Policy</w:t>
      </w:r>
      <w:r w:rsidRPr="00991401">
        <w:rPr>
          <w:rFonts w:ascii="Times New Roman" w:hAnsi="Times New Roman" w:cs="Helvetica"/>
          <w:color w:val="000000"/>
          <w:sz w:val="22"/>
          <w:szCs w:val="22"/>
        </w:rPr>
        <w:t>, Forthcoming.</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Beetsma</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Roel</w:t>
      </w:r>
      <w:proofErr w:type="spellEnd"/>
      <w:r w:rsidRPr="00991401">
        <w:rPr>
          <w:rFonts w:ascii="Times New Roman" w:hAnsi="Times New Roman" w:cs="Helvetica"/>
          <w:color w:val="000000"/>
          <w:sz w:val="22"/>
          <w:szCs w:val="22"/>
        </w:rPr>
        <w:t xml:space="preserve">, Massimo </w:t>
      </w:r>
      <w:proofErr w:type="spellStart"/>
      <w:r w:rsidRPr="00991401">
        <w:rPr>
          <w:rFonts w:ascii="Times New Roman" w:hAnsi="Times New Roman" w:cs="Helvetica"/>
          <w:color w:val="000000"/>
          <w:sz w:val="22"/>
          <w:szCs w:val="22"/>
        </w:rPr>
        <w:t>Giuliodori</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Beetsma</w:t>
      </w:r>
      <w:proofErr w:type="spellEnd"/>
      <w:r w:rsidRPr="00991401">
        <w:rPr>
          <w:rFonts w:ascii="Times New Roman" w:hAnsi="Times New Roman" w:cs="Helvetica"/>
          <w:color w:val="000000"/>
          <w:sz w:val="22"/>
          <w:szCs w:val="22"/>
        </w:rPr>
        <w:t xml:space="preserve"> and Peter </w:t>
      </w:r>
      <w:proofErr w:type="spellStart"/>
      <w:r w:rsidRPr="00991401">
        <w:rPr>
          <w:rFonts w:ascii="Times New Roman" w:hAnsi="Times New Roman" w:cs="Helvetica"/>
          <w:color w:val="000000"/>
          <w:sz w:val="22"/>
          <w:szCs w:val="22"/>
        </w:rPr>
        <w:t>Wierts</w:t>
      </w:r>
      <w:proofErr w:type="spellEnd"/>
      <w:r w:rsidRPr="00991401">
        <w:rPr>
          <w:rFonts w:ascii="Times New Roman" w:hAnsi="Times New Roman" w:cs="Helvetica"/>
          <w:color w:val="000000"/>
          <w:sz w:val="22"/>
          <w:szCs w:val="22"/>
        </w:rPr>
        <w:t xml:space="preserve">, “Planning to Cheat: EU Fiscal Policy in Real Time,” </w:t>
      </w:r>
      <w:r w:rsidRPr="00991401">
        <w:rPr>
          <w:rFonts w:ascii="Times New Roman" w:hAnsi="Times New Roman" w:cs="Helvetica"/>
          <w:i/>
          <w:color w:val="000000"/>
          <w:sz w:val="22"/>
          <w:szCs w:val="22"/>
        </w:rPr>
        <w:t>Economic Policy</w:t>
      </w:r>
      <w:r w:rsidRPr="00991401">
        <w:rPr>
          <w:rFonts w:ascii="Times New Roman" w:hAnsi="Times New Roman" w:cs="Helvetica"/>
          <w:color w:val="000000"/>
          <w:sz w:val="22"/>
          <w:szCs w:val="22"/>
        </w:rPr>
        <w:t>, 2009, 24, 753–804.</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Beetsma</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Roel</w:t>
      </w:r>
      <w:proofErr w:type="spellEnd"/>
      <w:r w:rsidRPr="00991401">
        <w:rPr>
          <w:rFonts w:ascii="Times New Roman" w:hAnsi="Times New Roman" w:cs="Helvetica"/>
          <w:color w:val="000000"/>
          <w:sz w:val="22"/>
          <w:szCs w:val="22"/>
        </w:rPr>
        <w:t xml:space="preserve">, Massimo </w:t>
      </w:r>
      <w:proofErr w:type="spellStart"/>
      <w:r w:rsidRPr="00991401">
        <w:rPr>
          <w:rFonts w:ascii="Times New Roman" w:hAnsi="Times New Roman" w:cs="Helvetica"/>
          <w:color w:val="000000"/>
          <w:sz w:val="22"/>
          <w:szCs w:val="22"/>
        </w:rPr>
        <w:t>Giuliodori</w:t>
      </w:r>
      <w:proofErr w:type="spellEnd"/>
      <w:r w:rsidRPr="00991401">
        <w:rPr>
          <w:rFonts w:ascii="Times New Roman" w:hAnsi="Times New Roman" w:cs="Helvetica"/>
          <w:color w:val="000000"/>
          <w:sz w:val="22"/>
          <w:szCs w:val="22"/>
        </w:rPr>
        <w:t xml:space="preserve"> Mark </w:t>
      </w:r>
      <w:proofErr w:type="spellStart"/>
      <w:r w:rsidRPr="00991401">
        <w:rPr>
          <w:rFonts w:ascii="Times New Roman" w:hAnsi="Times New Roman" w:cs="Helvetica"/>
          <w:color w:val="000000"/>
          <w:sz w:val="22"/>
          <w:szCs w:val="22"/>
        </w:rPr>
        <w:t>Walschot</w:t>
      </w:r>
      <w:proofErr w:type="spellEnd"/>
      <w:r w:rsidRPr="00991401">
        <w:rPr>
          <w:rFonts w:ascii="Times New Roman" w:hAnsi="Times New Roman" w:cs="Helvetica"/>
          <w:color w:val="000000"/>
          <w:sz w:val="22"/>
          <w:szCs w:val="22"/>
        </w:rPr>
        <w:t xml:space="preserve"> Peter </w:t>
      </w:r>
      <w:proofErr w:type="spellStart"/>
      <w:proofErr w:type="gramStart"/>
      <w:r w:rsidRPr="00991401">
        <w:rPr>
          <w:rFonts w:ascii="Times New Roman" w:hAnsi="Times New Roman" w:cs="Helvetica"/>
          <w:color w:val="000000"/>
          <w:sz w:val="22"/>
          <w:szCs w:val="22"/>
        </w:rPr>
        <w:t>Wierts</w:t>
      </w:r>
      <w:proofErr w:type="spellEnd"/>
      <w:r w:rsidRPr="00991401">
        <w:rPr>
          <w:rFonts w:ascii="Times New Roman" w:hAnsi="Times New Roman" w:cs="Helvetica"/>
          <w:color w:val="000000"/>
          <w:sz w:val="22"/>
          <w:szCs w:val="22"/>
        </w:rPr>
        <w:t xml:space="preserve"> ,</w:t>
      </w:r>
      <w:proofErr w:type="gramEnd"/>
      <w:r w:rsidRPr="00991401">
        <w:rPr>
          <w:rFonts w:ascii="Times New Roman" w:hAnsi="Times New Roman" w:cs="Helvetica"/>
          <w:color w:val="000000"/>
          <w:sz w:val="22"/>
          <w:szCs w:val="22"/>
        </w:rPr>
        <w:t xml:space="preserve"> “Fifty Years of Fiscal Planning and Implementation in the Netherlands,” </w:t>
      </w:r>
      <w:r w:rsidRPr="00991401">
        <w:rPr>
          <w:rFonts w:ascii="Times New Roman" w:hAnsi="Times New Roman" w:cs="Helvetica"/>
          <w:i/>
          <w:color w:val="000000"/>
          <w:sz w:val="22"/>
          <w:szCs w:val="22"/>
        </w:rPr>
        <w:t>European Journal of Political Economy</w:t>
      </w:r>
      <w:r w:rsidRPr="00991401">
        <w:rPr>
          <w:rFonts w:ascii="Times New Roman" w:hAnsi="Times New Roman" w:cs="Helvetica"/>
          <w:color w:val="000000"/>
          <w:sz w:val="22"/>
          <w:szCs w:val="22"/>
        </w:rPr>
        <w:t>, Forthcoming.</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color w:val="000000"/>
          <w:sz w:val="22"/>
          <w:szCs w:val="22"/>
        </w:rPr>
        <w:t>Bischoff, Ivo</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Wolfgang </w:t>
      </w:r>
      <w:proofErr w:type="spellStart"/>
      <w:r w:rsidRPr="00991401">
        <w:rPr>
          <w:rFonts w:ascii="Times New Roman" w:hAnsi="Times New Roman" w:cs="Helvetica"/>
          <w:color w:val="000000"/>
          <w:sz w:val="22"/>
          <w:szCs w:val="22"/>
        </w:rPr>
        <w:t>Gohout</w:t>
      </w:r>
      <w:proofErr w:type="spellEnd"/>
      <w:r w:rsidRPr="00991401">
        <w:rPr>
          <w:rFonts w:ascii="Times New Roman" w:hAnsi="Times New Roman" w:cs="Helvetica"/>
          <w:color w:val="000000"/>
          <w:sz w:val="22"/>
          <w:szCs w:val="22"/>
        </w:rPr>
        <w:t>, “The Political Economy of Tax Projections,”</w:t>
      </w:r>
      <w:r w:rsidRPr="00991401">
        <w:rPr>
          <w:rFonts w:ascii="Times New Roman" w:hAnsi="Times New Roman" w:cs="Helvetica"/>
          <w:i/>
          <w:color w:val="000000"/>
          <w:sz w:val="22"/>
          <w:szCs w:val="22"/>
        </w:rPr>
        <w:t xml:space="preserve"> International Tax and Public Finance</w:t>
      </w:r>
      <w:r w:rsidRPr="00991401">
        <w:rPr>
          <w:rFonts w:ascii="Times New Roman" w:hAnsi="Times New Roman" w:cs="Helvetica"/>
          <w:color w:val="000000"/>
          <w:sz w:val="22"/>
          <w:szCs w:val="22"/>
        </w:rPr>
        <w:t>, 2010, 17 (2), 133–150.</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Boylan</w:t>
      </w:r>
      <w:proofErr w:type="spellEnd"/>
      <w:r w:rsidRPr="00991401">
        <w:rPr>
          <w:rFonts w:ascii="Times New Roman" w:hAnsi="Times New Roman" w:cs="Helvetica"/>
          <w:color w:val="000000"/>
          <w:sz w:val="22"/>
          <w:szCs w:val="22"/>
        </w:rPr>
        <w:t xml:space="preserve">, Richard T., “Political Distortions in State Forecasts,” </w:t>
      </w:r>
      <w:r w:rsidRPr="00991401">
        <w:rPr>
          <w:rFonts w:ascii="Times New Roman" w:hAnsi="Times New Roman" w:cs="Helvetica"/>
          <w:i/>
          <w:color w:val="000000"/>
          <w:sz w:val="22"/>
          <w:szCs w:val="22"/>
        </w:rPr>
        <w:t>Public Choice</w:t>
      </w:r>
      <w:r w:rsidRPr="00991401">
        <w:rPr>
          <w:rFonts w:ascii="Times New Roman" w:hAnsi="Times New Roman" w:cs="Helvetica"/>
          <w:color w:val="000000"/>
          <w:sz w:val="22"/>
          <w:szCs w:val="22"/>
        </w:rPr>
        <w:t xml:space="preserve">, 2008, 136, 411–427. </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Bruck</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Tilman</w:t>
      </w:r>
      <w:proofErr w:type="spellEnd"/>
      <w:r w:rsidRPr="00991401">
        <w:rPr>
          <w:rFonts w:ascii="Times New Roman" w:hAnsi="Times New Roman" w:cs="Helvetica"/>
          <w:color w:val="000000"/>
          <w:sz w:val="22"/>
          <w:szCs w:val="22"/>
        </w:rPr>
        <w:t xml:space="preserve"> and Andreas Stephan, “Do Eurozone Countries Cheat with their Budget Deficit Forecasts,” </w:t>
      </w:r>
      <w:proofErr w:type="spellStart"/>
      <w:r w:rsidRPr="00991401">
        <w:rPr>
          <w:rFonts w:ascii="Times New Roman" w:hAnsi="Times New Roman" w:cs="Helvetica"/>
          <w:i/>
          <w:color w:val="000000"/>
          <w:sz w:val="22"/>
          <w:szCs w:val="22"/>
        </w:rPr>
        <w:t>Kyklos</w:t>
      </w:r>
      <w:proofErr w:type="spellEnd"/>
      <w:r w:rsidRPr="00991401">
        <w:rPr>
          <w:rFonts w:ascii="Times New Roman" w:hAnsi="Times New Roman" w:cs="Helvetica"/>
          <w:color w:val="000000"/>
          <w:sz w:val="22"/>
          <w:szCs w:val="22"/>
        </w:rPr>
        <w:t xml:space="preserve">, 2006, 59 (1), 3–15. </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color w:val="000000"/>
          <w:sz w:val="22"/>
          <w:szCs w:val="22"/>
        </w:rPr>
      </w:pPr>
      <w:r w:rsidRPr="00991401">
        <w:rPr>
          <w:rFonts w:ascii="Times New Roman" w:hAnsi="Times New Roman" w:cs="Helvetica"/>
          <w:color w:val="000000"/>
          <w:sz w:val="22"/>
          <w:szCs w:val="22"/>
        </w:rPr>
        <w:t xml:space="preserve">Frankel, Jeffrey, “Over-optimism in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orecasts by </w:t>
      </w:r>
      <w:r w:rsidR="00CE6DB9" w:rsidRPr="00991401">
        <w:rPr>
          <w:rFonts w:ascii="Times New Roman" w:hAnsi="Times New Roman" w:cs="Helvetica"/>
          <w:color w:val="000000"/>
          <w:sz w:val="22"/>
          <w:szCs w:val="22"/>
        </w:rPr>
        <w:t>O</w:t>
      </w:r>
      <w:r w:rsidRPr="00991401">
        <w:rPr>
          <w:rFonts w:ascii="Times New Roman" w:hAnsi="Times New Roman" w:cs="Helvetica"/>
          <w:color w:val="000000"/>
          <w:sz w:val="22"/>
          <w:szCs w:val="22"/>
        </w:rPr>
        <w:t xml:space="preserve">fficial </w:t>
      </w:r>
      <w:r w:rsidR="00CE6DB9" w:rsidRPr="00991401">
        <w:rPr>
          <w:rFonts w:ascii="Times New Roman" w:hAnsi="Times New Roman" w:cs="Helvetica"/>
          <w:color w:val="000000"/>
          <w:sz w:val="22"/>
          <w:szCs w:val="22"/>
        </w:rPr>
        <w:t>B</w:t>
      </w:r>
      <w:r w:rsidRPr="00991401">
        <w:rPr>
          <w:rFonts w:ascii="Times New Roman" w:hAnsi="Times New Roman" w:cs="Helvetica"/>
          <w:color w:val="000000"/>
          <w:sz w:val="22"/>
          <w:szCs w:val="22"/>
        </w:rPr>
        <w:t xml:space="preserve">udget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 xml:space="preserve">gencies and its </w:t>
      </w:r>
      <w:r w:rsidR="00CE6DB9" w:rsidRPr="00991401">
        <w:rPr>
          <w:rFonts w:ascii="Times New Roman" w:hAnsi="Times New Roman" w:cs="Helvetica"/>
          <w:color w:val="000000"/>
          <w:sz w:val="22"/>
          <w:szCs w:val="22"/>
        </w:rPr>
        <w:t>I</w:t>
      </w:r>
      <w:r w:rsidRPr="00991401">
        <w:rPr>
          <w:rFonts w:ascii="Times New Roman" w:hAnsi="Times New Roman" w:cs="Helvetica"/>
          <w:color w:val="000000"/>
          <w:sz w:val="22"/>
          <w:szCs w:val="22"/>
        </w:rPr>
        <w:t xml:space="preserve">mplications,” </w:t>
      </w:r>
      <w:r w:rsidRPr="00991401">
        <w:rPr>
          <w:rFonts w:ascii="Times New Roman" w:hAnsi="Times New Roman" w:cs="Helvetica"/>
          <w:i/>
          <w:color w:val="000000"/>
          <w:sz w:val="22"/>
          <w:szCs w:val="22"/>
        </w:rPr>
        <w:t>Oxford</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i/>
          <w:color w:val="000000"/>
          <w:sz w:val="22"/>
          <w:szCs w:val="22"/>
        </w:rPr>
        <w:t>Review of Economic Policy</w:t>
      </w:r>
      <w:r w:rsidRPr="00991401">
        <w:rPr>
          <w:rFonts w:ascii="Times New Roman" w:hAnsi="Times New Roman" w:cs="Helvetica"/>
          <w:color w:val="000000"/>
          <w:sz w:val="22"/>
          <w:szCs w:val="22"/>
        </w:rPr>
        <w:t xml:space="preserve">, 2011, 27 (4), 536–562. </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color w:val="000000"/>
          <w:sz w:val="22"/>
          <w:szCs w:val="22"/>
        </w:rPr>
        <w:t>Frankel, Jeffrey</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Jesse Schreger, “Over-optimistic </w:t>
      </w:r>
      <w:r w:rsidR="00CE6DB9" w:rsidRPr="00991401">
        <w:rPr>
          <w:rFonts w:ascii="Times New Roman" w:hAnsi="Times New Roman" w:cs="Helvetica"/>
          <w:color w:val="000000"/>
          <w:sz w:val="22"/>
          <w:szCs w:val="22"/>
        </w:rPr>
        <w:t>O</w:t>
      </w:r>
      <w:r w:rsidRPr="00991401">
        <w:rPr>
          <w:rFonts w:ascii="Times New Roman" w:hAnsi="Times New Roman" w:cs="Helvetica"/>
          <w:color w:val="000000"/>
          <w:sz w:val="22"/>
          <w:szCs w:val="22"/>
        </w:rPr>
        <w:t xml:space="preserve">fficial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orecasts and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iscal </w:t>
      </w:r>
      <w:r w:rsidR="00CE6DB9" w:rsidRPr="00991401">
        <w:rPr>
          <w:rFonts w:ascii="Times New Roman" w:hAnsi="Times New Roman" w:cs="Helvetica"/>
          <w:color w:val="000000"/>
          <w:sz w:val="22"/>
          <w:szCs w:val="22"/>
        </w:rPr>
        <w:t>R</w:t>
      </w:r>
      <w:r w:rsidRPr="00991401">
        <w:rPr>
          <w:rFonts w:ascii="Times New Roman" w:hAnsi="Times New Roman" w:cs="Helvetica"/>
          <w:color w:val="000000"/>
          <w:sz w:val="22"/>
          <w:szCs w:val="22"/>
        </w:rPr>
        <w:t xml:space="preserve">ules in the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urozone,” </w:t>
      </w:r>
      <w:r w:rsidRPr="00991401">
        <w:rPr>
          <w:rFonts w:ascii="Times New Roman" w:hAnsi="Times New Roman" w:cs="Helvetica"/>
          <w:i/>
          <w:color w:val="000000"/>
          <w:sz w:val="22"/>
          <w:szCs w:val="22"/>
        </w:rPr>
        <w:t>Review of World Economics</w:t>
      </w:r>
      <w:r w:rsidRPr="00991401">
        <w:rPr>
          <w:rFonts w:ascii="Times New Roman" w:hAnsi="Times New Roman" w:cs="Helvetica"/>
          <w:color w:val="000000"/>
          <w:sz w:val="22"/>
          <w:szCs w:val="22"/>
        </w:rPr>
        <w:t xml:space="preserve">, 2013, 149 (2), 247–272. </w:t>
      </w:r>
    </w:p>
    <w:p w:rsidR="00867430" w:rsidRPr="00991401" w:rsidRDefault="00867430"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867430" w:rsidRPr="00991401" w:rsidRDefault="00867430"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sz w:val="22"/>
          <w:szCs w:val="22"/>
        </w:rPr>
        <w:t>Grilli</w:t>
      </w:r>
      <w:proofErr w:type="spellEnd"/>
      <w:r w:rsidRPr="00991401">
        <w:rPr>
          <w:rFonts w:ascii="Times New Roman" w:hAnsi="Times New Roman"/>
          <w:sz w:val="22"/>
          <w:szCs w:val="22"/>
        </w:rPr>
        <w:t xml:space="preserve">, Vittorio, Donato </w:t>
      </w:r>
      <w:proofErr w:type="spellStart"/>
      <w:r w:rsidRPr="00991401">
        <w:rPr>
          <w:rFonts w:ascii="Times New Roman" w:hAnsi="Times New Roman"/>
          <w:sz w:val="22"/>
          <w:szCs w:val="22"/>
        </w:rPr>
        <w:t>Masciandaro</w:t>
      </w:r>
      <w:proofErr w:type="spellEnd"/>
      <w:r w:rsidRPr="00991401">
        <w:rPr>
          <w:rFonts w:ascii="Times New Roman" w:hAnsi="Times New Roman"/>
          <w:sz w:val="22"/>
          <w:szCs w:val="22"/>
        </w:rPr>
        <w:t xml:space="preserve">, Guido Tabellini, </w:t>
      </w:r>
      <w:r w:rsidRPr="00991401">
        <w:rPr>
          <w:rStyle w:val="gsa1"/>
          <w:rFonts w:ascii="Times New Roman" w:hAnsi="Times New Roman"/>
          <w:color w:val="000000"/>
          <w:sz w:val="22"/>
          <w:szCs w:val="22"/>
        </w:rPr>
        <w:t>1991,</w:t>
      </w:r>
      <w:r w:rsidRPr="00991401">
        <w:rPr>
          <w:rStyle w:val="gsa1"/>
          <w:rFonts w:ascii="Times New Roman" w:hAnsi="Times New Roman"/>
          <w:sz w:val="22"/>
          <w:szCs w:val="22"/>
        </w:rPr>
        <w:t xml:space="preserve"> “</w:t>
      </w:r>
      <w:r w:rsidRPr="00991401">
        <w:rPr>
          <w:rFonts w:ascii="Times New Roman" w:hAnsi="Times New Roman"/>
          <w:bCs/>
          <w:sz w:val="22"/>
          <w:szCs w:val="22"/>
        </w:rPr>
        <w:t xml:space="preserve">Political </w:t>
      </w:r>
      <w:r w:rsidRPr="00991401">
        <w:rPr>
          <w:rFonts w:ascii="Times New Roman" w:hAnsi="Times New Roman"/>
          <w:sz w:val="22"/>
          <w:szCs w:val="22"/>
        </w:rPr>
        <w:t>and Monetary Institutions and P</w:t>
      </w:r>
      <w:r w:rsidRPr="00991401">
        <w:rPr>
          <w:rFonts w:ascii="Times New Roman" w:hAnsi="Times New Roman"/>
          <w:bCs/>
          <w:sz w:val="22"/>
          <w:szCs w:val="22"/>
        </w:rPr>
        <w:t>ublic F</w:t>
      </w:r>
      <w:r w:rsidRPr="00991401">
        <w:rPr>
          <w:rFonts w:ascii="Times New Roman" w:hAnsi="Times New Roman"/>
          <w:sz w:val="22"/>
          <w:szCs w:val="22"/>
        </w:rPr>
        <w:t>inancial Policies in the Industrial Countries</w:t>
      </w:r>
      <w:r w:rsidRPr="00991401">
        <w:rPr>
          <w:rFonts w:ascii="Times New Roman" w:hAnsi="Times New Roman"/>
          <w:color w:val="000000"/>
          <w:sz w:val="22"/>
          <w:szCs w:val="22"/>
        </w:rPr>
        <w:t>,</w:t>
      </w:r>
      <w:r w:rsidRPr="00991401">
        <w:rPr>
          <w:rStyle w:val="gsa1"/>
          <w:rFonts w:ascii="Times New Roman" w:hAnsi="Times New Roman"/>
          <w:color w:val="000000"/>
          <w:sz w:val="22"/>
          <w:szCs w:val="22"/>
        </w:rPr>
        <w:t xml:space="preserve">” </w:t>
      </w:r>
      <w:r w:rsidRPr="00991401">
        <w:rPr>
          <w:rStyle w:val="gsa1"/>
          <w:rFonts w:ascii="Times New Roman" w:hAnsi="Times New Roman"/>
          <w:i/>
          <w:color w:val="000000"/>
          <w:sz w:val="22"/>
          <w:szCs w:val="22"/>
        </w:rPr>
        <w:t>Economic Policy,</w:t>
      </w:r>
      <w:r w:rsidRPr="00991401">
        <w:rPr>
          <w:rStyle w:val="gsa1"/>
          <w:rFonts w:ascii="Times New Roman" w:hAnsi="Times New Roman"/>
          <w:sz w:val="22"/>
          <w:szCs w:val="22"/>
        </w:rPr>
        <w:t xml:space="preserve"> </w:t>
      </w:r>
      <w:r w:rsidRPr="00991401">
        <w:rPr>
          <w:rFonts w:ascii="Times New Roman" w:hAnsi="Times New Roman"/>
          <w:sz w:val="22"/>
          <w:szCs w:val="22"/>
        </w:rPr>
        <w:t>Vol. 6, No. 13, Oct., pp. 341-392.</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Jonung</w:t>
      </w:r>
      <w:proofErr w:type="spellEnd"/>
      <w:r w:rsidRPr="00991401">
        <w:rPr>
          <w:rFonts w:ascii="Times New Roman" w:hAnsi="Times New Roman" w:cs="Helvetica"/>
          <w:color w:val="000000"/>
          <w:sz w:val="22"/>
          <w:szCs w:val="22"/>
        </w:rPr>
        <w:t>, Lars</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Martin Larch, “Improving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iscal </w:t>
      </w:r>
      <w:r w:rsidR="00CE6DB9" w:rsidRPr="00991401">
        <w:rPr>
          <w:rFonts w:ascii="Times New Roman" w:hAnsi="Times New Roman" w:cs="Helvetica"/>
          <w:color w:val="000000"/>
          <w:sz w:val="22"/>
          <w:szCs w:val="22"/>
        </w:rPr>
        <w:t>P</w:t>
      </w:r>
      <w:r w:rsidRPr="00991401">
        <w:rPr>
          <w:rFonts w:ascii="Times New Roman" w:hAnsi="Times New Roman" w:cs="Helvetica"/>
          <w:color w:val="000000"/>
          <w:sz w:val="22"/>
          <w:szCs w:val="22"/>
        </w:rPr>
        <w:t xml:space="preserve">olicy in the EU: </w:t>
      </w:r>
      <w:r w:rsidR="00CE6DB9" w:rsidRPr="00991401">
        <w:rPr>
          <w:rFonts w:ascii="Times New Roman" w:hAnsi="Times New Roman" w:cs="Helvetica"/>
          <w:color w:val="000000"/>
          <w:sz w:val="22"/>
          <w:szCs w:val="22"/>
        </w:rPr>
        <w:t>T</w:t>
      </w:r>
      <w:r w:rsidRPr="00991401">
        <w:rPr>
          <w:rFonts w:ascii="Times New Roman" w:hAnsi="Times New Roman" w:cs="Helvetica"/>
          <w:color w:val="000000"/>
          <w:sz w:val="22"/>
          <w:szCs w:val="22"/>
        </w:rPr>
        <w:t xml:space="preserve">he </w:t>
      </w:r>
      <w:r w:rsidR="00CE6DB9" w:rsidRPr="00991401">
        <w:rPr>
          <w:rFonts w:ascii="Times New Roman" w:hAnsi="Times New Roman" w:cs="Helvetica"/>
          <w:color w:val="000000"/>
          <w:sz w:val="22"/>
          <w:szCs w:val="22"/>
        </w:rPr>
        <w:t>C</w:t>
      </w:r>
      <w:r w:rsidRPr="00991401">
        <w:rPr>
          <w:rFonts w:ascii="Times New Roman" w:hAnsi="Times New Roman" w:cs="Helvetica"/>
          <w:color w:val="000000"/>
          <w:sz w:val="22"/>
          <w:szCs w:val="22"/>
        </w:rPr>
        <w:t xml:space="preserve">ase for </w:t>
      </w:r>
      <w:r w:rsidR="00CE6DB9" w:rsidRPr="00991401">
        <w:rPr>
          <w:rFonts w:ascii="Times New Roman" w:hAnsi="Times New Roman" w:cs="Helvetica"/>
          <w:color w:val="000000"/>
          <w:sz w:val="22"/>
          <w:szCs w:val="22"/>
        </w:rPr>
        <w:t>I</w:t>
      </w:r>
      <w:r w:rsidRPr="00991401">
        <w:rPr>
          <w:rFonts w:ascii="Times New Roman" w:hAnsi="Times New Roman" w:cs="Helvetica"/>
          <w:color w:val="000000"/>
          <w:sz w:val="22"/>
          <w:szCs w:val="22"/>
        </w:rPr>
        <w:t xml:space="preserve">ndependent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orecasts,”</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i/>
          <w:color w:val="000000"/>
          <w:sz w:val="22"/>
          <w:szCs w:val="22"/>
        </w:rPr>
        <w:t>Economic Policy</w:t>
      </w:r>
      <w:r w:rsidRPr="00991401">
        <w:rPr>
          <w:rFonts w:ascii="Times New Roman" w:hAnsi="Times New Roman" w:cs="Helvetica"/>
          <w:color w:val="000000"/>
          <w:sz w:val="22"/>
          <w:szCs w:val="22"/>
        </w:rPr>
        <w:t>, 2006, 21 (47), 491–534.</w:t>
      </w:r>
      <w:r w:rsidR="008111C9" w:rsidRPr="00991401">
        <w:rPr>
          <w:rFonts w:ascii="Times New Roman" w:hAnsi="Times New Roman" w:cs="Helvetica"/>
          <w:color w:val="000000"/>
          <w:sz w:val="22"/>
          <w:szCs w:val="22"/>
        </w:rPr>
        <w:br/>
      </w:r>
    </w:p>
    <w:p w:rsidR="00CF25D8" w:rsidRPr="00991401" w:rsidRDefault="00CF25D8" w:rsidP="00555938">
      <w:pPr>
        <w:shd w:val="clear" w:color="auto" w:fill="FFFFFF"/>
        <w:spacing w:before="8"/>
        <w:rPr>
          <w:rFonts w:ascii="Times New Roman" w:hAnsi="Times New Roman"/>
          <w:sz w:val="22"/>
          <w:szCs w:val="22"/>
        </w:rPr>
      </w:pPr>
      <w:r w:rsidRPr="00991401">
        <w:rPr>
          <w:rFonts w:ascii="Times New Roman" w:hAnsi="Times New Roman"/>
          <w:sz w:val="22"/>
          <w:szCs w:val="22"/>
        </w:rPr>
        <w:t xml:space="preserve">Lane, Philip, 2003, “The Cyclical </w:t>
      </w:r>
      <w:proofErr w:type="spellStart"/>
      <w:r w:rsidRPr="00991401">
        <w:rPr>
          <w:rFonts w:ascii="Times New Roman" w:hAnsi="Times New Roman"/>
          <w:sz w:val="22"/>
          <w:szCs w:val="22"/>
        </w:rPr>
        <w:t>Behaviour</w:t>
      </w:r>
      <w:proofErr w:type="spellEnd"/>
      <w:r w:rsidRPr="00991401">
        <w:rPr>
          <w:rFonts w:ascii="Times New Roman" w:hAnsi="Times New Roman"/>
          <w:sz w:val="22"/>
          <w:szCs w:val="22"/>
        </w:rPr>
        <w:t xml:space="preserve"> of Fiscal policy: E</w:t>
      </w:r>
      <w:r w:rsidR="001F20A8" w:rsidRPr="00991401">
        <w:rPr>
          <w:rFonts w:ascii="Times New Roman" w:hAnsi="Times New Roman"/>
          <w:sz w:val="22"/>
          <w:szCs w:val="22"/>
        </w:rPr>
        <w:t>vidence from the OECD</w:t>
      </w:r>
      <w:r w:rsidRPr="00991401">
        <w:rPr>
          <w:rFonts w:ascii="Times New Roman" w:hAnsi="Times New Roman"/>
          <w:sz w:val="22"/>
          <w:szCs w:val="22"/>
        </w:rPr>
        <w:t xml:space="preserve">,” </w:t>
      </w:r>
      <w:hyperlink r:id="rId9" w:history="1">
        <w:r w:rsidRPr="00991401">
          <w:rPr>
            <w:rFonts w:ascii="Times New Roman" w:hAnsi="Times New Roman"/>
            <w:bCs/>
            <w:i/>
            <w:sz w:val="22"/>
            <w:szCs w:val="22"/>
          </w:rPr>
          <w:t>Journal of Public Economics</w:t>
        </w:r>
      </w:hyperlink>
      <w:r w:rsidRPr="00991401">
        <w:rPr>
          <w:rFonts w:ascii="Times New Roman" w:hAnsi="Times New Roman"/>
          <w:i/>
          <w:sz w:val="22"/>
          <w:szCs w:val="22"/>
        </w:rPr>
        <w:t xml:space="preserve">, </w:t>
      </w:r>
      <w:hyperlink r:id="rId10" w:history="1">
        <w:r w:rsidRPr="00991401">
          <w:rPr>
            <w:rFonts w:ascii="Times New Roman" w:hAnsi="Times New Roman"/>
            <w:sz w:val="22"/>
            <w:szCs w:val="22"/>
          </w:rPr>
          <w:t>Volume 87, Issue 12</w:t>
        </w:r>
      </w:hyperlink>
      <w:r w:rsidRPr="00991401">
        <w:rPr>
          <w:rFonts w:ascii="Times New Roman" w:hAnsi="Times New Roman"/>
          <w:sz w:val="22"/>
          <w:szCs w:val="22"/>
        </w:rPr>
        <w:t>, December, Pages 2661-2675.</w:t>
      </w:r>
    </w:p>
    <w:p w:rsidR="00CF25D8" w:rsidRPr="00991401" w:rsidRDefault="00CF25D8" w:rsidP="00555938">
      <w:pPr>
        <w:shd w:val="clear" w:color="auto" w:fill="FFFFFF"/>
        <w:spacing w:before="8"/>
        <w:rPr>
          <w:rFonts w:ascii="Times New Roman" w:hAnsi="Times New Roman"/>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proofErr w:type="gramStart"/>
      <w:r w:rsidRPr="00991401">
        <w:rPr>
          <w:rFonts w:ascii="Times New Roman" w:hAnsi="Times New Roman" w:cs="Helvetica"/>
          <w:color w:val="000000"/>
          <w:sz w:val="22"/>
          <w:szCs w:val="22"/>
        </w:rPr>
        <w:t>Muhleisen</w:t>
      </w:r>
      <w:proofErr w:type="spellEnd"/>
      <w:r w:rsidRPr="00991401">
        <w:rPr>
          <w:rFonts w:ascii="Times New Roman" w:hAnsi="Times New Roman" w:cs="Helvetica"/>
          <w:color w:val="000000"/>
          <w:sz w:val="22"/>
          <w:szCs w:val="22"/>
        </w:rPr>
        <w:t xml:space="preserve"> ,</w:t>
      </w:r>
      <w:proofErr w:type="gramEnd"/>
      <w:r w:rsidRPr="00991401">
        <w:rPr>
          <w:rFonts w:ascii="Times New Roman" w:hAnsi="Times New Roman" w:cs="Helvetica"/>
          <w:color w:val="000000"/>
          <w:sz w:val="22"/>
          <w:szCs w:val="22"/>
        </w:rPr>
        <w:t xml:space="preserve"> Martin, Stephan </w:t>
      </w:r>
      <w:proofErr w:type="spellStart"/>
      <w:r w:rsidRPr="00991401">
        <w:rPr>
          <w:rFonts w:ascii="Times New Roman" w:hAnsi="Times New Roman" w:cs="Helvetica"/>
          <w:color w:val="000000"/>
          <w:sz w:val="22"/>
          <w:szCs w:val="22"/>
        </w:rPr>
        <w:t>Danninger</w:t>
      </w:r>
      <w:proofErr w:type="spellEnd"/>
      <w:r w:rsidRPr="00991401">
        <w:rPr>
          <w:rFonts w:ascii="Times New Roman" w:hAnsi="Times New Roman" w:cs="Helvetica"/>
          <w:color w:val="000000"/>
          <w:sz w:val="22"/>
          <w:szCs w:val="22"/>
        </w:rPr>
        <w:t xml:space="preserve">, David </w:t>
      </w:r>
      <w:proofErr w:type="spellStart"/>
      <w:r w:rsidRPr="00991401">
        <w:rPr>
          <w:rFonts w:ascii="Times New Roman" w:hAnsi="Times New Roman" w:cs="Helvetica"/>
          <w:color w:val="000000"/>
          <w:sz w:val="22"/>
          <w:szCs w:val="22"/>
        </w:rPr>
        <w:t>Hauner</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Kornelia</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Krajnyak</w:t>
      </w:r>
      <w:proofErr w:type="spellEnd"/>
      <w:r w:rsidRPr="00991401">
        <w:rPr>
          <w:rFonts w:ascii="Times New Roman" w:hAnsi="Times New Roman" w:cs="Helvetica"/>
          <w:color w:val="000000"/>
          <w:sz w:val="22"/>
          <w:szCs w:val="22"/>
        </w:rPr>
        <w:t xml:space="preserve"> and Bennett Sutton, “How Do </w:t>
      </w:r>
      <w:r w:rsidRPr="00991401">
        <w:rPr>
          <w:rFonts w:ascii="Times New Roman" w:hAnsi="Times New Roman" w:cs="Helvetica"/>
          <w:color w:val="000000"/>
          <w:sz w:val="22"/>
          <w:szCs w:val="22"/>
        </w:rPr>
        <w:lastRenderedPageBreak/>
        <w:t>Canadian Budget Forecasts Compare With Those of Other Industrial Countries?,” IMF Working Paper, April 2005, (05/66).</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Merola</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Rossana</w:t>
      </w:r>
      <w:proofErr w:type="spellEnd"/>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Javier J. Perez, </w:t>
      </w:r>
      <w:r w:rsidR="00FB399E" w:rsidRPr="00991401">
        <w:rPr>
          <w:rFonts w:ascii="Times New Roman" w:hAnsi="Times New Roman" w:cs="Helvetica"/>
          <w:color w:val="000000"/>
          <w:sz w:val="22"/>
          <w:szCs w:val="22"/>
        </w:rPr>
        <w:t xml:space="preserve">2012, </w:t>
      </w:r>
      <w:r w:rsidRPr="00991401">
        <w:rPr>
          <w:rFonts w:ascii="Times New Roman" w:hAnsi="Times New Roman" w:cs="Helvetica"/>
          <w:color w:val="000000"/>
          <w:sz w:val="22"/>
          <w:szCs w:val="22"/>
        </w:rPr>
        <w:t xml:space="preserve">“Fiscal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orecast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rrors: </w:t>
      </w:r>
      <w:r w:rsidR="00CE6DB9" w:rsidRPr="00991401">
        <w:rPr>
          <w:rFonts w:ascii="Times New Roman" w:hAnsi="Times New Roman" w:cs="Helvetica"/>
          <w:color w:val="000000"/>
          <w:sz w:val="22"/>
          <w:szCs w:val="22"/>
        </w:rPr>
        <w:t>G</w:t>
      </w:r>
      <w:r w:rsidRPr="00991401">
        <w:rPr>
          <w:rFonts w:ascii="Times New Roman" w:hAnsi="Times New Roman" w:cs="Helvetica"/>
          <w:color w:val="000000"/>
          <w:sz w:val="22"/>
          <w:szCs w:val="22"/>
        </w:rPr>
        <w:t xml:space="preserve">overnments vs </w:t>
      </w:r>
      <w:r w:rsidR="00CE6DB9" w:rsidRPr="00991401">
        <w:rPr>
          <w:rFonts w:ascii="Times New Roman" w:hAnsi="Times New Roman" w:cs="Helvetica"/>
          <w:color w:val="000000"/>
          <w:sz w:val="22"/>
          <w:szCs w:val="22"/>
        </w:rPr>
        <w:t>I</w:t>
      </w:r>
      <w:r w:rsidRPr="00991401">
        <w:rPr>
          <w:rFonts w:ascii="Times New Roman" w:hAnsi="Times New Roman" w:cs="Helvetica"/>
          <w:color w:val="000000"/>
          <w:sz w:val="22"/>
          <w:szCs w:val="22"/>
        </w:rPr>
        <w:t xml:space="preserve">ndependent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gencies?</w:t>
      </w:r>
      <w:proofErr w:type="gramStart"/>
      <w:r w:rsidRPr="00991401">
        <w:rPr>
          <w:rFonts w:ascii="Times New Roman" w:hAnsi="Times New Roman" w:cs="Helvetica"/>
          <w:color w:val="000000"/>
          <w:sz w:val="22"/>
          <w:szCs w:val="22"/>
        </w:rPr>
        <w:t>”</w:t>
      </w:r>
      <w:r w:rsidR="00FB399E" w:rsidRPr="00991401">
        <w:rPr>
          <w:rFonts w:ascii="Times New Roman" w:hAnsi="Times New Roman" w:cs="Helvetica"/>
          <w:color w:val="000000"/>
          <w:sz w:val="22"/>
          <w:szCs w:val="22"/>
        </w:rPr>
        <w:t>.</w:t>
      </w:r>
      <w:proofErr w:type="gramEnd"/>
      <w:r w:rsidR="00FB399E" w:rsidRPr="00991401">
        <w:rPr>
          <w:rFonts w:eastAsia="Times New Roman"/>
          <w:color w:val="000000"/>
          <w:sz w:val="22"/>
          <w:szCs w:val="22"/>
        </w:rPr>
        <w:t xml:space="preserve"> </w:t>
      </w:r>
      <w:r w:rsidR="00FB399E" w:rsidRPr="00991401">
        <w:rPr>
          <w:rFonts w:eastAsia="Times New Roman"/>
          <w:i/>
          <w:iCs/>
          <w:color w:val="000000"/>
          <w:sz w:val="22"/>
          <w:szCs w:val="22"/>
        </w:rPr>
        <w:t>European Journal of Political Economy</w:t>
      </w:r>
      <w:r w:rsidR="00FB399E" w:rsidRPr="00991401">
        <w:rPr>
          <w:rFonts w:eastAsia="Times New Roman"/>
          <w:color w:val="000000"/>
          <w:sz w:val="22"/>
          <w:szCs w:val="22"/>
        </w:rPr>
        <w:t xml:space="preserve"> - 23, pp. 285-299, September 2013.</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proofErr w:type="gramStart"/>
      <w:r w:rsidRPr="00991401">
        <w:rPr>
          <w:rFonts w:ascii="Times New Roman" w:hAnsi="Times New Roman" w:cs="Helvetica"/>
          <w:color w:val="000000"/>
          <w:sz w:val="22"/>
          <w:szCs w:val="22"/>
        </w:rPr>
        <w:t>Milesi-Ferretti</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Gian</w:t>
      </w:r>
      <w:proofErr w:type="spellEnd"/>
      <w:r w:rsidRPr="00991401">
        <w:rPr>
          <w:rFonts w:ascii="Times New Roman" w:hAnsi="Times New Roman" w:cs="Helvetica"/>
          <w:color w:val="000000"/>
          <w:sz w:val="22"/>
          <w:szCs w:val="22"/>
        </w:rPr>
        <w:t xml:space="preserve"> Maria, “Good, </w:t>
      </w:r>
      <w:r w:rsidR="00CE6DB9" w:rsidRPr="00991401">
        <w:rPr>
          <w:rFonts w:ascii="Times New Roman" w:hAnsi="Times New Roman" w:cs="Helvetica"/>
          <w:color w:val="000000"/>
          <w:sz w:val="22"/>
          <w:szCs w:val="22"/>
        </w:rPr>
        <w:t>B</w:t>
      </w:r>
      <w:r w:rsidRPr="00991401">
        <w:rPr>
          <w:rFonts w:ascii="Times New Roman" w:hAnsi="Times New Roman" w:cs="Helvetica"/>
          <w:color w:val="000000"/>
          <w:sz w:val="22"/>
          <w:szCs w:val="22"/>
        </w:rPr>
        <w:t xml:space="preserve">ad or </w:t>
      </w:r>
      <w:r w:rsidR="00CE6DB9" w:rsidRPr="00991401">
        <w:rPr>
          <w:rFonts w:ascii="Times New Roman" w:hAnsi="Times New Roman" w:cs="Helvetica"/>
          <w:color w:val="000000"/>
          <w:sz w:val="22"/>
          <w:szCs w:val="22"/>
        </w:rPr>
        <w:t>U</w:t>
      </w:r>
      <w:r w:rsidRPr="00991401">
        <w:rPr>
          <w:rFonts w:ascii="Times New Roman" w:hAnsi="Times New Roman" w:cs="Helvetica"/>
          <w:color w:val="000000"/>
          <w:sz w:val="22"/>
          <w:szCs w:val="22"/>
        </w:rPr>
        <w:t>gly?</w:t>
      </w:r>
      <w:proofErr w:type="gramEnd"/>
      <w:r w:rsidRPr="00991401">
        <w:rPr>
          <w:rFonts w:ascii="Times New Roman" w:hAnsi="Times New Roman" w:cs="Helvetica"/>
          <w:color w:val="000000"/>
          <w:sz w:val="22"/>
          <w:szCs w:val="22"/>
        </w:rPr>
        <w:t xml:space="preserve"> On the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ffects of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iscal </w:t>
      </w:r>
      <w:r w:rsidR="00CE6DB9" w:rsidRPr="00991401">
        <w:rPr>
          <w:rFonts w:ascii="Times New Roman" w:hAnsi="Times New Roman" w:cs="Helvetica"/>
          <w:color w:val="000000"/>
          <w:sz w:val="22"/>
          <w:szCs w:val="22"/>
        </w:rPr>
        <w:t>R</w:t>
      </w:r>
      <w:r w:rsidRPr="00991401">
        <w:rPr>
          <w:rFonts w:ascii="Times New Roman" w:hAnsi="Times New Roman" w:cs="Helvetica"/>
          <w:color w:val="000000"/>
          <w:sz w:val="22"/>
          <w:szCs w:val="22"/>
        </w:rPr>
        <w:t xml:space="preserve">ules with </w:t>
      </w:r>
      <w:r w:rsidR="00CE6DB9" w:rsidRPr="00991401">
        <w:rPr>
          <w:rFonts w:ascii="Times New Roman" w:hAnsi="Times New Roman" w:cs="Helvetica"/>
          <w:color w:val="000000"/>
          <w:sz w:val="22"/>
          <w:szCs w:val="22"/>
        </w:rPr>
        <w:t>C</w:t>
      </w:r>
      <w:r w:rsidRPr="00991401">
        <w:rPr>
          <w:rFonts w:ascii="Times New Roman" w:hAnsi="Times New Roman" w:cs="Helvetica"/>
          <w:color w:val="000000"/>
          <w:sz w:val="22"/>
          <w:szCs w:val="22"/>
        </w:rPr>
        <w:t xml:space="preserve">reative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ccounting</w:t>
      </w:r>
      <w:r w:rsidRPr="00991401">
        <w:rPr>
          <w:rFonts w:ascii="Times New Roman" w:hAnsi="Times New Roman" w:cs="Helvetica"/>
          <w:i/>
          <w:color w:val="000000"/>
          <w:sz w:val="22"/>
          <w:szCs w:val="22"/>
        </w:rPr>
        <w:t>,” Journal of Public Economics</w:t>
      </w:r>
      <w:r w:rsidRPr="00991401">
        <w:rPr>
          <w:rFonts w:ascii="Times New Roman" w:hAnsi="Times New Roman" w:cs="Helvetica"/>
          <w:color w:val="000000"/>
          <w:sz w:val="22"/>
          <w:szCs w:val="22"/>
        </w:rPr>
        <w:t>, 2003, 88 (1-2), 377–394.</w:t>
      </w:r>
    </w:p>
    <w:p w:rsidR="00CF25D8" w:rsidRPr="00991401" w:rsidRDefault="00CF25D8"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CF25D8" w:rsidRPr="00991401" w:rsidRDefault="00CF25D8"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bCs/>
          <w:sz w:val="22"/>
          <w:szCs w:val="22"/>
        </w:rPr>
        <w:t>Persson</w:t>
      </w:r>
      <w:proofErr w:type="spellEnd"/>
      <w:r w:rsidRPr="00991401">
        <w:rPr>
          <w:rFonts w:ascii="Times New Roman" w:hAnsi="Times New Roman"/>
          <w:bCs/>
          <w:sz w:val="22"/>
          <w:szCs w:val="22"/>
        </w:rPr>
        <w:t xml:space="preserve">, </w:t>
      </w:r>
      <w:proofErr w:type="spellStart"/>
      <w:r w:rsidRPr="00991401">
        <w:rPr>
          <w:rFonts w:ascii="Times New Roman" w:hAnsi="Times New Roman"/>
          <w:bCs/>
          <w:sz w:val="22"/>
          <w:szCs w:val="22"/>
        </w:rPr>
        <w:t>Torsten</w:t>
      </w:r>
      <w:proofErr w:type="spellEnd"/>
      <w:r w:rsidRPr="00991401">
        <w:rPr>
          <w:rFonts w:ascii="Times New Roman" w:hAnsi="Times New Roman"/>
          <w:bCs/>
          <w:sz w:val="22"/>
          <w:szCs w:val="22"/>
        </w:rPr>
        <w:t xml:space="preserve">, and Guido Tabellini, 2002, </w:t>
      </w:r>
      <w:r w:rsidRPr="00991401">
        <w:rPr>
          <w:rFonts w:ascii="Times New Roman" w:hAnsi="Times New Roman"/>
          <w:sz w:val="22"/>
          <w:szCs w:val="22"/>
        </w:rPr>
        <w:t xml:space="preserve">“Political Economics and Public Finance,” Chapter 24, </w:t>
      </w:r>
      <w:hyperlink r:id="rId11" w:history="1">
        <w:r w:rsidRPr="00991401">
          <w:rPr>
            <w:rFonts w:ascii="Times New Roman" w:hAnsi="Times New Roman"/>
            <w:bCs/>
            <w:i/>
            <w:sz w:val="22"/>
            <w:szCs w:val="22"/>
          </w:rPr>
          <w:t>Handbook of Public Economics</w:t>
        </w:r>
      </w:hyperlink>
      <w:r w:rsidRPr="00991401">
        <w:rPr>
          <w:rFonts w:ascii="Times New Roman" w:hAnsi="Times New Roman"/>
          <w:sz w:val="22"/>
          <w:szCs w:val="22"/>
        </w:rPr>
        <w:t xml:space="preserve">, </w:t>
      </w:r>
      <w:hyperlink r:id="rId12" w:history="1">
        <w:r w:rsidRPr="00991401">
          <w:rPr>
            <w:rFonts w:ascii="Times New Roman" w:hAnsi="Times New Roman"/>
            <w:sz w:val="22"/>
            <w:szCs w:val="22"/>
          </w:rPr>
          <w:t>Volume 3</w:t>
        </w:r>
      </w:hyperlink>
      <w:r w:rsidRPr="00991401">
        <w:rPr>
          <w:rFonts w:ascii="Times New Roman" w:hAnsi="Times New Roman"/>
          <w:sz w:val="22"/>
          <w:szCs w:val="22"/>
        </w:rPr>
        <w:t>, Pages 1549-1659.</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color w:val="000000"/>
          <w:sz w:val="22"/>
          <w:szCs w:val="22"/>
        </w:rPr>
        <w:t>Pina, Alvaro M.</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w:t>
      </w:r>
      <w:proofErr w:type="spellStart"/>
      <w:r w:rsidRPr="00991401">
        <w:rPr>
          <w:rFonts w:ascii="Times New Roman" w:hAnsi="Times New Roman" w:cs="Helvetica"/>
          <w:color w:val="000000"/>
          <w:sz w:val="22"/>
          <w:szCs w:val="22"/>
        </w:rPr>
        <w:t>Nuno</w:t>
      </w:r>
      <w:proofErr w:type="spellEnd"/>
      <w:r w:rsidRPr="00991401">
        <w:rPr>
          <w:rFonts w:ascii="Times New Roman" w:hAnsi="Times New Roman" w:cs="Helvetica"/>
          <w:color w:val="000000"/>
          <w:sz w:val="22"/>
          <w:szCs w:val="22"/>
        </w:rPr>
        <w:t xml:space="preserve"> M. </w:t>
      </w:r>
      <w:proofErr w:type="spellStart"/>
      <w:r w:rsidRPr="00991401">
        <w:rPr>
          <w:rFonts w:ascii="Times New Roman" w:hAnsi="Times New Roman" w:cs="Helvetica"/>
          <w:color w:val="000000"/>
          <w:sz w:val="22"/>
          <w:szCs w:val="22"/>
        </w:rPr>
        <w:t>Venes</w:t>
      </w:r>
      <w:proofErr w:type="spellEnd"/>
      <w:r w:rsidRPr="00991401">
        <w:rPr>
          <w:rFonts w:ascii="Times New Roman" w:hAnsi="Times New Roman" w:cs="Helvetica"/>
          <w:color w:val="000000"/>
          <w:sz w:val="22"/>
          <w:szCs w:val="22"/>
        </w:rPr>
        <w:t xml:space="preserve">, “The </w:t>
      </w:r>
      <w:r w:rsidR="00CE6DB9" w:rsidRPr="00991401">
        <w:rPr>
          <w:rFonts w:ascii="Times New Roman" w:hAnsi="Times New Roman" w:cs="Helvetica"/>
          <w:color w:val="000000"/>
          <w:sz w:val="22"/>
          <w:szCs w:val="22"/>
        </w:rPr>
        <w:t>P</w:t>
      </w:r>
      <w:r w:rsidRPr="00991401">
        <w:rPr>
          <w:rFonts w:ascii="Times New Roman" w:hAnsi="Times New Roman" w:cs="Helvetica"/>
          <w:color w:val="000000"/>
          <w:sz w:val="22"/>
          <w:szCs w:val="22"/>
        </w:rPr>
        <w:t xml:space="preserve">olitical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conomy of EDP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iscal </w:t>
      </w:r>
      <w:r w:rsidR="00CE6DB9" w:rsidRPr="00991401">
        <w:rPr>
          <w:rFonts w:ascii="Times New Roman" w:hAnsi="Times New Roman" w:cs="Helvetica"/>
          <w:color w:val="000000"/>
          <w:sz w:val="22"/>
          <w:szCs w:val="22"/>
        </w:rPr>
        <w:t>F</w:t>
      </w:r>
      <w:r w:rsidRPr="00991401">
        <w:rPr>
          <w:rFonts w:ascii="Times New Roman" w:hAnsi="Times New Roman" w:cs="Helvetica"/>
          <w:color w:val="000000"/>
          <w:sz w:val="22"/>
          <w:szCs w:val="22"/>
        </w:rPr>
        <w:t xml:space="preserve">orecasts: An </w:t>
      </w:r>
      <w:r w:rsidR="00CE6DB9" w:rsidRPr="00991401">
        <w:rPr>
          <w:rFonts w:ascii="Times New Roman" w:hAnsi="Times New Roman" w:cs="Helvetica"/>
          <w:color w:val="000000"/>
          <w:sz w:val="22"/>
          <w:szCs w:val="22"/>
        </w:rPr>
        <w:t>E</w:t>
      </w:r>
      <w:r w:rsidRPr="00991401">
        <w:rPr>
          <w:rFonts w:ascii="Times New Roman" w:hAnsi="Times New Roman" w:cs="Helvetica"/>
          <w:color w:val="000000"/>
          <w:sz w:val="22"/>
          <w:szCs w:val="22"/>
        </w:rPr>
        <w:t xml:space="preserve">mpirical </w:t>
      </w:r>
      <w:r w:rsidR="00CE6DB9" w:rsidRPr="00991401">
        <w:rPr>
          <w:rFonts w:ascii="Times New Roman" w:hAnsi="Times New Roman" w:cs="Helvetica"/>
          <w:color w:val="000000"/>
          <w:sz w:val="22"/>
          <w:szCs w:val="22"/>
        </w:rPr>
        <w:t>A</w:t>
      </w:r>
      <w:r w:rsidRPr="00991401">
        <w:rPr>
          <w:rFonts w:ascii="Times New Roman" w:hAnsi="Times New Roman" w:cs="Helvetica"/>
          <w:color w:val="000000"/>
          <w:sz w:val="22"/>
          <w:szCs w:val="22"/>
        </w:rPr>
        <w:t xml:space="preserve">ssessment,” </w:t>
      </w:r>
      <w:r w:rsidRPr="00991401">
        <w:rPr>
          <w:rFonts w:ascii="Times New Roman" w:hAnsi="Times New Roman" w:cs="Helvetica"/>
          <w:i/>
          <w:color w:val="000000"/>
          <w:sz w:val="22"/>
          <w:szCs w:val="22"/>
        </w:rPr>
        <w:t>European Journal of Political Economy</w:t>
      </w:r>
      <w:r w:rsidRPr="00991401">
        <w:rPr>
          <w:rFonts w:ascii="Times New Roman" w:hAnsi="Times New Roman" w:cs="Helvetica"/>
          <w:color w:val="000000"/>
          <w:sz w:val="22"/>
          <w:szCs w:val="22"/>
        </w:rPr>
        <w:t>, 2011, 27, 534–546.</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roofErr w:type="spellStart"/>
      <w:r w:rsidRPr="00991401">
        <w:rPr>
          <w:rFonts w:ascii="Times New Roman" w:hAnsi="Times New Roman" w:cs="Helvetica"/>
          <w:color w:val="000000"/>
          <w:sz w:val="22"/>
          <w:szCs w:val="22"/>
        </w:rPr>
        <w:t>Poplawski</w:t>
      </w:r>
      <w:proofErr w:type="spellEnd"/>
      <w:r w:rsidRPr="00991401">
        <w:rPr>
          <w:rFonts w:ascii="Times New Roman" w:hAnsi="Times New Roman" w:cs="Helvetica"/>
          <w:color w:val="000000"/>
          <w:sz w:val="22"/>
          <w:szCs w:val="22"/>
        </w:rPr>
        <w:t>-Ribeiro, Marco</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and Jan-</w:t>
      </w:r>
      <w:proofErr w:type="spellStart"/>
      <w:r w:rsidRPr="00991401">
        <w:rPr>
          <w:rFonts w:ascii="Times New Roman" w:hAnsi="Times New Roman" w:cs="Helvetica"/>
          <w:color w:val="000000"/>
          <w:sz w:val="22"/>
          <w:szCs w:val="22"/>
        </w:rPr>
        <w:t>Christoph</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Rulke</w:t>
      </w:r>
      <w:proofErr w:type="spellEnd"/>
      <w:r w:rsidRPr="00991401">
        <w:rPr>
          <w:rFonts w:ascii="Times New Roman" w:hAnsi="Times New Roman" w:cs="Helvetica"/>
          <w:color w:val="000000"/>
          <w:sz w:val="22"/>
          <w:szCs w:val="22"/>
        </w:rPr>
        <w:t xml:space="preserve">, “Fiscal Expectations </w:t>
      </w:r>
      <w:proofErr w:type="gramStart"/>
      <w:r w:rsidRPr="00991401">
        <w:rPr>
          <w:rFonts w:ascii="Times New Roman" w:hAnsi="Times New Roman" w:cs="Helvetica"/>
          <w:color w:val="000000"/>
          <w:sz w:val="22"/>
          <w:szCs w:val="22"/>
        </w:rPr>
        <w:t>Under</w:t>
      </w:r>
      <w:proofErr w:type="gramEnd"/>
      <w:r w:rsidRPr="00991401">
        <w:rPr>
          <w:rFonts w:ascii="Times New Roman" w:hAnsi="Times New Roman" w:cs="Helvetica"/>
          <w:color w:val="000000"/>
          <w:sz w:val="22"/>
          <w:szCs w:val="22"/>
        </w:rPr>
        <w:t xml:space="preserve"> the Stability and Growth Pact: Evidence from Survey Data,” IMF Working Paper, March 2011, (11/48).</w:t>
      </w:r>
    </w:p>
    <w:p w:rsidR="00867430" w:rsidRPr="00991401" w:rsidRDefault="00867430" w:rsidP="00555938">
      <w:pPr>
        <w:spacing w:before="100" w:beforeAutospacing="1" w:after="100" w:afterAutospacing="1"/>
        <w:outlineLvl w:val="1"/>
        <w:rPr>
          <w:rFonts w:ascii="Times New Roman" w:hAnsi="Times New Roman"/>
          <w:sz w:val="22"/>
          <w:szCs w:val="22"/>
        </w:rPr>
      </w:pPr>
      <w:proofErr w:type="spellStart"/>
      <w:proofErr w:type="gramStart"/>
      <w:r w:rsidRPr="00991401">
        <w:rPr>
          <w:rFonts w:ascii="Times New Roman" w:hAnsi="Times New Roman"/>
          <w:sz w:val="22"/>
          <w:szCs w:val="22"/>
        </w:rPr>
        <w:t>Roubini</w:t>
      </w:r>
      <w:proofErr w:type="spellEnd"/>
      <w:r w:rsidRPr="00991401">
        <w:rPr>
          <w:rFonts w:ascii="Times New Roman" w:hAnsi="Times New Roman"/>
          <w:sz w:val="22"/>
          <w:szCs w:val="22"/>
        </w:rPr>
        <w:t xml:space="preserve">, </w:t>
      </w:r>
      <w:proofErr w:type="spellStart"/>
      <w:r w:rsidRPr="00991401">
        <w:rPr>
          <w:rFonts w:ascii="Times New Roman" w:hAnsi="Times New Roman"/>
          <w:sz w:val="22"/>
          <w:szCs w:val="22"/>
        </w:rPr>
        <w:t>Nouriel</w:t>
      </w:r>
      <w:proofErr w:type="spellEnd"/>
      <w:r w:rsidRPr="00991401">
        <w:rPr>
          <w:rFonts w:ascii="Times New Roman" w:hAnsi="Times New Roman"/>
          <w:sz w:val="22"/>
          <w:szCs w:val="22"/>
        </w:rPr>
        <w:t>, and Jeffrey Sachs, 1989a, “</w:t>
      </w:r>
      <w:r w:rsidRPr="00991401">
        <w:rPr>
          <w:rFonts w:ascii="Times New Roman" w:hAnsi="Times New Roman"/>
          <w:bCs/>
          <w:kern w:val="36"/>
          <w:sz w:val="22"/>
          <w:szCs w:val="22"/>
        </w:rPr>
        <w:t xml:space="preserve">Government Spending and Budget Deficits in the Industrial Economies,” </w:t>
      </w:r>
      <w:r w:rsidRPr="00991401">
        <w:rPr>
          <w:rFonts w:ascii="Times New Roman" w:hAnsi="Times New Roman"/>
          <w:i/>
          <w:sz w:val="22"/>
          <w:szCs w:val="22"/>
        </w:rPr>
        <w:t>Economic Policy</w:t>
      </w:r>
      <w:r w:rsidRPr="00991401">
        <w:rPr>
          <w:rFonts w:ascii="Times New Roman" w:hAnsi="Times New Roman"/>
          <w:sz w:val="22"/>
          <w:szCs w:val="22"/>
        </w:rPr>
        <w:t>, No. 8, April.</w:t>
      </w:r>
      <w:proofErr w:type="gramEnd"/>
      <w:r w:rsidRPr="00991401">
        <w:rPr>
          <w:rFonts w:ascii="Times New Roman" w:hAnsi="Times New Roman"/>
          <w:sz w:val="22"/>
          <w:szCs w:val="22"/>
        </w:rPr>
        <w:br/>
      </w:r>
      <w:r w:rsidRPr="00991401">
        <w:rPr>
          <w:rFonts w:ascii="Times New Roman" w:hAnsi="Times New Roman"/>
          <w:sz w:val="22"/>
          <w:szCs w:val="22"/>
        </w:rPr>
        <w:br/>
        <w:t xml:space="preserve">--------------------------, 1989b, “Political and Economic Determinants of Budget Deficits in the Industrial Democracies,” </w:t>
      </w:r>
      <w:hyperlink r:id="rId13" w:history="1">
        <w:r w:rsidRPr="00991401">
          <w:rPr>
            <w:rFonts w:ascii="Times New Roman" w:hAnsi="Times New Roman"/>
            <w:bCs/>
            <w:i/>
            <w:sz w:val="22"/>
            <w:szCs w:val="22"/>
          </w:rPr>
          <w:t>European Economic Review</w:t>
        </w:r>
      </w:hyperlink>
      <w:r w:rsidRPr="00991401">
        <w:rPr>
          <w:rFonts w:ascii="Times New Roman" w:hAnsi="Times New Roman"/>
          <w:sz w:val="22"/>
          <w:szCs w:val="22"/>
        </w:rPr>
        <w:t xml:space="preserve">, </w:t>
      </w:r>
      <w:hyperlink r:id="rId14" w:history="1">
        <w:r w:rsidRPr="00991401">
          <w:rPr>
            <w:rFonts w:ascii="Times New Roman" w:hAnsi="Times New Roman"/>
            <w:sz w:val="22"/>
            <w:szCs w:val="22"/>
          </w:rPr>
          <w:t>Volume 33, Issue 5</w:t>
        </w:r>
      </w:hyperlink>
      <w:r w:rsidRPr="00991401">
        <w:rPr>
          <w:rFonts w:ascii="Times New Roman" w:hAnsi="Times New Roman"/>
          <w:sz w:val="22"/>
          <w:szCs w:val="22"/>
        </w:rPr>
        <w:t xml:space="preserve">, pp. 903-933. </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color w:val="000000"/>
          <w:sz w:val="22"/>
          <w:szCs w:val="22"/>
        </w:rPr>
        <w:t>Teresa, Javier J. Perez</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Mika </w:t>
      </w:r>
      <w:proofErr w:type="spellStart"/>
      <w:r w:rsidRPr="00991401">
        <w:rPr>
          <w:rFonts w:ascii="Times New Roman" w:hAnsi="Times New Roman" w:cs="Helvetica"/>
          <w:color w:val="000000"/>
          <w:sz w:val="22"/>
          <w:szCs w:val="22"/>
        </w:rPr>
        <w:t>Tujula</w:t>
      </w:r>
      <w:proofErr w:type="spellEnd"/>
      <w:r w:rsidRPr="00991401">
        <w:rPr>
          <w:rFonts w:ascii="Times New Roman" w:hAnsi="Times New Roman" w:cs="Helvetica"/>
          <w:color w:val="000000"/>
          <w:sz w:val="22"/>
          <w:szCs w:val="22"/>
        </w:rPr>
        <w:t xml:space="preserve"> Leal and Jean-Pierre Vidal, “Fiscal Forecasting: Lessons </w:t>
      </w:r>
      <w:proofErr w:type="gramStart"/>
      <w:r w:rsidRPr="00991401">
        <w:rPr>
          <w:rFonts w:ascii="Times New Roman" w:hAnsi="Times New Roman" w:cs="Helvetica"/>
          <w:color w:val="000000"/>
          <w:sz w:val="22"/>
          <w:szCs w:val="22"/>
        </w:rPr>
        <w:t>From</w:t>
      </w:r>
      <w:proofErr w:type="gramEnd"/>
      <w:r w:rsidRPr="00991401">
        <w:rPr>
          <w:rFonts w:ascii="Times New Roman" w:hAnsi="Times New Roman" w:cs="Helvetica"/>
          <w:color w:val="000000"/>
          <w:sz w:val="22"/>
          <w:szCs w:val="22"/>
        </w:rPr>
        <w:t xml:space="preserve"> the Literature and Challenges,” </w:t>
      </w:r>
      <w:r w:rsidRPr="00991401">
        <w:rPr>
          <w:rFonts w:ascii="Times New Roman" w:hAnsi="Times New Roman" w:cs="Helvetica"/>
          <w:i/>
          <w:color w:val="000000"/>
          <w:sz w:val="22"/>
          <w:szCs w:val="22"/>
        </w:rPr>
        <w:t>Fiscal Studies</w:t>
      </w:r>
      <w:r w:rsidRPr="00991401">
        <w:rPr>
          <w:rFonts w:ascii="Times New Roman" w:hAnsi="Times New Roman" w:cs="Helvetica"/>
          <w:color w:val="000000"/>
          <w:sz w:val="22"/>
          <w:szCs w:val="22"/>
        </w:rPr>
        <w:t>, 2008, 29 (3), 347–386.</w:t>
      </w:r>
    </w:p>
    <w:p w:rsidR="00AC7C52" w:rsidRPr="00991401" w:rsidRDefault="00AC7C52"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p>
    <w:p w:rsidR="00AC7C52" w:rsidRPr="00991401" w:rsidRDefault="001F20A8" w:rsidP="00555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sz w:val="22"/>
          <w:szCs w:val="22"/>
        </w:rPr>
      </w:pPr>
      <w:r w:rsidRPr="00991401">
        <w:rPr>
          <w:rFonts w:ascii="Times New Roman" w:hAnsi="Times New Roman" w:cs="Helvetica"/>
          <w:color w:val="000000"/>
          <w:sz w:val="22"/>
          <w:szCs w:val="22"/>
        </w:rPr>
        <w:t xml:space="preserve">Wyplosz, Charles, </w:t>
      </w:r>
      <w:r w:rsidR="008111C9" w:rsidRPr="00991401">
        <w:rPr>
          <w:rFonts w:ascii="Times New Roman" w:hAnsi="Times New Roman" w:cs="Helvetica"/>
          <w:color w:val="000000"/>
          <w:sz w:val="22"/>
          <w:szCs w:val="22"/>
        </w:rPr>
        <w:t>2005</w:t>
      </w:r>
      <w:proofErr w:type="gramStart"/>
      <w:r w:rsidR="008111C9" w:rsidRPr="00991401">
        <w:rPr>
          <w:rFonts w:ascii="Times New Roman" w:hAnsi="Times New Roman" w:cs="Helvetica"/>
          <w:color w:val="000000"/>
          <w:sz w:val="22"/>
          <w:szCs w:val="22"/>
        </w:rPr>
        <w:t xml:space="preserve">, </w:t>
      </w:r>
      <w:r w:rsidR="00AC7C52" w:rsidRPr="00991401">
        <w:rPr>
          <w:rFonts w:ascii="Times New Roman" w:hAnsi="Times New Roman" w:cs="Helvetica"/>
          <w:color w:val="000000"/>
          <w:sz w:val="22"/>
          <w:szCs w:val="22"/>
        </w:rPr>
        <w:t xml:space="preserve"> “</w:t>
      </w:r>
      <w:proofErr w:type="gramEnd"/>
      <w:r w:rsidR="00AC7C52" w:rsidRPr="00991401">
        <w:rPr>
          <w:rFonts w:ascii="Times New Roman" w:hAnsi="Times New Roman" w:cs="Helvetica"/>
          <w:color w:val="000000"/>
          <w:sz w:val="22"/>
          <w:szCs w:val="22"/>
        </w:rPr>
        <w:t xml:space="preserve">Fiscal policy: </w:t>
      </w:r>
      <w:r w:rsidR="00CE6DB9" w:rsidRPr="00991401">
        <w:rPr>
          <w:rFonts w:ascii="Times New Roman" w:hAnsi="Times New Roman" w:cs="Helvetica"/>
          <w:color w:val="000000"/>
          <w:sz w:val="22"/>
          <w:szCs w:val="22"/>
        </w:rPr>
        <w:t>I</w:t>
      </w:r>
      <w:r w:rsidR="00AC7C52" w:rsidRPr="00991401">
        <w:rPr>
          <w:rFonts w:ascii="Times New Roman" w:hAnsi="Times New Roman" w:cs="Helvetica"/>
          <w:color w:val="000000"/>
          <w:sz w:val="22"/>
          <w:szCs w:val="22"/>
        </w:rPr>
        <w:t xml:space="preserve">nstitutions versus </w:t>
      </w:r>
      <w:r w:rsidR="00CE6DB9" w:rsidRPr="00991401">
        <w:rPr>
          <w:rFonts w:ascii="Times New Roman" w:hAnsi="Times New Roman" w:cs="Helvetica"/>
          <w:color w:val="000000"/>
          <w:sz w:val="22"/>
          <w:szCs w:val="22"/>
        </w:rPr>
        <w:t>R</w:t>
      </w:r>
      <w:r w:rsidR="00AC7C52" w:rsidRPr="00991401">
        <w:rPr>
          <w:rFonts w:ascii="Times New Roman" w:hAnsi="Times New Roman" w:cs="Helvetica"/>
          <w:color w:val="000000"/>
          <w:sz w:val="22"/>
          <w:szCs w:val="22"/>
        </w:rPr>
        <w:t xml:space="preserve">ules,” </w:t>
      </w:r>
      <w:r w:rsidR="00AC7C52" w:rsidRPr="00991401">
        <w:rPr>
          <w:rFonts w:ascii="Times New Roman" w:hAnsi="Times New Roman" w:cs="Helvetica"/>
          <w:i/>
          <w:color w:val="000000"/>
          <w:sz w:val="22"/>
          <w:szCs w:val="22"/>
        </w:rPr>
        <w:t>National Institute Economic Review</w:t>
      </w:r>
      <w:r w:rsidR="008111C9" w:rsidRPr="00991401">
        <w:rPr>
          <w:rFonts w:ascii="Times New Roman" w:hAnsi="Times New Roman" w:cs="Helvetica"/>
          <w:color w:val="000000"/>
          <w:sz w:val="22"/>
          <w:szCs w:val="22"/>
        </w:rPr>
        <w:t xml:space="preserve">, </w:t>
      </w:r>
      <w:r w:rsidR="00AC7C52" w:rsidRPr="00991401">
        <w:rPr>
          <w:rFonts w:ascii="Times New Roman" w:hAnsi="Times New Roman" w:cs="Helvetica"/>
          <w:color w:val="000000"/>
          <w:sz w:val="22"/>
          <w:szCs w:val="22"/>
        </w:rPr>
        <w:t>191, 64–78.</w:t>
      </w:r>
    </w:p>
    <w:p w:rsidR="00C93653" w:rsidRPr="00991401" w:rsidRDefault="00C93653" w:rsidP="00555938">
      <w:pPr>
        <w:rPr>
          <w:rFonts w:ascii="Times New Roman" w:hAnsi="Times New Roman" w:cs="Helvetica"/>
          <w:color w:val="000000"/>
          <w:sz w:val="22"/>
          <w:szCs w:val="22"/>
        </w:rPr>
      </w:pPr>
    </w:p>
    <w:p w:rsidR="00555938" w:rsidRPr="00991401" w:rsidRDefault="00AC7C52" w:rsidP="00555938">
      <w:pPr>
        <w:rPr>
          <w:rFonts w:ascii="Times New Roman" w:hAnsi="Times New Roman" w:cs="Helvetica"/>
          <w:color w:val="000000"/>
          <w:sz w:val="22"/>
          <w:szCs w:val="22"/>
        </w:rPr>
      </w:pPr>
      <w:r w:rsidRPr="00991401">
        <w:rPr>
          <w:rFonts w:ascii="Times New Roman" w:hAnsi="Times New Roman" w:cs="Helvetica"/>
          <w:color w:val="000000"/>
          <w:sz w:val="22"/>
          <w:szCs w:val="22"/>
        </w:rPr>
        <w:t>Xavier, David</w:t>
      </w:r>
      <w:r w:rsidR="007A0812" w:rsidRPr="00991401">
        <w:rPr>
          <w:rFonts w:ascii="Times New Roman" w:hAnsi="Times New Roman" w:cs="Helvetica"/>
          <w:color w:val="000000"/>
          <w:sz w:val="22"/>
          <w:szCs w:val="22"/>
        </w:rPr>
        <w:t>,</w:t>
      </w:r>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Hauner</w:t>
      </w:r>
      <w:proofErr w:type="spellEnd"/>
      <w:r w:rsidRPr="00991401">
        <w:rPr>
          <w:rFonts w:ascii="Times New Roman" w:hAnsi="Times New Roman" w:cs="Helvetica"/>
          <w:color w:val="000000"/>
          <w:sz w:val="22"/>
          <w:szCs w:val="22"/>
        </w:rPr>
        <w:t xml:space="preserve"> </w:t>
      </w:r>
      <w:proofErr w:type="spellStart"/>
      <w:r w:rsidRPr="00991401">
        <w:rPr>
          <w:rFonts w:ascii="Times New Roman" w:hAnsi="Times New Roman" w:cs="Helvetica"/>
          <w:color w:val="000000"/>
          <w:sz w:val="22"/>
          <w:szCs w:val="22"/>
        </w:rPr>
        <w:t>Debrun</w:t>
      </w:r>
      <w:proofErr w:type="spellEnd"/>
      <w:r w:rsidRPr="00991401">
        <w:rPr>
          <w:rFonts w:ascii="Times New Roman" w:hAnsi="Times New Roman" w:cs="Helvetica"/>
          <w:color w:val="000000"/>
          <w:sz w:val="22"/>
          <w:szCs w:val="22"/>
        </w:rPr>
        <w:t xml:space="preserve"> and </w:t>
      </w:r>
      <w:proofErr w:type="spellStart"/>
      <w:r w:rsidRPr="00991401">
        <w:rPr>
          <w:rFonts w:ascii="Times New Roman" w:hAnsi="Times New Roman" w:cs="Helvetica"/>
          <w:color w:val="000000"/>
          <w:sz w:val="22"/>
          <w:szCs w:val="22"/>
        </w:rPr>
        <w:t>Manmohan</w:t>
      </w:r>
      <w:proofErr w:type="spellEnd"/>
      <w:r w:rsidRPr="00991401">
        <w:rPr>
          <w:rFonts w:ascii="Times New Roman" w:hAnsi="Times New Roman" w:cs="Helvetica"/>
          <w:color w:val="000000"/>
          <w:sz w:val="22"/>
          <w:szCs w:val="22"/>
        </w:rPr>
        <w:t xml:space="preserve"> S. Kumar, “Independent Fiscal Agencies,” </w:t>
      </w:r>
      <w:r w:rsidRPr="00991401">
        <w:rPr>
          <w:rFonts w:ascii="Times New Roman" w:hAnsi="Times New Roman" w:cs="Helvetica"/>
          <w:i/>
          <w:color w:val="000000"/>
          <w:sz w:val="22"/>
          <w:szCs w:val="22"/>
        </w:rPr>
        <w:t>Journal of Economic Surveys</w:t>
      </w:r>
      <w:r w:rsidRPr="00991401">
        <w:rPr>
          <w:rFonts w:ascii="Times New Roman" w:hAnsi="Times New Roman" w:cs="Helvetica"/>
          <w:color w:val="000000"/>
          <w:sz w:val="22"/>
          <w:szCs w:val="22"/>
        </w:rPr>
        <w:t>, 2009, 23 (1), 44–81.</w:t>
      </w:r>
    </w:p>
    <w:p w:rsidR="00217B5A" w:rsidRDefault="00FA53D8" w:rsidP="00A22ED0">
      <w:r>
        <w:t xml:space="preserve"> </w:t>
      </w:r>
    </w:p>
    <w:p w:rsidR="006867D0" w:rsidRDefault="006867D0" w:rsidP="00A22ED0"/>
    <w:p w:rsidR="006867D0" w:rsidRDefault="006867D0" w:rsidP="006867D0">
      <w:pPr>
        <w:rPr>
          <w:rFonts w:ascii="Times New Roman" w:hAnsi="Times New Roman"/>
          <w:b/>
          <w:sz w:val="20"/>
        </w:rPr>
      </w:pPr>
      <w:r>
        <w:br w:type="page"/>
      </w:r>
    </w:p>
    <w:p w:rsidR="006867D0" w:rsidRDefault="006867D0" w:rsidP="006867D0">
      <w:pPr>
        <w:spacing w:line="360" w:lineRule="auto"/>
        <w:jc w:val="center"/>
        <w:rPr>
          <w:rFonts w:ascii="Times New Roman" w:hAnsi="Times New Roman"/>
        </w:rPr>
      </w:pPr>
      <w:r>
        <w:rPr>
          <w:rFonts w:ascii="Times New Roman" w:hAnsi="Times New Roman"/>
          <w:sz w:val="32"/>
        </w:rPr>
        <w:lastRenderedPageBreak/>
        <w:t xml:space="preserve">Tables    </w:t>
      </w:r>
      <w:r>
        <w:rPr>
          <w:rFonts w:ascii="Times New Roman" w:hAnsi="Times New Roman"/>
          <w:sz w:val="32"/>
        </w:rPr>
        <w:br/>
        <w:t xml:space="preserve">      </w:t>
      </w:r>
      <w:r>
        <w:rPr>
          <w:rFonts w:ascii="Times New Roman" w:hAnsi="Times New Roman"/>
          <w:sz w:val="32"/>
        </w:rPr>
        <w:br/>
      </w:r>
      <w:r w:rsidRPr="0037777F">
        <w:rPr>
          <w:rFonts w:ascii="Times New Roman" w:hAnsi="Times New Roman"/>
        </w:rPr>
        <w:t xml:space="preserve">Table 1A </w:t>
      </w:r>
      <w:r>
        <w:rPr>
          <w:rFonts w:ascii="Times New Roman" w:hAnsi="Times New Roman"/>
        </w:rPr>
        <w:t>Data Coverage</w:t>
      </w:r>
    </w:p>
    <w:tbl>
      <w:tblPr>
        <w:tblW w:w="10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6"/>
        <w:gridCol w:w="2160"/>
        <w:gridCol w:w="2160"/>
        <w:gridCol w:w="2160"/>
        <w:gridCol w:w="2160"/>
      </w:tblGrid>
      <w:tr w:rsidR="006867D0" w:rsidRPr="00555938" w:rsidTr="009965C5">
        <w:trPr>
          <w:jc w:val="center"/>
        </w:trPr>
        <w:tc>
          <w:tcPr>
            <w:tcW w:w="2076" w:type="dxa"/>
            <w:tcBorders>
              <w:bottom w:val="single" w:sz="4" w:space="0" w:color="000000"/>
            </w:tcBorders>
            <w:vAlign w:val="bottom"/>
          </w:tcPr>
          <w:p w:rsidR="006867D0" w:rsidRPr="00555938" w:rsidRDefault="006867D0" w:rsidP="009965C5">
            <w:pPr>
              <w:jc w:val="center"/>
              <w:rPr>
                <w:rFonts w:ascii="Arial" w:hAnsi="Arial"/>
              </w:rPr>
            </w:pPr>
            <w:r w:rsidRPr="00555938">
              <w:rPr>
                <w:rFonts w:ascii="Arial" w:hAnsi="Arial"/>
              </w:rPr>
              <w:t>country</w:t>
            </w:r>
          </w:p>
        </w:tc>
        <w:tc>
          <w:tcPr>
            <w:tcW w:w="2160" w:type="dxa"/>
            <w:tcBorders>
              <w:bottom w:val="single" w:sz="4" w:space="0" w:color="000000"/>
            </w:tcBorders>
            <w:vAlign w:val="bottom"/>
          </w:tcPr>
          <w:p w:rsidR="006867D0" w:rsidRPr="00555938" w:rsidRDefault="006867D0" w:rsidP="009965C5">
            <w:pPr>
              <w:jc w:val="center"/>
              <w:rPr>
                <w:rFonts w:ascii="Arial" w:hAnsi="Arial"/>
              </w:rPr>
            </w:pPr>
            <w:r w:rsidRPr="00555938">
              <w:rPr>
                <w:rFonts w:ascii="Arial" w:hAnsi="Arial"/>
              </w:rPr>
              <w:t>BB 1Y</w:t>
            </w:r>
          </w:p>
        </w:tc>
        <w:tc>
          <w:tcPr>
            <w:tcW w:w="2160" w:type="dxa"/>
            <w:tcBorders>
              <w:bottom w:val="single" w:sz="4" w:space="0" w:color="000000"/>
            </w:tcBorders>
            <w:vAlign w:val="bottom"/>
          </w:tcPr>
          <w:p w:rsidR="006867D0" w:rsidRPr="00555938" w:rsidRDefault="006867D0" w:rsidP="009965C5">
            <w:pPr>
              <w:jc w:val="center"/>
              <w:rPr>
                <w:rFonts w:ascii="Arial" w:hAnsi="Arial"/>
              </w:rPr>
            </w:pPr>
            <w:r w:rsidRPr="00555938">
              <w:rPr>
                <w:rFonts w:ascii="Arial" w:hAnsi="Arial"/>
              </w:rPr>
              <w:t>BB 2Y</w:t>
            </w:r>
          </w:p>
        </w:tc>
        <w:tc>
          <w:tcPr>
            <w:tcW w:w="2160" w:type="dxa"/>
            <w:tcBorders>
              <w:bottom w:val="single" w:sz="4" w:space="0" w:color="000000"/>
            </w:tcBorders>
            <w:vAlign w:val="bottom"/>
          </w:tcPr>
          <w:p w:rsidR="006867D0" w:rsidRPr="00555938" w:rsidRDefault="006867D0" w:rsidP="009965C5">
            <w:pPr>
              <w:jc w:val="center"/>
              <w:rPr>
                <w:rFonts w:ascii="Arial" w:hAnsi="Arial"/>
              </w:rPr>
            </w:pPr>
            <w:r w:rsidRPr="00555938">
              <w:rPr>
                <w:rFonts w:ascii="Arial" w:hAnsi="Arial"/>
              </w:rPr>
              <w:t>GDP 1Y</w:t>
            </w:r>
          </w:p>
        </w:tc>
        <w:tc>
          <w:tcPr>
            <w:tcW w:w="2160" w:type="dxa"/>
            <w:tcBorders>
              <w:bottom w:val="single" w:sz="4" w:space="0" w:color="000000"/>
            </w:tcBorders>
            <w:vAlign w:val="bottom"/>
          </w:tcPr>
          <w:p w:rsidR="006867D0" w:rsidRPr="00555938" w:rsidRDefault="006867D0" w:rsidP="009965C5">
            <w:pPr>
              <w:jc w:val="center"/>
              <w:rPr>
                <w:rFonts w:ascii="Arial" w:hAnsi="Arial"/>
              </w:rPr>
            </w:pPr>
            <w:r w:rsidRPr="00555938">
              <w:rPr>
                <w:rFonts w:ascii="Arial" w:hAnsi="Arial"/>
              </w:rPr>
              <w:t>GDP 2Y</w:t>
            </w:r>
          </w:p>
        </w:tc>
      </w:tr>
      <w:tr w:rsidR="006867D0" w:rsidRPr="00555938" w:rsidTr="009965C5">
        <w:trPr>
          <w:jc w:val="center"/>
        </w:trPr>
        <w:tc>
          <w:tcPr>
            <w:tcW w:w="2076" w:type="dxa"/>
            <w:tcBorders>
              <w:bottom w:val="nil"/>
              <w:right w:val="nil"/>
            </w:tcBorders>
            <w:vAlign w:val="bottom"/>
          </w:tcPr>
          <w:p w:rsidR="006867D0" w:rsidRPr="00555938" w:rsidRDefault="006867D0" w:rsidP="009965C5">
            <w:pPr>
              <w:jc w:val="center"/>
              <w:rPr>
                <w:rFonts w:ascii="Arial" w:hAnsi="Arial"/>
              </w:rPr>
            </w:pPr>
            <w:r w:rsidRPr="00555938">
              <w:rPr>
                <w:rFonts w:ascii="Arial" w:hAnsi="Arial"/>
              </w:rPr>
              <w:t>Australia</w:t>
            </w:r>
          </w:p>
        </w:tc>
        <w:tc>
          <w:tcPr>
            <w:tcW w:w="2160" w:type="dxa"/>
            <w:tcBorders>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1993-2012</w:t>
            </w:r>
          </w:p>
        </w:tc>
        <w:tc>
          <w:tcPr>
            <w:tcW w:w="2160" w:type="dxa"/>
            <w:tcBorders>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1994-2011</w:t>
            </w:r>
          </w:p>
        </w:tc>
        <w:tc>
          <w:tcPr>
            <w:tcW w:w="2160" w:type="dxa"/>
            <w:tcBorders>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left w:val="nil"/>
              <w:bottom w:val="nil"/>
            </w:tcBorders>
            <w:vAlign w:val="bottom"/>
          </w:tcPr>
          <w:p w:rsidR="006867D0" w:rsidRPr="00555938" w:rsidRDefault="006867D0" w:rsidP="009965C5">
            <w:pPr>
              <w:jc w:val="center"/>
              <w:rPr>
                <w:rFonts w:ascii="Arial" w:hAnsi="Arial"/>
              </w:rPr>
            </w:pPr>
            <w:r w:rsidRPr="00555938">
              <w:rPr>
                <w:rFonts w:ascii="Arial" w:hAnsi="Arial"/>
              </w:rPr>
              <w:t> </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Austria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Belgium</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Canada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1995-2012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2002-2012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1990-2012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1991-2010</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Chile</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1994-2009</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1994-2008</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 </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Cyprus</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Czech Republic</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2006-2012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Denmark</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Estonia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2008-2012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2006-2011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2007-2011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Finland</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2001-2011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France</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Germany</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Greece</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2001-2012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Hungary</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2006-2012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Ireland</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Italy</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Latvia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2008-2012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Lithuania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2008-2012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Mexico</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1995-2009</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2005-2009</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2005-2012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Netherlands</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New Zealand</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1997-2011</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1998-2011</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 </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Norway</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2011-2011</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2002-2012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 </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Poland</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2006-2012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Portugal</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1999-2010</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Slovakia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2011-2012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2012-2012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Slovenia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2008-2012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2009-2012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2005-2012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2006-2012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South Africa</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1998-2012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1999-2012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Spain</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1999-2011</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2000-2011</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Sweden</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2011-2012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2012-2012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1999-2012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2000-2012</w:t>
            </w:r>
          </w:p>
        </w:tc>
      </w:tr>
      <w:tr w:rsidR="006867D0" w:rsidRPr="00555938" w:rsidTr="009965C5">
        <w:trPr>
          <w:jc w:val="center"/>
        </w:trPr>
        <w:tc>
          <w:tcPr>
            <w:tcW w:w="2076" w:type="dxa"/>
            <w:tcBorders>
              <w:top w:val="nil"/>
              <w:bottom w:val="nil"/>
              <w:right w:val="nil"/>
            </w:tcBorders>
            <w:vAlign w:val="bottom"/>
          </w:tcPr>
          <w:p w:rsidR="006867D0" w:rsidRPr="00555938" w:rsidRDefault="006867D0" w:rsidP="009965C5">
            <w:pPr>
              <w:jc w:val="center"/>
              <w:rPr>
                <w:rFonts w:ascii="Arial" w:hAnsi="Arial"/>
              </w:rPr>
            </w:pPr>
            <w:r w:rsidRPr="00555938">
              <w:rPr>
                <w:rFonts w:ascii="Arial" w:hAnsi="Arial"/>
              </w:rPr>
              <w:t>UK</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2000-2012</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 </w:t>
            </w:r>
          </w:p>
        </w:tc>
        <w:tc>
          <w:tcPr>
            <w:tcW w:w="2160" w:type="dxa"/>
            <w:tcBorders>
              <w:top w:val="nil"/>
              <w:left w:val="nil"/>
              <w:bottom w:val="nil"/>
              <w:right w:val="nil"/>
            </w:tcBorders>
            <w:vAlign w:val="bottom"/>
          </w:tcPr>
          <w:p w:rsidR="006867D0" w:rsidRPr="00555938" w:rsidRDefault="006867D0" w:rsidP="009965C5">
            <w:pPr>
              <w:jc w:val="center"/>
              <w:rPr>
                <w:rFonts w:ascii="Arial" w:hAnsi="Arial"/>
              </w:rPr>
            </w:pPr>
            <w:r w:rsidRPr="00555938">
              <w:rPr>
                <w:rFonts w:ascii="Arial" w:hAnsi="Arial"/>
              </w:rPr>
              <w:t>1998-2012</w:t>
            </w:r>
          </w:p>
        </w:tc>
        <w:tc>
          <w:tcPr>
            <w:tcW w:w="2160" w:type="dxa"/>
            <w:tcBorders>
              <w:top w:val="nil"/>
              <w:left w:val="nil"/>
              <w:bottom w:val="nil"/>
            </w:tcBorders>
            <w:vAlign w:val="bottom"/>
          </w:tcPr>
          <w:p w:rsidR="006867D0" w:rsidRPr="00555938" w:rsidRDefault="006867D0" w:rsidP="009965C5">
            <w:pPr>
              <w:jc w:val="center"/>
              <w:rPr>
                <w:rFonts w:ascii="Arial" w:hAnsi="Arial"/>
              </w:rPr>
            </w:pPr>
            <w:r w:rsidRPr="00555938">
              <w:rPr>
                <w:rFonts w:ascii="Arial" w:hAnsi="Arial"/>
              </w:rPr>
              <w:t>1999-2012</w:t>
            </w:r>
          </w:p>
        </w:tc>
      </w:tr>
      <w:tr w:rsidR="006867D0" w:rsidRPr="00555938" w:rsidTr="009965C5">
        <w:trPr>
          <w:jc w:val="center"/>
        </w:trPr>
        <w:tc>
          <w:tcPr>
            <w:tcW w:w="2076" w:type="dxa"/>
            <w:tcBorders>
              <w:top w:val="nil"/>
              <w:right w:val="nil"/>
            </w:tcBorders>
            <w:vAlign w:val="bottom"/>
          </w:tcPr>
          <w:p w:rsidR="006867D0" w:rsidRPr="00555938" w:rsidRDefault="006867D0" w:rsidP="009965C5">
            <w:pPr>
              <w:jc w:val="center"/>
              <w:rPr>
                <w:rFonts w:ascii="Arial" w:hAnsi="Arial"/>
              </w:rPr>
            </w:pPr>
            <w:r w:rsidRPr="00555938">
              <w:rPr>
                <w:rFonts w:ascii="Arial" w:hAnsi="Arial"/>
              </w:rPr>
              <w:t>USA</w:t>
            </w:r>
          </w:p>
        </w:tc>
        <w:tc>
          <w:tcPr>
            <w:tcW w:w="2160" w:type="dxa"/>
            <w:tcBorders>
              <w:top w:val="nil"/>
              <w:left w:val="nil"/>
              <w:right w:val="nil"/>
            </w:tcBorders>
            <w:vAlign w:val="bottom"/>
          </w:tcPr>
          <w:p w:rsidR="006867D0" w:rsidRPr="00555938" w:rsidRDefault="006867D0" w:rsidP="009965C5">
            <w:pPr>
              <w:jc w:val="center"/>
              <w:rPr>
                <w:rFonts w:ascii="Arial" w:hAnsi="Arial"/>
              </w:rPr>
            </w:pPr>
            <w:r w:rsidRPr="00555938">
              <w:rPr>
                <w:rFonts w:ascii="Arial" w:hAnsi="Arial"/>
              </w:rPr>
              <w:t>1994-2012</w:t>
            </w:r>
          </w:p>
        </w:tc>
        <w:tc>
          <w:tcPr>
            <w:tcW w:w="2160" w:type="dxa"/>
            <w:tcBorders>
              <w:top w:val="nil"/>
              <w:left w:val="nil"/>
              <w:right w:val="nil"/>
            </w:tcBorders>
            <w:vAlign w:val="bottom"/>
          </w:tcPr>
          <w:p w:rsidR="006867D0" w:rsidRPr="00555938" w:rsidRDefault="006867D0" w:rsidP="009965C5">
            <w:pPr>
              <w:jc w:val="center"/>
              <w:rPr>
                <w:rFonts w:ascii="Arial" w:hAnsi="Arial"/>
              </w:rPr>
            </w:pPr>
            <w:r w:rsidRPr="00555938">
              <w:rPr>
                <w:rFonts w:ascii="Arial" w:hAnsi="Arial"/>
              </w:rPr>
              <w:t>1995-2012</w:t>
            </w:r>
          </w:p>
        </w:tc>
        <w:tc>
          <w:tcPr>
            <w:tcW w:w="2160" w:type="dxa"/>
            <w:tcBorders>
              <w:top w:val="nil"/>
              <w:left w:val="nil"/>
              <w:right w:val="nil"/>
            </w:tcBorders>
            <w:vAlign w:val="bottom"/>
          </w:tcPr>
          <w:p w:rsidR="006867D0" w:rsidRPr="00555938" w:rsidRDefault="006867D0" w:rsidP="009965C5">
            <w:pPr>
              <w:jc w:val="center"/>
              <w:rPr>
                <w:rFonts w:ascii="Arial" w:hAnsi="Arial"/>
              </w:rPr>
            </w:pPr>
            <w:r w:rsidRPr="00555938">
              <w:rPr>
                <w:rFonts w:ascii="Arial" w:hAnsi="Arial"/>
              </w:rPr>
              <w:t>1992-2012</w:t>
            </w:r>
          </w:p>
        </w:tc>
        <w:tc>
          <w:tcPr>
            <w:tcW w:w="2160" w:type="dxa"/>
            <w:tcBorders>
              <w:top w:val="nil"/>
              <w:left w:val="nil"/>
            </w:tcBorders>
            <w:vAlign w:val="bottom"/>
          </w:tcPr>
          <w:p w:rsidR="006867D0" w:rsidRPr="00555938" w:rsidRDefault="006867D0" w:rsidP="009965C5">
            <w:pPr>
              <w:jc w:val="center"/>
              <w:rPr>
                <w:rFonts w:ascii="Arial" w:hAnsi="Arial"/>
              </w:rPr>
            </w:pPr>
            <w:r w:rsidRPr="00555938">
              <w:rPr>
                <w:rFonts w:ascii="Arial" w:hAnsi="Arial"/>
              </w:rPr>
              <w:t>1992-2012</w:t>
            </w:r>
          </w:p>
        </w:tc>
      </w:tr>
    </w:tbl>
    <w:p w:rsidR="006867D0" w:rsidRPr="0037777F" w:rsidRDefault="006867D0" w:rsidP="006867D0">
      <w:pPr>
        <w:jc w:val="center"/>
        <w:rPr>
          <w:rFonts w:ascii="Times New Roman" w:hAnsi="Times New Roman"/>
        </w:rPr>
      </w:pPr>
      <w:r>
        <w:rPr>
          <w:rFonts w:ascii="Times New Roman" w:hAnsi="Times New Roman"/>
        </w:rPr>
        <w:br/>
      </w:r>
      <w:r w:rsidRPr="003C4FEA">
        <w:rPr>
          <w:rFonts w:ascii="Times New Roman" w:hAnsi="Times New Roman"/>
          <w:sz w:val="22"/>
          <w:szCs w:val="22"/>
        </w:rPr>
        <w:t>Notes: Each cell indicates the first and last year we have a matched private and official forecast as well as the relevant realization. GDP1Y indicates one year ahead real GDP forecasts, GDP2Y indicates two year ahead real GDP forecasts, BB 1Y indicates one year ahead budget balance forecasts, and BB 2Y indicates two year ahead budget balance forecasts.</w:t>
      </w:r>
      <w:r w:rsidRPr="003D5668">
        <w:rPr>
          <w:rFonts w:ascii="Times New Roman" w:hAnsi="Times New Roman"/>
        </w:rPr>
        <w:br w:type="page"/>
      </w:r>
      <w:r w:rsidRPr="0037777F">
        <w:rPr>
          <w:rFonts w:ascii="Times New Roman" w:hAnsi="Times New Roman"/>
        </w:rPr>
        <w:lastRenderedPageBreak/>
        <w:t xml:space="preserve">Table </w:t>
      </w:r>
      <w:r>
        <w:rPr>
          <w:rFonts w:ascii="Times New Roman" w:hAnsi="Times New Roman"/>
        </w:rPr>
        <w:t>2</w:t>
      </w:r>
      <w:r w:rsidRPr="0037777F">
        <w:rPr>
          <w:rFonts w:ascii="Times New Roman" w:hAnsi="Times New Roman"/>
        </w:rPr>
        <w:t>A: Summary Statistics for Budget Balance Forecasts</w:t>
      </w:r>
    </w:p>
    <w:tbl>
      <w:tblPr>
        <w:tblW w:w="5200" w:type="dxa"/>
        <w:jc w:val="center"/>
        <w:tblCellMar>
          <w:left w:w="0" w:type="dxa"/>
          <w:right w:w="0" w:type="dxa"/>
        </w:tblCellMar>
        <w:tblLook w:val="0000" w:firstRow="0" w:lastRow="0" w:firstColumn="0" w:lastColumn="0" w:noHBand="0" w:noVBand="0"/>
      </w:tblPr>
      <w:tblGrid>
        <w:gridCol w:w="1300"/>
        <w:gridCol w:w="1300"/>
        <w:gridCol w:w="1300"/>
        <w:gridCol w:w="1300"/>
      </w:tblGrid>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One Year Ahead</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i/>
              </w:rPr>
            </w:pPr>
            <w:r w:rsidRPr="00555938">
              <w:rPr>
                <w:rFonts w:ascii="Times New Roman" w:hAnsi="Times New Roman"/>
                <w:i/>
              </w:rPr>
              <w:t>Consensus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Official</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Actual</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Mean</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-1.86</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SD</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3.47</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Obs.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205</w:t>
            </w:r>
          </w:p>
        </w:tc>
      </w:tr>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p>
        </w:tc>
      </w:tr>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Two Years Ahead</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i/>
              </w:rPr>
            </w:pPr>
            <w:r w:rsidRPr="00555938">
              <w:rPr>
                <w:rFonts w:ascii="Times New Roman" w:hAnsi="Times New Roman"/>
                <w:i/>
              </w:rPr>
              <w:t>Consensus</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Official</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Actual</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Mean</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-2.32</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SD</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3.13</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line="360" w:lineRule="auto"/>
              <w:jc w:val="center"/>
              <w:rPr>
                <w:rFonts w:ascii="Times New Roman" w:hAnsi="Times New Roman"/>
              </w:rPr>
            </w:pPr>
            <w:r w:rsidRPr="00555938">
              <w:rPr>
                <w:rFonts w:ascii="Times New Roman" w:hAnsi="Times New Roman"/>
              </w:rPr>
              <w:t>Obs.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138</w:t>
            </w:r>
          </w:p>
        </w:tc>
      </w:tr>
    </w:tbl>
    <w:p w:rsidR="006867D0" w:rsidRPr="0037777F" w:rsidRDefault="006867D0" w:rsidP="006867D0">
      <w:pPr>
        <w:spacing w:line="360" w:lineRule="auto"/>
        <w:jc w:val="center"/>
        <w:rPr>
          <w:rFonts w:ascii="Times New Roman" w:hAnsi="Times New Roman"/>
        </w:rPr>
      </w:pPr>
    </w:p>
    <w:p w:rsidR="006867D0" w:rsidRPr="0037777F" w:rsidRDefault="006867D0" w:rsidP="006867D0">
      <w:pPr>
        <w:spacing w:line="360" w:lineRule="auto"/>
        <w:jc w:val="center"/>
        <w:rPr>
          <w:rFonts w:ascii="Times New Roman" w:hAnsi="Times New Roman"/>
        </w:rPr>
      </w:pPr>
    </w:p>
    <w:p w:rsidR="006867D0" w:rsidRPr="0037777F" w:rsidRDefault="006867D0" w:rsidP="006867D0">
      <w:pPr>
        <w:spacing w:line="360" w:lineRule="auto"/>
        <w:jc w:val="center"/>
        <w:rPr>
          <w:rFonts w:ascii="Times New Roman" w:hAnsi="Times New Roman"/>
        </w:rPr>
      </w:pPr>
      <w:r w:rsidRPr="0037777F">
        <w:rPr>
          <w:rFonts w:ascii="Times New Roman" w:hAnsi="Times New Roman"/>
        </w:rPr>
        <w:t xml:space="preserve">Table </w:t>
      </w:r>
      <w:r>
        <w:rPr>
          <w:rFonts w:ascii="Times New Roman" w:hAnsi="Times New Roman"/>
        </w:rPr>
        <w:t>2</w:t>
      </w:r>
      <w:r w:rsidRPr="0037777F">
        <w:rPr>
          <w:rFonts w:ascii="Times New Roman" w:hAnsi="Times New Roman"/>
        </w:rPr>
        <w:t>B: Summary Statistics for Real GDP Growth Forecasts</w:t>
      </w:r>
    </w:p>
    <w:tbl>
      <w:tblPr>
        <w:tblW w:w="5200" w:type="dxa"/>
        <w:jc w:val="center"/>
        <w:tblCellMar>
          <w:left w:w="0" w:type="dxa"/>
          <w:right w:w="0" w:type="dxa"/>
        </w:tblCellMar>
        <w:tblLook w:val="0000" w:firstRow="0" w:lastRow="0" w:firstColumn="0" w:lastColumn="0" w:noHBand="0" w:noVBand="0"/>
      </w:tblPr>
      <w:tblGrid>
        <w:gridCol w:w="1300"/>
        <w:gridCol w:w="1300"/>
        <w:gridCol w:w="1300"/>
        <w:gridCol w:w="1300"/>
      </w:tblGrid>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One Year Ahead</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i/>
              </w:rPr>
            </w:pPr>
            <w:r w:rsidRPr="00555938">
              <w:rPr>
                <w:rFonts w:ascii="Times New Roman" w:hAnsi="Times New Roman"/>
                <w:i/>
              </w:rPr>
              <w:t>Consensus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Official</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Actual</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Mean</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2.30</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SD</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3.51</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Obs.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350</w:t>
            </w:r>
          </w:p>
        </w:tc>
      </w:tr>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p>
        </w:tc>
      </w:tr>
      <w:tr w:rsidR="006867D0" w:rsidRPr="00555938" w:rsidTr="009965C5">
        <w:trPr>
          <w:trHeight w:val="240"/>
          <w:jc w:val="center"/>
        </w:trPr>
        <w:tc>
          <w:tcPr>
            <w:tcW w:w="5200" w:type="dxa"/>
            <w:gridSpan w:val="4"/>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Two Years Ahead</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i/>
              </w:rPr>
            </w:pPr>
            <w:r w:rsidRPr="00555938">
              <w:rPr>
                <w:rFonts w:ascii="Times New Roman" w:hAnsi="Times New Roman"/>
                <w:i/>
              </w:rPr>
              <w:t>Consensus</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Official</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Actual</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Mean</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1.88</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SD</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1.34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3.56</w:t>
            </w:r>
          </w:p>
        </w:tc>
      </w:tr>
      <w:tr w:rsidR="006867D0" w:rsidRPr="00555938" w:rsidTr="009965C5">
        <w:trPr>
          <w:trHeight w:val="240"/>
          <w:jc w:val="center"/>
        </w:trPr>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Obs.</w:t>
            </w:r>
          </w:p>
        </w:tc>
        <w:tc>
          <w:tcPr>
            <w:tcW w:w="1300" w:type="dxa"/>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289</w:t>
            </w:r>
          </w:p>
        </w:tc>
      </w:tr>
    </w:tbl>
    <w:p w:rsidR="006867D0" w:rsidRPr="003C4FEA" w:rsidRDefault="006867D0" w:rsidP="006867D0">
      <w:pPr>
        <w:rPr>
          <w:rFonts w:ascii="Times New Roman" w:hAnsi="Times New Roman"/>
          <w:sz w:val="22"/>
          <w:szCs w:val="22"/>
        </w:rPr>
      </w:pPr>
      <w:r>
        <w:rPr>
          <w:rFonts w:ascii="Times New Roman" w:hAnsi="Times New Roman"/>
        </w:rPr>
        <w:br/>
      </w:r>
      <w:r w:rsidRPr="003C4FEA">
        <w:rPr>
          <w:rFonts w:ascii="Times New Roman" w:hAnsi="Times New Roman"/>
          <w:sz w:val="22"/>
          <w:szCs w:val="22"/>
        </w:rPr>
        <w:t xml:space="preserve">Notes: </w:t>
      </w:r>
      <w:r w:rsidRPr="003C4FEA">
        <w:rPr>
          <w:rFonts w:ascii="Times New Roman" w:hAnsi="Times New Roman"/>
          <w:i/>
          <w:sz w:val="22"/>
          <w:szCs w:val="22"/>
        </w:rPr>
        <w:t>Consensus</w:t>
      </w:r>
      <w:r w:rsidRPr="003C4FEA">
        <w:rPr>
          <w:rFonts w:ascii="Times New Roman" w:hAnsi="Times New Roman"/>
          <w:sz w:val="22"/>
          <w:szCs w:val="22"/>
        </w:rPr>
        <w:t xml:space="preserve"> indicates the mean private sector forecast from </w:t>
      </w:r>
      <w:r w:rsidRPr="003C4FEA">
        <w:rPr>
          <w:rFonts w:ascii="Times New Roman" w:hAnsi="Times New Roman"/>
          <w:i/>
          <w:sz w:val="22"/>
          <w:szCs w:val="22"/>
        </w:rPr>
        <w:t>Consensus Economics</w:t>
      </w:r>
      <w:r w:rsidRPr="003C4FEA">
        <w:rPr>
          <w:rFonts w:ascii="Times New Roman" w:hAnsi="Times New Roman"/>
          <w:sz w:val="22"/>
          <w:szCs w:val="22"/>
        </w:rPr>
        <w:t>.  Official indicates the government forecast in their official budget document. Actual indicates the realization of the Budget Balance and Real GDP growth in Tables 2A and 2B, respectively.  SD denotes standard deviation and Obs. denotes observations.</w:t>
      </w:r>
    </w:p>
    <w:p w:rsidR="006867D0" w:rsidRPr="0037777F" w:rsidRDefault="006867D0" w:rsidP="006867D0">
      <w:pPr>
        <w:spacing w:line="360" w:lineRule="auto"/>
        <w:jc w:val="center"/>
        <w:rPr>
          <w:rFonts w:ascii="Times New Roman" w:hAnsi="Times New Roman"/>
        </w:rPr>
      </w:pPr>
      <w:r>
        <w:rPr>
          <w:rFonts w:ascii="Times New Roman" w:eastAsia="Times New Roman" w:hAnsi="Times New Roman"/>
        </w:rPr>
        <w:br w:type="page"/>
      </w:r>
      <w:r w:rsidRPr="0037777F">
        <w:rPr>
          <w:rFonts w:ascii="Times New Roman" w:hAnsi="Times New Roman"/>
        </w:rPr>
        <w:lastRenderedPageBreak/>
        <w:t xml:space="preserve">Table </w:t>
      </w:r>
      <w:r>
        <w:rPr>
          <w:rFonts w:ascii="Times New Roman" w:hAnsi="Times New Roman"/>
        </w:rPr>
        <w:t>3A</w:t>
      </w:r>
      <w:r w:rsidRPr="0037777F">
        <w:rPr>
          <w:rFonts w:ascii="Times New Roman" w:hAnsi="Times New Roman"/>
        </w:rPr>
        <w:t xml:space="preserve">: </w:t>
      </w:r>
      <w:r>
        <w:rPr>
          <w:rFonts w:ascii="Times New Roman" w:hAnsi="Times New Roman"/>
        </w:rPr>
        <w:t>t-</w:t>
      </w:r>
      <w:r w:rsidRPr="0037777F">
        <w:rPr>
          <w:rFonts w:ascii="Times New Roman" w:hAnsi="Times New Roman"/>
        </w:rPr>
        <w:t>Tests for Equality of Means for Budget Balance</w:t>
      </w:r>
      <w:r>
        <w:rPr>
          <w:rFonts w:ascii="Times New Roman" w:hAnsi="Times New Roman"/>
        </w:rPr>
        <w:t>, Common Sample</w:t>
      </w:r>
    </w:p>
    <w:tbl>
      <w:tblPr>
        <w:tblW w:w="0" w:type="auto"/>
        <w:jc w:val="center"/>
        <w:tblLayout w:type="fixed"/>
        <w:tblLook w:val="00A0" w:firstRow="1" w:lastRow="0" w:firstColumn="1" w:lastColumn="0" w:noHBand="0" w:noVBand="0"/>
      </w:tblPr>
      <w:tblGrid>
        <w:gridCol w:w="3348"/>
        <w:gridCol w:w="1350"/>
        <w:gridCol w:w="900"/>
        <w:gridCol w:w="1350"/>
        <w:gridCol w:w="1051"/>
      </w:tblGrid>
      <w:tr w:rsidR="006867D0" w:rsidRPr="00555938" w:rsidTr="009965C5">
        <w:trPr>
          <w:jc w:val="center"/>
        </w:trPr>
        <w:tc>
          <w:tcPr>
            <w:tcW w:w="7999" w:type="dxa"/>
            <w:gridSpan w:val="5"/>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One Year Ahead</w:t>
            </w:r>
          </w:p>
        </w:tc>
      </w:tr>
      <w:tr w:rsidR="006867D0" w:rsidRPr="00555938" w:rsidTr="009965C5">
        <w:trPr>
          <w:jc w:val="center"/>
        </w:trPr>
        <w:tc>
          <w:tcPr>
            <w:tcW w:w="3348" w:type="dxa"/>
            <w:vAlign w:val="bottom"/>
          </w:tcPr>
          <w:p w:rsidR="006867D0" w:rsidRPr="00555938" w:rsidRDefault="006867D0" w:rsidP="009965C5">
            <w:pPr>
              <w:spacing w:before="2" w:after="2" w:line="360" w:lineRule="auto"/>
              <w:jc w:val="center"/>
              <w:rPr>
                <w:rFonts w:ascii="Times New Roman" w:hAnsi="Times New Roman"/>
              </w:rPr>
            </w:pPr>
          </w:p>
        </w:tc>
        <w:tc>
          <w:tcPr>
            <w:tcW w:w="1350" w:type="dxa"/>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Mean</w:t>
            </w:r>
          </w:p>
        </w:tc>
        <w:tc>
          <w:tcPr>
            <w:tcW w:w="900" w:type="dxa"/>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SD</w:t>
            </w:r>
          </w:p>
        </w:tc>
        <w:tc>
          <w:tcPr>
            <w:tcW w:w="1350" w:type="dxa"/>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P-Value</w:t>
            </w:r>
          </w:p>
        </w:tc>
        <w:tc>
          <w:tcPr>
            <w:tcW w:w="1051" w:type="dxa"/>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Obs.</w:t>
            </w:r>
          </w:p>
        </w:tc>
      </w:tr>
      <w:tr w:rsidR="006867D0" w:rsidRPr="00555938" w:rsidTr="009965C5">
        <w:trPr>
          <w:jc w:val="center"/>
        </w:trPr>
        <w:tc>
          <w:tcPr>
            <w:tcW w:w="3348" w:type="dxa"/>
            <w:vAlign w:val="bottom"/>
          </w:tcPr>
          <w:p w:rsidR="006867D0" w:rsidRPr="00555938" w:rsidRDefault="006867D0" w:rsidP="009965C5">
            <w:pPr>
              <w:spacing w:line="360" w:lineRule="auto"/>
              <w:rPr>
                <w:rFonts w:ascii="Times New Roman" w:hAnsi="Times New Roman"/>
              </w:rPr>
            </w:pPr>
            <w:r w:rsidRPr="00555938">
              <w:rPr>
                <w:rFonts w:ascii="Times New Roman" w:hAnsi="Times New Roman"/>
              </w:rPr>
              <w:t xml:space="preserve">Official Minus </w:t>
            </w:r>
            <w:r w:rsidRPr="00555938">
              <w:rPr>
                <w:rFonts w:ascii="Times New Roman" w:hAnsi="Times New Roman"/>
                <w:i/>
              </w:rPr>
              <w:t>Consensus</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0.09</w:t>
            </w:r>
          </w:p>
        </w:tc>
        <w:tc>
          <w:tcPr>
            <w:tcW w:w="90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0.06</w:t>
            </w:r>
          </w:p>
        </w:tc>
        <w:tc>
          <w:tcPr>
            <w:tcW w:w="135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0.17</w:t>
            </w:r>
          </w:p>
        </w:tc>
        <w:tc>
          <w:tcPr>
            <w:tcW w:w="1051"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205</w:t>
            </w:r>
          </w:p>
        </w:tc>
      </w:tr>
      <w:tr w:rsidR="006867D0" w:rsidRPr="00555938" w:rsidTr="009965C5">
        <w:trPr>
          <w:jc w:val="center"/>
        </w:trPr>
        <w:tc>
          <w:tcPr>
            <w:tcW w:w="3348" w:type="dxa"/>
            <w:vAlign w:val="bottom"/>
          </w:tcPr>
          <w:p w:rsidR="006867D0" w:rsidRPr="00555938" w:rsidRDefault="006867D0" w:rsidP="009965C5">
            <w:pPr>
              <w:spacing w:line="360" w:lineRule="auto"/>
              <w:rPr>
                <w:rFonts w:ascii="Times New Roman" w:hAnsi="Times New Roman"/>
              </w:rPr>
            </w:pPr>
            <w:r w:rsidRPr="00555938">
              <w:rPr>
                <w:rFonts w:ascii="Times New Roman" w:hAnsi="Times New Roman"/>
              </w:rPr>
              <w:t>Official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0.03</w:t>
            </w:r>
          </w:p>
        </w:tc>
        <w:tc>
          <w:tcPr>
            <w:tcW w:w="90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0.14</w:t>
            </w:r>
          </w:p>
        </w:tc>
        <w:tc>
          <w:tcPr>
            <w:tcW w:w="135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0.82</w:t>
            </w:r>
          </w:p>
        </w:tc>
        <w:tc>
          <w:tcPr>
            <w:tcW w:w="1051"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205</w:t>
            </w:r>
          </w:p>
        </w:tc>
      </w:tr>
      <w:tr w:rsidR="006867D0" w:rsidRPr="00555938" w:rsidTr="009965C5">
        <w:trPr>
          <w:jc w:val="center"/>
        </w:trPr>
        <w:tc>
          <w:tcPr>
            <w:tcW w:w="3348" w:type="dxa"/>
            <w:vAlign w:val="bottom"/>
          </w:tcPr>
          <w:p w:rsidR="006867D0" w:rsidRPr="00555938" w:rsidRDefault="006867D0" w:rsidP="009965C5">
            <w:pPr>
              <w:spacing w:line="360" w:lineRule="auto"/>
              <w:rPr>
                <w:rFonts w:ascii="Times New Roman" w:hAnsi="Times New Roman"/>
              </w:rPr>
            </w:pPr>
            <w:r w:rsidRPr="00555938">
              <w:rPr>
                <w:rFonts w:ascii="Times New Roman" w:hAnsi="Times New Roman"/>
                <w:i/>
              </w:rPr>
              <w:t>Consensus</w:t>
            </w:r>
            <w:r w:rsidRPr="00555938">
              <w:rPr>
                <w:rFonts w:ascii="Times New Roman" w:hAnsi="Times New Roman"/>
              </w:rPr>
              <w:t xml:space="preserve">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-0.06</w:t>
            </w:r>
          </w:p>
        </w:tc>
        <w:tc>
          <w:tcPr>
            <w:tcW w:w="90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0.13</w:t>
            </w:r>
          </w:p>
        </w:tc>
        <w:tc>
          <w:tcPr>
            <w:tcW w:w="1350"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0.66</w:t>
            </w:r>
          </w:p>
        </w:tc>
        <w:tc>
          <w:tcPr>
            <w:tcW w:w="1051" w:type="dxa"/>
            <w:vAlign w:val="bottom"/>
          </w:tcPr>
          <w:p w:rsidR="006867D0" w:rsidRPr="00555938" w:rsidRDefault="006867D0" w:rsidP="009965C5">
            <w:pPr>
              <w:spacing w:line="360" w:lineRule="auto"/>
              <w:jc w:val="right"/>
              <w:rPr>
                <w:rFonts w:ascii="Times New Roman" w:hAnsi="Times New Roman"/>
              </w:rPr>
            </w:pPr>
            <w:r w:rsidRPr="00555938">
              <w:rPr>
                <w:rFonts w:ascii="Times New Roman" w:hAnsi="Times New Roman"/>
              </w:rPr>
              <w:t>205</w:t>
            </w:r>
          </w:p>
        </w:tc>
      </w:tr>
      <w:tr w:rsidR="006867D0" w:rsidRPr="00555938" w:rsidTr="009965C5">
        <w:trPr>
          <w:jc w:val="center"/>
        </w:trPr>
        <w:tc>
          <w:tcPr>
            <w:tcW w:w="7999" w:type="dxa"/>
            <w:gridSpan w:val="5"/>
            <w:vAlign w:val="bottom"/>
          </w:tcPr>
          <w:p w:rsidR="006867D0" w:rsidRPr="00555938" w:rsidRDefault="006867D0" w:rsidP="009965C5">
            <w:pPr>
              <w:spacing w:before="2" w:after="2" w:line="360" w:lineRule="auto"/>
              <w:jc w:val="center"/>
              <w:rPr>
                <w:rFonts w:ascii="Times New Roman" w:hAnsi="Times New Roman"/>
              </w:rPr>
            </w:pPr>
          </w:p>
        </w:tc>
      </w:tr>
      <w:tr w:rsidR="006867D0" w:rsidRPr="00555938" w:rsidTr="009965C5">
        <w:trPr>
          <w:jc w:val="center"/>
        </w:trPr>
        <w:tc>
          <w:tcPr>
            <w:tcW w:w="7999" w:type="dxa"/>
            <w:gridSpan w:val="5"/>
            <w:vAlign w:val="bottom"/>
          </w:tcPr>
          <w:p w:rsidR="006867D0" w:rsidRPr="00555938" w:rsidRDefault="006867D0" w:rsidP="009965C5">
            <w:pPr>
              <w:spacing w:before="2" w:after="2" w:line="360" w:lineRule="auto"/>
              <w:jc w:val="center"/>
              <w:rPr>
                <w:rFonts w:ascii="Times New Roman" w:hAnsi="Times New Roman"/>
              </w:rPr>
            </w:pPr>
            <w:r w:rsidRPr="00555938">
              <w:rPr>
                <w:rFonts w:ascii="Times New Roman" w:hAnsi="Times New Roman"/>
              </w:rPr>
              <w:t>Two Years Ahead</w:t>
            </w:r>
          </w:p>
        </w:tc>
      </w:tr>
      <w:tr w:rsidR="006867D0" w:rsidRPr="00555938" w:rsidTr="009965C5">
        <w:trPr>
          <w:jc w:val="center"/>
        </w:trPr>
        <w:tc>
          <w:tcPr>
            <w:tcW w:w="3348" w:type="dxa"/>
            <w:vAlign w:val="bottom"/>
          </w:tcPr>
          <w:p w:rsidR="006867D0" w:rsidRPr="00555938" w:rsidRDefault="006867D0" w:rsidP="006867D0">
            <w:pPr>
              <w:spacing w:before="2" w:after="2" w:line="360" w:lineRule="auto"/>
              <w:jc w:val="center"/>
              <w:rPr>
                <w:rFonts w:ascii="Times New Roman" w:hAnsi="Times New Roman"/>
              </w:rPr>
            </w:pP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Mean</w:t>
            </w:r>
          </w:p>
        </w:tc>
        <w:tc>
          <w:tcPr>
            <w:tcW w:w="90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SD</w:t>
            </w: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P-Value</w:t>
            </w:r>
          </w:p>
        </w:tc>
        <w:tc>
          <w:tcPr>
            <w:tcW w:w="1051"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Obs.</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 xml:space="preserve">Official Minus </w:t>
            </w:r>
            <w:r w:rsidRPr="00555938">
              <w:rPr>
                <w:rFonts w:ascii="Times New Roman" w:hAnsi="Times New Roman"/>
                <w:i/>
              </w:rPr>
              <w:t>Consensus</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0.17**</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0.07</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0.02</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138</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Official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0.66***</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0.21</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0.00</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138</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i/>
              </w:rPr>
              <w:t>Consensus</w:t>
            </w:r>
            <w:r w:rsidRPr="00555938">
              <w:rPr>
                <w:rFonts w:ascii="Times New Roman" w:hAnsi="Times New Roman"/>
              </w:rPr>
              <w:t xml:space="preserve">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0.49**</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0.21</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0.02</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138</w:t>
            </w:r>
          </w:p>
        </w:tc>
      </w:tr>
    </w:tbl>
    <w:p w:rsidR="006867D0" w:rsidRPr="0037777F" w:rsidRDefault="006867D0" w:rsidP="006867D0">
      <w:pPr>
        <w:spacing w:before="2" w:after="2" w:line="360" w:lineRule="auto"/>
        <w:jc w:val="center"/>
        <w:rPr>
          <w:rFonts w:ascii="Times New Roman" w:hAnsi="Times New Roman"/>
        </w:rPr>
      </w:pPr>
    </w:p>
    <w:p w:rsidR="006867D0" w:rsidRPr="0037777F" w:rsidRDefault="006867D0" w:rsidP="006867D0">
      <w:pPr>
        <w:spacing w:before="2" w:after="2" w:line="360" w:lineRule="auto"/>
        <w:jc w:val="center"/>
        <w:rPr>
          <w:rFonts w:ascii="Times New Roman" w:hAnsi="Times New Roman"/>
        </w:rPr>
      </w:pPr>
    </w:p>
    <w:p w:rsidR="006867D0" w:rsidRPr="006867D0" w:rsidRDefault="006867D0" w:rsidP="006867D0">
      <w:pPr>
        <w:spacing w:line="360" w:lineRule="auto"/>
        <w:jc w:val="center"/>
        <w:rPr>
          <w:rFonts w:ascii="Times New Roman" w:hAnsi="Times New Roman"/>
          <w:sz w:val="22"/>
          <w:szCs w:val="22"/>
        </w:rPr>
      </w:pPr>
      <w:r w:rsidRPr="006867D0">
        <w:rPr>
          <w:rFonts w:ascii="Times New Roman" w:hAnsi="Times New Roman"/>
          <w:sz w:val="22"/>
          <w:szCs w:val="22"/>
        </w:rPr>
        <w:t>Table 3B: t-Tests for Equality of Means for Real GDP Growth, Common Sample</w:t>
      </w:r>
    </w:p>
    <w:tbl>
      <w:tblPr>
        <w:tblW w:w="0" w:type="auto"/>
        <w:jc w:val="center"/>
        <w:tblLayout w:type="fixed"/>
        <w:tblLook w:val="00A0" w:firstRow="1" w:lastRow="0" w:firstColumn="1" w:lastColumn="0" w:noHBand="0" w:noVBand="0"/>
      </w:tblPr>
      <w:tblGrid>
        <w:gridCol w:w="3348"/>
        <w:gridCol w:w="1350"/>
        <w:gridCol w:w="900"/>
        <w:gridCol w:w="1350"/>
        <w:gridCol w:w="1051"/>
      </w:tblGrid>
      <w:tr w:rsidR="006867D0" w:rsidRPr="006867D0" w:rsidTr="009965C5">
        <w:trPr>
          <w:jc w:val="center"/>
        </w:trPr>
        <w:tc>
          <w:tcPr>
            <w:tcW w:w="7999" w:type="dxa"/>
            <w:gridSpan w:val="5"/>
            <w:vAlign w:val="bottom"/>
          </w:tcPr>
          <w:p w:rsidR="006867D0" w:rsidRPr="006867D0" w:rsidRDefault="006867D0" w:rsidP="006867D0">
            <w:pPr>
              <w:spacing w:before="2" w:after="2" w:line="360" w:lineRule="auto"/>
              <w:jc w:val="center"/>
              <w:rPr>
                <w:rFonts w:ascii="Times New Roman" w:hAnsi="Times New Roman"/>
                <w:sz w:val="22"/>
                <w:szCs w:val="22"/>
              </w:rPr>
            </w:pPr>
            <w:r w:rsidRPr="006867D0">
              <w:rPr>
                <w:rFonts w:ascii="Times New Roman" w:hAnsi="Times New Roman"/>
                <w:sz w:val="22"/>
                <w:szCs w:val="22"/>
              </w:rPr>
              <w:t>One Year Ahead</w:t>
            </w:r>
          </w:p>
        </w:tc>
      </w:tr>
      <w:tr w:rsidR="006867D0" w:rsidRPr="00555938" w:rsidTr="009965C5">
        <w:trPr>
          <w:jc w:val="center"/>
        </w:trPr>
        <w:tc>
          <w:tcPr>
            <w:tcW w:w="3348" w:type="dxa"/>
            <w:vAlign w:val="bottom"/>
          </w:tcPr>
          <w:p w:rsidR="006867D0" w:rsidRPr="00555938" w:rsidRDefault="006867D0" w:rsidP="006867D0">
            <w:pPr>
              <w:spacing w:before="2" w:after="2" w:line="360" w:lineRule="auto"/>
              <w:jc w:val="center"/>
              <w:rPr>
                <w:rFonts w:ascii="Times New Roman" w:hAnsi="Times New Roman"/>
              </w:rPr>
            </w:pP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Mean</w:t>
            </w:r>
          </w:p>
        </w:tc>
        <w:tc>
          <w:tcPr>
            <w:tcW w:w="90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SD</w:t>
            </w: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P-Value</w:t>
            </w:r>
          </w:p>
        </w:tc>
        <w:tc>
          <w:tcPr>
            <w:tcW w:w="1051"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Obs.</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 xml:space="preserve">Official Minus </w:t>
            </w:r>
            <w:r w:rsidRPr="00555938">
              <w:rPr>
                <w:rFonts w:ascii="Times New Roman" w:hAnsi="Times New Roman"/>
                <w:i/>
              </w:rPr>
              <w:t>Consensus</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0.14***</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0.03</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0.00</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350</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Official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0.32**</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0.13</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0.01</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350</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i/>
              </w:rPr>
              <w:t>Consensus</w:t>
            </w:r>
            <w:r w:rsidRPr="00555938">
              <w:rPr>
                <w:rFonts w:ascii="Times New Roman" w:hAnsi="Times New Roman"/>
              </w:rPr>
              <w:t xml:space="preserve">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0.18</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0.12</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0.16</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350</w:t>
            </w:r>
          </w:p>
        </w:tc>
      </w:tr>
      <w:tr w:rsidR="006867D0" w:rsidRPr="00555938" w:rsidTr="009965C5">
        <w:trPr>
          <w:jc w:val="center"/>
        </w:trPr>
        <w:tc>
          <w:tcPr>
            <w:tcW w:w="7999" w:type="dxa"/>
            <w:gridSpan w:val="5"/>
            <w:vAlign w:val="bottom"/>
          </w:tcPr>
          <w:p w:rsidR="006867D0" w:rsidRPr="00555938" w:rsidRDefault="006867D0" w:rsidP="006867D0">
            <w:pPr>
              <w:spacing w:before="2" w:after="2" w:line="360" w:lineRule="auto"/>
              <w:jc w:val="center"/>
              <w:rPr>
                <w:rFonts w:ascii="Times New Roman" w:hAnsi="Times New Roman"/>
              </w:rPr>
            </w:pPr>
          </w:p>
        </w:tc>
      </w:tr>
      <w:tr w:rsidR="006867D0" w:rsidRPr="00555938" w:rsidTr="009965C5">
        <w:trPr>
          <w:jc w:val="center"/>
        </w:trPr>
        <w:tc>
          <w:tcPr>
            <w:tcW w:w="7999" w:type="dxa"/>
            <w:gridSpan w:val="5"/>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Two Years Ahead</w:t>
            </w:r>
          </w:p>
        </w:tc>
      </w:tr>
      <w:tr w:rsidR="006867D0" w:rsidRPr="00555938" w:rsidTr="009965C5">
        <w:trPr>
          <w:jc w:val="center"/>
        </w:trPr>
        <w:tc>
          <w:tcPr>
            <w:tcW w:w="3348" w:type="dxa"/>
            <w:vAlign w:val="bottom"/>
          </w:tcPr>
          <w:p w:rsidR="006867D0" w:rsidRPr="00555938" w:rsidRDefault="006867D0" w:rsidP="006867D0">
            <w:pPr>
              <w:spacing w:before="2" w:after="2" w:line="360" w:lineRule="auto"/>
              <w:jc w:val="center"/>
              <w:rPr>
                <w:rFonts w:ascii="Times New Roman" w:hAnsi="Times New Roman"/>
              </w:rPr>
            </w:pP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Mean</w:t>
            </w:r>
          </w:p>
        </w:tc>
        <w:tc>
          <w:tcPr>
            <w:tcW w:w="90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SD</w:t>
            </w:r>
          </w:p>
        </w:tc>
        <w:tc>
          <w:tcPr>
            <w:tcW w:w="1350" w:type="dxa"/>
            <w:vAlign w:val="bottom"/>
          </w:tcPr>
          <w:p w:rsidR="006867D0" w:rsidRPr="00555938" w:rsidRDefault="006867D0" w:rsidP="006867D0">
            <w:pPr>
              <w:spacing w:before="2" w:after="2" w:line="360" w:lineRule="auto"/>
              <w:jc w:val="center"/>
              <w:rPr>
                <w:rFonts w:ascii="Times New Roman" w:hAnsi="Times New Roman"/>
              </w:rPr>
            </w:pPr>
            <w:r w:rsidRPr="00555938">
              <w:rPr>
                <w:rFonts w:ascii="Times New Roman" w:hAnsi="Times New Roman"/>
              </w:rPr>
              <w:t>P-Value</w:t>
            </w:r>
          </w:p>
        </w:tc>
        <w:tc>
          <w:tcPr>
            <w:tcW w:w="1051" w:type="dxa"/>
            <w:vAlign w:val="bottom"/>
          </w:tcPr>
          <w:p w:rsidR="006867D0" w:rsidRPr="00555938" w:rsidRDefault="006867D0" w:rsidP="006867D0">
            <w:pPr>
              <w:spacing w:before="2" w:after="2" w:line="360" w:lineRule="auto"/>
              <w:jc w:val="center"/>
              <w:rPr>
                <w:rFonts w:ascii="Times New Roman" w:hAnsi="Times New Roman"/>
              </w:rPr>
            </w:pPr>
            <w:proofErr w:type="spellStart"/>
            <w:r w:rsidRPr="00555938">
              <w:rPr>
                <w:rFonts w:ascii="Times New Roman" w:hAnsi="Times New Roman"/>
              </w:rPr>
              <w:t>Obs</w:t>
            </w:r>
            <w:proofErr w:type="spellEnd"/>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 xml:space="preserve">Official Minus </w:t>
            </w:r>
            <w:r w:rsidRPr="00555938">
              <w:rPr>
                <w:rFonts w:ascii="Times New Roman" w:hAnsi="Times New Roman"/>
                <w:i/>
              </w:rPr>
              <w:t>Consensus</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0.16***</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0.03</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0.00</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289</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Official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1.15***</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0.21</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0.00</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289</w:t>
            </w:r>
          </w:p>
        </w:tc>
      </w:tr>
      <w:tr w:rsidR="006867D0" w:rsidRPr="00555938" w:rsidTr="009965C5">
        <w:trPr>
          <w:jc w:val="center"/>
        </w:trPr>
        <w:tc>
          <w:tcPr>
            <w:tcW w:w="3348"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i/>
              </w:rPr>
              <w:t>Consensus</w:t>
            </w:r>
            <w:r w:rsidRPr="00555938">
              <w:rPr>
                <w:rFonts w:ascii="Times New Roman" w:hAnsi="Times New Roman"/>
              </w:rPr>
              <w:t xml:space="preserve"> Forecast Error</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0.99***</w:t>
            </w:r>
          </w:p>
        </w:tc>
        <w:tc>
          <w:tcPr>
            <w:tcW w:w="90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0.21</w:t>
            </w:r>
          </w:p>
        </w:tc>
        <w:tc>
          <w:tcPr>
            <w:tcW w:w="1350"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0.00</w:t>
            </w:r>
          </w:p>
        </w:tc>
        <w:tc>
          <w:tcPr>
            <w:tcW w:w="1051" w:type="dxa"/>
            <w:vAlign w:val="bottom"/>
          </w:tcPr>
          <w:p w:rsidR="006867D0" w:rsidRPr="00555938" w:rsidRDefault="006867D0" w:rsidP="006867D0">
            <w:pPr>
              <w:spacing w:line="360" w:lineRule="auto"/>
              <w:jc w:val="center"/>
              <w:rPr>
                <w:rFonts w:ascii="Times New Roman" w:hAnsi="Times New Roman"/>
              </w:rPr>
            </w:pPr>
            <w:r w:rsidRPr="00555938">
              <w:rPr>
                <w:rFonts w:ascii="Times New Roman" w:hAnsi="Times New Roman"/>
              </w:rPr>
              <w:t>289</w:t>
            </w:r>
          </w:p>
        </w:tc>
      </w:tr>
    </w:tbl>
    <w:p w:rsidR="006867D0" w:rsidRPr="0037777F" w:rsidRDefault="006867D0" w:rsidP="006867D0">
      <w:pPr>
        <w:spacing w:before="2" w:after="2" w:line="360" w:lineRule="auto"/>
        <w:jc w:val="center"/>
        <w:rPr>
          <w:rFonts w:ascii="Times New Roman" w:hAnsi="Times New Roman"/>
        </w:rPr>
      </w:pPr>
    </w:p>
    <w:p w:rsidR="006867D0" w:rsidRPr="0037777F" w:rsidRDefault="006867D0" w:rsidP="006867D0">
      <w:pPr>
        <w:spacing w:before="2" w:after="2" w:line="360" w:lineRule="auto"/>
        <w:jc w:val="center"/>
        <w:rPr>
          <w:rFonts w:ascii="Times New Roman" w:hAnsi="Times New Roman"/>
        </w:rPr>
      </w:pPr>
    </w:p>
    <w:p w:rsidR="006867D0" w:rsidRDefault="006867D0" w:rsidP="006867D0">
      <w:pPr>
        <w:widowControl w:val="0"/>
        <w:autoSpaceDE w:val="0"/>
        <w:autoSpaceDN w:val="0"/>
        <w:adjustRightInd w:val="0"/>
        <w:spacing w:line="360" w:lineRule="auto"/>
        <w:jc w:val="center"/>
        <w:outlineLvl w:val="0"/>
        <w:rPr>
          <w:rFonts w:ascii="Times New Roman" w:eastAsia="Times New Roman" w:hAnsi="Times New Roman"/>
        </w:rPr>
        <w:sectPr w:rsidR="006867D0">
          <w:footerReference w:type="even" r:id="rId15"/>
          <w:footerReference w:type="default" r:id="rId16"/>
          <w:pgSz w:w="12240" w:h="15840"/>
          <w:pgMar w:top="1440" w:right="634" w:bottom="1440" w:left="1440" w:header="720" w:footer="720" w:gutter="0"/>
          <w:cols w:space="720"/>
        </w:sectPr>
      </w:pPr>
    </w:p>
    <w:p w:rsidR="006867D0" w:rsidRPr="006867D0" w:rsidRDefault="006867D0" w:rsidP="006867D0">
      <w:pPr>
        <w:widowControl w:val="0"/>
        <w:autoSpaceDE w:val="0"/>
        <w:autoSpaceDN w:val="0"/>
        <w:adjustRightInd w:val="0"/>
        <w:spacing w:line="360" w:lineRule="auto"/>
        <w:jc w:val="center"/>
        <w:outlineLvl w:val="0"/>
        <w:rPr>
          <w:rFonts w:ascii="Times New Roman" w:eastAsia="Times New Roman" w:hAnsi="Times New Roman"/>
          <w:sz w:val="22"/>
          <w:szCs w:val="22"/>
        </w:rPr>
      </w:pPr>
      <w:r w:rsidRPr="006867D0">
        <w:rPr>
          <w:rFonts w:ascii="Times New Roman" w:eastAsia="Times New Roman" w:hAnsi="Times New Roman"/>
          <w:sz w:val="22"/>
          <w:szCs w:val="22"/>
        </w:rPr>
        <w:lastRenderedPageBreak/>
        <w:t>Table 4: Government-Private Disagreement over Budget Balance and Official Budget Balance Forecast Errors</w:t>
      </w:r>
    </w:p>
    <w:tbl>
      <w:tblPr>
        <w:tblW w:w="10011" w:type="dxa"/>
        <w:jc w:val="center"/>
        <w:tblLayout w:type="fixed"/>
        <w:tblCellMar>
          <w:left w:w="75" w:type="dxa"/>
          <w:right w:w="75" w:type="dxa"/>
        </w:tblCellMar>
        <w:tblLook w:val="0000" w:firstRow="0" w:lastRow="0" w:firstColumn="0" w:lastColumn="0" w:noHBand="0" w:noVBand="0"/>
      </w:tblPr>
      <w:tblGrid>
        <w:gridCol w:w="1947"/>
        <w:gridCol w:w="1008"/>
        <w:gridCol w:w="1008"/>
        <w:gridCol w:w="1008"/>
        <w:gridCol w:w="1008"/>
        <w:gridCol w:w="1008"/>
        <w:gridCol w:w="1008"/>
        <w:gridCol w:w="1008"/>
        <w:gridCol w:w="1008"/>
      </w:tblGrid>
      <w:tr w:rsidR="006867D0" w:rsidRPr="00555938" w:rsidTr="006867D0">
        <w:trPr>
          <w:jc w:val="center"/>
        </w:trPr>
        <w:tc>
          <w:tcPr>
            <w:tcW w:w="1947" w:type="dxa"/>
            <w:tcBorders>
              <w:top w:val="single" w:sz="6" w:space="0" w:color="auto"/>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(1)</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(2)</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(3)</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(4)</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(5)</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(6)</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(7)</w:t>
            </w:r>
          </w:p>
        </w:tc>
        <w:tc>
          <w:tcPr>
            <w:tcW w:w="1008"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r w:rsidRPr="006867D0">
              <w:rPr>
                <w:rFonts w:ascii="Times New Roman" w:eastAsia="Times New Roman" w:hAnsi="Times New Roman"/>
                <w:sz w:val="20"/>
                <w:szCs w:val="20"/>
              </w:rPr>
              <w:t>(8)</w:t>
            </w:r>
          </w:p>
        </w:tc>
      </w:tr>
      <w:tr w:rsidR="006867D0" w:rsidRPr="00555938" w:rsidTr="006867D0">
        <w:trPr>
          <w:jc w:val="center"/>
        </w:trPr>
        <w:tc>
          <w:tcPr>
            <w:tcW w:w="1947" w:type="dxa"/>
            <w:tcBorders>
              <w:top w:val="nil"/>
              <w:left w:val="nil"/>
              <w:bottom w:val="single" w:sz="6" w:space="0" w:color="auto"/>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VARIABLES</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t+1</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t+2</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t+1</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t+2</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t+1</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t+2</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t+1</w:t>
            </w:r>
          </w:p>
        </w:tc>
        <w:tc>
          <w:tcPr>
            <w:tcW w:w="1008"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0"/>
                <w:szCs w:val="20"/>
              </w:rPr>
            </w:pPr>
            <w:r w:rsidRPr="006867D0">
              <w:rPr>
                <w:rFonts w:ascii="Times New Roman" w:hAnsi="Times New Roman"/>
                <w:i/>
                <w:sz w:val="20"/>
                <w:szCs w:val="20"/>
              </w:rPr>
              <w:t>BBEg</w:t>
            </w:r>
            <w:r w:rsidRPr="006867D0">
              <w:rPr>
                <w:rFonts w:ascii="Times New Roman" w:hAnsi="Times New Roman"/>
                <w:i/>
                <w:sz w:val="20"/>
                <w:szCs w:val="20"/>
                <w:vertAlign w:val="subscript"/>
              </w:rPr>
              <w:t>t+2</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c>
          <w:tcPr>
            <w:tcW w:w="1008"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0"/>
                <w:szCs w:val="20"/>
              </w:rPr>
            </w:pP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i/>
              </w:rPr>
            </w:pPr>
            <w:proofErr w:type="spellStart"/>
            <w:r>
              <w:rPr>
                <w:rFonts w:ascii="Times New Roman" w:eastAsia="Times New Roman" w:hAnsi="Times New Roman"/>
                <w:i/>
              </w:rPr>
              <w:t>Gov</w:t>
            </w:r>
            <w:proofErr w:type="spellEnd"/>
            <w:r w:rsidRPr="0037777F">
              <w:rPr>
                <w:rFonts w:ascii="Times New Roman" w:eastAsia="Times New Roman" w:hAnsi="Times New Roman"/>
                <w:i/>
              </w:rPr>
              <w:t>-Con BB</w:t>
            </w:r>
            <w:r w:rsidRPr="00555938">
              <w:rPr>
                <w:rFonts w:ascii="Times New Roman" w:hAnsi="Times New Roman"/>
                <w:i/>
                <w:vertAlign w:val="subscript"/>
              </w:rPr>
              <w:t>t+i</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0.934**</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0.608**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0.873*</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0.296</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0.888***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0.678***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0.821*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0.343</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(0.349)</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(0.227)</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(0.461)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(0.306)</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(0.296)</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(0.223)</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(0.402)</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(0.248)</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Constant</w:t>
            </w:r>
          </w:p>
        </w:tc>
        <w:tc>
          <w:tcPr>
            <w:tcW w:w="1008" w:type="dxa"/>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0"/>
                <w:szCs w:val="20"/>
              </w:rPr>
            </w:pPr>
            <w:r w:rsidRPr="006867D0">
              <w:rPr>
                <w:rFonts w:ascii="Times New Roman" w:hAnsi="Times New Roman"/>
                <w:sz w:val="20"/>
                <w:szCs w:val="20"/>
              </w:rPr>
              <w:t>-0.050</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0.560***</w:t>
            </w:r>
          </w:p>
        </w:tc>
        <w:tc>
          <w:tcPr>
            <w:tcW w:w="1008" w:type="dxa"/>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0"/>
                <w:szCs w:val="20"/>
              </w:rPr>
            </w:pPr>
            <w:r w:rsidRPr="006867D0">
              <w:rPr>
                <w:rFonts w:ascii="Times New Roman" w:hAnsi="Times New Roman"/>
                <w:sz w:val="20"/>
                <w:szCs w:val="20"/>
              </w:rPr>
              <w:t>-0.019</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-0.113</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-1.568***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-0.782***</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-1.551***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-0.825***</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(0.156)</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(0.191)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(0.191)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(0.162)</w:t>
            </w:r>
          </w:p>
        </w:tc>
        <w:tc>
          <w:tcPr>
            <w:tcW w:w="1008" w:type="dxa"/>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0"/>
                <w:szCs w:val="20"/>
              </w:rPr>
            </w:pPr>
            <w:r w:rsidRPr="006867D0">
              <w:rPr>
                <w:rFonts w:ascii="Times New Roman" w:hAnsi="Times New Roman"/>
                <w:sz w:val="20"/>
                <w:szCs w:val="20"/>
              </w:rPr>
              <w:t>(0.075)</w:t>
            </w:r>
          </w:p>
        </w:tc>
        <w:tc>
          <w:tcPr>
            <w:tcW w:w="1008" w:type="dxa"/>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0"/>
                <w:szCs w:val="20"/>
              </w:rPr>
            </w:pPr>
            <w:r w:rsidRPr="006867D0">
              <w:rPr>
                <w:rFonts w:ascii="Times New Roman" w:hAnsi="Times New Roman"/>
                <w:sz w:val="20"/>
                <w:szCs w:val="20"/>
              </w:rPr>
              <w:t>(0.029)</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(0.102)</w:t>
            </w:r>
          </w:p>
        </w:tc>
        <w:tc>
          <w:tcPr>
            <w:tcW w:w="1008" w:type="dxa"/>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0"/>
                <w:szCs w:val="20"/>
              </w:rPr>
            </w:pPr>
            <w:r w:rsidRPr="006867D0">
              <w:rPr>
                <w:rFonts w:ascii="Times New Roman" w:hAnsi="Times New Roman"/>
                <w:sz w:val="20"/>
                <w:szCs w:val="20"/>
              </w:rPr>
              <w:t>(0.032)</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Observations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138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138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138</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138</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R-squared</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0.177</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0.040</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0.280</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0.181</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0.445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0.485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0.535</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0.601</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Country FE</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r>
      <w:tr w:rsidR="006867D0" w:rsidRPr="00555938" w:rsidTr="006867D0">
        <w:trPr>
          <w:jc w:val="center"/>
        </w:trPr>
        <w:tc>
          <w:tcPr>
            <w:tcW w:w="1947" w:type="dxa"/>
            <w:tcBorders>
              <w:top w:val="nil"/>
              <w:left w:val="nil"/>
              <w:bottom w:val="nil"/>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sidRPr="0037777F">
              <w:rPr>
                <w:rFonts w:ascii="Times New Roman" w:eastAsia="Times New Roman" w:hAnsi="Times New Roman"/>
              </w:rPr>
              <w:t>Year FE</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No</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c>
          <w:tcPr>
            <w:tcW w:w="1008"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Yes</w:t>
            </w:r>
          </w:p>
        </w:tc>
      </w:tr>
      <w:tr w:rsidR="006867D0" w:rsidRPr="00555938" w:rsidTr="006867D0">
        <w:tblPrEx>
          <w:tblBorders>
            <w:bottom w:val="single" w:sz="6" w:space="0" w:color="auto"/>
          </w:tblBorders>
        </w:tblPrEx>
        <w:trPr>
          <w:jc w:val="center"/>
        </w:trPr>
        <w:tc>
          <w:tcPr>
            <w:tcW w:w="1947" w:type="dxa"/>
            <w:tcBorders>
              <w:top w:val="nil"/>
              <w:left w:val="nil"/>
              <w:bottom w:val="single" w:sz="6" w:space="0" w:color="auto"/>
              <w:right w:val="nil"/>
            </w:tcBorders>
          </w:tcPr>
          <w:p w:rsidR="006867D0" w:rsidRPr="0037777F" w:rsidRDefault="006867D0" w:rsidP="009965C5">
            <w:pPr>
              <w:widowControl w:val="0"/>
              <w:autoSpaceDE w:val="0"/>
              <w:autoSpaceDN w:val="0"/>
              <w:adjustRightInd w:val="0"/>
              <w:spacing w:line="360" w:lineRule="auto"/>
              <w:rPr>
                <w:rFonts w:ascii="Times New Roman" w:eastAsia="Times New Roman" w:hAnsi="Times New Roman"/>
              </w:rPr>
            </w:pPr>
            <w:r>
              <w:rPr>
                <w:rFonts w:ascii="Times New Roman" w:eastAsia="Times New Roman" w:hAnsi="Times New Roman"/>
              </w:rPr>
              <w:t>Countries</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17</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17</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17</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20</w:t>
            </w:r>
          </w:p>
        </w:tc>
        <w:tc>
          <w:tcPr>
            <w:tcW w:w="1008"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0"/>
                <w:szCs w:val="20"/>
              </w:rPr>
            </w:pPr>
            <w:r w:rsidRPr="006867D0">
              <w:rPr>
                <w:rFonts w:ascii="Times New Roman" w:hAnsi="Times New Roman"/>
                <w:sz w:val="20"/>
                <w:szCs w:val="20"/>
              </w:rPr>
              <w:t>17</w:t>
            </w:r>
          </w:p>
        </w:tc>
      </w:tr>
    </w:tbl>
    <w:p w:rsidR="006867D0" w:rsidRPr="0037777F" w:rsidRDefault="006867D0" w:rsidP="006867D0">
      <w:pPr>
        <w:widowControl w:val="0"/>
        <w:autoSpaceDE w:val="0"/>
        <w:autoSpaceDN w:val="0"/>
        <w:adjustRightInd w:val="0"/>
        <w:spacing w:line="360" w:lineRule="auto"/>
        <w:jc w:val="center"/>
        <w:rPr>
          <w:rFonts w:ascii="Times New Roman" w:eastAsia="Times New Roman" w:hAnsi="Times New Roman"/>
        </w:rPr>
      </w:pPr>
      <w:r w:rsidRPr="0037777F">
        <w:rPr>
          <w:rFonts w:ascii="Times New Roman" w:eastAsia="Times New Roman" w:hAnsi="Times New Roman"/>
        </w:rPr>
        <w:t>Robust standard errors in parentheses</w:t>
      </w:r>
    </w:p>
    <w:p w:rsidR="006867D0" w:rsidRPr="0037777F" w:rsidRDefault="006867D0" w:rsidP="006867D0">
      <w:pPr>
        <w:widowControl w:val="0"/>
        <w:autoSpaceDE w:val="0"/>
        <w:autoSpaceDN w:val="0"/>
        <w:adjustRightInd w:val="0"/>
        <w:spacing w:line="360" w:lineRule="auto"/>
        <w:jc w:val="center"/>
        <w:rPr>
          <w:rFonts w:ascii="Times New Roman" w:eastAsia="Times New Roman" w:hAnsi="Times New Roman"/>
        </w:rPr>
      </w:pPr>
      <w:r w:rsidRPr="0037777F">
        <w:rPr>
          <w:rFonts w:ascii="Times New Roman" w:eastAsia="Times New Roman" w:hAnsi="Times New Roman"/>
        </w:rPr>
        <w:t>*** p&lt;0.01, ** p&lt;0.05, * p&lt;0.1</w:t>
      </w:r>
    </w:p>
    <w:p w:rsidR="006867D0" w:rsidRPr="0037777F" w:rsidRDefault="006867D0" w:rsidP="006867D0">
      <w:pPr>
        <w:widowControl w:val="0"/>
        <w:autoSpaceDE w:val="0"/>
        <w:autoSpaceDN w:val="0"/>
        <w:adjustRightInd w:val="0"/>
        <w:spacing w:line="360" w:lineRule="auto"/>
        <w:jc w:val="center"/>
        <w:rPr>
          <w:rFonts w:ascii="Times New Roman" w:eastAsia="Times New Roman" w:hAnsi="Times New Roman"/>
        </w:rPr>
      </w:pPr>
    </w:p>
    <w:p w:rsidR="006867D0" w:rsidRPr="003C4FEA" w:rsidRDefault="006867D0" w:rsidP="006867D0">
      <w:pPr>
        <w:rPr>
          <w:rFonts w:ascii="Times New Roman" w:hAnsi="Times New Roman"/>
          <w:sz w:val="22"/>
          <w:szCs w:val="22"/>
        </w:rPr>
      </w:pPr>
      <w:r w:rsidRPr="003C4FEA">
        <w:rPr>
          <w:rFonts w:ascii="Times New Roman" w:hAnsi="Times New Roman"/>
          <w:sz w:val="22"/>
          <w:szCs w:val="22"/>
        </w:rPr>
        <w:t xml:space="preserve">Notes:  The LHS variable in every column is the Official Budget forecast Error.  1Y indicates the one year </w:t>
      </w:r>
      <w:proofErr w:type="gramStart"/>
      <w:r w:rsidRPr="003C4FEA">
        <w:rPr>
          <w:rFonts w:ascii="Times New Roman" w:hAnsi="Times New Roman"/>
          <w:sz w:val="22"/>
          <w:szCs w:val="22"/>
        </w:rPr>
        <w:t>ahead</w:t>
      </w:r>
      <w:proofErr w:type="gramEnd"/>
      <w:r w:rsidRPr="003C4FEA">
        <w:rPr>
          <w:rFonts w:ascii="Times New Roman" w:hAnsi="Times New Roman"/>
          <w:sz w:val="22"/>
          <w:szCs w:val="22"/>
        </w:rPr>
        <w:t xml:space="preserve"> error and 2Y indicates the two year ahead error. </w:t>
      </w:r>
      <w:proofErr w:type="spellStart"/>
      <w:r w:rsidRPr="003C4FEA">
        <w:rPr>
          <w:rFonts w:ascii="Times New Roman" w:hAnsi="Times New Roman"/>
          <w:sz w:val="22"/>
          <w:szCs w:val="22"/>
        </w:rPr>
        <w:t>Gov</w:t>
      </w:r>
      <w:proofErr w:type="spellEnd"/>
      <w:r w:rsidRPr="003C4FEA">
        <w:rPr>
          <w:rFonts w:ascii="Times New Roman" w:hAnsi="Times New Roman"/>
          <w:sz w:val="22"/>
          <w:szCs w:val="22"/>
        </w:rPr>
        <w:t xml:space="preserve">-Con BB is the official forecast budget balance minus the </w:t>
      </w:r>
      <w:r w:rsidRPr="003C4FEA">
        <w:rPr>
          <w:rFonts w:ascii="Times New Roman" w:hAnsi="Times New Roman"/>
          <w:i/>
          <w:sz w:val="22"/>
          <w:szCs w:val="22"/>
        </w:rPr>
        <w:t>Consensus</w:t>
      </w:r>
      <w:r w:rsidRPr="003C4FEA">
        <w:rPr>
          <w:rFonts w:ascii="Times New Roman" w:hAnsi="Times New Roman"/>
          <w:sz w:val="22"/>
          <w:szCs w:val="22"/>
        </w:rPr>
        <w:t xml:space="preserve"> forecast of the budget balance.  </w:t>
      </w:r>
    </w:p>
    <w:p w:rsidR="006867D0" w:rsidRPr="006867D0" w:rsidRDefault="006867D0" w:rsidP="006867D0">
      <w:pPr>
        <w:widowControl w:val="0"/>
        <w:autoSpaceDE w:val="0"/>
        <w:autoSpaceDN w:val="0"/>
        <w:adjustRightInd w:val="0"/>
        <w:spacing w:line="360" w:lineRule="auto"/>
        <w:jc w:val="center"/>
        <w:rPr>
          <w:rFonts w:ascii="Times New Roman" w:eastAsia="Times New Roman" w:hAnsi="Times New Roman"/>
          <w:sz w:val="22"/>
          <w:szCs w:val="22"/>
        </w:rPr>
      </w:pPr>
      <w:r w:rsidRPr="0037777F">
        <w:rPr>
          <w:rFonts w:ascii="Times New Roman" w:eastAsia="Times New Roman" w:hAnsi="Times New Roman"/>
        </w:rPr>
        <w:br w:type="page"/>
      </w:r>
      <w:r w:rsidRPr="006867D0">
        <w:rPr>
          <w:rFonts w:ascii="Times New Roman" w:eastAsia="Times New Roman" w:hAnsi="Times New Roman"/>
          <w:sz w:val="22"/>
          <w:szCs w:val="22"/>
        </w:rPr>
        <w:lastRenderedPageBreak/>
        <w:t>Table 5: Government-Private Disagreement over GDP Growth Rates and Real GDP Growth Rate Forecast Errors</w:t>
      </w:r>
    </w:p>
    <w:tbl>
      <w:tblPr>
        <w:tblW w:w="11789" w:type="dxa"/>
        <w:jc w:val="center"/>
        <w:tblInd w:w="382" w:type="dxa"/>
        <w:tblLayout w:type="fixed"/>
        <w:tblCellMar>
          <w:left w:w="75" w:type="dxa"/>
          <w:right w:w="75" w:type="dxa"/>
        </w:tblCellMar>
        <w:tblLook w:val="0000" w:firstRow="0" w:lastRow="0" w:firstColumn="0" w:lastColumn="0" w:noHBand="0" w:noVBand="0"/>
      </w:tblPr>
      <w:tblGrid>
        <w:gridCol w:w="1532"/>
        <w:gridCol w:w="1051"/>
        <w:gridCol w:w="134"/>
        <w:gridCol w:w="1018"/>
        <w:gridCol w:w="278"/>
        <w:gridCol w:w="874"/>
        <w:gridCol w:w="422"/>
        <w:gridCol w:w="730"/>
        <w:gridCol w:w="566"/>
        <w:gridCol w:w="586"/>
        <w:gridCol w:w="854"/>
        <w:gridCol w:w="298"/>
        <w:gridCol w:w="854"/>
        <w:gridCol w:w="298"/>
        <w:gridCol w:w="1142"/>
        <w:gridCol w:w="10"/>
        <w:gridCol w:w="1142"/>
      </w:tblGrid>
      <w:tr w:rsidR="006867D0" w:rsidRPr="006867D0" w:rsidTr="006867D0">
        <w:trPr>
          <w:gridAfter w:val="1"/>
          <w:wAfter w:w="1142" w:type="dxa"/>
          <w:jc w:val="center"/>
        </w:trPr>
        <w:tc>
          <w:tcPr>
            <w:tcW w:w="1532"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
        </w:tc>
        <w:tc>
          <w:tcPr>
            <w:tcW w:w="1051" w:type="dxa"/>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(1)</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(2)</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(3)</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(4)</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(5)</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(6)</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(7)</w:t>
            </w:r>
          </w:p>
        </w:tc>
        <w:tc>
          <w:tcPr>
            <w:tcW w:w="1152" w:type="dxa"/>
            <w:gridSpan w:val="2"/>
            <w:tcBorders>
              <w:top w:val="single" w:sz="6" w:space="0" w:color="auto"/>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(8)</w:t>
            </w:r>
          </w:p>
        </w:tc>
      </w:tr>
      <w:tr w:rsidR="006867D0" w:rsidRPr="006867D0" w:rsidTr="006867D0">
        <w:trPr>
          <w:gridAfter w:val="1"/>
          <w:wAfter w:w="1142" w:type="dxa"/>
          <w:jc w:val="center"/>
        </w:trPr>
        <w:tc>
          <w:tcPr>
            <w:tcW w:w="1532"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VARIABLES</w:t>
            </w:r>
          </w:p>
        </w:tc>
        <w:tc>
          <w:tcPr>
            <w:tcW w:w="1051"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t+1</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t+2</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t+1</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t+2</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t+1</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t+2</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t+1</w:t>
            </w:r>
          </w:p>
        </w:tc>
        <w:tc>
          <w:tcPr>
            <w:tcW w:w="1152" w:type="dxa"/>
            <w:gridSpan w:val="2"/>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i/>
                <w:sz w:val="22"/>
                <w:szCs w:val="22"/>
              </w:rPr>
            </w:pPr>
            <w:r w:rsidRPr="006867D0">
              <w:rPr>
                <w:rFonts w:ascii="Times New Roman" w:hAnsi="Times New Roman"/>
                <w:i/>
                <w:sz w:val="22"/>
                <w:szCs w:val="22"/>
              </w:rPr>
              <w:t>GDPEg</w:t>
            </w:r>
            <w:r w:rsidRPr="006867D0">
              <w:rPr>
                <w:rFonts w:ascii="Times New Roman" w:hAnsi="Times New Roman"/>
                <w:i/>
                <w:sz w:val="22"/>
                <w:szCs w:val="22"/>
                <w:vertAlign w:val="subscript"/>
              </w:rPr>
              <w:t>t+2</w:t>
            </w:r>
          </w:p>
        </w:tc>
      </w:tr>
      <w:tr w:rsidR="006867D0" w:rsidRPr="006867D0" w:rsidTr="006867D0">
        <w:trPr>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
        </w:tc>
        <w:tc>
          <w:tcPr>
            <w:tcW w:w="1185"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296"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296"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296"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440"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152"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440"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c>
          <w:tcPr>
            <w:tcW w:w="1152" w:type="dxa"/>
            <w:gridSpan w:val="2"/>
            <w:tcBorders>
              <w:top w:val="nil"/>
              <w:left w:val="nil"/>
              <w:bottom w:val="nil"/>
              <w:right w:val="nil"/>
            </w:tcBorders>
          </w:tcPr>
          <w:p w:rsidR="006867D0" w:rsidRPr="006867D0" w:rsidRDefault="006867D0" w:rsidP="009965C5">
            <w:pPr>
              <w:widowControl w:val="0"/>
              <w:autoSpaceDE w:val="0"/>
              <w:autoSpaceDN w:val="0"/>
              <w:adjustRightInd w:val="0"/>
              <w:spacing w:line="360" w:lineRule="auto"/>
              <w:jc w:val="center"/>
              <w:rPr>
                <w:rFonts w:ascii="Times New Roman" w:eastAsia="Times New Roman" w:hAnsi="Times New Roman"/>
                <w:sz w:val="22"/>
                <w:szCs w:val="22"/>
              </w:rPr>
            </w:pP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roofErr w:type="spellStart"/>
            <w:r w:rsidRPr="006867D0">
              <w:rPr>
                <w:rFonts w:ascii="Times New Roman" w:eastAsia="Times New Roman" w:hAnsi="Times New Roman"/>
                <w:i/>
                <w:sz w:val="22"/>
                <w:szCs w:val="22"/>
              </w:rPr>
              <w:t>Gov</w:t>
            </w:r>
            <w:proofErr w:type="spellEnd"/>
            <w:r w:rsidRPr="006867D0">
              <w:rPr>
                <w:rFonts w:ascii="Times New Roman" w:eastAsia="Times New Roman" w:hAnsi="Times New Roman"/>
                <w:i/>
                <w:sz w:val="22"/>
                <w:szCs w:val="22"/>
              </w:rPr>
              <w:t xml:space="preserve">-Con </w:t>
            </w:r>
            <w:proofErr w:type="spellStart"/>
            <w:r w:rsidRPr="006867D0">
              <w:rPr>
                <w:rFonts w:ascii="Times New Roman" w:eastAsia="Times New Roman" w:hAnsi="Times New Roman"/>
                <w:i/>
                <w:sz w:val="22"/>
                <w:szCs w:val="22"/>
              </w:rPr>
              <w:t>GDP</w:t>
            </w:r>
            <w:r w:rsidRPr="006867D0">
              <w:rPr>
                <w:rFonts w:ascii="Times New Roman" w:hAnsi="Times New Roman"/>
                <w:i/>
                <w:sz w:val="22"/>
                <w:szCs w:val="22"/>
                <w:vertAlign w:val="subscript"/>
              </w:rPr>
              <w:t>t</w:t>
            </w:r>
            <w:proofErr w:type="spellEnd"/>
            <w:r w:rsidRPr="006867D0">
              <w:rPr>
                <w:rFonts w:ascii="Times New Roman" w:eastAsia="Times New Roman" w:hAnsi="Times New Roman"/>
                <w:i/>
                <w:sz w:val="22"/>
                <w:szCs w:val="22"/>
              </w:rPr>
              <w:t xml:space="preserve"> </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1.146*</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0.143</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1.194*</w:t>
            </w:r>
          </w:p>
        </w:tc>
        <w:tc>
          <w:tcPr>
            <w:tcW w:w="1152" w:type="dxa"/>
            <w:gridSpan w:val="2"/>
            <w:tcBorders>
              <w:top w:val="nil"/>
              <w:left w:val="nil"/>
              <w:bottom w:val="nil"/>
              <w:right w:val="nil"/>
            </w:tcBorders>
            <w:vAlign w:val="bottom"/>
          </w:tcPr>
          <w:p w:rsidR="006867D0" w:rsidRPr="006867D0" w:rsidRDefault="006867D0" w:rsidP="006C7957">
            <w:pPr>
              <w:spacing w:line="360" w:lineRule="auto"/>
              <w:jc w:val="center"/>
              <w:rPr>
                <w:rFonts w:ascii="Times New Roman" w:hAnsi="Times New Roman"/>
                <w:sz w:val="22"/>
                <w:szCs w:val="22"/>
              </w:rPr>
            </w:pPr>
            <w:r w:rsidRPr="006867D0">
              <w:rPr>
                <w:rFonts w:ascii="Times New Roman" w:hAnsi="Times New Roman"/>
                <w:sz w:val="22"/>
                <w:szCs w:val="22"/>
              </w:rPr>
              <w:t>-0.076</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0.695*</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0.600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0.716*</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0.525</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(0.572)</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(0.507)</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(0.657)</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(0.633)</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(0.350)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(0.405)</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(0.396)</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(0.582)</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Constant</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0.156</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1.131***</w:t>
            </w:r>
          </w:p>
        </w:tc>
        <w:tc>
          <w:tcPr>
            <w:tcW w:w="1152" w:type="dxa"/>
            <w:gridSpan w:val="2"/>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2"/>
                <w:szCs w:val="22"/>
              </w:rPr>
            </w:pPr>
            <w:r w:rsidRPr="006867D0">
              <w:rPr>
                <w:rFonts w:ascii="Times New Roman" w:hAnsi="Times New Roman"/>
                <w:sz w:val="22"/>
                <w:szCs w:val="22"/>
              </w:rPr>
              <w:t>0.082</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0.714***</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1.062***</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4.508***</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1.060***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4.581***</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(0.120)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(0.170)</w:t>
            </w:r>
          </w:p>
        </w:tc>
        <w:tc>
          <w:tcPr>
            <w:tcW w:w="1152" w:type="dxa"/>
            <w:gridSpan w:val="2"/>
            <w:tcBorders>
              <w:top w:val="nil"/>
              <w:left w:val="nil"/>
              <w:bottom w:val="nil"/>
              <w:right w:val="nil"/>
            </w:tcBorders>
            <w:vAlign w:val="bottom"/>
          </w:tcPr>
          <w:p w:rsidR="006867D0" w:rsidRPr="006867D0" w:rsidRDefault="006867D0" w:rsidP="006C7957">
            <w:pPr>
              <w:spacing w:line="360" w:lineRule="auto"/>
              <w:jc w:val="center"/>
              <w:rPr>
                <w:rFonts w:ascii="Times New Roman" w:hAnsi="Times New Roman"/>
                <w:sz w:val="22"/>
                <w:szCs w:val="22"/>
              </w:rPr>
            </w:pPr>
            <w:r w:rsidRPr="006867D0">
              <w:rPr>
                <w:rFonts w:ascii="Times New Roman" w:hAnsi="Times New Roman"/>
                <w:sz w:val="22"/>
                <w:szCs w:val="22"/>
              </w:rPr>
              <w:t>(0.090)</w:t>
            </w:r>
          </w:p>
        </w:tc>
        <w:tc>
          <w:tcPr>
            <w:tcW w:w="1152" w:type="dxa"/>
            <w:gridSpan w:val="2"/>
            <w:tcBorders>
              <w:top w:val="nil"/>
              <w:left w:val="nil"/>
              <w:bottom w:val="nil"/>
              <w:right w:val="nil"/>
            </w:tcBorders>
            <w:vAlign w:val="bottom"/>
          </w:tcPr>
          <w:p w:rsidR="006867D0" w:rsidRPr="006867D0" w:rsidRDefault="006867D0" w:rsidP="006C7957">
            <w:pPr>
              <w:spacing w:line="360" w:lineRule="auto"/>
              <w:jc w:val="center"/>
              <w:rPr>
                <w:rFonts w:ascii="Times New Roman" w:hAnsi="Times New Roman"/>
                <w:sz w:val="22"/>
                <w:szCs w:val="22"/>
              </w:rPr>
            </w:pPr>
            <w:r w:rsidRPr="006867D0">
              <w:rPr>
                <w:rFonts w:ascii="Times New Roman" w:hAnsi="Times New Roman"/>
                <w:sz w:val="22"/>
                <w:szCs w:val="22"/>
              </w:rPr>
              <w:t>(0.074)</w:t>
            </w:r>
          </w:p>
        </w:tc>
        <w:tc>
          <w:tcPr>
            <w:tcW w:w="1152" w:type="dxa"/>
            <w:gridSpan w:val="2"/>
            <w:tcBorders>
              <w:top w:val="nil"/>
              <w:left w:val="nil"/>
              <w:bottom w:val="nil"/>
              <w:right w:val="nil"/>
            </w:tcBorders>
            <w:vAlign w:val="bottom"/>
          </w:tcPr>
          <w:p w:rsidR="006867D0" w:rsidRPr="006867D0" w:rsidRDefault="006867D0" w:rsidP="006C7957">
            <w:pPr>
              <w:spacing w:line="360" w:lineRule="auto"/>
              <w:jc w:val="center"/>
              <w:rPr>
                <w:rFonts w:ascii="Times New Roman" w:hAnsi="Times New Roman"/>
                <w:sz w:val="22"/>
                <w:szCs w:val="22"/>
              </w:rPr>
            </w:pPr>
            <w:r w:rsidRPr="006867D0">
              <w:rPr>
                <w:rFonts w:ascii="Times New Roman" w:hAnsi="Times New Roman"/>
                <w:sz w:val="22"/>
                <w:szCs w:val="22"/>
              </w:rPr>
              <w:t>(0.02</w:t>
            </w:r>
            <w:r w:rsidR="006C7957">
              <w:rPr>
                <w:rFonts w:ascii="Times New Roman" w:hAnsi="Times New Roman"/>
                <w:sz w:val="22"/>
                <w:szCs w:val="22"/>
              </w:rPr>
              <w:t>3</w:t>
            </w:r>
            <w:r w:rsidRPr="006867D0">
              <w:rPr>
                <w:rFonts w:ascii="Times New Roman" w:hAnsi="Times New Roman"/>
                <w:sz w:val="22"/>
                <w:szCs w:val="22"/>
              </w:rPr>
              <w:t>)</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(0.394)</w:t>
            </w:r>
          </w:p>
        </w:tc>
        <w:tc>
          <w:tcPr>
            <w:tcW w:w="1152" w:type="dxa"/>
            <w:gridSpan w:val="2"/>
            <w:tcBorders>
              <w:top w:val="nil"/>
              <w:left w:val="nil"/>
              <w:bottom w:val="nil"/>
              <w:right w:val="nil"/>
            </w:tcBorders>
            <w:vAlign w:val="bottom"/>
          </w:tcPr>
          <w:p w:rsidR="006867D0" w:rsidRPr="006867D0" w:rsidRDefault="006867D0" w:rsidP="006867D0">
            <w:pPr>
              <w:spacing w:line="360" w:lineRule="auto"/>
              <w:jc w:val="center"/>
              <w:rPr>
                <w:rFonts w:ascii="Times New Roman" w:hAnsi="Times New Roman"/>
                <w:sz w:val="22"/>
                <w:szCs w:val="22"/>
              </w:rPr>
            </w:pPr>
            <w:r>
              <w:rPr>
                <w:rFonts w:ascii="Times New Roman" w:hAnsi="Times New Roman"/>
                <w:sz w:val="22"/>
                <w:szCs w:val="22"/>
              </w:rPr>
              <w:t>(0.026</w:t>
            </w:r>
            <w:r w:rsidRPr="006867D0">
              <w:rPr>
                <w:rFonts w:ascii="Times New Roman" w:hAnsi="Times New Roman"/>
                <w:sz w:val="22"/>
                <w:szCs w:val="22"/>
              </w:rPr>
              <w:t>)</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(0.567)</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Observations</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350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289</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350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289</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350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289</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350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289</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R-squared</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0.078</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0.000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0.115</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0.070</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0.561</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0.619</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0.589</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0.659</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Country FE</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r>
      <w:tr w:rsidR="006867D0" w:rsidRPr="006867D0" w:rsidTr="006867D0">
        <w:trPr>
          <w:gridAfter w:val="1"/>
          <w:wAfter w:w="1142" w:type="dxa"/>
          <w:jc w:val="center"/>
        </w:trPr>
        <w:tc>
          <w:tcPr>
            <w:tcW w:w="1532" w:type="dxa"/>
            <w:tcBorders>
              <w:top w:val="nil"/>
              <w:left w:val="nil"/>
              <w:bottom w:val="nil"/>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Year FE</w:t>
            </w:r>
          </w:p>
        </w:tc>
        <w:tc>
          <w:tcPr>
            <w:tcW w:w="1051" w:type="dxa"/>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No</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c>
          <w:tcPr>
            <w:tcW w:w="1152" w:type="dxa"/>
            <w:gridSpan w:val="2"/>
            <w:tcBorders>
              <w:top w:val="nil"/>
              <w:left w:val="nil"/>
              <w:bottom w:val="nil"/>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Yes</w:t>
            </w:r>
          </w:p>
        </w:tc>
      </w:tr>
      <w:tr w:rsidR="006867D0" w:rsidRPr="006867D0" w:rsidTr="006867D0">
        <w:tblPrEx>
          <w:tblBorders>
            <w:bottom w:val="single" w:sz="6" w:space="0" w:color="auto"/>
          </w:tblBorders>
        </w:tblPrEx>
        <w:trPr>
          <w:gridAfter w:val="1"/>
          <w:wAfter w:w="1142" w:type="dxa"/>
          <w:jc w:val="center"/>
        </w:trPr>
        <w:tc>
          <w:tcPr>
            <w:tcW w:w="1532" w:type="dxa"/>
            <w:tcBorders>
              <w:top w:val="nil"/>
              <w:left w:val="nil"/>
              <w:bottom w:val="single" w:sz="6" w:space="0" w:color="auto"/>
              <w:right w:val="nil"/>
            </w:tcBorders>
          </w:tcPr>
          <w:p w:rsidR="006867D0" w:rsidRPr="006867D0" w:rsidRDefault="006867D0" w:rsidP="009965C5">
            <w:pPr>
              <w:widowControl w:val="0"/>
              <w:autoSpaceDE w:val="0"/>
              <w:autoSpaceDN w:val="0"/>
              <w:adjustRightInd w:val="0"/>
              <w:spacing w:line="360" w:lineRule="auto"/>
              <w:rPr>
                <w:rFonts w:ascii="Times New Roman" w:eastAsia="Times New Roman" w:hAnsi="Times New Roman"/>
                <w:sz w:val="22"/>
                <w:szCs w:val="22"/>
              </w:rPr>
            </w:pPr>
            <w:r w:rsidRPr="006867D0">
              <w:rPr>
                <w:rFonts w:ascii="Times New Roman" w:eastAsia="Times New Roman" w:hAnsi="Times New Roman"/>
                <w:sz w:val="22"/>
                <w:szCs w:val="22"/>
              </w:rPr>
              <w:t>Countries</w:t>
            </w:r>
          </w:p>
        </w:tc>
        <w:tc>
          <w:tcPr>
            <w:tcW w:w="1051" w:type="dxa"/>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29</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27</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29</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27</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29</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27</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29</w:t>
            </w:r>
          </w:p>
        </w:tc>
        <w:tc>
          <w:tcPr>
            <w:tcW w:w="1152" w:type="dxa"/>
            <w:gridSpan w:val="2"/>
            <w:tcBorders>
              <w:top w:val="nil"/>
              <w:left w:val="nil"/>
              <w:bottom w:val="single" w:sz="6" w:space="0" w:color="auto"/>
              <w:right w:val="nil"/>
            </w:tcBorders>
            <w:vAlign w:val="bottom"/>
          </w:tcPr>
          <w:p w:rsidR="006867D0" w:rsidRPr="006867D0" w:rsidRDefault="006867D0" w:rsidP="009965C5">
            <w:pPr>
              <w:spacing w:line="360" w:lineRule="auto"/>
              <w:jc w:val="center"/>
              <w:rPr>
                <w:rFonts w:ascii="Times New Roman" w:hAnsi="Times New Roman"/>
                <w:sz w:val="22"/>
                <w:szCs w:val="22"/>
              </w:rPr>
            </w:pPr>
            <w:r w:rsidRPr="006867D0">
              <w:rPr>
                <w:rFonts w:ascii="Times New Roman" w:hAnsi="Times New Roman"/>
                <w:sz w:val="22"/>
                <w:szCs w:val="22"/>
              </w:rPr>
              <w:t>27</w:t>
            </w:r>
          </w:p>
        </w:tc>
      </w:tr>
    </w:tbl>
    <w:p w:rsidR="006867D0" w:rsidRPr="006867D0" w:rsidRDefault="006867D0" w:rsidP="006867D0">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Robust standard errors in parentheses</w:t>
      </w:r>
    </w:p>
    <w:p w:rsidR="006867D0" w:rsidRPr="006867D0" w:rsidRDefault="006867D0" w:rsidP="006867D0">
      <w:pPr>
        <w:widowControl w:val="0"/>
        <w:autoSpaceDE w:val="0"/>
        <w:autoSpaceDN w:val="0"/>
        <w:adjustRightInd w:val="0"/>
        <w:spacing w:line="360" w:lineRule="auto"/>
        <w:jc w:val="center"/>
        <w:rPr>
          <w:rFonts w:ascii="Times New Roman" w:eastAsia="Times New Roman" w:hAnsi="Times New Roman"/>
          <w:sz w:val="22"/>
          <w:szCs w:val="22"/>
        </w:rPr>
      </w:pPr>
      <w:r w:rsidRPr="006867D0">
        <w:rPr>
          <w:rFonts w:ascii="Times New Roman" w:eastAsia="Times New Roman" w:hAnsi="Times New Roman"/>
          <w:sz w:val="22"/>
          <w:szCs w:val="22"/>
        </w:rPr>
        <w:t>*** p&lt;0.01, ** p&lt;0.05, * p&lt;0.1</w:t>
      </w:r>
    </w:p>
    <w:p w:rsidR="006867D0" w:rsidRPr="003C4FEA" w:rsidRDefault="006867D0" w:rsidP="006867D0">
      <w:pPr>
        <w:rPr>
          <w:sz w:val="22"/>
          <w:szCs w:val="22"/>
        </w:rPr>
      </w:pPr>
      <w:r w:rsidRPr="003C4FEA">
        <w:rPr>
          <w:rFonts w:ascii="Times New Roman" w:hAnsi="Times New Roman"/>
          <w:sz w:val="22"/>
          <w:szCs w:val="22"/>
        </w:rPr>
        <w:t xml:space="preserve">Notes:  The LHS variable in every column is the Official Real GDP Forecast Error.  1Y indicates the one year </w:t>
      </w:r>
      <w:proofErr w:type="gramStart"/>
      <w:r w:rsidRPr="003C4FEA">
        <w:rPr>
          <w:rFonts w:ascii="Times New Roman" w:hAnsi="Times New Roman"/>
          <w:sz w:val="22"/>
          <w:szCs w:val="22"/>
        </w:rPr>
        <w:t>ahead</w:t>
      </w:r>
      <w:proofErr w:type="gramEnd"/>
      <w:r w:rsidRPr="003C4FEA">
        <w:rPr>
          <w:rFonts w:ascii="Times New Roman" w:hAnsi="Times New Roman"/>
          <w:sz w:val="22"/>
          <w:szCs w:val="22"/>
        </w:rPr>
        <w:t xml:space="preserve"> error and 2Y indicates the two year ahead error. </w:t>
      </w:r>
      <w:proofErr w:type="spellStart"/>
      <w:r w:rsidRPr="003C4FEA">
        <w:rPr>
          <w:rFonts w:ascii="Times New Roman" w:hAnsi="Times New Roman"/>
          <w:sz w:val="22"/>
          <w:szCs w:val="22"/>
        </w:rPr>
        <w:t>Gov</w:t>
      </w:r>
      <w:proofErr w:type="spellEnd"/>
      <w:r w:rsidRPr="003C4FEA">
        <w:rPr>
          <w:rFonts w:ascii="Times New Roman" w:hAnsi="Times New Roman"/>
          <w:sz w:val="22"/>
          <w:szCs w:val="22"/>
        </w:rPr>
        <w:t xml:space="preserve">-Con GDP is the official forecast real GDP growth rate minus the </w:t>
      </w:r>
      <w:r w:rsidRPr="003C4FEA">
        <w:rPr>
          <w:rFonts w:ascii="Times New Roman" w:hAnsi="Times New Roman"/>
          <w:i/>
          <w:sz w:val="22"/>
          <w:szCs w:val="22"/>
        </w:rPr>
        <w:t>Consensus</w:t>
      </w:r>
      <w:r w:rsidRPr="003C4FEA">
        <w:rPr>
          <w:rFonts w:ascii="Times New Roman" w:hAnsi="Times New Roman"/>
          <w:sz w:val="22"/>
          <w:szCs w:val="22"/>
        </w:rPr>
        <w:t xml:space="preserve"> forecast of the real GDP growth rate.</w:t>
      </w:r>
    </w:p>
    <w:p w:rsidR="006867D0" w:rsidRDefault="006867D0" w:rsidP="006867D0">
      <w:pPr>
        <w:spacing w:line="360" w:lineRule="auto"/>
        <w:jc w:val="center"/>
      </w:pPr>
      <w:r>
        <w:br w:type="page"/>
      </w:r>
      <w:r>
        <w:lastRenderedPageBreak/>
        <w:t>Figure 1: Greek Over-Optimism</w:t>
      </w:r>
    </w:p>
    <w:p w:rsidR="006867D0" w:rsidRDefault="00C007DE" w:rsidP="006867D0">
      <w:pPr>
        <w:spacing w:line="360" w:lineRule="auto"/>
        <w:jc w:val="center"/>
      </w:pPr>
      <w:r>
        <w:rPr>
          <w:noProof/>
        </w:rPr>
        <w:drawing>
          <wp:inline distT="0" distB="0" distL="0" distR="0">
            <wp:extent cx="5989320" cy="4198620"/>
            <wp:effectExtent l="0" t="0" r="0" b="0"/>
            <wp:docPr id="9"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9320" cy="4198620"/>
                    </a:xfrm>
                    <a:prstGeom prst="rect">
                      <a:avLst/>
                    </a:prstGeom>
                    <a:noFill/>
                    <a:ln>
                      <a:noFill/>
                    </a:ln>
                  </pic:spPr>
                </pic:pic>
              </a:graphicData>
            </a:graphic>
          </wp:inline>
        </w:drawing>
      </w:r>
    </w:p>
    <w:p w:rsidR="006867D0" w:rsidRPr="003C4FEA" w:rsidRDefault="006867D0" w:rsidP="006867D0">
      <w:pPr>
        <w:spacing w:line="360" w:lineRule="auto"/>
        <w:rPr>
          <w:sz w:val="20"/>
          <w:szCs w:val="20"/>
        </w:rPr>
      </w:pPr>
      <w:r w:rsidRPr="003C4FEA">
        <w:rPr>
          <w:sz w:val="20"/>
          <w:szCs w:val="20"/>
        </w:rPr>
        <w:t>Notes: Data from Greece’s Stability and Convergence Programs.</w:t>
      </w:r>
    </w:p>
    <w:p w:rsidR="006867D0" w:rsidRDefault="006867D0" w:rsidP="006867D0">
      <w:pPr>
        <w:spacing w:line="360" w:lineRule="auto"/>
        <w:jc w:val="center"/>
      </w:pPr>
    </w:p>
    <w:p w:rsidR="006867D0" w:rsidRPr="004C1622" w:rsidRDefault="006867D0" w:rsidP="006867D0">
      <w:pPr>
        <w:spacing w:line="360" w:lineRule="auto"/>
        <w:jc w:val="center"/>
      </w:pPr>
      <w:r w:rsidRPr="001F5C10">
        <w:rPr>
          <w:sz w:val="28"/>
        </w:rPr>
        <w:br w:type="page"/>
      </w:r>
      <w:r w:rsidRPr="004C1622">
        <w:lastRenderedPageBreak/>
        <w:t>Figure 2: Italian Budget Balance Forecasts</w:t>
      </w:r>
    </w:p>
    <w:p w:rsidR="006867D0" w:rsidRPr="001F5C10" w:rsidRDefault="006867D0" w:rsidP="006867D0">
      <w:pPr>
        <w:spacing w:line="360" w:lineRule="auto"/>
        <w:jc w:val="center"/>
        <w:rPr>
          <w:sz w:val="28"/>
        </w:rPr>
      </w:pPr>
    </w:p>
    <w:p w:rsidR="006867D0" w:rsidRDefault="006867D0" w:rsidP="006867D0">
      <w:pPr>
        <w:spacing w:line="360" w:lineRule="auto"/>
        <w:jc w:val="center"/>
      </w:pPr>
      <w:r>
        <w:t>One-Year Ahead</w:t>
      </w:r>
    </w:p>
    <w:p w:rsidR="006867D0" w:rsidRDefault="00C007DE" w:rsidP="006867D0">
      <w:pPr>
        <w:spacing w:line="360" w:lineRule="auto"/>
        <w:jc w:val="center"/>
      </w:pPr>
      <w:r>
        <w:rPr>
          <w:noProof/>
        </w:rPr>
        <w:drawing>
          <wp:inline distT="0" distB="0" distL="0" distR="0">
            <wp:extent cx="4122420" cy="3063240"/>
            <wp:effectExtent l="0" t="0" r="0" b="381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2420" cy="3063240"/>
                    </a:xfrm>
                    <a:prstGeom prst="rect">
                      <a:avLst/>
                    </a:prstGeom>
                    <a:noFill/>
                    <a:ln>
                      <a:noFill/>
                    </a:ln>
                  </pic:spPr>
                </pic:pic>
              </a:graphicData>
            </a:graphic>
          </wp:inline>
        </w:drawing>
      </w:r>
    </w:p>
    <w:p w:rsidR="006867D0" w:rsidRDefault="006867D0" w:rsidP="006867D0">
      <w:pPr>
        <w:spacing w:line="360" w:lineRule="auto"/>
        <w:jc w:val="center"/>
      </w:pPr>
    </w:p>
    <w:p w:rsidR="006867D0" w:rsidRDefault="006867D0" w:rsidP="006867D0">
      <w:pPr>
        <w:spacing w:line="360" w:lineRule="auto"/>
        <w:jc w:val="center"/>
      </w:pPr>
      <w:r>
        <w:t>Two-Years Ahead</w:t>
      </w:r>
    </w:p>
    <w:p w:rsidR="006867D0" w:rsidRDefault="006867D0" w:rsidP="006867D0">
      <w:pPr>
        <w:spacing w:line="360" w:lineRule="auto"/>
        <w:jc w:val="center"/>
      </w:pPr>
    </w:p>
    <w:p w:rsidR="006867D0" w:rsidRDefault="00C007DE" w:rsidP="006867D0">
      <w:pPr>
        <w:spacing w:line="360" w:lineRule="auto"/>
        <w:jc w:val="center"/>
      </w:pPr>
      <w:r>
        <w:rPr>
          <w:noProof/>
        </w:rPr>
        <w:drawing>
          <wp:inline distT="0" distB="0" distL="0" distR="0">
            <wp:extent cx="4122420" cy="2994660"/>
            <wp:effectExtent l="0" t="0" r="0" b="0"/>
            <wp:docPr id="11" name="Picture 11"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jesseschreger/Dropbox/Consensus/Over-Optimistic Project/Regression results/Writeup_alt_updated/BB/Italy_BB_1Y.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Pr="003C4FEA" w:rsidRDefault="006867D0" w:rsidP="006867D0">
      <w:pPr>
        <w:spacing w:line="360" w:lineRule="auto"/>
        <w:rPr>
          <w:sz w:val="20"/>
          <w:szCs w:val="20"/>
        </w:rPr>
      </w:pPr>
      <w:r w:rsidRPr="003C4FEA">
        <w:rPr>
          <w:sz w:val="20"/>
          <w:szCs w:val="20"/>
        </w:rPr>
        <w:t>Notes: Year is year being forecast.</w:t>
      </w:r>
    </w:p>
    <w:p w:rsidR="006867D0" w:rsidRPr="004C1622" w:rsidRDefault="006867D0" w:rsidP="006867D0">
      <w:pPr>
        <w:spacing w:line="360" w:lineRule="auto"/>
        <w:jc w:val="center"/>
      </w:pPr>
      <w:r>
        <w:br w:type="page"/>
      </w:r>
      <w:r w:rsidRPr="004C1622">
        <w:lastRenderedPageBreak/>
        <w:t>Figure 3: Italian Real GDP Growth Forecasts</w:t>
      </w:r>
    </w:p>
    <w:p w:rsidR="006867D0" w:rsidRPr="00066A34" w:rsidRDefault="006867D0" w:rsidP="006867D0">
      <w:pPr>
        <w:spacing w:line="360" w:lineRule="auto"/>
        <w:jc w:val="center"/>
        <w:rPr>
          <w:sz w:val="28"/>
        </w:rPr>
      </w:pPr>
    </w:p>
    <w:p w:rsidR="006867D0" w:rsidRDefault="006867D0" w:rsidP="006867D0">
      <w:pPr>
        <w:spacing w:line="360" w:lineRule="auto"/>
        <w:jc w:val="center"/>
      </w:pPr>
      <w:r>
        <w:t>One-Year Ahead</w:t>
      </w:r>
    </w:p>
    <w:p w:rsidR="006867D0" w:rsidRDefault="00C007DE" w:rsidP="006867D0">
      <w:pPr>
        <w:spacing w:line="360" w:lineRule="auto"/>
        <w:jc w:val="center"/>
      </w:pPr>
      <w:r>
        <w:rPr>
          <w:noProof/>
        </w:rPr>
        <w:drawing>
          <wp:inline distT="0" distB="0" distL="0" distR="0">
            <wp:extent cx="4122420" cy="2994660"/>
            <wp:effectExtent l="0" t="0" r="0" b="0"/>
            <wp:docPr id="12" name="Picture 12"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s/jesseschreger/Dropbox/Consensus/Over-Optimistic Project/Regression results/Writeup_alt_updated/BB/Italy_BB_1Y.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Default="006867D0" w:rsidP="006867D0">
      <w:pPr>
        <w:spacing w:line="360" w:lineRule="auto"/>
        <w:jc w:val="center"/>
      </w:pPr>
    </w:p>
    <w:p w:rsidR="006867D0" w:rsidRDefault="006867D0" w:rsidP="006867D0">
      <w:pPr>
        <w:spacing w:line="360" w:lineRule="auto"/>
        <w:jc w:val="center"/>
      </w:pPr>
      <w:r>
        <w:t>Two-Years Ahead</w:t>
      </w:r>
    </w:p>
    <w:p w:rsidR="006867D0" w:rsidRDefault="006867D0" w:rsidP="006867D0">
      <w:pPr>
        <w:spacing w:line="360" w:lineRule="auto"/>
        <w:jc w:val="center"/>
      </w:pPr>
    </w:p>
    <w:p w:rsidR="006867D0" w:rsidRDefault="00C007DE" w:rsidP="006867D0">
      <w:pPr>
        <w:spacing w:line="360" w:lineRule="auto"/>
        <w:jc w:val="center"/>
      </w:pPr>
      <w:r>
        <w:rPr>
          <w:noProof/>
        </w:rPr>
        <w:drawing>
          <wp:inline distT="0" distB="0" distL="0" distR="0">
            <wp:extent cx="4122420" cy="2994660"/>
            <wp:effectExtent l="0" t="0" r="0" b="0"/>
            <wp:docPr id="13" name="Picture 13"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jesseschreger/Dropbox/Consensus/Over-Optimistic Project/Regression results/Writeup_alt_updated/BB/Italy_BB_1Y.t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Pr="003C4FEA" w:rsidRDefault="006867D0" w:rsidP="006867D0">
      <w:pPr>
        <w:spacing w:line="360" w:lineRule="auto"/>
        <w:rPr>
          <w:sz w:val="20"/>
          <w:szCs w:val="20"/>
        </w:rPr>
      </w:pPr>
      <w:r w:rsidRPr="003C4FEA">
        <w:rPr>
          <w:sz w:val="20"/>
          <w:szCs w:val="20"/>
        </w:rPr>
        <w:t>Notes: Year is year being forecast.</w:t>
      </w:r>
    </w:p>
    <w:p w:rsidR="006867D0" w:rsidRPr="004C1622" w:rsidRDefault="006867D0" w:rsidP="006867D0">
      <w:pPr>
        <w:spacing w:line="360" w:lineRule="auto"/>
        <w:jc w:val="center"/>
      </w:pPr>
      <w:r>
        <w:br w:type="page"/>
      </w:r>
      <w:r w:rsidRPr="004C1622">
        <w:lastRenderedPageBreak/>
        <w:t>Figure 4: Budget Balance forecasts, One-Year Ahead</w:t>
      </w:r>
    </w:p>
    <w:p w:rsidR="006867D0" w:rsidRDefault="006867D0" w:rsidP="006867D0">
      <w:pPr>
        <w:spacing w:line="360" w:lineRule="auto"/>
        <w:jc w:val="center"/>
        <w:rPr>
          <w:sz w:val="28"/>
        </w:rPr>
      </w:pPr>
    </w:p>
    <w:p w:rsidR="006867D0" w:rsidRDefault="00C007DE" w:rsidP="006867D0">
      <w:pPr>
        <w:spacing w:line="360" w:lineRule="auto"/>
        <w:jc w:val="center"/>
      </w:pPr>
      <w:r>
        <w:rPr>
          <w:noProof/>
        </w:rPr>
        <w:drawing>
          <wp:inline distT="0" distB="0" distL="0" distR="0">
            <wp:extent cx="4122420" cy="2994660"/>
            <wp:effectExtent l="0" t="0" r="0" b="0"/>
            <wp:docPr id="14" name="Picture 14"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jesseschreger/Dropbox/Consensus/Over-Optimistic Project/Regression results/Writeup_alt_updated/BB/Italy_BB_1Y.t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Default="006867D0" w:rsidP="006867D0">
      <w:pPr>
        <w:spacing w:line="360" w:lineRule="auto"/>
        <w:jc w:val="center"/>
        <w:rPr>
          <w:sz w:val="28"/>
        </w:rPr>
      </w:pPr>
    </w:p>
    <w:p w:rsidR="006867D0" w:rsidRPr="004C1622" w:rsidRDefault="006867D0" w:rsidP="006867D0">
      <w:pPr>
        <w:spacing w:line="360" w:lineRule="auto"/>
        <w:jc w:val="center"/>
      </w:pPr>
      <w:r w:rsidRPr="004C1622">
        <w:t>Figure 5: Budget Balance forecasts, Two-Years Ahead</w:t>
      </w:r>
    </w:p>
    <w:p w:rsidR="006867D0" w:rsidRDefault="006867D0" w:rsidP="006867D0">
      <w:pPr>
        <w:spacing w:line="360" w:lineRule="auto"/>
        <w:jc w:val="center"/>
        <w:rPr>
          <w:sz w:val="28"/>
        </w:rPr>
      </w:pPr>
    </w:p>
    <w:p w:rsidR="006867D0" w:rsidRDefault="00C007DE" w:rsidP="006867D0">
      <w:pPr>
        <w:spacing w:line="360" w:lineRule="auto"/>
        <w:jc w:val="center"/>
      </w:pPr>
      <w:r>
        <w:rPr>
          <w:noProof/>
        </w:rPr>
        <w:drawing>
          <wp:inline distT="0" distB="0" distL="0" distR="0">
            <wp:extent cx="4122420" cy="2994660"/>
            <wp:effectExtent l="0" t="0" r="0" b="0"/>
            <wp:docPr id="15" name="Picture 15"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s/jesseschreger/Dropbox/Consensus/Over-Optimistic Project/Regression results/Writeup_alt_updated/BB/Italy_BB_1Y.t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Pr="003C4FEA" w:rsidRDefault="006867D0" w:rsidP="006867D0">
      <w:pPr>
        <w:spacing w:line="360" w:lineRule="auto"/>
        <w:rPr>
          <w:sz w:val="20"/>
          <w:szCs w:val="20"/>
        </w:rPr>
      </w:pPr>
      <w:r w:rsidRPr="003C4FEA">
        <w:rPr>
          <w:sz w:val="20"/>
          <w:szCs w:val="20"/>
        </w:rPr>
        <w:t>Notes: Only countries with more than 4 observations are included.</w:t>
      </w:r>
    </w:p>
    <w:p w:rsidR="006867D0" w:rsidRDefault="006867D0" w:rsidP="006867D0">
      <w:pPr>
        <w:spacing w:line="360" w:lineRule="auto"/>
        <w:jc w:val="center"/>
        <w:rPr>
          <w:sz w:val="28"/>
        </w:rPr>
      </w:pPr>
      <w:r>
        <w:br w:type="page"/>
      </w:r>
      <w:r w:rsidRPr="00066A34">
        <w:rPr>
          <w:sz w:val="28"/>
        </w:rPr>
        <w:lastRenderedPageBreak/>
        <w:t xml:space="preserve">Figure </w:t>
      </w:r>
      <w:r>
        <w:rPr>
          <w:sz w:val="28"/>
        </w:rPr>
        <w:t>6</w:t>
      </w:r>
      <w:r w:rsidRPr="00066A34">
        <w:rPr>
          <w:sz w:val="28"/>
        </w:rPr>
        <w:t>:</w:t>
      </w:r>
      <w:r>
        <w:rPr>
          <w:sz w:val="28"/>
        </w:rPr>
        <w:t xml:space="preserve"> Real</w:t>
      </w:r>
      <w:r w:rsidRPr="00066A34">
        <w:rPr>
          <w:sz w:val="28"/>
        </w:rPr>
        <w:t xml:space="preserve"> </w:t>
      </w:r>
      <w:r w:rsidRPr="00F12EF6">
        <w:rPr>
          <w:sz w:val="28"/>
        </w:rPr>
        <w:t>GDP Growth forecasts</w:t>
      </w:r>
      <w:r>
        <w:rPr>
          <w:sz w:val="28"/>
        </w:rPr>
        <w:t>, One-Year Ahead</w:t>
      </w:r>
    </w:p>
    <w:p w:rsidR="006867D0" w:rsidRDefault="006867D0" w:rsidP="006867D0">
      <w:pPr>
        <w:spacing w:line="360" w:lineRule="auto"/>
        <w:jc w:val="center"/>
        <w:rPr>
          <w:sz w:val="28"/>
        </w:rPr>
      </w:pPr>
    </w:p>
    <w:p w:rsidR="006867D0" w:rsidRDefault="00C007DE" w:rsidP="006867D0">
      <w:pPr>
        <w:spacing w:line="360" w:lineRule="auto"/>
        <w:jc w:val="center"/>
      </w:pPr>
      <w:r>
        <w:rPr>
          <w:noProof/>
        </w:rPr>
        <w:drawing>
          <wp:inline distT="0" distB="0" distL="0" distR="0">
            <wp:extent cx="4122420" cy="2994660"/>
            <wp:effectExtent l="0" t="0" r="0" b="0"/>
            <wp:docPr id="16" name="Picture 16"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jesseschreger/Dropbox/Consensus/Over-Optimistic Project/Regression results/Writeup_alt_updated/BB/Italy_BB_1Y.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Default="006867D0" w:rsidP="006867D0">
      <w:pPr>
        <w:spacing w:line="360" w:lineRule="auto"/>
        <w:jc w:val="center"/>
      </w:pPr>
    </w:p>
    <w:p w:rsidR="006867D0" w:rsidRDefault="006867D0" w:rsidP="006867D0">
      <w:pPr>
        <w:spacing w:line="360" w:lineRule="auto"/>
        <w:jc w:val="center"/>
        <w:rPr>
          <w:sz w:val="28"/>
        </w:rPr>
      </w:pPr>
      <w:r w:rsidRPr="00066A34">
        <w:rPr>
          <w:sz w:val="28"/>
        </w:rPr>
        <w:t xml:space="preserve">Figure </w:t>
      </w:r>
      <w:r>
        <w:rPr>
          <w:sz w:val="28"/>
        </w:rPr>
        <w:t>7</w:t>
      </w:r>
      <w:r w:rsidRPr="00066A34">
        <w:rPr>
          <w:sz w:val="28"/>
        </w:rPr>
        <w:t xml:space="preserve">: </w:t>
      </w:r>
      <w:r>
        <w:rPr>
          <w:sz w:val="28"/>
        </w:rPr>
        <w:t>Real</w:t>
      </w:r>
      <w:r w:rsidRPr="00066A34">
        <w:rPr>
          <w:sz w:val="28"/>
        </w:rPr>
        <w:t xml:space="preserve"> </w:t>
      </w:r>
      <w:r w:rsidRPr="00F12EF6">
        <w:rPr>
          <w:sz w:val="28"/>
        </w:rPr>
        <w:t>GDP Growth forecasts</w:t>
      </w:r>
      <w:r>
        <w:rPr>
          <w:sz w:val="28"/>
        </w:rPr>
        <w:t>, Two-Years Ahead</w:t>
      </w:r>
    </w:p>
    <w:p w:rsidR="006867D0" w:rsidRDefault="006867D0" w:rsidP="006867D0">
      <w:pPr>
        <w:spacing w:line="360" w:lineRule="auto"/>
        <w:jc w:val="center"/>
        <w:rPr>
          <w:sz w:val="28"/>
        </w:rPr>
      </w:pPr>
    </w:p>
    <w:p w:rsidR="006867D0" w:rsidRDefault="00C007DE" w:rsidP="006867D0">
      <w:pPr>
        <w:spacing w:line="360" w:lineRule="auto"/>
        <w:jc w:val="center"/>
      </w:pPr>
      <w:r>
        <w:rPr>
          <w:noProof/>
        </w:rPr>
        <w:drawing>
          <wp:inline distT="0" distB="0" distL="0" distR="0">
            <wp:extent cx="4122420" cy="2994660"/>
            <wp:effectExtent l="0" t="0" r="0" b="0"/>
            <wp:docPr id="17" name="Picture 17"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jesseschreger/Dropbox/Consensus/Over-Optimistic Project/Regression results/Writeup_alt_updated/BB/Italy_BB_1Y.t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2420" cy="2994660"/>
                    </a:xfrm>
                    <a:prstGeom prst="rect">
                      <a:avLst/>
                    </a:prstGeom>
                    <a:noFill/>
                    <a:ln>
                      <a:noFill/>
                    </a:ln>
                  </pic:spPr>
                </pic:pic>
              </a:graphicData>
            </a:graphic>
          </wp:inline>
        </w:drawing>
      </w:r>
    </w:p>
    <w:p w:rsidR="006867D0" w:rsidRPr="003C4FEA" w:rsidRDefault="006867D0" w:rsidP="006867D0">
      <w:pPr>
        <w:spacing w:line="360" w:lineRule="auto"/>
        <w:rPr>
          <w:sz w:val="20"/>
          <w:szCs w:val="20"/>
        </w:rPr>
        <w:sectPr w:rsidR="006867D0" w:rsidRPr="003C4FEA">
          <w:footerReference w:type="even" r:id="rId26"/>
          <w:footerReference w:type="default" r:id="rId27"/>
          <w:pgSz w:w="12240" w:h="15840"/>
          <w:pgMar w:top="1440" w:right="720" w:bottom="1440" w:left="1440" w:header="720" w:footer="720" w:gutter="0"/>
          <w:cols w:space="720"/>
        </w:sectPr>
      </w:pPr>
      <w:r w:rsidRPr="003C4FEA">
        <w:rPr>
          <w:sz w:val="20"/>
          <w:szCs w:val="20"/>
        </w:rPr>
        <w:t>Notes: Only countries with more than 4 observations are included.</w:t>
      </w:r>
    </w:p>
    <w:p w:rsidR="006867D0" w:rsidRPr="003C4FEA" w:rsidRDefault="006867D0" w:rsidP="006867D0">
      <w:pPr>
        <w:spacing w:line="360" w:lineRule="auto"/>
        <w:jc w:val="center"/>
        <w:rPr>
          <w:sz w:val="22"/>
          <w:szCs w:val="22"/>
        </w:rPr>
      </w:pPr>
      <w:r w:rsidRPr="003C4FEA">
        <w:rPr>
          <w:sz w:val="22"/>
          <w:szCs w:val="22"/>
        </w:rPr>
        <w:lastRenderedPageBreak/>
        <w:t xml:space="preserve">Figure 8: Budget Balance Forecasts and Realizations in the Eurozone, Two-Years ahead, </w:t>
      </w:r>
      <w:proofErr w:type="gramStart"/>
      <w:r w:rsidRPr="003C4FEA">
        <w:rPr>
          <w:sz w:val="22"/>
          <w:szCs w:val="22"/>
        </w:rPr>
        <w:t>Through</w:t>
      </w:r>
      <w:proofErr w:type="gramEnd"/>
      <w:r w:rsidRPr="003C4FEA">
        <w:rPr>
          <w:sz w:val="22"/>
          <w:szCs w:val="22"/>
        </w:rPr>
        <w:t xml:space="preserve"> 2009</w:t>
      </w:r>
    </w:p>
    <w:p w:rsidR="006867D0" w:rsidRPr="006867D0" w:rsidRDefault="00C007DE" w:rsidP="003C4FEA">
      <w:pPr>
        <w:spacing w:line="360" w:lineRule="auto"/>
      </w:pPr>
      <w:r>
        <w:rPr>
          <w:noProof/>
        </w:rPr>
        <w:drawing>
          <wp:inline distT="0" distB="0" distL="0" distR="0">
            <wp:extent cx="2560320" cy="1859280"/>
            <wp:effectExtent l="0" t="0" r="0" b="7620"/>
            <wp:docPr id="18" name="Picture 18"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ers/jesseschreger/Dropbox/Consensus/Over-Optimistic Project/Regression results/Writeup_alt_updated/BB/Italy_BB_1Y.t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noProof/>
        </w:rPr>
        <w:drawing>
          <wp:inline distT="0" distB="0" distL="0" distR="0">
            <wp:extent cx="2560320" cy="1859280"/>
            <wp:effectExtent l="0" t="0" r="0" b="7620"/>
            <wp:docPr id="19" name="Picture 19"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rs/jesseschreger/Dropbox/Consensus/Over-Optimistic Project/Regression results/Writeup_alt_updated/BB/Italy_BB_1Y.t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noProof/>
        </w:rPr>
        <w:drawing>
          <wp:inline distT="0" distB="0" distL="0" distR="0">
            <wp:extent cx="2560320" cy="1859280"/>
            <wp:effectExtent l="0" t="0" r="0" b="7620"/>
            <wp:docPr id="20" name="Picture 20"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s/jesseschreger/Dropbox/Consensus/Over-Optimistic Project/Regression results/Writeup_alt_updated/BB/Italy_BB_1Y.t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sidR="003C4FEA">
        <w:br/>
      </w:r>
      <w:r w:rsidR="003C4FEA" w:rsidRPr="003C4FEA">
        <w:rPr>
          <w:sz w:val="18"/>
          <w:szCs w:val="18"/>
        </w:rPr>
        <w:br/>
      </w:r>
      <w:r w:rsidR="006867D0" w:rsidRPr="003C4FEA">
        <w:rPr>
          <w:sz w:val="22"/>
          <w:szCs w:val="22"/>
        </w:rPr>
        <w:t xml:space="preserve">Figure 9: Budget Balance Forecasts and Realizations in the Eurozone, One-Year ahead, </w:t>
      </w:r>
      <w:proofErr w:type="gramStart"/>
      <w:r w:rsidR="006867D0" w:rsidRPr="003C4FEA">
        <w:rPr>
          <w:sz w:val="22"/>
          <w:szCs w:val="22"/>
        </w:rPr>
        <w:t>Through</w:t>
      </w:r>
      <w:proofErr w:type="gramEnd"/>
      <w:r w:rsidR="006867D0" w:rsidRPr="003C4FEA">
        <w:rPr>
          <w:sz w:val="22"/>
          <w:szCs w:val="22"/>
        </w:rPr>
        <w:t xml:space="preserve"> 2008</w:t>
      </w:r>
    </w:p>
    <w:p w:rsidR="006867D0" w:rsidRPr="00467986" w:rsidRDefault="00C007DE" w:rsidP="003C4FEA">
      <w:pPr>
        <w:spacing w:line="360" w:lineRule="auto"/>
      </w:pPr>
      <w:r>
        <w:rPr>
          <w:noProof/>
        </w:rPr>
        <w:lastRenderedPageBreak/>
        <w:drawing>
          <wp:inline distT="0" distB="0" distL="0" distR="0">
            <wp:extent cx="2560320" cy="1859280"/>
            <wp:effectExtent l="0" t="0" r="0" b="7620"/>
            <wp:docPr id="21" name="Picture 21"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s/jesseschreger/Dropbox/Consensus/Over-Optimistic Project/Regression results/Writeup_alt_updated/BB/Italy_BB_1Y.t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noProof/>
        </w:rPr>
        <w:drawing>
          <wp:inline distT="0" distB="0" distL="0" distR="0">
            <wp:extent cx="2560320" cy="1859280"/>
            <wp:effectExtent l="0" t="0" r="0" b="7620"/>
            <wp:docPr id="22" name="Picture 22"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ers/jesseschreger/Dropbox/Consensus/Over-Optimistic Project/Regression results/Writeup_alt_updated/BB/Italy_BB_1Y.t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noProof/>
        </w:rPr>
        <w:drawing>
          <wp:inline distT="0" distB="0" distL="0" distR="0">
            <wp:extent cx="2560320" cy="1859280"/>
            <wp:effectExtent l="0" t="0" r="0" b="7620"/>
            <wp:docPr id="23" name="Italy_BB_1Y.tif" descr="/Users/jesseschreger/Dropbox/Consensus/Over-Optimistic Project/Regression results/Writeup_alt_updated/BB/Italy_BB_1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y_BB_1Y.tif" descr="/Users/jesseschreger/Dropbox/Consensus/Over-Optimistic Project/Regression results/Writeup_alt_updated/BB/Italy_BB_1Y.t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p>
    <w:sectPr w:rsidR="006867D0" w:rsidRPr="00467986" w:rsidSect="00A22ED0">
      <w:footerReference w:type="even" r:id="rId34"/>
      <w:footerReference w:type="default" r:id="rId35"/>
      <w:pgSz w:w="12240" w:h="15840"/>
      <w:pgMar w:top="1440" w:right="634"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C5" w:rsidRDefault="009965C5" w:rsidP="00894C06">
      <w:r>
        <w:separator/>
      </w:r>
    </w:p>
  </w:endnote>
  <w:endnote w:type="continuationSeparator" w:id="0">
    <w:p w:rsidR="009965C5" w:rsidRDefault="009965C5" w:rsidP="0089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5C5" w:rsidRDefault="009965C5" w:rsidP="00A47B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517">
      <w:rPr>
        <w:rStyle w:val="PageNumber"/>
        <w:noProof/>
      </w:rPr>
      <w:t>1</w:t>
    </w:r>
    <w:r>
      <w:rPr>
        <w:rStyle w:val="PageNumber"/>
      </w:rPr>
      <w:fldChar w:fldCharType="end"/>
    </w:r>
  </w:p>
  <w:p w:rsidR="009965C5" w:rsidRDefault="009965C5" w:rsidP="00A47BF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5C5" w:rsidRDefault="009965C5" w:rsidP="00A47BF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517">
      <w:rPr>
        <w:rStyle w:val="PageNumber"/>
        <w:noProof/>
      </w:rPr>
      <w:t>26</w:t>
    </w:r>
    <w:r>
      <w:rPr>
        <w:rStyle w:val="PageNumber"/>
      </w:rPr>
      <w:fldChar w:fldCharType="end"/>
    </w:r>
  </w:p>
  <w:p w:rsidR="009965C5" w:rsidRDefault="009965C5" w:rsidP="00A47BF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5C5" w:rsidRDefault="009965C5" w:rsidP="00A47BF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C5" w:rsidRDefault="009965C5" w:rsidP="00874F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7517">
      <w:rPr>
        <w:rStyle w:val="PageNumber"/>
        <w:noProof/>
      </w:rPr>
      <w:t>28</w:t>
    </w:r>
    <w:r>
      <w:rPr>
        <w:rStyle w:val="PageNumber"/>
      </w:rPr>
      <w:fldChar w:fldCharType="end"/>
    </w:r>
  </w:p>
  <w:p w:rsidR="009965C5" w:rsidRDefault="009965C5" w:rsidP="00A47B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C5" w:rsidRDefault="009965C5" w:rsidP="00894C06">
      <w:r>
        <w:separator/>
      </w:r>
    </w:p>
  </w:footnote>
  <w:footnote w:type="continuationSeparator" w:id="0">
    <w:p w:rsidR="009965C5" w:rsidRDefault="009965C5" w:rsidP="00894C06">
      <w:r>
        <w:continuationSeparator/>
      </w:r>
    </w:p>
  </w:footnote>
  <w:footnote w:id="1">
    <w:p w:rsidR="009965C5" w:rsidRPr="005266E2" w:rsidRDefault="009965C5" w:rsidP="00F656B6">
      <w:pPr>
        <w:pStyle w:val="FootnoteText"/>
      </w:pPr>
      <w:r w:rsidRPr="005266E2">
        <w:rPr>
          <w:rStyle w:val="FootnoteReference"/>
        </w:rPr>
        <w:footnoteRef/>
      </w:r>
      <w:r w:rsidRPr="005266E2">
        <w:t xml:space="preserve"> For example, </w:t>
      </w:r>
      <w:r w:rsidRPr="004C1622">
        <w:rPr>
          <w:rStyle w:val="gsa1"/>
          <w:color w:val="auto"/>
        </w:rPr>
        <w:t xml:space="preserve">Alesina </w:t>
      </w:r>
      <w:r w:rsidRPr="004C1622">
        <w:t>and</w:t>
      </w:r>
      <w:r>
        <w:t xml:space="preserve"> Tabellini</w:t>
      </w:r>
      <w:r w:rsidRPr="004C1622">
        <w:t xml:space="preserve"> (1990a, b), </w:t>
      </w:r>
      <w:proofErr w:type="spellStart"/>
      <w:r w:rsidRPr="004C1622">
        <w:rPr>
          <w:rStyle w:val="gsa1"/>
          <w:color w:val="auto"/>
        </w:rPr>
        <w:t>Grilli</w:t>
      </w:r>
      <w:proofErr w:type="spellEnd"/>
      <w:r w:rsidRPr="004C1622">
        <w:rPr>
          <w:rStyle w:val="gsa1"/>
          <w:color w:val="auto"/>
        </w:rPr>
        <w:t xml:space="preserve">, </w:t>
      </w:r>
      <w:proofErr w:type="spellStart"/>
      <w:r w:rsidRPr="004C1622">
        <w:rPr>
          <w:rStyle w:val="gsa1"/>
          <w:color w:val="auto"/>
        </w:rPr>
        <w:t>Masciandaro</w:t>
      </w:r>
      <w:proofErr w:type="spellEnd"/>
      <w:r w:rsidRPr="004C1622">
        <w:rPr>
          <w:rStyle w:val="gsa1"/>
          <w:color w:val="auto"/>
        </w:rPr>
        <w:t>, and Tabellini (1991)</w:t>
      </w:r>
      <w:r w:rsidRPr="005266E2">
        <w:rPr>
          <w:rStyle w:val="gsa1"/>
        </w:rPr>
        <w:t xml:space="preserve"> </w:t>
      </w:r>
      <w:r w:rsidRPr="004C1622">
        <w:rPr>
          <w:rStyle w:val="gsa1"/>
          <w:color w:val="auto"/>
        </w:rPr>
        <w:t>and</w:t>
      </w:r>
      <w:r w:rsidRPr="005266E2">
        <w:rPr>
          <w:rStyle w:val="gsa1"/>
        </w:rPr>
        <w:t xml:space="preserve"> </w:t>
      </w:r>
      <w:proofErr w:type="spellStart"/>
      <w:r w:rsidRPr="005266E2">
        <w:t>Roubini</w:t>
      </w:r>
      <w:proofErr w:type="spellEnd"/>
      <w:r w:rsidRPr="005266E2">
        <w:t xml:space="preserve"> and Sachs (1989a,b).</w:t>
      </w:r>
    </w:p>
  </w:footnote>
  <w:footnote w:id="2">
    <w:p w:rsidR="009965C5" w:rsidRDefault="009965C5" w:rsidP="00F656B6">
      <w:pPr>
        <w:spacing w:before="100" w:beforeAutospacing="1" w:after="100" w:afterAutospacing="1"/>
        <w:outlineLvl w:val="1"/>
      </w:pPr>
      <w:r w:rsidRPr="005266E2">
        <w:rPr>
          <w:rStyle w:val="FootnoteReference"/>
          <w:sz w:val="20"/>
          <w:szCs w:val="20"/>
        </w:rPr>
        <w:footnoteRef/>
      </w:r>
      <w:r w:rsidRPr="005266E2">
        <w:rPr>
          <w:sz w:val="20"/>
          <w:szCs w:val="20"/>
        </w:rPr>
        <w:t xml:space="preserve"> Lane (2003).  Other explanations for budget deficits abound as well.  Surveys include Alesina, Perotti and Tavares (1998) and </w:t>
      </w:r>
      <w:proofErr w:type="spellStart"/>
      <w:r w:rsidRPr="005266E2">
        <w:rPr>
          <w:bCs/>
          <w:sz w:val="20"/>
          <w:szCs w:val="20"/>
        </w:rPr>
        <w:t>Persson</w:t>
      </w:r>
      <w:proofErr w:type="spellEnd"/>
      <w:r w:rsidRPr="005266E2">
        <w:rPr>
          <w:bCs/>
          <w:sz w:val="20"/>
          <w:szCs w:val="20"/>
        </w:rPr>
        <w:t xml:space="preserve"> and Tabellini (2002).</w:t>
      </w:r>
    </w:p>
  </w:footnote>
  <w:footnote w:id="3">
    <w:p w:rsidR="009965C5" w:rsidRDefault="009965C5">
      <w:pPr>
        <w:pStyle w:val="FootnoteText"/>
      </w:pPr>
      <w:r>
        <w:rPr>
          <w:rStyle w:val="FootnoteReference"/>
        </w:rPr>
        <w:footnoteRef/>
      </w:r>
      <w:r>
        <w:t xml:space="preserve"> </w:t>
      </w:r>
      <w:r w:rsidRPr="005031FA">
        <w:t xml:space="preserve">Canada </w:t>
      </w:r>
      <w:r>
        <w:t xml:space="preserve">too has avoided optimism bias (and in fact has been too pessimistic on average), perhaps because it too </w:t>
      </w:r>
      <w:r w:rsidRPr="005031FA">
        <w:t xml:space="preserve">uses independent forecasts. </w:t>
      </w:r>
      <w:r>
        <w:t xml:space="preserve">  With the years 2010 and 2011 added to the sample, s</w:t>
      </w:r>
      <w:r w:rsidRPr="005031FA">
        <w:t xml:space="preserve">everal countries </w:t>
      </w:r>
      <w:r>
        <w:t>as well a</w:t>
      </w:r>
      <w:r w:rsidRPr="005031FA">
        <w:t xml:space="preserve">re no longer over-optimistic </w:t>
      </w:r>
      <w:r>
        <w:t>on average at the one-</w:t>
      </w:r>
      <w:r w:rsidRPr="005031FA">
        <w:t>year horizon</w:t>
      </w:r>
      <w:r>
        <w:t>, though they still are at the two-year horizon.</w:t>
      </w:r>
    </w:p>
  </w:footnote>
  <w:footnote w:id="4">
    <w:p w:rsidR="009965C5" w:rsidRDefault="009965C5">
      <w:pPr>
        <w:pStyle w:val="FootnoteText"/>
      </w:pPr>
      <w:r>
        <w:rPr>
          <w:rStyle w:val="FootnoteReference"/>
        </w:rPr>
        <w:footnoteRef/>
      </w:r>
      <w:r>
        <w:t xml:space="preserve"> Realizations for budget balances come from Eurostat for European countries and the IMF or World Bank for the others.  Additional details on data sources can be found in the appendix.</w:t>
      </w:r>
    </w:p>
  </w:footnote>
  <w:footnote w:id="5">
    <w:p w:rsidR="009965C5" w:rsidRDefault="009965C5">
      <w:pPr>
        <w:pStyle w:val="FootnoteText"/>
      </w:pPr>
      <w:r>
        <w:rPr>
          <w:rStyle w:val="FootnoteReference"/>
        </w:rPr>
        <w:footnoteRef/>
      </w:r>
      <w:r>
        <w:t xml:space="preserve"> By only including forecasts made through 2007, the two-year ahead figure covers forecasts of budget deficits through 2009 and the one-year ahead figure covers forecasts through 2008.  After the start of the financial crisis, budget balances became much larger and European countries began deficits in excess of the 3% threshold.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676"/>
    <w:multiLevelType w:val="hybridMultilevel"/>
    <w:tmpl w:val="43268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E1DC6"/>
    <w:multiLevelType w:val="multilevel"/>
    <w:tmpl w:val="D7AE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36B3"/>
    <w:multiLevelType w:val="multilevel"/>
    <w:tmpl w:val="45F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D0AC7"/>
    <w:multiLevelType w:val="multilevel"/>
    <w:tmpl w:val="600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AA1356"/>
    <w:multiLevelType w:val="hybridMultilevel"/>
    <w:tmpl w:val="FDB8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9138A"/>
    <w:multiLevelType w:val="hybridMultilevel"/>
    <w:tmpl w:val="CF860024"/>
    <w:lvl w:ilvl="0" w:tplc="15B41B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5716F"/>
    <w:multiLevelType w:val="multilevel"/>
    <w:tmpl w:val="1A08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A2395C"/>
    <w:multiLevelType w:val="hybridMultilevel"/>
    <w:tmpl w:val="CF860024"/>
    <w:lvl w:ilvl="0" w:tplc="15B41B82">
      <w:start w:val="1"/>
      <w:numFmt w:val="decimal"/>
      <w:lvlText w:val="(%1)"/>
      <w:lvlJc w:val="left"/>
      <w:pPr>
        <w:ind w:left="9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D7A5A"/>
    <w:multiLevelType w:val="multilevel"/>
    <w:tmpl w:val="427E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79"/>
    <w:rsid w:val="00011DA1"/>
    <w:rsid w:val="00031807"/>
    <w:rsid w:val="00032515"/>
    <w:rsid w:val="00035C10"/>
    <w:rsid w:val="00036E7B"/>
    <w:rsid w:val="00050511"/>
    <w:rsid w:val="0005192B"/>
    <w:rsid w:val="00063485"/>
    <w:rsid w:val="00066743"/>
    <w:rsid w:val="00066A34"/>
    <w:rsid w:val="00072E42"/>
    <w:rsid w:val="00075299"/>
    <w:rsid w:val="000779E6"/>
    <w:rsid w:val="000815E5"/>
    <w:rsid w:val="000902A7"/>
    <w:rsid w:val="00093A45"/>
    <w:rsid w:val="000A106C"/>
    <w:rsid w:val="000A3867"/>
    <w:rsid w:val="000C55F3"/>
    <w:rsid w:val="000D2604"/>
    <w:rsid w:val="000E2E77"/>
    <w:rsid w:val="000E3D7A"/>
    <w:rsid w:val="000F62FE"/>
    <w:rsid w:val="00100605"/>
    <w:rsid w:val="001049D0"/>
    <w:rsid w:val="00115798"/>
    <w:rsid w:val="00125224"/>
    <w:rsid w:val="00133C07"/>
    <w:rsid w:val="001414CA"/>
    <w:rsid w:val="001553DE"/>
    <w:rsid w:val="0015688F"/>
    <w:rsid w:val="00163D17"/>
    <w:rsid w:val="00165FA4"/>
    <w:rsid w:val="00167DB6"/>
    <w:rsid w:val="00186CB5"/>
    <w:rsid w:val="001A159C"/>
    <w:rsid w:val="001A3303"/>
    <w:rsid w:val="001C1D0C"/>
    <w:rsid w:val="001C60F9"/>
    <w:rsid w:val="001D447D"/>
    <w:rsid w:val="001F20A8"/>
    <w:rsid w:val="001F5C10"/>
    <w:rsid w:val="00203869"/>
    <w:rsid w:val="002049B9"/>
    <w:rsid w:val="00217B5A"/>
    <w:rsid w:val="0022529B"/>
    <w:rsid w:val="00232674"/>
    <w:rsid w:val="002438DF"/>
    <w:rsid w:val="00243CEA"/>
    <w:rsid w:val="0024660E"/>
    <w:rsid w:val="00252E96"/>
    <w:rsid w:val="00261D52"/>
    <w:rsid w:val="002704CA"/>
    <w:rsid w:val="00270B73"/>
    <w:rsid w:val="00270D86"/>
    <w:rsid w:val="00272A1D"/>
    <w:rsid w:val="00280103"/>
    <w:rsid w:val="002958F4"/>
    <w:rsid w:val="002A5D20"/>
    <w:rsid w:val="002A69C8"/>
    <w:rsid w:val="002B0A76"/>
    <w:rsid w:val="002C6677"/>
    <w:rsid w:val="002C7AB4"/>
    <w:rsid w:val="002F06AD"/>
    <w:rsid w:val="00301731"/>
    <w:rsid w:val="00305F52"/>
    <w:rsid w:val="00307517"/>
    <w:rsid w:val="00310084"/>
    <w:rsid w:val="00311C89"/>
    <w:rsid w:val="003225E5"/>
    <w:rsid w:val="0032591D"/>
    <w:rsid w:val="00341799"/>
    <w:rsid w:val="00354DBB"/>
    <w:rsid w:val="003749FE"/>
    <w:rsid w:val="003858B9"/>
    <w:rsid w:val="003A77A1"/>
    <w:rsid w:val="003B0055"/>
    <w:rsid w:val="003C1B81"/>
    <w:rsid w:val="003C4FEA"/>
    <w:rsid w:val="003D5668"/>
    <w:rsid w:val="003E1005"/>
    <w:rsid w:val="003E726D"/>
    <w:rsid w:val="003F0415"/>
    <w:rsid w:val="003F37CD"/>
    <w:rsid w:val="003F42C5"/>
    <w:rsid w:val="00404C1A"/>
    <w:rsid w:val="00405FF8"/>
    <w:rsid w:val="00407A72"/>
    <w:rsid w:val="00412A06"/>
    <w:rsid w:val="004171BC"/>
    <w:rsid w:val="00443135"/>
    <w:rsid w:val="00443159"/>
    <w:rsid w:val="00446597"/>
    <w:rsid w:val="00450C2C"/>
    <w:rsid w:val="004516FA"/>
    <w:rsid w:val="004530D4"/>
    <w:rsid w:val="004611BA"/>
    <w:rsid w:val="00467986"/>
    <w:rsid w:val="00482540"/>
    <w:rsid w:val="0049136B"/>
    <w:rsid w:val="004A1E82"/>
    <w:rsid w:val="004A5684"/>
    <w:rsid w:val="004B32C2"/>
    <w:rsid w:val="004B3564"/>
    <w:rsid w:val="004C1622"/>
    <w:rsid w:val="004D22B5"/>
    <w:rsid w:val="004E1BDE"/>
    <w:rsid w:val="004F00FF"/>
    <w:rsid w:val="005031FA"/>
    <w:rsid w:val="00505627"/>
    <w:rsid w:val="0052442A"/>
    <w:rsid w:val="0052673F"/>
    <w:rsid w:val="00537EEB"/>
    <w:rsid w:val="00545D27"/>
    <w:rsid w:val="005527FF"/>
    <w:rsid w:val="00552E57"/>
    <w:rsid w:val="00555938"/>
    <w:rsid w:val="00572964"/>
    <w:rsid w:val="00584965"/>
    <w:rsid w:val="00586764"/>
    <w:rsid w:val="005B38B0"/>
    <w:rsid w:val="005C1154"/>
    <w:rsid w:val="005C2138"/>
    <w:rsid w:val="005D2B06"/>
    <w:rsid w:val="005E0379"/>
    <w:rsid w:val="005E4769"/>
    <w:rsid w:val="005E7C28"/>
    <w:rsid w:val="005F3C9F"/>
    <w:rsid w:val="005F7EC1"/>
    <w:rsid w:val="00611F22"/>
    <w:rsid w:val="006122E2"/>
    <w:rsid w:val="006261AE"/>
    <w:rsid w:val="00627B1F"/>
    <w:rsid w:val="006311EE"/>
    <w:rsid w:val="00631716"/>
    <w:rsid w:val="00633007"/>
    <w:rsid w:val="00634245"/>
    <w:rsid w:val="00636458"/>
    <w:rsid w:val="00655663"/>
    <w:rsid w:val="00661FFD"/>
    <w:rsid w:val="00675E41"/>
    <w:rsid w:val="00675F5A"/>
    <w:rsid w:val="0067769E"/>
    <w:rsid w:val="00683EFE"/>
    <w:rsid w:val="006867D0"/>
    <w:rsid w:val="00692509"/>
    <w:rsid w:val="006A26DF"/>
    <w:rsid w:val="006C7957"/>
    <w:rsid w:val="006D5A86"/>
    <w:rsid w:val="006E1FC8"/>
    <w:rsid w:val="006E3F6A"/>
    <w:rsid w:val="00732530"/>
    <w:rsid w:val="00733A5B"/>
    <w:rsid w:val="0073641D"/>
    <w:rsid w:val="00743094"/>
    <w:rsid w:val="007455D8"/>
    <w:rsid w:val="00746276"/>
    <w:rsid w:val="00752E0D"/>
    <w:rsid w:val="0079263E"/>
    <w:rsid w:val="0079708D"/>
    <w:rsid w:val="00797A88"/>
    <w:rsid w:val="007A0812"/>
    <w:rsid w:val="007A758A"/>
    <w:rsid w:val="007B6C50"/>
    <w:rsid w:val="007E6AAD"/>
    <w:rsid w:val="008111C9"/>
    <w:rsid w:val="00826523"/>
    <w:rsid w:val="00842FED"/>
    <w:rsid w:val="00844B40"/>
    <w:rsid w:val="00856331"/>
    <w:rsid w:val="00857FAF"/>
    <w:rsid w:val="008606D9"/>
    <w:rsid w:val="0086532B"/>
    <w:rsid w:val="00865376"/>
    <w:rsid w:val="00866AA7"/>
    <w:rsid w:val="00867430"/>
    <w:rsid w:val="00867FA2"/>
    <w:rsid w:val="00874883"/>
    <w:rsid w:val="00874F1A"/>
    <w:rsid w:val="00881BF3"/>
    <w:rsid w:val="00882C5F"/>
    <w:rsid w:val="0088444A"/>
    <w:rsid w:val="0089198F"/>
    <w:rsid w:val="00894C06"/>
    <w:rsid w:val="008A3EF6"/>
    <w:rsid w:val="008A6CE8"/>
    <w:rsid w:val="008F055E"/>
    <w:rsid w:val="008F1C57"/>
    <w:rsid w:val="008F4468"/>
    <w:rsid w:val="008F6211"/>
    <w:rsid w:val="0090203C"/>
    <w:rsid w:val="009136A1"/>
    <w:rsid w:val="00927F65"/>
    <w:rsid w:val="009454CF"/>
    <w:rsid w:val="009517CC"/>
    <w:rsid w:val="00974605"/>
    <w:rsid w:val="00991401"/>
    <w:rsid w:val="009965C5"/>
    <w:rsid w:val="009B2CDF"/>
    <w:rsid w:val="009B3995"/>
    <w:rsid w:val="009C5BEF"/>
    <w:rsid w:val="009D4DCA"/>
    <w:rsid w:val="009D5A43"/>
    <w:rsid w:val="00A0331E"/>
    <w:rsid w:val="00A11C7A"/>
    <w:rsid w:val="00A17EF1"/>
    <w:rsid w:val="00A221DA"/>
    <w:rsid w:val="00A22ED0"/>
    <w:rsid w:val="00A350D2"/>
    <w:rsid w:val="00A4155D"/>
    <w:rsid w:val="00A41742"/>
    <w:rsid w:val="00A47BF3"/>
    <w:rsid w:val="00A51B21"/>
    <w:rsid w:val="00A53E95"/>
    <w:rsid w:val="00A5777C"/>
    <w:rsid w:val="00A61555"/>
    <w:rsid w:val="00A65C83"/>
    <w:rsid w:val="00A836FB"/>
    <w:rsid w:val="00A90BA1"/>
    <w:rsid w:val="00A93827"/>
    <w:rsid w:val="00A93D4E"/>
    <w:rsid w:val="00AB00E1"/>
    <w:rsid w:val="00AB062E"/>
    <w:rsid w:val="00AB2C07"/>
    <w:rsid w:val="00AB3397"/>
    <w:rsid w:val="00AC736B"/>
    <w:rsid w:val="00AC7C52"/>
    <w:rsid w:val="00AD7E13"/>
    <w:rsid w:val="00AE3A69"/>
    <w:rsid w:val="00AF3D3C"/>
    <w:rsid w:val="00AF6516"/>
    <w:rsid w:val="00AF76C8"/>
    <w:rsid w:val="00B04712"/>
    <w:rsid w:val="00B069C4"/>
    <w:rsid w:val="00B1205E"/>
    <w:rsid w:val="00B20A9E"/>
    <w:rsid w:val="00B24600"/>
    <w:rsid w:val="00B24649"/>
    <w:rsid w:val="00B401F2"/>
    <w:rsid w:val="00B43592"/>
    <w:rsid w:val="00B57DA6"/>
    <w:rsid w:val="00B61372"/>
    <w:rsid w:val="00B768E0"/>
    <w:rsid w:val="00B83FA3"/>
    <w:rsid w:val="00B856C0"/>
    <w:rsid w:val="00B87873"/>
    <w:rsid w:val="00BB6A69"/>
    <w:rsid w:val="00BC5450"/>
    <w:rsid w:val="00BD05E7"/>
    <w:rsid w:val="00BF56BD"/>
    <w:rsid w:val="00BF581C"/>
    <w:rsid w:val="00BF60F6"/>
    <w:rsid w:val="00C007DE"/>
    <w:rsid w:val="00C26F39"/>
    <w:rsid w:val="00C33375"/>
    <w:rsid w:val="00C3412B"/>
    <w:rsid w:val="00C35A10"/>
    <w:rsid w:val="00C47997"/>
    <w:rsid w:val="00C633F6"/>
    <w:rsid w:val="00C76AF2"/>
    <w:rsid w:val="00C83486"/>
    <w:rsid w:val="00C93653"/>
    <w:rsid w:val="00C93BDA"/>
    <w:rsid w:val="00CB27A3"/>
    <w:rsid w:val="00CB5C60"/>
    <w:rsid w:val="00CC2A60"/>
    <w:rsid w:val="00CC5792"/>
    <w:rsid w:val="00CC7DB3"/>
    <w:rsid w:val="00CD3ED1"/>
    <w:rsid w:val="00CE493E"/>
    <w:rsid w:val="00CE6DB9"/>
    <w:rsid w:val="00CF25D8"/>
    <w:rsid w:val="00CF3708"/>
    <w:rsid w:val="00CF39D0"/>
    <w:rsid w:val="00D03113"/>
    <w:rsid w:val="00D168A6"/>
    <w:rsid w:val="00D549F3"/>
    <w:rsid w:val="00D62779"/>
    <w:rsid w:val="00D655DE"/>
    <w:rsid w:val="00DA789F"/>
    <w:rsid w:val="00DB017E"/>
    <w:rsid w:val="00DC5FC2"/>
    <w:rsid w:val="00DE0D35"/>
    <w:rsid w:val="00DE3953"/>
    <w:rsid w:val="00DE7792"/>
    <w:rsid w:val="00DF19C7"/>
    <w:rsid w:val="00E02E99"/>
    <w:rsid w:val="00E20C43"/>
    <w:rsid w:val="00E22101"/>
    <w:rsid w:val="00E237F4"/>
    <w:rsid w:val="00E2586B"/>
    <w:rsid w:val="00E25FEC"/>
    <w:rsid w:val="00E2648F"/>
    <w:rsid w:val="00E266E9"/>
    <w:rsid w:val="00E40037"/>
    <w:rsid w:val="00E474EA"/>
    <w:rsid w:val="00E63E95"/>
    <w:rsid w:val="00E72779"/>
    <w:rsid w:val="00E84D1B"/>
    <w:rsid w:val="00E84F35"/>
    <w:rsid w:val="00EB38F2"/>
    <w:rsid w:val="00ED16CF"/>
    <w:rsid w:val="00EF51BD"/>
    <w:rsid w:val="00F12EF6"/>
    <w:rsid w:val="00F208ED"/>
    <w:rsid w:val="00F30B63"/>
    <w:rsid w:val="00F33B77"/>
    <w:rsid w:val="00F60491"/>
    <w:rsid w:val="00F656B6"/>
    <w:rsid w:val="00F863ED"/>
    <w:rsid w:val="00F93FB6"/>
    <w:rsid w:val="00F94803"/>
    <w:rsid w:val="00F96993"/>
    <w:rsid w:val="00FA53D8"/>
    <w:rsid w:val="00FB399E"/>
    <w:rsid w:val="00FC196E"/>
    <w:rsid w:val="00FC7FA6"/>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footer" w:uiPriority="99"/>
    <w:lsdException w:name="page number"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AB2"/>
    <w:rPr>
      <w:sz w:val="24"/>
      <w:szCs w:val="24"/>
    </w:rPr>
  </w:style>
  <w:style w:type="paragraph" w:styleId="Heading1">
    <w:name w:val="heading 1"/>
    <w:basedOn w:val="Normal"/>
    <w:link w:val="Heading1Char"/>
    <w:uiPriority w:val="9"/>
    <w:qFormat/>
    <w:rsid w:val="009965C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06C6A"/>
    <w:rPr>
      <w:rFonts w:ascii="Lucida Grande" w:hAnsi="Lucida Grande"/>
      <w:sz w:val="18"/>
      <w:szCs w:val="18"/>
    </w:rPr>
  </w:style>
  <w:style w:type="character" w:customStyle="1" w:styleId="BalloonTextChar">
    <w:name w:val="Balloon Text Char"/>
    <w:uiPriority w:val="99"/>
    <w:semiHidden/>
    <w:rsid w:val="00B16642"/>
    <w:rPr>
      <w:rFonts w:ascii="Lucida Grande" w:hAnsi="Lucida Grande"/>
      <w:sz w:val="18"/>
      <w:szCs w:val="18"/>
    </w:rPr>
  </w:style>
  <w:style w:type="character" w:customStyle="1" w:styleId="BalloonTextChar1">
    <w:name w:val="Balloon Text Char1"/>
    <w:link w:val="BalloonText"/>
    <w:uiPriority w:val="99"/>
    <w:semiHidden/>
    <w:rsid w:val="00D06C6A"/>
    <w:rPr>
      <w:rFonts w:ascii="Lucida Grande" w:hAnsi="Lucida Grande"/>
      <w:sz w:val="18"/>
      <w:szCs w:val="18"/>
    </w:rPr>
  </w:style>
  <w:style w:type="paragraph" w:styleId="ListParagraph">
    <w:name w:val="List Paragraph"/>
    <w:basedOn w:val="Normal"/>
    <w:uiPriority w:val="34"/>
    <w:qFormat/>
    <w:rsid w:val="00D62779"/>
    <w:pPr>
      <w:ind w:left="720"/>
      <w:contextualSpacing/>
    </w:pPr>
  </w:style>
  <w:style w:type="paragraph" w:styleId="Header">
    <w:name w:val="header"/>
    <w:basedOn w:val="Normal"/>
    <w:link w:val="HeaderChar"/>
    <w:uiPriority w:val="99"/>
    <w:semiHidden/>
    <w:unhideWhenUsed/>
    <w:rsid w:val="0015688F"/>
    <w:pPr>
      <w:tabs>
        <w:tab w:val="center" w:pos="4320"/>
        <w:tab w:val="right" w:pos="8640"/>
      </w:tabs>
    </w:pPr>
  </w:style>
  <w:style w:type="character" w:customStyle="1" w:styleId="HeaderChar">
    <w:name w:val="Header Char"/>
    <w:link w:val="Header"/>
    <w:uiPriority w:val="99"/>
    <w:semiHidden/>
    <w:rsid w:val="0015688F"/>
    <w:rPr>
      <w:sz w:val="24"/>
      <w:szCs w:val="24"/>
    </w:rPr>
  </w:style>
  <w:style w:type="paragraph" w:styleId="Footer">
    <w:name w:val="footer"/>
    <w:basedOn w:val="Normal"/>
    <w:link w:val="FooterChar"/>
    <w:uiPriority w:val="99"/>
    <w:semiHidden/>
    <w:unhideWhenUsed/>
    <w:rsid w:val="0015688F"/>
    <w:pPr>
      <w:tabs>
        <w:tab w:val="center" w:pos="4320"/>
        <w:tab w:val="right" w:pos="8640"/>
      </w:tabs>
    </w:pPr>
  </w:style>
  <w:style w:type="character" w:customStyle="1" w:styleId="FooterChar">
    <w:name w:val="Footer Char"/>
    <w:link w:val="Footer"/>
    <w:uiPriority w:val="99"/>
    <w:semiHidden/>
    <w:rsid w:val="0015688F"/>
    <w:rPr>
      <w:sz w:val="24"/>
      <w:szCs w:val="24"/>
    </w:rPr>
  </w:style>
  <w:style w:type="character" w:styleId="PageNumber">
    <w:name w:val="page number"/>
    <w:basedOn w:val="DefaultParagraphFont"/>
    <w:uiPriority w:val="99"/>
    <w:semiHidden/>
    <w:unhideWhenUsed/>
    <w:rsid w:val="00A47BF3"/>
  </w:style>
  <w:style w:type="paragraph" w:styleId="DocumentMap">
    <w:name w:val="Document Map"/>
    <w:basedOn w:val="Normal"/>
    <w:link w:val="DocumentMapChar"/>
    <w:unhideWhenUsed/>
    <w:rsid w:val="006122E2"/>
    <w:rPr>
      <w:rFonts w:ascii="Lucida Grande" w:hAnsi="Lucida Grande"/>
    </w:rPr>
  </w:style>
  <w:style w:type="character" w:customStyle="1" w:styleId="DocumentMapChar">
    <w:name w:val="Document Map Char"/>
    <w:link w:val="DocumentMap"/>
    <w:rsid w:val="006122E2"/>
    <w:rPr>
      <w:rFonts w:ascii="Lucida Grande" w:hAnsi="Lucida Grande"/>
      <w:sz w:val="24"/>
      <w:szCs w:val="24"/>
    </w:rPr>
  </w:style>
  <w:style w:type="paragraph" w:styleId="Caption">
    <w:name w:val="caption"/>
    <w:basedOn w:val="Normal"/>
    <w:next w:val="Normal"/>
    <w:rsid w:val="00F96993"/>
    <w:pPr>
      <w:spacing w:after="200"/>
    </w:pPr>
    <w:rPr>
      <w:b/>
      <w:bCs/>
      <w:color w:val="4F81BD"/>
      <w:sz w:val="18"/>
      <w:szCs w:val="18"/>
    </w:rPr>
  </w:style>
  <w:style w:type="table" w:styleId="TableGrid">
    <w:name w:val="Table Grid"/>
    <w:basedOn w:val="TableNormal"/>
    <w:rsid w:val="00F969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F656B6"/>
    <w:rPr>
      <w:rFonts w:cs="Times New Roman"/>
      <w:color w:val="0000FF"/>
      <w:u w:val="single"/>
    </w:rPr>
  </w:style>
  <w:style w:type="character" w:styleId="FootnoteReference">
    <w:name w:val="footnote reference"/>
    <w:uiPriority w:val="99"/>
    <w:rsid w:val="00F656B6"/>
    <w:rPr>
      <w:rFonts w:cs="Times New Roman"/>
      <w:vertAlign w:val="superscript"/>
    </w:rPr>
  </w:style>
  <w:style w:type="paragraph" w:styleId="FootnoteText">
    <w:name w:val="footnote text"/>
    <w:basedOn w:val="Normal"/>
    <w:link w:val="FootnoteTextChar1"/>
    <w:uiPriority w:val="99"/>
    <w:rsid w:val="00F656B6"/>
    <w:rPr>
      <w:sz w:val="20"/>
      <w:szCs w:val="20"/>
      <w:lang w:val="x-none" w:eastAsia="x-none"/>
    </w:rPr>
  </w:style>
  <w:style w:type="character" w:customStyle="1" w:styleId="FootnoteTextChar">
    <w:name w:val="Footnote Text Char"/>
    <w:rsid w:val="00F656B6"/>
    <w:rPr>
      <w:sz w:val="20"/>
      <w:szCs w:val="20"/>
    </w:rPr>
  </w:style>
  <w:style w:type="character" w:customStyle="1" w:styleId="FootnoteTextChar1">
    <w:name w:val="Footnote Text Char1"/>
    <w:link w:val="FootnoteText"/>
    <w:uiPriority w:val="99"/>
    <w:locked/>
    <w:rsid w:val="00F656B6"/>
    <w:rPr>
      <w:rFonts w:ascii="Cambria" w:eastAsia="Cambria" w:hAnsi="Cambria" w:cs="Times New Roman"/>
      <w:sz w:val="20"/>
      <w:szCs w:val="20"/>
    </w:rPr>
  </w:style>
  <w:style w:type="character" w:customStyle="1" w:styleId="gsa1">
    <w:name w:val="gs_a1"/>
    <w:uiPriority w:val="99"/>
    <w:rsid w:val="00F656B6"/>
    <w:rPr>
      <w:color w:val="008000"/>
    </w:rPr>
  </w:style>
  <w:style w:type="character" w:styleId="CommentReference">
    <w:name w:val="annotation reference"/>
    <w:rsid w:val="00C93653"/>
    <w:rPr>
      <w:sz w:val="18"/>
      <w:szCs w:val="18"/>
    </w:rPr>
  </w:style>
  <w:style w:type="paragraph" w:styleId="CommentText">
    <w:name w:val="annotation text"/>
    <w:basedOn w:val="Normal"/>
    <w:link w:val="CommentTextChar"/>
    <w:rsid w:val="00C93653"/>
  </w:style>
  <w:style w:type="character" w:customStyle="1" w:styleId="CommentTextChar">
    <w:name w:val="Comment Text Char"/>
    <w:basedOn w:val="DefaultParagraphFont"/>
    <w:link w:val="CommentText"/>
    <w:rsid w:val="00C93653"/>
  </w:style>
  <w:style w:type="paragraph" w:styleId="CommentSubject">
    <w:name w:val="annotation subject"/>
    <w:basedOn w:val="CommentText"/>
    <w:next w:val="CommentText"/>
    <w:link w:val="CommentSubjectChar"/>
    <w:rsid w:val="00C93653"/>
    <w:rPr>
      <w:b/>
      <w:bCs/>
      <w:sz w:val="20"/>
      <w:szCs w:val="20"/>
    </w:rPr>
  </w:style>
  <w:style w:type="character" w:customStyle="1" w:styleId="CommentSubjectChar">
    <w:name w:val="Comment Subject Char"/>
    <w:link w:val="CommentSubject"/>
    <w:rsid w:val="00C93653"/>
    <w:rPr>
      <w:b/>
      <w:bCs/>
      <w:sz w:val="20"/>
      <w:szCs w:val="20"/>
    </w:rPr>
  </w:style>
  <w:style w:type="character" w:customStyle="1" w:styleId="name">
    <w:name w:val="name"/>
    <w:uiPriority w:val="99"/>
    <w:rsid w:val="00867430"/>
    <w:rPr>
      <w:rFonts w:cs="Times New Roman"/>
    </w:rPr>
  </w:style>
  <w:style w:type="character" w:customStyle="1" w:styleId="Heading1Char">
    <w:name w:val="Heading 1 Char"/>
    <w:basedOn w:val="DefaultParagraphFont"/>
    <w:link w:val="Heading1"/>
    <w:uiPriority w:val="9"/>
    <w:rsid w:val="009965C5"/>
    <w:rPr>
      <w:rFonts w:ascii="Times New Roman" w:eastAsia="Times New Roman" w:hAnsi="Times New Roman"/>
      <w:b/>
      <w:bCs/>
      <w:kern w:val="36"/>
      <w:sz w:val="48"/>
      <w:szCs w:val="48"/>
    </w:rPr>
  </w:style>
  <w:style w:type="paragraph" w:styleId="NormalWeb">
    <w:name w:val="Normal (Web)"/>
    <w:basedOn w:val="Normal"/>
    <w:uiPriority w:val="99"/>
    <w:unhideWhenUsed/>
    <w:rsid w:val="009965C5"/>
    <w:pPr>
      <w:spacing w:before="100" w:beforeAutospacing="1" w:after="100" w:afterAutospacing="1"/>
    </w:pPr>
    <w:rPr>
      <w:rFonts w:ascii="Times New Roman" w:eastAsia="Times New Roman" w:hAnsi="Times New Roman"/>
    </w:rPr>
  </w:style>
  <w:style w:type="character" w:styleId="Strong">
    <w:name w:val="Strong"/>
    <w:uiPriority w:val="22"/>
    <w:qFormat/>
    <w:rsid w:val="00B24600"/>
    <w:rPr>
      <w:b/>
      <w:bCs/>
    </w:rPr>
  </w:style>
  <w:style w:type="character" w:customStyle="1" w:styleId="apple-converted-space">
    <w:name w:val="apple-converted-space"/>
    <w:rsid w:val="00B24600"/>
  </w:style>
  <w:style w:type="character" w:customStyle="1" w:styleId="volume-value">
    <w:name w:val="volume-value"/>
    <w:rsid w:val="00B24600"/>
  </w:style>
  <w:style w:type="character" w:customStyle="1" w:styleId="vol-issue-comma">
    <w:name w:val="vol-issue-comma"/>
    <w:rsid w:val="00B24600"/>
  </w:style>
  <w:style w:type="character" w:customStyle="1" w:styleId="issue-value">
    <w:name w:val="issue-value"/>
    <w:rsid w:val="00B24600"/>
  </w:style>
  <w:style w:type="character" w:customStyle="1" w:styleId="slug-pages3">
    <w:name w:val="slug-pages3"/>
    <w:rsid w:val="00B24600"/>
  </w:style>
  <w:style w:type="character" w:styleId="FollowedHyperlink">
    <w:name w:val="FollowedHyperlink"/>
    <w:basedOn w:val="DefaultParagraphFont"/>
    <w:rsid w:val="00B24600"/>
    <w:rPr>
      <w:color w:val="800080" w:themeColor="followedHyperlink"/>
      <w:u w:val="single"/>
    </w:rPr>
  </w:style>
  <w:style w:type="paragraph" w:customStyle="1" w:styleId="Default">
    <w:name w:val="Default"/>
    <w:rsid w:val="00482540"/>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9" w:qFormat="1"/>
    <w:lsdException w:name="footer" w:uiPriority="99"/>
    <w:lsdException w:name="page number"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AB2"/>
    <w:rPr>
      <w:sz w:val="24"/>
      <w:szCs w:val="24"/>
    </w:rPr>
  </w:style>
  <w:style w:type="paragraph" w:styleId="Heading1">
    <w:name w:val="heading 1"/>
    <w:basedOn w:val="Normal"/>
    <w:link w:val="Heading1Char"/>
    <w:uiPriority w:val="9"/>
    <w:qFormat/>
    <w:rsid w:val="009965C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06C6A"/>
    <w:rPr>
      <w:rFonts w:ascii="Lucida Grande" w:hAnsi="Lucida Grande"/>
      <w:sz w:val="18"/>
      <w:szCs w:val="18"/>
    </w:rPr>
  </w:style>
  <w:style w:type="character" w:customStyle="1" w:styleId="BalloonTextChar">
    <w:name w:val="Balloon Text Char"/>
    <w:uiPriority w:val="99"/>
    <w:semiHidden/>
    <w:rsid w:val="00B16642"/>
    <w:rPr>
      <w:rFonts w:ascii="Lucida Grande" w:hAnsi="Lucida Grande"/>
      <w:sz w:val="18"/>
      <w:szCs w:val="18"/>
    </w:rPr>
  </w:style>
  <w:style w:type="character" w:customStyle="1" w:styleId="BalloonTextChar1">
    <w:name w:val="Balloon Text Char1"/>
    <w:link w:val="BalloonText"/>
    <w:uiPriority w:val="99"/>
    <w:semiHidden/>
    <w:rsid w:val="00D06C6A"/>
    <w:rPr>
      <w:rFonts w:ascii="Lucida Grande" w:hAnsi="Lucida Grande"/>
      <w:sz w:val="18"/>
      <w:szCs w:val="18"/>
    </w:rPr>
  </w:style>
  <w:style w:type="paragraph" w:styleId="ListParagraph">
    <w:name w:val="List Paragraph"/>
    <w:basedOn w:val="Normal"/>
    <w:uiPriority w:val="34"/>
    <w:qFormat/>
    <w:rsid w:val="00D62779"/>
    <w:pPr>
      <w:ind w:left="720"/>
      <w:contextualSpacing/>
    </w:pPr>
  </w:style>
  <w:style w:type="paragraph" w:styleId="Header">
    <w:name w:val="header"/>
    <w:basedOn w:val="Normal"/>
    <w:link w:val="HeaderChar"/>
    <w:uiPriority w:val="99"/>
    <w:semiHidden/>
    <w:unhideWhenUsed/>
    <w:rsid w:val="0015688F"/>
    <w:pPr>
      <w:tabs>
        <w:tab w:val="center" w:pos="4320"/>
        <w:tab w:val="right" w:pos="8640"/>
      </w:tabs>
    </w:pPr>
  </w:style>
  <w:style w:type="character" w:customStyle="1" w:styleId="HeaderChar">
    <w:name w:val="Header Char"/>
    <w:link w:val="Header"/>
    <w:uiPriority w:val="99"/>
    <w:semiHidden/>
    <w:rsid w:val="0015688F"/>
    <w:rPr>
      <w:sz w:val="24"/>
      <w:szCs w:val="24"/>
    </w:rPr>
  </w:style>
  <w:style w:type="paragraph" w:styleId="Footer">
    <w:name w:val="footer"/>
    <w:basedOn w:val="Normal"/>
    <w:link w:val="FooterChar"/>
    <w:uiPriority w:val="99"/>
    <w:semiHidden/>
    <w:unhideWhenUsed/>
    <w:rsid w:val="0015688F"/>
    <w:pPr>
      <w:tabs>
        <w:tab w:val="center" w:pos="4320"/>
        <w:tab w:val="right" w:pos="8640"/>
      </w:tabs>
    </w:pPr>
  </w:style>
  <w:style w:type="character" w:customStyle="1" w:styleId="FooterChar">
    <w:name w:val="Footer Char"/>
    <w:link w:val="Footer"/>
    <w:uiPriority w:val="99"/>
    <w:semiHidden/>
    <w:rsid w:val="0015688F"/>
    <w:rPr>
      <w:sz w:val="24"/>
      <w:szCs w:val="24"/>
    </w:rPr>
  </w:style>
  <w:style w:type="character" w:styleId="PageNumber">
    <w:name w:val="page number"/>
    <w:basedOn w:val="DefaultParagraphFont"/>
    <w:uiPriority w:val="99"/>
    <w:semiHidden/>
    <w:unhideWhenUsed/>
    <w:rsid w:val="00A47BF3"/>
  </w:style>
  <w:style w:type="paragraph" w:styleId="DocumentMap">
    <w:name w:val="Document Map"/>
    <w:basedOn w:val="Normal"/>
    <w:link w:val="DocumentMapChar"/>
    <w:unhideWhenUsed/>
    <w:rsid w:val="006122E2"/>
    <w:rPr>
      <w:rFonts w:ascii="Lucida Grande" w:hAnsi="Lucida Grande"/>
    </w:rPr>
  </w:style>
  <w:style w:type="character" w:customStyle="1" w:styleId="DocumentMapChar">
    <w:name w:val="Document Map Char"/>
    <w:link w:val="DocumentMap"/>
    <w:rsid w:val="006122E2"/>
    <w:rPr>
      <w:rFonts w:ascii="Lucida Grande" w:hAnsi="Lucida Grande"/>
      <w:sz w:val="24"/>
      <w:szCs w:val="24"/>
    </w:rPr>
  </w:style>
  <w:style w:type="paragraph" w:styleId="Caption">
    <w:name w:val="caption"/>
    <w:basedOn w:val="Normal"/>
    <w:next w:val="Normal"/>
    <w:rsid w:val="00F96993"/>
    <w:pPr>
      <w:spacing w:after="200"/>
    </w:pPr>
    <w:rPr>
      <w:b/>
      <w:bCs/>
      <w:color w:val="4F81BD"/>
      <w:sz w:val="18"/>
      <w:szCs w:val="18"/>
    </w:rPr>
  </w:style>
  <w:style w:type="table" w:styleId="TableGrid">
    <w:name w:val="Table Grid"/>
    <w:basedOn w:val="TableNormal"/>
    <w:rsid w:val="00F969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F656B6"/>
    <w:rPr>
      <w:rFonts w:cs="Times New Roman"/>
      <w:color w:val="0000FF"/>
      <w:u w:val="single"/>
    </w:rPr>
  </w:style>
  <w:style w:type="character" w:styleId="FootnoteReference">
    <w:name w:val="footnote reference"/>
    <w:uiPriority w:val="99"/>
    <w:rsid w:val="00F656B6"/>
    <w:rPr>
      <w:rFonts w:cs="Times New Roman"/>
      <w:vertAlign w:val="superscript"/>
    </w:rPr>
  </w:style>
  <w:style w:type="paragraph" w:styleId="FootnoteText">
    <w:name w:val="footnote text"/>
    <w:basedOn w:val="Normal"/>
    <w:link w:val="FootnoteTextChar1"/>
    <w:uiPriority w:val="99"/>
    <w:rsid w:val="00F656B6"/>
    <w:rPr>
      <w:sz w:val="20"/>
      <w:szCs w:val="20"/>
      <w:lang w:val="x-none" w:eastAsia="x-none"/>
    </w:rPr>
  </w:style>
  <w:style w:type="character" w:customStyle="1" w:styleId="FootnoteTextChar">
    <w:name w:val="Footnote Text Char"/>
    <w:rsid w:val="00F656B6"/>
    <w:rPr>
      <w:sz w:val="20"/>
      <w:szCs w:val="20"/>
    </w:rPr>
  </w:style>
  <w:style w:type="character" w:customStyle="1" w:styleId="FootnoteTextChar1">
    <w:name w:val="Footnote Text Char1"/>
    <w:link w:val="FootnoteText"/>
    <w:uiPriority w:val="99"/>
    <w:locked/>
    <w:rsid w:val="00F656B6"/>
    <w:rPr>
      <w:rFonts w:ascii="Cambria" w:eastAsia="Cambria" w:hAnsi="Cambria" w:cs="Times New Roman"/>
      <w:sz w:val="20"/>
      <w:szCs w:val="20"/>
    </w:rPr>
  </w:style>
  <w:style w:type="character" w:customStyle="1" w:styleId="gsa1">
    <w:name w:val="gs_a1"/>
    <w:uiPriority w:val="99"/>
    <w:rsid w:val="00F656B6"/>
    <w:rPr>
      <w:color w:val="008000"/>
    </w:rPr>
  </w:style>
  <w:style w:type="character" w:styleId="CommentReference">
    <w:name w:val="annotation reference"/>
    <w:rsid w:val="00C93653"/>
    <w:rPr>
      <w:sz w:val="18"/>
      <w:szCs w:val="18"/>
    </w:rPr>
  </w:style>
  <w:style w:type="paragraph" w:styleId="CommentText">
    <w:name w:val="annotation text"/>
    <w:basedOn w:val="Normal"/>
    <w:link w:val="CommentTextChar"/>
    <w:rsid w:val="00C93653"/>
  </w:style>
  <w:style w:type="character" w:customStyle="1" w:styleId="CommentTextChar">
    <w:name w:val="Comment Text Char"/>
    <w:basedOn w:val="DefaultParagraphFont"/>
    <w:link w:val="CommentText"/>
    <w:rsid w:val="00C93653"/>
  </w:style>
  <w:style w:type="paragraph" w:styleId="CommentSubject">
    <w:name w:val="annotation subject"/>
    <w:basedOn w:val="CommentText"/>
    <w:next w:val="CommentText"/>
    <w:link w:val="CommentSubjectChar"/>
    <w:rsid w:val="00C93653"/>
    <w:rPr>
      <w:b/>
      <w:bCs/>
      <w:sz w:val="20"/>
      <w:szCs w:val="20"/>
    </w:rPr>
  </w:style>
  <w:style w:type="character" w:customStyle="1" w:styleId="CommentSubjectChar">
    <w:name w:val="Comment Subject Char"/>
    <w:link w:val="CommentSubject"/>
    <w:rsid w:val="00C93653"/>
    <w:rPr>
      <w:b/>
      <w:bCs/>
      <w:sz w:val="20"/>
      <w:szCs w:val="20"/>
    </w:rPr>
  </w:style>
  <w:style w:type="character" w:customStyle="1" w:styleId="name">
    <w:name w:val="name"/>
    <w:uiPriority w:val="99"/>
    <w:rsid w:val="00867430"/>
    <w:rPr>
      <w:rFonts w:cs="Times New Roman"/>
    </w:rPr>
  </w:style>
  <w:style w:type="character" w:customStyle="1" w:styleId="Heading1Char">
    <w:name w:val="Heading 1 Char"/>
    <w:basedOn w:val="DefaultParagraphFont"/>
    <w:link w:val="Heading1"/>
    <w:uiPriority w:val="9"/>
    <w:rsid w:val="009965C5"/>
    <w:rPr>
      <w:rFonts w:ascii="Times New Roman" w:eastAsia="Times New Roman" w:hAnsi="Times New Roman"/>
      <w:b/>
      <w:bCs/>
      <w:kern w:val="36"/>
      <w:sz w:val="48"/>
      <w:szCs w:val="48"/>
    </w:rPr>
  </w:style>
  <w:style w:type="paragraph" w:styleId="NormalWeb">
    <w:name w:val="Normal (Web)"/>
    <w:basedOn w:val="Normal"/>
    <w:uiPriority w:val="99"/>
    <w:unhideWhenUsed/>
    <w:rsid w:val="009965C5"/>
    <w:pPr>
      <w:spacing w:before="100" w:beforeAutospacing="1" w:after="100" w:afterAutospacing="1"/>
    </w:pPr>
    <w:rPr>
      <w:rFonts w:ascii="Times New Roman" w:eastAsia="Times New Roman" w:hAnsi="Times New Roman"/>
    </w:rPr>
  </w:style>
  <w:style w:type="character" w:styleId="Strong">
    <w:name w:val="Strong"/>
    <w:uiPriority w:val="22"/>
    <w:qFormat/>
    <w:rsid w:val="00B24600"/>
    <w:rPr>
      <w:b/>
      <w:bCs/>
    </w:rPr>
  </w:style>
  <w:style w:type="character" w:customStyle="1" w:styleId="apple-converted-space">
    <w:name w:val="apple-converted-space"/>
    <w:rsid w:val="00B24600"/>
  </w:style>
  <w:style w:type="character" w:customStyle="1" w:styleId="volume-value">
    <w:name w:val="volume-value"/>
    <w:rsid w:val="00B24600"/>
  </w:style>
  <w:style w:type="character" w:customStyle="1" w:styleId="vol-issue-comma">
    <w:name w:val="vol-issue-comma"/>
    <w:rsid w:val="00B24600"/>
  </w:style>
  <w:style w:type="character" w:customStyle="1" w:styleId="issue-value">
    <w:name w:val="issue-value"/>
    <w:rsid w:val="00B24600"/>
  </w:style>
  <w:style w:type="character" w:customStyle="1" w:styleId="slug-pages3">
    <w:name w:val="slug-pages3"/>
    <w:rsid w:val="00B24600"/>
  </w:style>
  <w:style w:type="character" w:styleId="FollowedHyperlink">
    <w:name w:val="FollowedHyperlink"/>
    <w:basedOn w:val="DefaultParagraphFont"/>
    <w:rsid w:val="00B24600"/>
    <w:rPr>
      <w:color w:val="800080" w:themeColor="followedHyperlink"/>
      <w:u w:val="single"/>
    </w:rPr>
  </w:style>
  <w:style w:type="paragraph" w:customStyle="1" w:styleId="Default">
    <w:name w:val="Default"/>
    <w:rsid w:val="0048254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7869">
      <w:bodyDiv w:val="1"/>
      <w:marLeft w:val="0"/>
      <w:marRight w:val="0"/>
      <w:marTop w:val="0"/>
      <w:marBottom w:val="0"/>
      <w:divBdr>
        <w:top w:val="none" w:sz="0" w:space="0" w:color="auto"/>
        <w:left w:val="none" w:sz="0" w:space="0" w:color="auto"/>
        <w:bottom w:val="none" w:sz="0" w:space="0" w:color="auto"/>
        <w:right w:val="none" w:sz="0" w:space="0" w:color="auto"/>
      </w:divBdr>
    </w:div>
    <w:div w:id="976766745">
      <w:bodyDiv w:val="1"/>
      <w:marLeft w:val="0"/>
      <w:marRight w:val="0"/>
      <w:marTop w:val="0"/>
      <w:marBottom w:val="0"/>
      <w:divBdr>
        <w:top w:val="none" w:sz="0" w:space="0" w:color="auto"/>
        <w:left w:val="none" w:sz="0" w:space="0" w:color="auto"/>
        <w:bottom w:val="none" w:sz="0" w:space="0" w:color="auto"/>
        <w:right w:val="none" w:sz="0" w:space="0" w:color="auto"/>
      </w:divBdr>
      <w:divsChild>
        <w:div w:id="1779911702">
          <w:marLeft w:val="0"/>
          <w:marRight w:val="0"/>
          <w:marTop w:val="120"/>
          <w:marBottom w:val="120"/>
          <w:divBdr>
            <w:top w:val="none" w:sz="0" w:space="0" w:color="auto"/>
            <w:left w:val="none" w:sz="0" w:space="0" w:color="auto"/>
            <w:bottom w:val="none" w:sz="0" w:space="0" w:color="auto"/>
            <w:right w:val="none" w:sz="0" w:space="0" w:color="auto"/>
          </w:divBdr>
          <w:divsChild>
            <w:div w:id="628366058">
              <w:marLeft w:val="90"/>
              <w:marRight w:val="90"/>
              <w:marTop w:val="0"/>
              <w:marBottom w:val="0"/>
              <w:divBdr>
                <w:top w:val="none" w:sz="0" w:space="0" w:color="auto"/>
                <w:left w:val="none" w:sz="0" w:space="0" w:color="auto"/>
                <w:bottom w:val="none" w:sz="0" w:space="0" w:color="auto"/>
                <w:right w:val="none" w:sz="0" w:space="0" w:color="auto"/>
              </w:divBdr>
              <w:divsChild>
                <w:div w:id="280038872">
                  <w:marLeft w:val="0"/>
                  <w:marRight w:val="0"/>
                  <w:marTop w:val="0"/>
                  <w:marBottom w:val="0"/>
                  <w:divBdr>
                    <w:top w:val="none" w:sz="0" w:space="0" w:color="auto"/>
                    <w:left w:val="none" w:sz="0" w:space="0" w:color="auto"/>
                    <w:bottom w:val="none" w:sz="0" w:space="0" w:color="auto"/>
                    <w:right w:val="none" w:sz="0" w:space="0" w:color="auto"/>
                  </w:divBdr>
                  <w:divsChild>
                    <w:div w:id="1555393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00305419">
              <w:marLeft w:val="0"/>
              <w:marRight w:val="0"/>
              <w:marTop w:val="150"/>
              <w:marBottom w:val="0"/>
              <w:divBdr>
                <w:top w:val="none" w:sz="0" w:space="0" w:color="auto"/>
                <w:left w:val="none" w:sz="0" w:space="0" w:color="auto"/>
                <w:bottom w:val="none" w:sz="0" w:space="0" w:color="auto"/>
                <w:right w:val="none" w:sz="0" w:space="0" w:color="auto"/>
              </w:divBdr>
            </w:div>
          </w:divsChild>
        </w:div>
        <w:div w:id="799570767">
          <w:marLeft w:val="0"/>
          <w:marRight w:val="0"/>
          <w:marTop w:val="0"/>
          <w:marBottom w:val="0"/>
          <w:divBdr>
            <w:top w:val="none" w:sz="0" w:space="0" w:color="auto"/>
            <w:left w:val="none" w:sz="0" w:space="0" w:color="auto"/>
            <w:bottom w:val="none" w:sz="0" w:space="0" w:color="auto"/>
            <w:right w:val="none" w:sz="0" w:space="0" w:color="auto"/>
          </w:divBdr>
          <w:divsChild>
            <w:div w:id="1991787791">
              <w:marLeft w:val="90"/>
              <w:marRight w:val="90"/>
              <w:marTop w:val="0"/>
              <w:marBottom w:val="0"/>
              <w:divBdr>
                <w:top w:val="none" w:sz="0" w:space="0" w:color="auto"/>
                <w:left w:val="none" w:sz="0" w:space="0" w:color="auto"/>
                <w:bottom w:val="none" w:sz="0" w:space="0" w:color="auto"/>
                <w:right w:val="none" w:sz="0" w:space="0" w:color="auto"/>
              </w:divBdr>
              <w:divsChild>
                <w:div w:id="210532023">
                  <w:marLeft w:val="0"/>
                  <w:marRight w:val="0"/>
                  <w:marTop w:val="0"/>
                  <w:marBottom w:val="0"/>
                  <w:divBdr>
                    <w:top w:val="none" w:sz="0" w:space="0" w:color="auto"/>
                    <w:left w:val="none" w:sz="0" w:space="0" w:color="auto"/>
                    <w:bottom w:val="none" w:sz="0" w:space="0" w:color="auto"/>
                    <w:right w:val="none" w:sz="0" w:space="0" w:color="auto"/>
                  </w:divBdr>
                  <w:divsChild>
                    <w:div w:id="73211439">
                      <w:marLeft w:val="0"/>
                      <w:marRight w:val="0"/>
                      <w:marTop w:val="0"/>
                      <w:marBottom w:val="0"/>
                      <w:divBdr>
                        <w:top w:val="none" w:sz="0" w:space="0" w:color="auto"/>
                        <w:left w:val="none" w:sz="0" w:space="0" w:color="auto"/>
                        <w:bottom w:val="none" w:sz="0" w:space="0" w:color="auto"/>
                        <w:right w:val="none" w:sz="0" w:space="0" w:color="auto"/>
                      </w:divBdr>
                    </w:div>
                    <w:div w:id="1707245116">
                      <w:marLeft w:val="0"/>
                      <w:marRight w:val="0"/>
                      <w:marTop w:val="0"/>
                      <w:marBottom w:val="0"/>
                      <w:divBdr>
                        <w:top w:val="single" w:sz="6" w:space="3" w:color="CCCCCC"/>
                        <w:left w:val="none" w:sz="0" w:space="3" w:color="auto"/>
                        <w:bottom w:val="single" w:sz="6" w:space="3" w:color="CCCCCC"/>
                        <w:right w:val="none" w:sz="0" w:space="3" w:color="auto"/>
                      </w:divBdr>
                      <w:divsChild>
                        <w:div w:id="1377003288">
                          <w:marLeft w:val="0"/>
                          <w:marRight w:val="0"/>
                          <w:marTop w:val="135"/>
                          <w:marBottom w:val="120"/>
                          <w:divBdr>
                            <w:top w:val="none" w:sz="0" w:space="0" w:color="auto"/>
                            <w:left w:val="none" w:sz="0" w:space="0" w:color="auto"/>
                            <w:bottom w:val="none" w:sz="0" w:space="0" w:color="auto"/>
                            <w:right w:val="none" w:sz="0" w:space="0" w:color="auto"/>
                          </w:divBdr>
                          <w:divsChild>
                            <w:div w:id="85077908">
                              <w:marLeft w:val="0"/>
                              <w:marRight w:val="0"/>
                              <w:marTop w:val="0"/>
                              <w:marBottom w:val="0"/>
                              <w:divBdr>
                                <w:top w:val="none" w:sz="0" w:space="0" w:color="auto"/>
                                <w:left w:val="none" w:sz="0" w:space="0" w:color="auto"/>
                                <w:bottom w:val="none" w:sz="0" w:space="0" w:color="auto"/>
                                <w:right w:val="none" w:sz="0" w:space="0" w:color="auto"/>
                              </w:divBdr>
                            </w:div>
                          </w:divsChild>
                        </w:div>
                        <w:div w:id="448163704">
                          <w:marLeft w:val="0"/>
                          <w:marRight w:val="0"/>
                          <w:marTop w:val="195"/>
                          <w:marBottom w:val="0"/>
                          <w:divBdr>
                            <w:top w:val="none" w:sz="0" w:space="0" w:color="auto"/>
                            <w:left w:val="none" w:sz="0" w:space="0" w:color="auto"/>
                            <w:bottom w:val="none" w:sz="0" w:space="0" w:color="auto"/>
                            <w:right w:val="none" w:sz="0" w:space="0" w:color="auto"/>
                          </w:divBdr>
                        </w:div>
                      </w:divsChild>
                    </w:div>
                    <w:div w:id="1702439682">
                      <w:marLeft w:val="0"/>
                      <w:marRight w:val="0"/>
                      <w:marTop w:val="0"/>
                      <w:marBottom w:val="0"/>
                      <w:divBdr>
                        <w:top w:val="none" w:sz="0" w:space="0" w:color="auto"/>
                        <w:left w:val="none" w:sz="0" w:space="0" w:color="auto"/>
                        <w:bottom w:val="none" w:sz="0" w:space="0" w:color="auto"/>
                        <w:right w:val="none" w:sz="0" w:space="0" w:color="auto"/>
                      </w:divBdr>
                      <w:divsChild>
                        <w:div w:id="1946421428">
                          <w:marLeft w:val="0"/>
                          <w:marRight w:val="0"/>
                          <w:marTop w:val="0"/>
                          <w:marBottom w:val="0"/>
                          <w:divBdr>
                            <w:top w:val="none" w:sz="0" w:space="0" w:color="auto"/>
                            <w:left w:val="none" w:sz="0" w:space="0" w:color="auto"/>
                            <w:bottom w:val="none" w:sz="0" w:space="0" w:color="auto"/>
                            <w:right w:val="none" w:sz="0" w:space="0" w:color="auto"/>
                          </w:divBdr>
                        </w:div>
                      </w:divsChild>
                    </w:div>
                    <w:div w:id="365254346">
                      <w:marLeft w:val="0"/>
                      <w:marRight w:val="0"/>
                      <w:marTop w:val="0"/>
                      <w:marBottom w:val="0"/>
                      <w:divBdr>
                        <w:top w:val="single" w:sz="6" w:space="3" w:color="CCCCCC"/>
                        <w:left w:val="none" w:sz="0" w:space="3" w:color="auto"/>
                        <w:bottom w:val="single" w:sz="6" w:space="3" w:color="CCCCCC"/>
                        <w:right w:val="none" w:sz="0" w:space="3" w:color="auto"/>
                      </w:divBdr>
                      <w:divsChild>
                        <w:div w:id="1100954325">
                          <w:marLeft w:val="0"/>
                          <w:marRight w:val="0"/>
                          <w:marTop w:val="135"/>
                          <w:marBottom w:val="120"/>
                          <w:divBdr>
                            <w:top w:val="none" w:sz="0" w:space="0" w:color="auto"/>
                            <w:left w:val="none" w:sz="0" w:space="0" w:color="auto"/>
                            <w:bottom w:val="none" w:sz="0" w:space="0" w:color="auto"/>
                            <w:right w:val="none" w:sz="0" w:space="0" w:color="auto"/>
                          </w:divBdr>
                          <w:divsChild>
                            <w:div w:id="2558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8629">
              <w:marLeft w:val="90"/>
              <w:marRight w:val="90"/>
              <w:marTop w:val="0"/>
              <w:marBottom w:val="0"/>
              <w:divBdr>
                <w:top w:val="none" w:sz="0" w:space="0" w:color="auto"/>
                <w:left w:val="none" w:sz="0" w:space="0" w:color="auto"/>
                <w:bottom w:val="none" w:sz="0" w:space="0" w:color="auto"/>
                <w:right w:val="none" w:sz="0" w:space="0" w:color="auto"/>
              </w:divBdr>
              <w:divsChild>
                <w:div w:id="1407410799">
                  <w:marLeft w:val="0"/>
                  <w:marRight w:val="0"/>
                  <w:marTop w:val="0"/>
                  <w:marBottom w:val="0"/>
                  <w:divBdr>
                    <w:top w:val="none" w:sz="0" w:space="0" w:color="auto"/>
                    <w:left w:val="none" w:sz="0" w:space="0" w:color="auto"/>
                    <w:bottom w:val="none" w:sz="0" w:space="0" w:color="auto"/>
                    <w:right w:val="none" w:sz="0" w:space="0" w:color="auto"/>
                  </w:divBdr>
                  <w:divsChild>
                    <w:div w:id="478766886">
                      <w:marLeft w:val="0"/>
                      <w:marRight w:val="0"/>
                      <w:marTop w:val="0"/>
                      <w:marBottom w:val="0"/>
                      <w:divBdr>
                        <w:top w:val="none" w:sz="0" w:space="0" w:color="auto"/>
                        <w:left w:val="none" w:sz="0" w:space="0" w:color="auto"/>
                        <w:bottom w:val="none" w:sz="0" w:space="0" w:color="auto"/>
                        <w:right w:val="none" w:sz="0" w:space="0" w:color="auto"/>
                      </w:divBdr>
                      <w:divsChild>
                        <w:div w:id="493687875">
                          <w:marLeft w:val="0"/>
                          <w:marRight w:val="0"/>
                          <w:marTop w:val="270"/>
                          <w:marBottom w:val="300"/>
                          <w:divBdr>
                            <w:top w:val="none" w:sz="0" w:space="0" w:color="auto"/>
                            <w:left w:val="none" w:sz="0" w:space="0" w:color="auto"/>
                            <w:bottom w:val="none" w:sz="0" w:space="0" w:color="auto"/>
                            <w:right w:val="none" w:sz="0" w:space="0" w:color="auto"/>
                          </w:divBdr>
                          <w:divsChild>
                            <w:div w:id="2068533658">
                              <w:marLeft w:val="0"/>
                              <w:marRight w:val="0"/>
                              <w:marTop w:val="0"/>
                              <w:marBottom w:val="0"/>
                              <w:divBdr>
                                <w:top w:val="none" w:sz="0" w:space="0" w:color="auto"/>
                                <w:left w:val="none" w:sz="0" w:space="0" w:color="auto"/>
                                <w:bottom w:val="none" w:sz="0" w:space="0" w:color="auto"/>
                                <w:right w:val="none" w:sz="0" w:space="0" w:color="auto"/>
                              </w:divBdr>
                            </w:div>
                            <w:div w:id="354382132">
                              <w:marLeft w:val="0"/>
                              <w:marRight w:val="0"/>
                              <w:marTop w:val="0"/>
                              <w:marBottom w:val="0"/>
                              <w:divBdr>
                                <w:top w:val="none" w:sz="0" w:space="0" w:color="auto"/>
                                <w:left w:val="none" w:sz="0" w:space="0" w:color="auto"/>
                                <w:bottom w:val="none" w:sz="0" w:space="0" w:color="auto"/>
                                <w:right w:val="none" w:sz="0" w:space="0" w:color="auto"/>
                              </w:divBdr>
                            </w:div>
                            <w:div w:id="2133866634">
                              <w:marLeft w:val="0"/>
                              <w:marRight w:val="0"/>
                              <w:marTop w:val="0"/>
                              <w:marBottom w:val="0"/>
                              <w:divBdr>
                                <w:top w:val="none" w:sz="0" w:space="0" w:color="auto"/>
                                <w:left w:val="none" w:sz="0" w:space="0" w:color="auto"/>
                                <w:bottom w:val="none" w:sz="0" w:space="0" w:color="auto"/>
                                <w:right w:val="none" w:sz="0" w:space="0" w:color="auto"/>
                              </w:divBdr>
                              <w:divsChild>
                                <w:div w:id="2024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48876">
                          <w:marLeft w:val="0"/>
                          <w:marRight w:val="0"/>
                          <w:marTop w:val="270"/>
                          <w:marBottom w:val="300"/>
                          <w:divBdr>
                            <w:top w:val="none" w:sz="0" w:space="0" w:color="auto"/>
                            <w:left w:val="none" w:sz="0" w:space="0" w:color="auto"/>
                            <w:bottom w:val="none" w:sz="0" w:space="0" w:color="auto"/>
                            <w:right w:val="none" w:sz="0" w:space="0" w:color="auto"/>
                          </w:divBdr>
                          <w:divsChild>
                            <w:div w:id="1815098580">
                              <w:marLeft w:val="0"/>
                              <w:marRight w:val="0"/>
                              <w:marTop w:val="0"/>
                              <w:marBottom w:val="0"/>
                              <w:divBdr>
                                <w:top w:val="none" w:sz="0" w:space="0" w:color="auto"/>
                                <w:left w:val="none" w:sz="0" w:space="0" w:color="auto"/>
                                <w:bottom w:val="none" w:sz="0" w:space="0" w:color="auto"/>
                                <w:right w:val="none" w:sz="0" w:space="0" w:color="auto"/>
                              </w:divBdr>
                            </w:div>
                            <w:div w:id="1016689505">
                              <w:marLeft w:val="0"/>
                              <w:marRight w:val="0"/>
                              <w:marTop w:val="0"/>
                              <w:marBottom w:val="0"/>
                              <w:divBdr>
                                <w:top w:val="none" w:sz="0" w:space="0" w:color="auto"/>
                                <w:left w:val="none" w:sz="0" w:space="0" w:color="auto"/>
                                <w:bottom w:val="none" w:sz="0" w:space="0" w:color="auto"/>
                                <w:right w:val="none" w:sz="0" w:space="0" w:color="auto"/>
                              </w:divBdr>
                            </w:div>
                            <w:div w:id="127549884">
                              <w:marLeft w:val="0"/>
                              <w:marRight w:val="0"/>
                              <w:marTop w:val="0"/>
                              <w:marBottom w:val="0"/>
                              <w:divBdr>
                                <w:top w:val="none" w:sz="0" w:space="0" w:color="auto"/>
                                <w:left w:val="none" w:sz="0" w:space="0" w:color="auto"/>
                                <w:bottom w:val="none" w:sz="0" w:space="0" w:color="auto"/>
                                <w:right w:val="none" w:sz="0" w:space="0" w:color="auto"/>
                              </w:divBdr>
                              <w:divsChild>
                                <w:div w:id="1883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2561">
                          <w:marLeft w:val="0"/>
                          <w:marRight w:val="0"/>
                          <w:marTop w:val="270"/>
                          <w:marBottom w:val="300"/>
                          <w:divBdr>
                            <w:top w:val="none" w:sz="0" w:space="0" w:color="auto"/>
                            <w:left w:val="none" w:sz="0" w:space="0" w:color="auto"/>
                            <w:bottom w:val="none" w:sz="0" w:space="0" w:color="auto"/>
                            <w:right w:val="none" w:sz="0" w:space="0" w:color="auto"/>
                          </w:divBdr>
                          <w:divsChild>
                            <w:div w:id="314115660">
                              <w:marLeft w:val="0"/>
                              <w:marRight w:val="0"/>
                              <w:marTop w:val="0"/>
                              <w:marBottom w:val="0"/>
                              <w:divBdr>
                                <w:top w:val="none" w:sz="0" w:space="0" w:color="auto"/>
                                <w:left w:val="none" w:sz="0" w:space="0" w:color="auto"/>
                                <w:bottom w:val="none" w:sz="0" w:space="0" w:color="auto"/>
                                <w:right w:val="none" w:sz="0" w:space="0" w:color="auto"/>
                              </w:divBdr>
                            </w:div>
                            <w:div w:id="218979619">
                              <w:marLeft w:val="0"/>
                              <w:marRight w:val="0"/>
                              <w:marTop w:val="0"/>
                              <w:marBottom w:val="0"/>
                              <w:divBdr>
                                <w:top w:val="none" w:sz="0" w:space="0" w:color="auto"/>
                                <w:left w:val="none" w:sz="0" w:space="0" w:color="auto"/>
                                <w:bottom w:val="none" w:sz="0" w:space="0" w:color="auto"/>
                                <w:right w:val="none" w:sz="0" w:space="0" w:color="auto"/>
                              </w:divBdr>
                            </w:div>
                            <w:div w:id="828060981">
                              <w:marLeft w:val="0"/>
                              <w:marRight w:val="0"/>
                              <w:marTop w:val="0"/>
                              <w:marBottom w:val="0"/>
                              <w:divBdr>
                                <w:top w:val="none" w:sz="0" w:space="0" w:color="auto"/>
                                <w:left w:val="none" w:sz="0" w:space="0" w:color="auto"/>
                                <w:bottom w:val="none" w:sz="0" w:space="0" w:color="auto"/>
                                <w:right w:val="none" w:sz="0" w:space="0" w:color="auto"/>
                              </w:divBdr>
                              <w:divsChild>
                                <w:div w:id="5740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83089">
                  <w:marLeft w:val="0"/>
                  <w:marRight w:val="0"/>
                  <w:marTop w:val="180"/>
                  <w:marBottom w:val="0"/>
                  <w:divBdr>
                    <w:top w:val="single" w:sz="6" w:space="5" w:color="AAAAAA"/>
                    <w:left w:val="single" w:sz="6" w:space="5" w:color="AAAAAA"/>
                    <w:bottom w:val="single" w:sz="6" w:space="0" w:color="AAAAAA"/>
                    <w:right w:val="single" w:sz="6" w:space="5" w:color="AAAAAA"/>
                  </w:divBdr>
                  <w:divsChild>
                    <w:div w:id="1861239133">
                      <w:marLeft w:val="0"/>
                      <w:marRight w:val="0"/>
                      <w:marTop w:val="0"/>
                      <w:marBottom w:val="150"/>
                      <w:divBdr>
                        <w:top w:val="none" w:sz="0" w:space="0" w:color="auto"/>
                        <w:left w:val="none" w:sz="0" w:space="0" w:color="auto"/>
                        <w:bottom w:val="none" w:sz="0" w:space="0" w:color="auto"/>
                        <w:right w:val="none" w:sz="0" w:space="0" w:color="auto"/>
                      </w:divBdr>
                    </w:div>
                    <w:div w:id="403841546">
                      <w:marLeft w:val="0"/>
                      <w:marRight w:val="0"/>
                      <w:marTop w:val="0"/>
                      <w:marBottom w:val="150"/>
                      <w:divBdr>
                        <w:top w:val="none" w:sz="0" w:space="0" w:color="auto"/>
                        <w:left w:val="none" w:sz="0" w:space="0" w:color="auto"/>
                        <w:bottom w:val="none" w:sz="0" w:space="0" w:color="auto"/>
                        <w:right w:val="none" w:sz="0" w:space="0" w:color="auto"/>
                      </w:divBdr>
                    </w:div>
                    <w:div w:id="1925411739">
                      <w:marLeft w:val="0"/>
                      <w:marRight w:val="0"/>
                      <w:marTop w:val="0"/>
                      <w:marBottom w:val="150"/>
                      <w:divBdr>
                        <w:top w:val="none" w:sz="0" w:space="0" w:color="auto"/>
                        <w:left w:val="none" w:sz="0" w:space="0" w:color="auto"/>
                        <w:bottom w:val="none" w:sz="0" w:space="0" w:color="auto"/>
                        <w:right w:val="none" w:sz="0" w:space="0" w:color="auto"/>
                      </w:divBdr>
                    </w:div>
                    <w:div w:id="884952469">
                      <w:marLeft w:val="0"/>
                      <w:marRight w:val="0"/>
                      <w:marTop w:val="0"/>
                      <w:marBottom w:val="150"/>
                      <w:divBdr>
                        <w:top w:val="none" w:sz="0" w:space="0" w:color="auto"/>
                        <w:left w:val="none" w:sz="0" w:space="0" w:color="auto"/>
                        <w:bottom w:val="none" w:sz="0" w:space="0" w:color="auto"/>
                        <w:right w:val="none" w:sz="0" w:space="0" w:color="auto"/>
                      </w:divBdr>
                    </w:div>
                    <w:div w:id="1814322827">
                      <w:marLeft w:val="0"/>
                      <w:marRight w:val="0"/>
                      <w:marTop w:val="0"/>
                      <w:marBottom w:val="150"/>
                      <w:divBdr>
                        <w:top w:val="none" w:sz="0" w:space="0" w:color="auto"/>
                        <w:left w:val="none" w:sz="0" w:space="0" w:color="auto"/>
                        <w:bottom w:val="none" w:sz="0" w:space="0" w:color="auto"/>
                        <w:right w:val="none" w:sz="0" w:space="0" w:color="auto"/>
                      </w:divBdr>
                    </w:div>
                  </w:divsChild>
                </w:div>
                <w:div w:id="884293371">
                  <w:marLeft w:val="0"/>
                  <w:marRight w:val="0"/>
                  <w:marTop w:val="180"/>
                  <w:marBottom w:val="0"/>
                  <w:divBdr>
                    <w:top w:val="single" w:sz="6" w:space="5" w:color="AAAAAA"/>
                    <w:left w:val="single" w:sz="6" w:space="5" w:color="AAAAAA"/>
                    <w:bottom w:val="single" w:sz="6" w:space="0" w:color="AAAAAA"/>
                    <w:right w:val="single" w:sz="6" w:space="5" w:color="AAAAAA"/>
                  </w:divBdr>
                  <w:divsChild>
                    <w:div w:id="1324090453">
                      <w:marLeft w:val="0"/>
                      <w:marRight w:val="0"/>
                      <w:marTop w:val="0"/>
                      <w:marBottom w:val="0"/>
                      <w:divBdr>
                        <w:top w:val="none" w:sz="0" w:space="0" w:color="auto"/>
                        <w:left w:val="none" w:sz="0" w:space="0" w:color="auto"/>
                        <w:bottom w:val="none" w:sz="0" w:space="0" w:color="auto"/>
                        <w:right w:val="none" w:sz="0" w:space="0" w:color="auto"/>
                      </w:divBdr>
                      <w:divsChild>
                        <w:div w:id="655845459">
                          <w:marLeft w:val="0"/>
                          <w:marRight w:val="0"/>
                          <w:marTop w:val="0"/>
                          <w:marBottom w:val="0"/>
                          <w:divBdr>
                            <w:top w:val="none" w:sz="0" w:space="0" w:color="auto"/>
                            <w:left w:val="none" w:sz="0" w:space="0" w:color="auto"/>
                            <w:bottom w:val="none" w:sz="0" w:space="0" w:color="auto"/>
                            <w:right w:val="none" w:sz="0" w:space="0" w:color="auto"/>
                          </w:divBdr>
                          <w:divsChild>
                            <w:div w:id="1821576798">
                              <w:marLeft w:val="0"/>
                              <w:marRight w:val="0"/>
                              <w:marTop w:val="0"/>
                              <w:marBottom w:val="0"/>
                              <w:divBdr>
                                <w:top w:val="none" w:sz="0" w:space="0" w:color="auto"/>
                                <w:left w:val="none" w:sz="0" w:space="0" w:color="auto"/>
                                <w:bottom w:val="none" w:sz="0" w:space="0" w:color="auto"/>
                                <w:right w:val="none" w:sz="0" w:space="0" w:color="auto"/>
                              </w:divBdr>
                              <w:divsChild>
                                <w:div w:id="451632958">
                                  <w:marLeft w:val="0"/>
                                  <w:marRight w:val="0"/>
                                  <w:marTop w:val="0"/>
                                  <w:marBottom w:val="0"/>
                                  <w:divBdr>
                                    <w:top w:val="none" w:sz="0" w:space="0" w:color="auto"/>
                                    <w:left w:val="none" w:sz="0" w:space="0" w:color="auto"/>
                                    <w:bottom w:val="none" w:sz="0" w:space="0" w:color="auto"/>
                                    <w:right w:val="none" w:sz="0" w:space="0" w:color="auto"/>
                                  </w:divBdr>
                                  <w:divsChild>
                                    <w:div w:id="510342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07786706">
                  <w:marLeft w:val="0"/>
                  <w:marRight w:val="0"/>
                  <w:marTop w:val="180"/>
                  <w:marBottom w:val="0"/>
                  <w:divBdr>
                    <w:top w:val="single" w:sz="6" w:space="5" w:color="AAAAAA"/>
                    <w:left w:val="single" w:sz="6" w:space="5" w:color="AAAAAA"/>
                    <w:bottom w:val="single" w:sz="6" w:space="0" w:color="AAAAAA"/>
                    <w:right w:val="single" w:sz="6" w:space="5" w:color="AAAAAA"/>
                  </w:divBdr>
                  <w:divsChild>
                    <w:div w:id="1338456638">
                      <w:marLeft w:val="0"/>
                      <w:marRight w:val="0"/>
                      <w:marTop w:val="0"/>
                      <w:marBottom w:val="150"/>
                      <w:divBdr>
                        <w:top w:val="none" w:sz="0" w:space="0" w:color="auto"/>
                        <w:left w:val="none" w:sz="0" w:space="0" w:color="auto"/>
                        <w:bottom w:val="none" w:sz="0" w:space="0" w:color="auto"/>
                        <w:right w:val="none" w:sz="0" w:space="0" w:color="auto"/>
                      </w:divBdr>
                    </w:div>
                  </w:divsChild>
                </w:div>
                <w:div w:id="2004158599">
                  <w:marLeft w:val="0"/>
                  <w:marRight w:val="0"/>
                  <w:marTop w:val="180"/>
                  <w:marBottom w:val="0"/>
                  <w:divBdr>
                    <w:top w:val="single" w:sz="6" w:space="5" w:color="AAAAAA"/>
                    <w:left w:val="single" w:sz="6" w:space="5" w:color="AAAAAA"/>
                    <w:bottom w:val="single" w:sz="6" w:space="0" w:color="AAAAAA"/>
                    <w:right w:val="single" w:sz="6" w:space="5" w:color="AAAAAA"/>
                  </w:divBdr>
                </w:div>
              </w:divsChild>
            </w:div>
          </w:divsChild>
        </w:div>
        <w:div w:id="1284582678">
          <w:marLeft w:val="0"/>
          <w:marRight w:val="0"/>
          <w:marTop w:val="300"/>
          <w:marBottom w:val="0"/>
          <w:divBdr>
            <w:top w:val="none" w:sz="0" w:space="0" w:color="auto"/>
            <w:left w:val="none" w:sz="0" w:space="0" w:color="auto"/>
            <w:bottom w:val="none" w:sz="0" w:space="0" w:color="auto"/>
            <w:right w:val="none" w:sz="0" w:space="0" w:color="auto"/>
          </w:divBdr>
          <w:divsChild>
            <w:div w:id="1047995370">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404061000">
      <w:bodyDiv w:val="1"/>
      <w:marLeft w:val="0"/>
      <w:marRight w:val="0"/>
      <w:marTop w:val="0"/>
      <w:marBottom w:val="0"/>
      <w:divBdr>
        <w:top w:val="none" w:sz="0" w:space="0" w:color="auto"/>
        <w:left w:val="none" w:sz="0" w:space="0" w:color="auto"/>
        <w:bottom w:val="none" w:sz="0" w:space="0" w:color="auto"/>
        <w:right w:val="none" w:sz="0" w:space="0" w:color="auto"/>
      </w:divBdr>
    </w:div>
    <w:div w:id="1670254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journal/00142921"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sciencedirect.com/science?_ob=PublicationURL&amp;_tockey=%23TOC%2324619%232002%23999969999%23568881%23FLP%23&amp;_cdi=24619&amp;_pubType=HS&amp;view=c&amp;_auth=y&amp;_acct=C000050221&amp;_version=1&amp;_urlVersion=0&amp;_userid=10&amp;md5=77dd5066465d2b4f60250396ebb16070"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handbooks/15734420"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yperlink" Target="http://www.sciencedirect.com/science?_ob=PublicationURL&amp;_tockey=%23TOC%235834%232003%23999129987%23466795%23FLA%23&amp;_cdi=5834&amp;_pubType=J&amp;view=c&amp;_auth=y&amp;_acct=C000050221&amp;_version=1&amp;_urlVersion=0&amp;_userid=10&amp;md5=dc118fa58d9ee7c04f053fa4d6cc607c" TargetMode="External"/><Relationship Id="rId19" Type="http://schemas.openxmlformats.org/officeDocument/2006/relationships/image" Target="media/image3.png"/><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hyperlink" Target="http://www.sciencedirect.com/science/journal/00472727" TargetMode="External"/><Relationship Id="rId14" Type="http://schemas.openxmlformats.org/officeDocument/2006/relationships/hyperlink" Target="http://www.sciencedirect.com/science?_ob=PublicationURL&amp;_tockey=%23TOC%235804%231989%23999669994%23293162%23FLP%23&amp;_cdi=5804&amp;_pubType=J&amp;view=c&amp;_auth=y&amp;_acct=C000050221&amp;_version=1&amp;_urlVersion=0&amp;_userid=10&amp;md5=9b22643ed85ce9258270c797d34d2fbf" TargetMode="Externa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image" Target="media/image12.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6B83-BE9A-4102-A2C8-F14247F3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37915</CharactersWithSpaces>
  <SharedDoc>false</SharedDoc>
  <HLinks>
    <vt:vector size="42" baseType="variant">
      <vt:variant>
        <vt:i4>3080276</vt:i4>
      </vt:variant>
      <vt:variant>
        <vt:i4>18</vt:i4>
      </vt:variant>
      <vt:variant>
        <vt:i4>0</vt:i4>
      </vt:variant>
      <vt:variant>
        <vt:i4>5</vt:i4>
      </vt:variant>
      <vt:variant>
        <vt:lpwstr>http://www.sciencedirect.com/science?_ob=PublicationURL&amp;_tockey=%23TOC%235804%231989%23999669994%23293162%23FLP%23&amp;_cdi=5804&amp;_pubType=J&amp;view=c&amp;_auth=y&amp;_acct=C000050221&amp;_version=1&amp;_urlVersion=0&amp;_userid=10&amp;md5=9b22643ed85ce9258270c797d34d2fbf</vt:lpwstr>
      </vt:variant>
      <vt:variant>
        <vt:lpwstr/>
      </vt:variant>
      <vt:variant>
        <vt:i4>4259850</vt:i4>
      </vt:variant>
      <vt:variant>
        <vt:i4>15</vt:i4>
      </vt:variant>
      <vt:variant>
        <vt:i4>0</vt:i4>
      </vt:variant>
      <vt:variant>
        <vt:i4>5</vt:i4>
      </vt:variant>
      <vt:variant>
        <vt:lpwstr>http://www.sciencedirect.com/science/journal/00142921</vt:lpwstr>
      </vt:variant>
      <vt:variant>
        <vt:lpwstr/>
      </vt:variant>
      <vt:variant>
        <vt:i4>1900665</vt:i4>
      </vt:variant>
      <vt:variant>
        <vt:i4>12</vt:i4>
      </vt:variant>
      <vt:variant>
        <vt:i4>0</vt:i4>
      </vt:variant>
      <vt:variant>
        <vt:i4>5</vt:i4>
      </vt:variant>
      <vt:variant>
        <vt:lpwstr>http://www.sciencedirect.com/science?_ob=PublicationURL&amp;_tockey=%23TOC%2324619%232002%23999969999%23568881%23FLP%23&amp;_cdi=24619&amp;_pubType=HS&amp;view=c&amp;_auth=y&amp;_acct=C000050221&amp;_version=1&amp;_urlVersion=0&amp;_userid=10&amp;md5=77dd5066465d2b4f60250396ebb16070</vt:lpwstr>
      </vt:variant>
      <vt:variant>
        <vt:lpwstr/>
      </vt:variant>
      <vt:variant>
        <vt:i4>2424952</vt:i4>
      </vt:variant>
      <vt:variant>
        <vt:i4>9</vt:i4>
      </vt:variant>
      <vt:variant>
        <vt:i4>0</vt:i4>
      </vt:variant>
      <vt:variant>
        <vt:i4>5</vt:i4>
      </vt:variant>
      <vt:variant>
        <vt:lpwstr>http://www.sciencedirect.com/science/handbooks/15734420</vt:lpwstr>
      </vt:variant>
      <vt:variant>
        <vt:lpwstr/>
      </vt:variant>
      <vt:variant>
        <vt:i4>2555971</vt:i4>
      </vt:variant>
      <vt:variant>
        <vt:i4>6</vt:i4>
      </vt:variant>
      <vt:variant>
        <vt:i4>0</vt:i4>
      </vt:variant>
      <vt:variant>
        <vt:i4>5</vt:i4>
      </vt:variant>
      <vt:variant>
        <vt:lpwstr>http://www.sciencedirect.com/science?_ob=PublicationURL&amp;_tockey=%23TOC%235834%232003%23999129987%23466795%23FLA%23&amp;_cdi=5834&amp;_pubType=J&amp;view=c&amp;_auth=y&amp;_acct=C000050221&amp;_version=1&amp;_urlVersion=0&amp;_userid=10&amp;md5=dc118fa58d9ee7c04f053fa4d6cc607c</vt:lpwstr>
      </vt:variant>
      <vt:variant>
        <vt:lpwstr/>
      </vt:variant>
      <vt:variant>
        <vt:i4>4456455</vt:i4>
      </vt:variant>
      <vt:variant>
        <vt:i4>3</vt:i4>
      </vt:variant>
      <vt:variant>
        <vt:i4>0</vt:i4>
      </vt:variant>
      <vt:variant>
        <vt:i4>5</vt:i4>
      </vt:variant>
      <vt:variant>
        <vt:lpwstr>http://www.sciencedirect.com/science/journal/00472727</vt:lpwstr>
      </vt:variant>
      <vt:variant>
        <vt:lpwstr/>
      </vt:variant>
      <vt:variant>
        <vt:i4>2687029</vt:i4>
      </vt:variant>
      <vt:variant>
        <vt:i4>0</vt:i4>
      </vt:variant>
      <vt:variant>
        <vt:i4>0</vt:i4>
      </vt:variant>
      <vt:variant>
        <vt:i4>5</vt:i4>
      </vt:variant>
      <vt:variant>
        <vt:lpwstr>http://restud.oxfordjournals.org/search?author1=Guido+Tabellini&amp;sortspec=date&amp;submit=Submit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Schreger</dc:creator>
  <cp:lastModifiedBy>itfsa</cp:lastModifiedBy>
  <cp:revision>2</cp:revision>
  <cp:lastPrinted>2014-04-21T15:54:00Z</cp:lastPrinted>
  <dcterms:created xsi:type="dcterms:W3CDTF">2014-05-17T02:46:00Z</dcterms:created>
  <dcterms:modified xsi:type="dcterms:W3CDTF">2014-05-17T02:46:00Z</dcterms:modified>
</cp:coreProperties>
</file>