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52A" w:rsidRDefault="000E17F5" w:rsidP="00CD4C96">
      <w:pPr>
        <w:jc w:val="right"/>
      </w:pPr>
      <w:r>
        <w:t>rev July 30</w:t>
      </w:r>
      <w:r w:rsidR="00497C1E">
        <w:t>, 2010</w:t>
      </w:r>
    </w:p>
    <w:p w:rsidR="004A652A" w:rsidRDefault="004A652A" w:rsidP="00D85DAC">
      <w:pPr>
        <w:jc w:val="center"/>
      </w:pPr>
    </w:p>
    <w:p w:rsidR="00F171D7" w:rsidRDefault="00F4351E" w:rsidP="00F4351E">
      <w:pPr>
        <w:jc w:val="center"/>
      </w:pPr>
      <w:r>
        <w:t xml:space="preserve">“Black Swans: A </w:t>
      </w:r>
      <w:r w:rsidR="00F171D7" w:rsidRPr="00F171D7">
        <w:t xml:space="preserve">Comment on </w:t>
      </w:r>
      <w:r>
        <w:t>‘</w:t>
      </w:r>
      <w:r w:rsidR="00F171D7" w:rsidRPr="00F171D7">
        <w:t>Fin</w:t>
      </w:r>
      <w:r>
        <w:t>ancial Cycles: What? How? When?’</w:t>
      </w:r>
      <w:r w:rsidR="00F171D7" w:rsidRPr="00F171D7">
        <w:t xml:space="preserve"> </w:t>
      </w:r>
      <w:r w:rsidR="00F171D7" w:rsidRPr="00F171D7">
        <w:br/>
        <w:t>b</w:t>
      </w:r>
      <w:r w:rsidR="00F171D7">
        <w:t xml:space="preserve">y Stijn Claessens, M.Ayhan Kose </w:t>
      </w:r>
      <w:r w:rsidR="00F171D7" w:rsidRPr="00F171D7">
        <w:t>and Marco Terrones</w:t>
      </w:r>
      <w:r>
        <w:t>”</w:t>
      </w:r>
    </w:p>
    <w:p w:rsidR="00F171D7" w:rsidRDefault="00F171D7" w:rsidP="00D85DAC">
      <w:pPr>
        <w:jc w:val="center"/>
      </w:pPr>
    </w:p>
    <w:p w:rsidR="00F171D7" w:rsidRDefault="00F171D7" w:rsidP="00D85DAC">
      <w:pPr>
        <w:jc w:val="center"/>
      </w:pPr>
      <w:r>
        <w:t>Jeffrey Frankel</w:t>
      </w:r>
    </w:p>
    <w:p w:rsidR="00F171D7" w:rsidRDefault="00F171D7" w:rsidP="00D85DAC">
      <w:pPr>
        <w:jc w:val="center"/>
      </w:pPr>
    </w:p>
    <w:p w:rsidR="00DD53C2" w:rsidRPr="00DD53C2" w:rsidRDefault="00DD53C2" w:rsidP="00D85DAC">
      <w:pPr>
        <w:jc w:val="center"/>
        <w:rPr>
          <w:lang w:val="de-DE"/>
        </w:rPr>
      </w:pPr>
      <w:r w:rsidRPr="00DD53C2">
        <w:rPr>
          <w:lang w:val="de-DE"/>
        </w:rPr>
        <w:t>De Nederlandsche Bank, Amsterdam, 19 June, 2010</w:t>
      </w:r>
    </w:p>
    <w:p w:rsidR="00DD53C2" w:rsidRPr="00DD53C2" w:rsidRDefault="00DD53C2" w:rsidP="00D85DAC">
      <w:pPr>
        <w:jc w:val="center"/>
        <w:rPr>
          <w:lang w:val="de-DE"/>
        </w:rPr>
      </w:pPr>
    </w:p>
    <w:p w:rsidR="00F171D7" w:rsidRDefault="00F171D7" w:rsidP="00D85DAC">
      <w:pPr>
        <w:jc w:val="center"/>
      </w:pPr>
      <w:r w:rsidRPr="00DD53C2">
        <w:rPr>
          <w:i/>
          <w:iCs/>
        </w:rPr>
        <w:t>NBER International Seminar on Macroeconomics</w:t>
      </w:r>
      <w:r w:rsidR="00DD53C2" w:rsidRPr="00DD53C2">
        <w:rPr>
          <w:i/>
          <w:iCs/>
        </w:rPr>
        <w:t xml:space="preserve"> 2010</w:t>
      </w:r>
      <w:r w:rsidR="00DD53C2">
        <w:t xml:space="preserve">, </w:t>
      </w:r>
      <w:r w:rsidR="00DD53C2">
        <w:br/>
        <w:t>edited by Richard Clarida and Francesco Giavazzi</w:t>
      </w:r>
      <w:r w:rsidR="00FC33D4">
        <w:t>.</w:t>
      </w:r>
    </w:p>
    <w:p w:rsidR="00497C1E" w:rsidRDefault="00497C1E" w:rsidP="00D85DAC">
      <w:pPr>
        <w:jc w:val="center"/>
      </w:pPr>
      <w:r>
        <w:t>University of Chicago Press: Chicago, 2011</w:t>
      </w:r>
    </w:p>
    <w:p w:rsidR="00F171D7" w:rsidRDefault="00F171D7" w:rsidP="00D85DAC">
      <w:pPr>
        <w:jc w:val="center"/>
      </w:pPr>
      <w:r>
        <w:t>.</w:t>
      </w:r>
    </w:p>
    <w:p w:rsidR="00F171D7" w:rsidRDefault="00F171D7" w:rsidP="00F171D7">
      <w:bookmarkStart w:id="0" w:name="_GoBack"/>
      <w:bookmarkEnd w:id="0"/>
    </w:p>
    <w:p w:rsidR="00D85DAC" w:rsidRDefault="00F171D7" w:rsidP="00D85DAC">
      <w:r>
        <w:t>This study, obviously motivated by the financial crisis that began in 2007, is an impressi</w:t>
      </w:r>
      <w:r w:rsidR="000E17F5">
        <w:t>ve</w:t>
      </w:r>
      <w:r>
        <w:t xml:space="preserve"> comprehensive statistical analysis of the time series of major financial variables:  credit, stock prices and real estate prices.</w:t>
      </w:r>
      <w:r w:rsidR="00D85DAC">
        <w:t xml:space="preserve">   The </w:t>
      </w:r>
      <w:r w:rsidR="00D85DAC" w:rsidRPr="00D85DAC">
        <w:t>Data base</w:t>
      </w:r>
      <w:r w:rsidR="00D85DAC">
        <w:t xml:space="preserve"> includes 21 advanced countries over five decades:</w:t>
      </w:r>
      <w:r w:rsidR="00D85DAC" w:rsidRPr="00D85DAC">
        <w:t xml:space="preserve"> </w:t>
      </w:r>
      <w:r w:rsidR="00D85DAC">
        <w:t>1</w:t>
      </w:r>
      <w:r w:rsidR="00D85DAC" w:rsidRPr="00D85DAC">
        <w:t xml:space="preserve">960:1-2009:4.    </w:t>
      </w:r>
      <w:r w:rsidR="00D85DAC">
        <w:t xml:space="preserve">It yields more than </w:t>
      </w:r>
      <w:r w:rsidR="000E17F5">
        <w:t>470</w:t>
      </w:r>
      <w:r w:rsidR="00D85DAC" w:rsidRPr="00D85DAC">
        <w:t xml:space="preserve"> financial cycles</w:t>
      </w:r>
      <w:r w:rsidR="00D85DAC">
        <w:t>.</w:t>
      </w:r>
      <w:r w:rsidR="00D85DAC" w:rsidRPr="00D85DAC">
        <w:t xml:space="preserve"> </w:t>
      </w:r>
      <w:r w:rsidR="00487962">
        <w:t xml:space="preserve">  The large data base is the big strength of the paper, although the high number of cycles (almost one </w:t>
      </w:r>
      <w:r w:rsidR="000E17F5">
        <w:t xml:space="preserve">every other </w:t>
      </w:r>
      <w:r w:rsidR="00487962">
        <w:t xml:space="preserve">country-year, in a sense) is an early warning that the authors may be </w:t>
      </w:r>
      <w:r w:rsidR="00C16E15">
        <w:t xml:space="preserve">working at an </w:t>
      </w:r>
      <w:r w:rsidR="00487962">
        <w:t>excessively high frequency.</w:t>
      </w:r>
    </w:p>
    <w:p w:rsidR="00C16E15" w:rsidRDefault="00C16E15" w:rsidP="00D85DAC"/>
    <w:p w:rsidR="00C16E15" w:rsidRDefault="00C16E15" w:rsidP="00D85DAC">
      <w:r>
        <w:t xml:space="preserve">The topic and the approach are each emblematic of important mega-themes.   First, the topic of financial cycles.   For half a century, </w:t>
      </w:r>
      <w:r w:rsidR="00324602">
        <w:t>we</w:t>
      </w:r>
      <w:r>
        <w:t xml:space="preserve"> monetary economists have focused overwhelmingly on the inflation/disinflation cycle.   If we said monetary policy was too easy at some point, we were thinking of the dangers of inflation.  If recessions resulted from monetary tightening, the motive was disinflation.    I believe the result of the global financial crisis will be a paradigm shift in macroeconomics, under which financial cycles will be granted as much importance as the inflation/disinflation cycle.   Of course nothing is new under the sun:   scribblers of the past gave us bubbles and panics (Kindleberger), the credit cycle (von Hayek), the crash (Minsky), and debt deflation</w:t>
      </w:r>
      <w:r w:rsidR="002776DF">
        <w:t xml:space="preserve"> (Irving Fisher), not to mention financial markets as casinos or beauty contests (the Keynes of the </w:t>
      </w:r>
      <w:r w:rsidR="002776DF" w:rsidRPr="002776DF">
        <w:rPr>
          <w:i/>
        </w:rPr>
        <w:t>General Theory</w:t>
      </w:r>
      <w:r w:rsidR="002776DF">
        <w:t>).</w:t>
      </w:r>
      <w:r>
        <w:t xml:space="preserve"> </w:t>
      </w:r>
    </w:p>
    <w:p w:rsidR="00E26B7C" w:rsidRDefault="00E26B7C" w:rsidP="00D85DAC"/>
    <w:p w:rsidR="00E26B7C" w:rsidRDefault="00324602" w:rsidP="00720A07">
      <w:r>
        <w:t xml:space="preserve">The second mega-theme is </w:t>
      </w:r>
      <w:r w:rsidR="00E26B7C">
        <w:t>the importance of casting the data net wide, with respect to time and with respect to countries.  Even before the financial crisis, we were learning the importance of big data sets, welcoming the economic historians with their long time series and the econometricians with their panel study techniques.</w:t>
      </w:r>
      <w:r>
        <w:t xml:space="preserve">  But the crisis has demonstrated the importance of a wide net for all to see.</w:t>
      </w:r>
      <w:r w:rsidR="00907281">
        <w:t xml:space="preserve">  It is the reason for the great success of the </w:t>
      </w:r>
      <w:r w:rsidR="00720A07">
        <w:t xml:space="preserve">recent </w:t>
      </w:r>
      <w:r w:rsidR="00907281">
        <w:t xml:space="preserve">book by </w:t>
      </w:r>
      <w:r w:rsidR="00720A07">
        <w:t>Carmen Reinhart and Ken Rogoff (2009)</w:t>
      </w:r>
      <w:r w:rsidR="00907281">
        <w:t xml:space="preserve">.  </w:t>
      </w:r>
    </w:p>
    <w:p w:rsidR="00957966" w:rsidRDefault="00957966" w:rsidP="00D85DAC"/>
    <w:p w:rsidR="00957966" w:rsidRDefault="00957966" w:rsidP="00957966">
      <w:r>
        <w:t xml:space="preserve">I want to elaborate by reminding everyone what is the proper meaning of the popular phrase “black swan.”  Unfortunately, the phrase has come to be used </w:t>
      </w:r>
      <w:r w:rsidRPr="00957966">
        <w:t>as i</w:t>
      </w:r>
      <w:r>
        <w:t>f to mean a very unlikely event.  Managers of Long Term Capital Management in 1998 or</w:t>
      </w:r>
      <w:r w:rsidR="00497C1E">
        <w:t xml:space="preserve"> of </w:t>
      </w:r>
      <w:r>
        <w:t>major banks in 2008 have suggested that the</w:t>
      </w:r>
      <w:r w:rsidR="00497C1E">
        <w:t>y</w:t>
      </w:r>
      <w:r>
        <w:t xml:space="preserve"> could not be expected to have allowed for such a crisis, because it was </w:t>
      </w:r>
      <w:r w:rsidRPr="00957966">
        <w:t>a 7-standard-deviation</w:t>
      </w:r>
      <w:r>
        <w:t xml:space="preserve"> event, or a 5-standard deviation event</w:t>
      </w:r>
      <w:r w:rsidRPr="00957966">
        <w:t>.</w:t>
      </w:r>
      <w:r>
        <w:t xml:space="preserve">  This is </w:t>
      </w:r>
      <w:r>
        <w:lastRenderedPageBreak/>
        <w:t>nonsense.  My guess is that if my normal distribution tables reported numbers out to 5 or 7 standard deviations, we would be in the realm of the probability that two major meteors hit the earth at the same time.</w:t>
      </w:r>
      <w:r w:rsidR="004E691F">
        <w:t xml:space="preserve">   Slightly more enlightened are people who talk about </w:t>
      </w:r>
      <w:r w:rsidRPr="00957966">
        <w:t>else Knightian uncertainty</w:t>
      </w:r>
      <w:r w:rsidR="004E691F">
        <w:t xml:space="preserve"> or</w:t>
      </w:r>
      <w:r w:rsidRPr="00957966">
        <w:t xml:space="preserve"> “unknown unknown</w:t>
      </w:r>
      <w:r w:rsidR="004E691F">
        <w:t>s;</w:t>
      </w:r>
      <w:r w:rsidRPr="00957966">
        <w:t>”</w:t>
      </w:r>
      <w:r w:rsidR="00FD5FD1">
        <w:t xml:space="preserve"> ignorance with humility is better than ignorance without it</w:t>
      </w:r>
      <w:r w:rsidR="004E691F">
        <w:t xml:space="preserve">.    </w:t>
      </w:r>
      <w:r w:rsidR="00095AA7">
        <w:t xml:space="preserve">A still better interpretation is that distributions have fat tails (which might mean that unconditional distributions have fat tails, </w:t>
      </w:r>
      <w:r w:rsidR="00497C1E">
        <w:t>because conditional</w:t>
      </w:r>
      <w:r w:rsidR="00095AA7">
        <w:t xml:space="preserve"> distributions, even if normal, have time-varying variances).    Again, though, it would be nice to get beyond the </w:t>
      </w:r>
      <w:smartTag w:uri="urn:schemas-microsoft-com:office:smarttags" w:element="place">
        <w:smartTag w:uri="urn:schemas-microsoft-com:office:smarttags" w:element="PlaceName">
          <w:r w:rsidR="00095AA7">
            <w:t>Jurassic</w:t>
          </w:r>
        </w:smartTag>
        <w:r w:rsidR="00095AA7">
          <w:t xml:space="preserve"> </w:t>
        </w:r>
        <w:smartTag w:uri="urn:schemas-microsoft-com:office:smarttags" w:element="PlaceType">
          <w:r w:rsidR="00095AA7">
            <w:t>Park</w:t>
          </w:r>
        </w:smartTag>
      </w:smartTag>
      <w:r w:rsidR="00095AA7">
        <w:t xml:space="preserve"> lesson (don’t be surprised if things to go wrong)</w:t>
      </w:r>
      <w:r w:rsidR="00EF2E49">
        <w:t xml:space="preserve">, to be able to say intelligent things about the tail events.  </w:t>
      </w:r>
    </w:p>
    <w:p w:rsidR="004E691F" w:rsidRDefault="004E691F" w:rsidP="00957966"/>
    <w:p w:rsidR="00957966" w:rsidRDefault="00FD5FD1" w:rsidP="00EB3884">
      <w:r>
        <w:t>What does</w:t>
      </w:r>
      <w:r w:rsidR="004E691F">
        <w:t xml:space="preserve"> “black swan” </w:t>
      </w:r>
      <w:r w:rsidR="00EB3884">
        <w:t xml:space="preserve">really </w:t>
      </w:r>
      <w:r>
        <w:t>mean</w:t>
      </w:r>
      <w:r w:rsidR="004E691F">
        <w:t xml:space="preserve">?   </w:t>
      </w:r>
      <w:r w:rsidR="00957966" w:rsidRPr="00957966">
        <w:t>I</w:t>
      </w:r>
      <w:r w:rsidR="009B27E7">
        <w:t>n my view, i</w:t>
      </w:r>
      <w:r w:rsidR="00957966" w:rsidRPr="00957966">
        <w:t xml:space="preserve">t </w:t>
      </w:r>
      <w:r w:rsidR="00957966" w:rsidRPr="00957966">
        <w:rPr>
          <w:i/>
          <w:iCs/>
        </w:rPr>
        <w:t>should</w:t>
      </w:r>
      <w:r>
        <w:t xml:space="preserve"> refer to</w:t>
      </w:r>
      <w:r w:rsidR="00957966" w:rsidRPr="00957966">
        <w:t xml:space="preserve"> an event</w:t>
      </w:r>
      <w:r>
        <w:t xml:space="preserve"> </w:t>
      </w:r>
      <w:r w:rsidR="00957966" w:rsidRPr="00957966">
        <w:t>that is considered</w:t>
      </w:r>
      <w:r w:rsidR="004E691F">
        <w:t xml:space="preserve"> virtually </w:t>
      </w:r>
      <w:r w:rsidR="00957966" w:rsidRPr="00957966">
        <w:t>impossible by those whose frame of reference is limited in time span and geographical area,</w:t>
      </w:r>
      <w:r>
        <w:t xml:space="preserve"> </w:t>
      </w:r>
      <w:r w:rsidR="00957966" w:rsidRPr="00957966">
        <w:t>but that is well withi</w:t>
      </w:r>
      <w:r w:rsidR="004E691F">
        <w:t xml:space="preserve">n the probability distribution </w:t>
      </w:r>
      <w:r w:rsidR="00957966" w:rsidRPr="00957966">
        <w:t>for those whose data set includes other countries and other decades or centuries.</w:t>
      </w:r>
      <w:r w:rsidR="00095AA7">
        <w:t xml:space="preserve">  </w:t>
      </w:r>
      <w:r w:rsidR="009B27E7">
        <w:t>Consider f</w:t>
      </w:r>
      <w:r w:rsidR="00095AA7">
        <w:t>ive examples</w:t>
      </w:r>
      <w:r w:rsidR="009F739F">
        <w:t xml:space="preserve"> of mistakes made by those whose memory does not extend beyond a few years or decades of personal experience in a small number of countries</w:t>
      </w:r>
      <w:r w:rsidR="00095AA7">
        <w:t>.</w:t>
      </w:r>
    </w:p>
    <w:p w:rsidR="00095AA7" w:rsidRDefault="00095AA7" w:rsidP="004E691F"/>
    <w:p w:rsidR="00095AA7" w:rsidRDefault="009F739F" w:rsidP="00EA69C6">
      <w:pPr>
        <w:numPr>
          <w:ilvl w:val="0"/>
          <w:numId w:val="4"/>
        </w:numPr>
      </w:pPr>
      <w:r>
        <w:t>“</w:t>
      </w:r>
      <w:r w:rsidR="00095AA7" w:rsidRPr="00095AA7">
        <w:t>All swans are white</w:t>
      </w:r>
      <w:r w:rsidR="00095AA7">
        <w:t>.</w:t>
      </w:r>
      <w:r>
        <w:t>”</w:t>
      </w:r>
      <w:r w:rsidR="00095AA7">
        <w:t xml:space="preserve">  The origin of the </w:t>
      </w:r>
      <w:r w:rsidR="009B27E7">
        <w:t xml:space="preserve">black swan </w:t>
      </w:r>
      <w:r w:rsidR="00095AA7">
        <w:t>metaphor was the belief</w:t>
      </w:r>
      <w:r w:rsidR="009B27E7">
        <w:t xml:space="preserve">, which might have been held by a </w:t>
      </w:r>
      <w:r w:rsidR="00095AA7">
        <w:t>1</w:t>
      </w:r>
      <w:r w:rsidR="009B27E7">
        <w:t>9</w:t>
      </w:r>
      <w:r w:rsidR="00095AA7" w:rsidRPr="00095AA7">
        <w:rPr>
          <w:vertAlign w:val="superscript"/>
        </w:rPr>
        <w:t>th</w:t>
      </w:r>
      <w:r w:rsidR="00095AA7">
        <w:t xml:space="preserve"> century </w:t>
      </w:r>
      <w:r w:rsidR="00095AA7" w:rsidRPr="00095AA7">
        <w:t>Engl</w:t>
      </w:r>
      <w:r w:rsidR="007064E4">
        <w:t>ishman based on induction from a lifetime of personal experience, that all swans were white</w:t>
      </w:r>
      <w:r w:rsidR="00095AA7">
        <w:t>.</w:t>
      </w:r>
      <w:r w:rsidR="00523EF5">
        <w:rPr>
          <w:rStyle w:val="FootnoteReference"/>
        </w:rPr>
        <w:footnoteReference w:id="1"/>
      </w:r>
      <w:r w:rsidR="00095AA7">
        <w:t xml:space="preserve">  But ornithologists </w:t>
      </w:r>
      <w:r w:rsidR="007064E4">
        <w:t xml:space="preserve">already </w:t>
      </w:r>
      <w:r w:rsidR="00095AA7">
        <w:t xml:space="preserve">knew that there </w:t>
      </w:r>
      <w:r w:rsidR="007064E4">
        <w:t xml:space="preserve">in fact </w:t>
      </w:r>
      <w:r w:rsidR="00095AA7">
        <w:t>exist</w:t>
      </w:r>
      <w:r w:rsidR="007064E4">
        <w:t>ed</w:t>
      </w:r>
      <w:r w:rsidR="00095AA7">
        <w:t xml:space="preserve"> bl</w:t>
      </w:r>
      <w:r w:rsidR="007064E4">
        <w:t xml:space="preserve">ack swans in </w:t>
      </w:r>
      <w:smartTag w:uri="urn:schemas-microsoft-com:office:smarttags" w:element="place">
        <w:smartTag w:uri="urn:schemas-microsoft-com:office:smarttags" w:element="country-region">
          <w:r w:rsidR="00EF0E7D">
            <w:t>Aust</w:t>
          </w:r>
          <w:r w:rsidR="00095AA7">
            <w:t>ralia</w:t>
          </w:r>
        </w:smartTag>
      </w:smartTag>
      <w:r w:rsidR="00095AA7">
        <w:t xml:space="preserve">.   </w:t>
      </w:r>
      <w:r w:rsidR="00EF0E7D">
        <w:t xml:space="preserve">An Englishman encountering a black swan for the first time </w:t>
      </w:r>
      <w:r w:rsidR="009B27E7">
        <w:t>might</w:t>
      </w:r>
      <w:r w:rsidR="00EF0E7D">
        <w:t xml:space="preserve"> have considered it a 7-standard deviation event, even when the relevant information </w:t>
      </w:r>
      <w:r w:rsidR="007064E4">
        <w:t>to the contrary had already been</w:t>
      </w:r>
      <w:r w:rsidR="00EF0E7D">
        <w:t xml:space="preserve"> available in ornithology books.</w:t>
      </w:r>
      <w:r w:rsidR="009B27E7">
        <w:t xml:space="preserve">  It seems to me that it is a waste of an excellent metaphor to use the term</w:t>
      </w:r>
      <w:r w:rsidR="00EB3884">
        <w:t xml:space="preserve"> just</w:t>
      </w:r>
      <w:r w:rsidR="009B27E7">
        <w:t xml:space="preserve"> to mean a highly unexpected event</w:t>
      </w:r>
      <w:r w:rsidR="009B27E7">
        <w:rPr>
          <w:rStyle w:val="FootnoteReference"/>
        </w:rPr>
        <w:footnoteReference w:id="2"/>
      </w:r>
      <w:r w:rsidR="009B27E7">
        <w:t>, and a much better use of it to mean an event that would not have been so unexpected ex ante if forecasters had adopted a broader perspective.</w:t>
      </w:r>
    </w:p>
    <w:p w:rsidR="00EF0E7D" w:rsidRPr="00095AA7" w:rsidRDefault="00EF0E7D" w:rsidP="00EF0E7D">
      <w:pPr>
        <w:ind w:left="360"/>
      </w:pPr>
    </w:p>
    <w:p w:rsidR="00095AA7" w:rsidRDefault="00EF0E7D" w:rsidP="00095AA7">
      <w:pPr>
        <w:numPr>
          <w:ilvl w:val="0"/>
          <w:numId w:val="4"/>
        </w:numPr>
      </w:pPr>
      <w:r>
        <w:t>“</w:t>
      </w:r>
      <w:r w:rsidR="00095AA7" w:rsidRPr="00095AA7">
        <w:t>Terrorists don’t blow up big office buildings.</w:t>
      </w:r>
      <w:r>
        <w:t>”   Before September 11, 2001, some terrorist experts warned that terrorists might try to blow up tall American office buildings.</w:t>
      </w:r>
      <w:r>
        <w:rPr>
          <w:rStyle w:val="FootnoteReference"/>
        </w:rPr>
        <w:footnoteReference w:id="3"/>
      </w:r>
      <w:r>
        <w:t xml:space="preserve">   These warnings were not taken seriously by those in power at the time.   Most Americans probably did not know the history of terrorist events taking place in other countries and in other decades.</w:t>
      </w:r>
      <w:r w:rsidR="00205F84">
        <w:t xml:space="preserve">   Still today, there is a large gap between the probability of a nuclear event as perceived by terrorism experts and the probability as perceived by the public.</w:t>
      </w:r>
    </w:p>
    <w:p w:rsidR="00EF0E7D" w:rsidRPr="00095AA7" w:rsidRDefault="00EF0E7D" w:rsidP="00205F84"/>
    <w:p w:rsidR="00095AA7" w:rsidRDefault="00205F84" w:rsidP="00095AA7">
      <w:pPr>
        <w:numPr>
          <w:ilvl w:val="0"/>
          <w:numId w:val="4"/>
        </w:numPr>
      </w:pPr>
      <w:r>
        <w:t>“</w:t>
      </w:r>
      <w:r w:rsidR="00095AA7" w:rsidRPr="00095AA7">
        <w:t>Housing prices don’t fall</w:t>
      </w:r>
      <w:r>
        <w:t xml:space="preserve">.” Many Americans up to 2006 based their behavior on the assumption that nominal housing prices, even if they slowed down, would not fall.   After all, they never had before, which meant that they had not fallen in living memory in the </w:t>
      </w:r>
      <w:smartTag w:uri="urn:schemas-microsoft-com:office:smarttags" w:element="country-region">
        <w:smartTag w:uri="urn:schemas-microsoft-com:office:smarttags" w:element="place">
          <w:r>
            <w:t>United States</w:t>
          </w:r>
        </w:smartTag>
      </w:smartTag>
      <w:r>
        <w:t xml:space="preserve">.   They may not have been aware that housing prices had often fallen in other countries, and in the </w:t>
      </w:r>
      <w:smartTag w:uri="urn:schemas-microsoft-com:office:smarttags" w:element="place">
        <w:smartTag w:uri="urn:schemas-microsoft-com:office:smarttags" w:element="country-region">
          <w:r>
            <w:t>US</w:t>
          </w:r>
        </w:smartTag>
      </w:smartTag>
      <w:r>
        <w:t xml:space="preserve"> before the 1940s</w:t>
      </w:r>
      <w:r w:rsidR="00095AA7" w:rsidRPr="00095AA7">
        <w:t>.</w:t>
      </w:r>
      <w:r w:rsidR="00373296">
        <w:t xml:space="preserve">  </w:t>
      </w:r>
      <w:r w:rsidR="00373296">
        <w:lastRenderedPageBreak/>
        <w:t xml:space="preserve">Needless to say, many a decision would have been made very differently, whether by </w:t>
      </w:r>
      <w:r w:rsidR="00954268">
        <w:t xml:space="preserve">indebted </w:t>
      </w:r>
      <w:r w:rsidR="00373296">
        <w:t xml:space="preserve">homeowners or </w:t>
      </w:r>
      <w:r w:rsidR="00954268">
        <w:t xml:space="preserve">leveraged </w:t>
      </w:r>
      <w:r w:rsidR="00373296">
        <w:t>bank executives, if they had thought there was a non-negligible chance of an outright decline</w:t>
      </w:r>
      <w:r w:rsidR="00954268">
        <w:t>.</w:t>
      </w:r>
      <w:r w:rsidR="009602D8">
        <w:rPr>
          <w:rStyle w:val="FootnoteReference"/>
        </w:rPr>
        <w:footnoteReference w:id="4"/>
      </w:r>
    </w:p>
    <w:p w:rsidR="00205F84" w:rsidRPr="00095AA7" w:rsidRDefault="00205F84" w:rsidP="00205F84"/>
    <w:p w:rsidR="00095AA7" w:rsidRPr="00095AA7" w:rsidRDefault="006F286A" w:rsidP="006F286A">
      <w:pPr>
        <w:numPr>
          <w:ilvl w:val="0"/>
          <w:numId w:val="4"/>
        </w:numPr>
      </w:pPr>
      <w:r>
        <w:t>“</w:t>
      </w:r>
      <w:r w:rsidR="00095AA7" w:rsidRPr="00095AA7">
        <w:t>Volatilities</w:t>
      </w:r>
      <w:r>
        <w:t xml:space="preserve"> are low.”   During the years 2004-06, financial markets perceived market risk as very low.  This was most nakedly visible in the implicit volatilities in options prices such as the </w:t>
      </w:r>
      <w:r w:rsidR="00095AA7" w:rsidRPr="00095AA7">
        <w:t>VIX</w:t>
      </w:r>
      <w:r>
        <w:t>.  But it was also manifest in junk bond spreads, sovereign spreads, and many other financial prices. I am convinced that one of the reasons for this historic mis-pricing of risk is that traders were plugging into their Black-Scholes formulas estimates of variances that went back only a few years, or at most a few decades (the period of the late great Moderation), when they should have gone back much farther – or better yet, formed judgments based on a more comprehensive assessment of what risks might lie in wait for the world economy.</w:t>
      </w:r>
      <w:r w:rsidR="00675C9A">
        <w:rPr>
          <w:rStyle w:val="FootnoteReference"/>
        </w:rPr>
        <w:footnoteReference w:id="5"/>
      </w:r>
    </w:p>
    <w:p w:rsidR="00954268" w:rsidRDefault="00954268" w:rsidP="00954268">
      <w:pPr>
        <w:ind w:left="360"/>
      </w:pPr>
    </w:p>
    <w:p w:rsidR="00954268" w:rsidRDefault="00954268" w:rsidP="00954268">
      <w:pPr>
        <w:numPr>
          <w:ilvl w:val="0"/>
          <w:numId w:val="4"/>
        </w:numPr>
      </w:pPr>
      <w:r>
        <w:t>“</w:t>
      </w:r>
      <w:r w:rsidR="00095AA7" w:rsidRPr="00095AA7">
        <w:t xml:space="preserve">Big banks don’t </w:t>
      </w:r>
      <w:r w:rsidR="006F286A">
        <w:t>fail</w:t>
      </w:r>
      <w:r w:rsidR="00095AA7" w:rsidRPr="00095AA7">
        <w:t>.</w:t>
      </w:r>
      <w:r>
        <w:t>”  Enough said.</w:t>
      </w:r>
    </w:p>
    <w:p w:rsidR="00954268" w:rsidRDefault="00954268" w:rsidP="00954268"/>
    <w:p w:rsidR="00095AA7" w:rsidRDefault="00954268" w:rsidP="00095AA7">
      <w:pPr>
        <w:numPr>
          <w:ilvl w:val="0"/>
          <w:numId w:val="4"/>
        </w:numPr>
      </w:pPr>
      <w:r>
        <w:t>“</w:t>
      </w:r>
      <w:r w:rsidR="00095AA7" w:rsidRPr="00095AA7">
        <w:t>European governments don’t default</w:t>
      </w:r>
      <w:r>
        <w:t>.”</w:t>
      </w:r>
      <w:r w:rsidR="005B306B">
        <w:t xml:space="preserve">  </w:t>
      </w:r>
      <w:smartTag w:uri="urn:schemas-microsoft-com:office:smarttags" w:element="country-region">
        <w:smartTag w:uri="urn:schemas-microsoft-com:office:smarttags" w:element="place">
          <w:r w:rsidR="005B306B">
            <w:t>Greece</w:t>
          </w:r>
        </w:smartTag>
      </w:smartTag>
      <w:r w:rsidR="005B306B">
        <w:t xml:space="preserve">’s recent debt troubles should not have caught anyone, least of all northern Europeans, by surprise.   The same with </w:t>
      </w:r>
      <w:smartTag w:uri="urn:schemas-microsoft-com:office:smarttags" w:element="country-region">
        <w:r w:rsidR="005B306B">
          <w:t>Portugal</w:t>
        </w:r>
      </w:smartTag>
      <w:r w:rsidR="005B306B">
        <w:t xml:space="preserve">, </w:t>
      </w:r>
      <w:smartTag w:uri="urn:schemas-microsoft-com:office:smarttags" w:element="country-region">
        <w:r w:rsidR="005B306B">
          <w:t>Spain</w:t>
        </w:r>
      </w:smartTag>
      <w:r w:rsidR="005B306B">
        <w:t xml:space="preserve">, </w:t>
      </w:r>
      <w:smartTag w:uri="urn:schemas-microsoft-com:office:smarttags" w:element="country-region">
        <w:r w:rsidR="005B306B">
          <w:t>Italy</w:t>
        </w:r>
      </w:smartTag>
      <w:r w:rsidR="005B306B">
        <w:t xml:space="preserve"> and </w:t>
      </w:r>
      <w:smartTag w:uri="urn:schemas-microsoft-com:office:smarttags" w:element="place">
        <w:smartTag w:uri="urn:schemas-microsoft-com:office:smarttags" w:element="country-region">
          <w:r w:rsidR="005B306B">
            <w:t>Ireland</w:t>
          </w:r>
        </w:smartTag>
      </w:smartTag>
      <w:r w:rsidR="005B306B">
        <w:t xml:space="preserve">.  And yet from the time they joined the euro, until 2009, these governments could borrow at interest rates virtually as low as </w:t>
      </w:r>
      <w:smartTag w:uri="urn:schemas-microsoft-com:office:smarttags" w:element="place">
        <w:smartTag w:uri="urn:schemas-microsoft-com:office:smarttags" w:element="country-region">
          <w:r w:rsidR="005B306B">
            <w:t>Germany</w:t>
          </w:r>
        </w:smartTag>
      </w:smartTag>
      <w:r w:rsidR="005B306B">
        <w:t>.   There are probably a number of reasons for this, but the perception that advanced countries in general, and euro countries in particular, were fundamentally different from emerging markets and would never default</w:t>
      </w:r>
      <w:r w:rsidR="00F30E6A">
        <w:t xml:space="preserve"> was undoubtedly part of the problem.</w:t>
      </w:r>
      <w:r w:rsidR="00482FFC" w:rsidRPr="00482FFC">
        <w:t xml:space="preserve"> </w:t>
      </w:r>
      <w:r w:rsidR="00482FFC">
        <w:t xml:space="preserve"> Suddenly, in 2010, the Greek sovereign spread shot up, exceeding 800% by June. </w:t>
      </w:r>
      <w:r w:rsidR="00F30E6A">
        <w:t>Even when the Greek</w:t>
      </w:r>
      <w:r w:rsidR="00482FFC">
        <w:t xml:space="preserve"> crisis erupted</w:t>
      </w:r>
      <w:r w:rsidR="00F30E6A">
        <w:t xml:space="preserve">, leaders in </w:t>
      </w:r>
      <w:smartTag w:uri="urn:schemas-microsoft-com:office:smarttags" w:element="City">
        <w:r w:rsidR="00F30E6A">
          <w:t>Brussels</w:t>
        </w:r>
      </w:smartTag>
      <w:r w:rsidR="00F30E6A">
        <w:t xml:space="preserve"> and </w:t>
      </w:r>
      <w:smartTag w:uri="urn:schemas-microsoft-com:office:smarttags" w:element="place">
        <w:r w:rsidR="00F30E6A">
          <w:t>Frankfurt</w:t>
        </w:r>
      </w:smartTag>
      <w:r w:rsidR="00F30E6A">
        <w:t xml:space="preserve"> seemed to view it as a black swan</w:t>
      </w:r>
      <w:r w:rsidR="00A40D7B">
        <w:t>, instead of recognizing it as a close cousin of the Argentine crisis of ten years earlier, the Mexican crisis of 1994, and many others in history, including among European countries.</w:t>
      </w:r>
      <w:r w:rsidR="004A652A">
        <w:rPr>
          <w:rStyle w:val="FootnoteReference"/>
        </w:rPr>
        <w:footnoteReference w:id="6"/>
      </w:r>
      <w:r w:rsidR="006D0467">
        <w:t xml:space="preserve">  </w:t>
      </w:r>
      <w:r w:rsidR="00482FFC">
        <w:t xml:space="preserve"> </w:t>
      </w:r>
    </w:p>
    <w:p w:rsidR="00482FFC" w:rsidRDefault="00482FFC" w:rsidP="00482FFC"/>
    <w:p w:rsidR="00482FFC" w:rsidRDefault="00482FFC" w:rsidP="00482FFC">
      <w:pPr>
        <w:ind w:left="360"/>
      </w:pPr>
      <w:r>
        <w:t>All of which is to say, I very much welcome the wide data net cast by Claessens, Kose and Terrones, in this and related papers.</w:t>
      </w:r>
    </w:p>
    <w:p w:rsidR="005A69C9" w:rsidRDefault="005A69C9" w:rsidP="00482FFC">
      <w:pPr>
        <w:ind w:left="360"/>
      </w:pPr>
    </w:p>
    <w:p w:rsidR="007F72CB" w:rsidRDefault="005A69C9" w:rsidP="007F72CB">
      <w:pPr>
        <w:ind w:left="360"/>
      </w:pPr>
      <w:r>
        <w:t xml:space="preserve">The authors explain </w:t>
      </w:r>
      <w:r w:rsidRPr="005A69C9">
        <w:t>“…in parallel with the business cycle literature, we use a well-established and reproducible methodology for the dating of financial downturns and upturns.”</w:t>
      </w:r>
      <w:r>
        <w:t xml:space="preserve">   </w:t>
      </w:r>
      <w:r w:rsidRPr="005A69C9">
        <w:t>Since this is an NBER conference, we should clarify that the NBER Business Cycle Dating Committee’s procedures</w:t>
      </w:r>
      <w:r w:rsidR="00046306">
        <w:t xml:space="preserve"> are </w:t>
      </w:r>
      <w:r>
        <w:t xml:space="preserve">far from reproducible.  We do not use </w:t>
      </w:r>
      <w:r w:rsidRPr="005A69C9">
        <w:t>rules of thumb</w:t>
      </w:r>
      <w:r>
        <w:t xml:space="preserve"> (no “two consecutive quarters negative GDP growth”), nor do we rely on an</w:t>
      </w:r>
      <w:r w:rsidRPr="005A69C9">
        <w:t xml:space="preserve"> econometric model.</w:t>
      </w:r>
      <w:r>
        <w:t xml:space="preserve">  I suppose I have to say that business cycle dating is “an art, not a s</w:t>
      </w:r>
      <w:r w:rsidRPr="005A69C9">
        <w:t>cience</w:t>
      </w:r>
      <w:r>
        <w:t>.</w:t>
      </w:r>
      <w:r w:rsidRPr="005A69C9">
        <w:t>”</w:t>
      </w:r>
      <w:r>
        <w:t xml:space="preserve">  But there are </w:t>
      </w:r>
      <w:r w:rsidRPr="005A69C9">
        <w:t>good reasons</w:t>
      </w:r>
      <w:r>
        <w:t xml:space="preserve"> for thinking that the calling of troughs and peaks could not be subcontracted to a model or computer.   </w:t>
      </w:r>
      <w:r w:rsidR="00EB2150">
        <w:t xml:space="preserve">I can </w:t>
      </w:r>
      <w:r>
        <w:t xml:space="preserve">reveal a </w:t>
      </w:r>
      <w:r>
        <w:lastRenderedPageBreak/>
        <w:t xml:space="preserve">few of many possible </w:t>
      </w:r>
      <w:r w:rsidR="00046306">
        <w:t xml:space="preserve">examples of </w:t>
      </w:r>
      <w:r>
        <w:t>judgments that we have had to make</w:t>
      </w:r>
      <w:r w:rsidR="00EB2150">
        <w:t xml:space="preserve">.   We put less weight on industrial production than we used to, because manufacturing is a smaller share of the economy.   We now put roughly as much weight on national income as on the far more famous measure GDP (which should in theory be identical).  </w:t>
      </w:r>
      <w:r>
        <w:t>T</w:t>
      </w:r>
      <w:r w:rsidRPr="005A69C9">
        <w:t>he data set is not big enough</w:t>
      </w:r>
      <w:r>
        <w:t>, and probably never will be, to allow econometrics to encompass all such subtleties</w:t>
      </w:r>
      <w:r w:rsidR="00EB2150">
        <w:t xml:space="preserve"> in a single unchanging formula</w:t>
      </w:r>
      <w:r w:rsidRPr="005A69C9">
        <w:t>.</w:t>
      </w:r>
      <w:r w:rsidR="006627F8">
        <w:t xml:space="preserve"> </w:t>
      </w:r>
      <w:r w:rsidR="007F72CB">
        <w:t>But the authors are right that the NBER business cycle</w:t>
      </w:r>
      <w:r w:rsidR="007F72CB" w:rsidRPr="007F72CB">
        <w:t xml:space="preserve"> methodology focuses on</w:t>
      </w:r>
      <w:r w:rsidR="007F72CB">
        <w:t xml:space="preserve"> changes in levels of variables.</w:t>
      </w:r>
      <w:r w:rsidR="007F72CB">
        <w:rPr>
          <w:rStyle w:val="FootnoteReference"/>
        </w:rPr>
        <w:footnoteReference w:id="7"/>
      </w:r>
    </w:p>
    <w:p w:rsidR="006627F8" w:rsidRDefault="006627F8" w:rsidP="007F72CB">
      <w:pPr>
        <w:ind w:left="360"/>
      </w:pPr>
    </w:p>
    <w:p w:rsidR="006627F8" w:rsidRDefault="006627F8" w:rsidP="006627F8">
      <w:r>
        <w:t xml:space="preserve">The paper </w:t>
      </w:r>
      <w:r w:rsidR="000E17F5">
        <w:t xml:space="preserve">contains </w:t>
      </w:r>
      <w:r>
        <w:t xml:space="preserve">an abundance of results and findings.  Perhaps an </w:t>
      </w:r>
      <w:r w:rsidR="000E17F5">
        <w:t>embarrassment of riches</w:t>
      </w:r>
      <w:r>
        <w:t>.</w:t>
      </w:r>
    </w:p>
    <w:p w:rsidR="006627F8" w:rsidRDefault="006627F8" w:rsidP="006627F8">
      <w:pPr>
        <w:ind w:left="360"/>
      </w:pPr>
    </w:p>
    <w:p w:rsidR="006251A1" w:rsidRDefault="006627F8" w:rsidP="00733A36">
      <w:r>
        <w:t>One finding is that f</w:t>
      </w:r>
      <w:r w:rsidRPr="006627F8">
        <w:t>inancial declines are more abrupt than upturns</w:t>
      </w:r>
      <w:r>
        <w:t>.  This f</w:t>
      </w:r>
      <w:r w:rsidRPr="006627F8">
        <w:t xml:space="preserve">its </w:t>
      </w:r>
      <w:r>
        <w:t xml:space="preserve">the </w:t>
      </w:r>
      <w:r w:rsidRPr="006627F8">
        <w:t>conventional wisdom</w:t>
      </w:r>
      <w:r>
        <w:t xml:space="preserve"> regarding financial crashes, b</w:t>
      </w:r>
      <w:r w:rsidRPr="006627F8">
        <w:t xml:space="preserve">ut </w:t>
      </w:r>
      <w:r>
        <w:t xml:space="preserve">is </w:t>
      </w:r>
      <w:r w:rsidRPr="006627F8">
        <w:t>not what I had understood from other papers.</w:t>
      </w:r>
      <w:r>
        <w:t xml:space="preserve">  I wonder if this finding is the result of evidently working with a frequency that is too high to pick up booms such as 2003-08. </w:t>
      </w:r>
      <w:r w:rsidR="00FD1C10">
        <w:t xml:space="preserve">  </w:t>
      </w:r>
      <w:r>
        <w:t>A second finding is that e</w:t>
      </w:r>
      <w:r w:rsidRPr="006627F8">
        <w:t xml:space="preserve">quity &amp; house </w:t>
      </w:r>
      <w:r w:rsidR="00FD1C10">
        <w:t xml:space="preserve">price cycles are (even) longer </w:t>
      </w:r>
      <w:r w:rsidRPr="006627F8">
        <w:t>and more pronounced than others</w:t>
      </w:r>
      <w:r>
        <w:t>.  Another is that h</w:t>
      </w:r>
      <w:r w:rsidRPr="006627F8">
        <w:t>ou</w:t>
      </w:r>
      <w:r w:rsidR="00733A36">
        <w:t>sing recoveries take more than three</w:t>
      </w:r>
      <w:r w:rsidRPr="006627F8">
        <w:t xml:space="preserve"> years.</w:t>
      </w:r>
      <w:r w:rsidR="00FD1C10">
        <w:t xml:space="preserve"> </w:t>
      </w:r>
      <w:r w:rsidR="00733A36">
        <w:t>(Reinhart-Rogoff find that it typically takes equity markets 3-4 years to recover and housing markets five years.)</w:t>
      </w:r>
      <w:r w:rsidR="00FD1C10">
        <w:t xml:space="preserve">  Another is that there has been a s</w:t>
      </w:r>
      <w:r w:rsidRPr="006627F8">
        <w:t xml:space="preserve">hortening </w:t>
      </w:r>
      <w:r w:rsidR="006251A1">
        <w:t xml:space="preserve">in length </w:t>
      </w:r>
      <w:r w:rsidRPr="006627F8">
        <w:t>of</w:t>
      </w:r>
      <w:r w:rsidR="00FD1C10">
        <w:t xml:space="preserve"> </w:t>
      </w:r>
      <w:r w:rsidRPr="006627F8">
        <w:t>equity price cycles and</w:t>
      </w:r>
      <w:r w:rsidR="00FD1C10">
        <w:t xml:space="preserve"> </w:t>
      </w:r>
      <w:r w:rsidRPr="006627F8">
        <w:t>housing price upturns.</w:t>
      </w:r>
      <w:r w:rsidR="006251A1">
        <w:t xml:space="preserve">  The authors also find positive duration dependence: </w:t>
      </w:r>
      <w:r w:rsidR="006251A1" w:rsidRPr="006251A1">
        <w:t xml:space="preserve"> the longer a cycle lasts, the more likely a reverse.</w:t>
      </w:r>
      <w:r w:rsidR="006251A1">
        <w:t xml:space="preserve">  </w:t>
      </w:r>
    </w:p>
    <w:p w:rsidR="006251A1" w:rsidRDefault="006251A1" w:rsidP="006251A1"/>
    <w:p w:rsidR="006251A1" w:rsidRPr="006251A1" w:rsidRDefault="006251A1" w:rsidP="006251A1">
      <w:smartTag w:uri="urn:schemas-microsoft-com:office:smarttags" w:element="country-region">
        <w:smartTag w:uri="urn:schemas-microsoft-com:office:smarttags" w:element="place">
          <w:r w:rsidRPr="006251A1">
            <w:t>U.S.</w:t>
          </w:r>
        </w:smartTag>
      </w:smartTag>
      <w:r w:rsidRPr="006251A1">
        <w:t xml:space="preserve"> asset prices have stronger effects in EU,</w:t>
      </w:r>
      <w:r>
        <w:t xml:space="preserve"> </w:t>
      </w:r>
      <w:r w:rsidRPr="006251A1">
        <w:t>than vice versa.</w:t>
      </w:r>
      <w:r>
        <w:t xml:space="preserve">  This is a familiar asymmetry.   But I still wonder why.   The </w:t>
      </w:r>
      <w:r w:rsidRPr="006251A1">
        <w:t xml:space="preserve">EU is as large as </w:t>
      </w:r>
      <w:r>
        <w:t xml:space="preserve">the </w:t>
      </w:r>
      <w:smartTag w:uri="urn:schemas-microsoft-com:office:smarttags" w:element="country-region">
        <w:smartTag w:uri="urn:schemas-microsoft-com:office:smarttags" w:element="place">
          <w:r w:rsidRPr="006251A1">
            <w:t>US</w:t>
          </w:r>
        </w:smartTag>
      </w:smartTag>
      <w:r w:rsidRPr="006251A1">
        <w:t>.</w:t>
      </w:r>
      <w:r>
        <w:t xml:space="preserve">  Most of the explanations that I used to hear (e.g., that European countries care more about stabilizing their exchange rate than does the </w:t>
      </w:r>
      <w:smartTag w:uri="urn:schemas-microsoft-com:office:smarttags" w:element="place">
        <w:smartTag w:uri="urn:schemas-microsoft-com:office:smarttags" w:element="country-region">
          <w:r>
            <w:t>U.S.</w:t>
          </w:r>
        </w:smartTag>
      </w:smartTag>
      <w:r>
        <w:t>) do not apply now that we have the euro.</w:t>
      </w:r>
    </w:p>
    <w:p w:rsidR="005A69C9" w:rsidRDefault="005A69C9" w:rsidP="003B01EA"/>
    <w:p w:rsidR="003B01EA" w:rsidRPr="003B01EA" w:rsidRDefault="003B01EA" w:rsidP="002F6452">
      <w:r>
        <w:t xml:space="preserve">Finally, </w:t>
      </w:r>
      <w:r w:rsidRPr="003B01EA">
        <w:t>“Greate</w:t>
      </w:r>
      <w:r w:rsidR="002F6452">
        <w:t xml:space="preserve">r trade and financial openness </w:t>
      </w:r>
      <w:r w:rsidRPr="003B01EA">
        <w:t>are significantly associated wi</w:t>
      </w:r>
      <w:r w:rsidR="002F6452">
        <w:t>th shorter financial downturns.”   I would like this to be true, and have myself found that trade openness has in the past lead to fewer and less severe crises.</w:t>
      </w:r>
      <w:r w:rsidR="002F6452">
        <w:rPr>
          <w:rStyle w:val="FootnoteReference"/>
        </w:rPr>
        <w:footnoteReference w:id="8"/>
      </w:r>
      <w:r w:rsidR="002F6452">
        <w:t xml:space="preserve">  </w:t>
      </w:r>
      <w:r w:rsidRPr="003B01EA">
        <w:t xml:space="preserve">But I am skeptical </w:t>
      </w:r>
      <w:r w:rsidR="002F6452">
        <w:t xml:space="preserve">whether this pattern applies also </w:t>
      </w:r>
      <w:r w:rsidRPr="003B01EA">
        <w:t>to the 2008-09 crisis</w:t>
      </w:r>
      <w:r w:rsidR="002F6452">
        <w:t>.</w:t>
      </w:r>
      <w:r w:rsidR="002F6452">
        <w:rPr>
          <w:rStyle w:val="FootnoteReference"/>
        </w:rPr>
        <w:footnoteReference w:id="9"/>
      </w:r>
    </w:p>
    <w:p w:rsidR="003B01EA" w:rsidRPr="00095AA7" w:rsidRDefault="003B01EA" w:rsidP="003B01EA"/>
    <w:p w:rsidR="00095AA7" w:rsidRPr="00957966" w:rsidRDefault="00095AA7" w:rsidP="004E691F"/>
    <w:p w:rsidR="00957966" w:rsidRPr="00D85DAC" w:rsidRDefault="00957966" w:rsidP="00D85DAC"/>
    <w:p w:rsidR="00F171D7" w:rsidRPr="007F1CB8" w:rsidRDefault="00F171D7" w:rsidP="007F1CB8">
      <w:pPr>
        <w:jc w:val="center"/>
        <w:rPr>
          <w:b/>
          <w:i/>
          <w:u w:val="single"/>
        </w:rPr>
      </w:pPr>
    </w:p>
    <w:p w:rsidR="00F171D7" w:rsidRPr="007F1CB8" w:rsidRDefault="004D5CFB" w:rsidP="007F1CB8">
      <w:pPr>
        <w:jc w:val="center"/>
        <w:rPr>
          <w:b/>
          <w:i/>
          <w:u w:val="single"/>
        </w:rPr>
      </w:pPr>
      <w:r w:rsidRPr="007F1CB8">
        <w:rPr>
          <w:b/>
          <w:i/>
          <w:u w:val="single"/>
        </w:rPr>
        <w:t>References</w:t>
      </w:r>
    </w:p>
    <w:p w:rsidR="004D5CFB" w:rsidRDefault="004D5CFB"/>
    <w:p w:rsidR="007F1CB8" w:rsidRDefault="007F1CB8" w:rsidP="00720A07">
      <w:r>
        <w:t>Burns</w:t>
      </w:r>
      <w:r w:rsidR="00720A07">
        <w:t>, Arthur,</w:t>
      </w:r>
      <w:r>
        <w:t xml:space="preserve"> and </w:t>
      </w:r>
      <w:r w:rsidR="00720A07">
        <w:t xml:space="preserve">Wesley </w:t>
      </w:r>
      <w:r>
        <w:t>Mitchell</w:t>
      </w:r>
      <w:r w:rsidR="00720A07">
        <w:t xml:space="preserve">, 1946, </w:t>
      </w:r>
      <w:r w:rsidR="00720A07" w:rsidRPr="00720A07">
        <w:rPr>
          <w:i/>
          <w:iCs/>
        </w:rPr>
        <w:t>Measuring Business Cycles</w:t>
      </w:r>
      <w:r w:rsidR="00720A07">
        <w:t xml:space="preserve"> (National Bureau of Economic Research, NY).</w:t>
      </w:r>
    </w:p>
    <w:p w:rsidR="004D5CFB" w:rsidRDefault="004D5CFB" w:rsidP="004D5CFB"/>
    <w:p w:rsidR="007F1CB8" w:rsidRDefault="007F1CB8" w:rsidP="00675C9A">
      <w:r>
        <w:lastRenderedPageBreak/>
        <w:t xml:space="preserve">Cavallo, Eduardo, and Jeffrey Frankel, </w:t>
      </w:r>
      <w:r w:rsidR="00675C9A">
        <w:t xml:space="preserve">2008, </w:t>
      </w:r>
      <w:r w:rsidR="004D5CFB">
        <w:t>“Does Openness to Trade Make Countries More Vulnerable to Sudden Stops, or Less?</w:t>
      </w:r>
      <w:r>
        <w:t xml:space="preserve"> </w:t>
      </w:r>
      <w:r w:rsidR="004D5CFB">
        <w:t xml:space="preserve">Using Gravity to Establish Causality” </w:t>
      </w:r>
      <w:r w:rsidR="004D5CFB" w:rsidRPr="00EC678D">
        <w:rPr>
          <w:u w:val="single"/>
        </w:rPr>
        <w:t>Journal of International Money and Finance</w:t>
      </w:r>
      <w:hyperlink r:id="rId7" w:history="1">
        <w:r w:rsidR="00675C9A">
          <w:rPr>
            <w:rStyle w:val="Hyperlink"/>
            <w:color w:val="auto"/>
            <w:u w:val="none"/>
          </w:rPr>
          <w:t xml:space="preserve"> 27, no.</w:t>
        </w:r>
        <w:r w:rsidR="004D5CFB" w:rsidRPr="007F1CB8">
          <w:rPr>
            <w:rStyle w:val="Hyperlink"/>
            <w:color w:val="auto"/>
            <w:u w:val="none"/>
          </w:rPr>
          <w:t xml:space="preserve"> 8</w:t>
        </w:r>
      </w:hyperlink>
      <w:r w:rsidR="004D5CFB" w:rsidRPr="007F1CB8">
        <w:t>,</w:t>
      </w:r>
      <w:r w:rsidR="00675C9A">
        <w:t xml:space="preserve"> Dec.</w:t>
      </w:r>
      <w:r w:rsidR="004D5CFB" w:rsidRPr="00A34D82">
        <w:t>, 1430-1452</w:t>
      </w:r>
      <w:r w:rsidR="004D5CFB">
        <w:t xml:space="preserve">. </w:t>
      </w:r>
    </w:p>
    <w:p w:rsidR="008C2101" w:rsidRDefault="008C2101" w:rsidP="004D5CFB"/>
    <w:p w:rsidR="008C2101" w:rsidRDefault="008C2101" w:rsidP="008C2101">
      <w:pPr>
        <w:rPr>
          <w:lang w:val="en"/>
        </w:rPr>
      </w:pPr>
      <w:r>
        <w:t xml:space="preserve">Clarke, Richard, </w:t>
      </w:r>
      <w:r w:rsidRPr="008C2101">
        <w:t>2004</w:t>
      </w:r>
      <w:r w:rsidRPr="008C2101">
        <w:rPr>
          <w:i/>
        </w:rPr>
        <w:t>,</w:t>
      </w:r>
      <w:r>
        <w:rPr>
          <w:i/>
        </w:rPr>
        <w:t xml:space="preserve"> </w:t>
      </w:r>
      <w:r w:rsidRPr="008C2101">
        <w:rPr>
          <w:i/>
          <w:iCs/>
          <w:lang w:val="en"/>
        </w:rPr>
        <w:t xml:space="preserve">Against All Enemies: Inside </w:t>
      </w:r>
      <w:smartTag w:uri="urn:schemas-microsoft-com:office:smarttags" w:element="place">
        <w:smartTag w:uri="urn:schemas-microsoft-com:office:smarttags" w:element="country-region">
          <w:r w:rsidRPr="008C2101">
            <w:rPr>
              <w:i/>
              <w:iCs/>
              <w:lang w:val="en"/>
            </w:rPr>
            <w:t>America</w:t>
          </w:r>
        </w:smartTag>
      </w:smartTag>
      <w:r w:rsidRPr="008C2101">
        <w:rPr>
          <w:i/>
          <w:iCs/>
          <w:lang w:val="en"/>
        </w:rPr>
        <w:t xml:space="preserve">'s War on </w:t>
      </w:r>
      <w:r w:rsidR="00497C1E" w:rsidRPr="008C2101">
        <w:rPr>
          <w:i/>
          <w:iCs/>
          <w:lang w:val="en"/>
        </w:rPr>
        <w:t>Terror</w:t>
      </w:r>
      <w:r w:rsidR="00497C1E">
        <w:rPr>
          <w:i/>
          <w:iCs/>
          <w:lang w:val="en"/>
        </w:rPr>
        <w:t xml:space="preserve"> </w:t>
      </w:r>
      <w:r w:rsidR="00497C1E" w:rsidRPr="008C2101">
        <w:rPr>
          <w:i/>
          <w:iCs/>
          <w:lang w:val="en"/>
        </w:rPr>
        <w:t>(</w:t>
      </w:r>
      <w:r w:rsidRPr="008C2101">
        <w:rPr>
          <w:lang w:val="en"/>
        </w:rPr>
        <w:t>Free Press).</w:t>
      </w:r>
    </w:p>
    <w:p w:rsidR="00675C9A" w:rsidRDefault="00675C9A" w:rsidP="008C2101">
      <w:pPr>
        <w:rPr>
          <w:lang w:val="en"/>
        </w:rPr>
      </w:pPr>
    </w:p>
    <w:p w:rsidR="00675C9A" w:rsidRPr="001D39B3" w:rsidRDefault="00675C9A" w:rsidP="00675C9A">
      <w:r>
        <w:t>Frankel, Jeffrey, 2008, “</w:t>
      </w:r>
      <w:r w:rsidRPr="001D39B3">
        <w:t>Carried Away:</w:t>
      </w:r>
      <w:r>
        <w:t xml:space="preserve"> Everything You Wanted to Know About the Carry Trade,</w:t>
      </w:r>
      <w:r w:rsidR="00497C1E">
        <w:t>” Milken</w:t>
      </w:r>
      <w:r w:rsidRPr="001D39B3">
        <w:rPr>
          <w:i/>
        </w:rPr>
        <w:t xml:space="preserve"> Institute </w:t>
      </w:r>
      <w:r w:rsidRPr="003D0BFE">
        <w:rPr>
          <w:i/>
        </w:rPr>
        <w:t>Review</w:t>
      </w:r>
      <w:r>
        <w:rPr>
          <w:i/>
        </w:rPr>
        <w:t>,</w:t>
      </w:r>
      <w:r w:rsidRPr="003D0BFE">
        <w:t xml:space="preserve"> 1</w:t>
      </w:r>
      <w:r w:rsidRPr="003D0BFE">
        <w:rPr>
          <w:vertAlign w:val="superscript"/>
        </w:rPr>
        <w:t>st</w:t>
      </w:r>
      <w:r>
        <w:t xml:space="preserve"> quarter</w:t>
      </w:r>
      <w:r>
        <w:rPr>
          <w:i/>
        </w:rPr>
        <w:t>.</w:t>
      </w:r>
    </w:p>
    <w:p w:rsidR="007F1CB8" w:rsidRDefault="007F1CB8" w:rsidP="004D5CFB"/>
    <w:p w:rsidR="004D5CFB" w:rsidRDefault="007F1CB8" w:rsidP="00720A07">
      <w:r>
        <w:t xml:space="preserve">Frankel, Jeffrey, and George Saravelos, </w:t>
      </w:r>
      <w:r w:rsidR="00720A07">
        <w:t xml:space="preserve">2010. "Are Leading Indicators of Financial Crises Useful for Assessing Country Vulnerability? </w:t>
      </w:r>
      <w:r w:rsidR="00497C1E">
        <w:t xml:space="preserve">Evidence from the 2008-09 Global Crisis” NBER WP </w:t>
      </w:r>
      <w:hyperlink r:id="rId8" w:history="1">
        <w:r w:rsidR="00497C1E">
          <w:rPr>
            <w:rStyle w:val="Hyperlink"/>
            <w:color w:val="auto"/>
            <w:u w:val="none"/>
          </w:rPr>
          <w:t>no.16047, </w:t>
        </w:r>
        <w:r w:rsidR="00497C1E" w:rsidRPr="00720A07">
          <w:rPr>
            <w:rStyle w:val="Hyperlink"/>
            <w:color w:val="auto"/>
            <w:u w:val="none"/>
          </w:rPr>
          <w:t>June</w:t>
        </w:r>
      </w:hyperlink>
      <w:r w:rsidR="00497C1E" w:rsidRPr="00720A07">
        <w:t>.</w:t>
      </w:r>
    </w:p>
    <w:p w:rsidR="00EF535F" w:rsidRDefault="00EF535F" w:rsidP="00720A07"/>
    <w:p w:rsidR="00EF535F" w:rsidRPr="00523EF5" w:rsidRDefault="00EF535F" w:rsidP="00720A07">
      <w:r>
        <w:t xml:space="preserve">Mill, John Stuart, 1843, </w:t>
      </w:r>
      <w:r w:rsidRPr="00EF535F">
        <w:rPr>
          <w:i/>
          <w:iCs/>
        </w:rPr>
        <w:t>A System of Logic: Ratiocinative and Inductive</w:t>
      </w:r>
      <w:r w:rsidRPr="00523EF5">
        <w:t>.</w:t>
      </w:r>
      <w:r w:rsidR="00523EF5" w:rsidRPr="00523EF5">
        <w:t xml:space="preserve"> (Harper and Brothers: </w:t>
      </w:r>
      <w:smartTag w:uri="urn:schemas-microsoft-com:office:smarttags" w:element="City">
        <w:smartTag w:uri="urn:schemas-microsoft-com:office:smarttags" w:element="place">
          <w:r w:rsidR="00523EF5" w:rsidRPr="00523EF5">
            <w:t>London</w:t>
          </w:r>
        </w:smartTag>
      </w:smartTag>
      <w:r w:rsidR="00523EF5" w:rsidRPr="00523EF5">
        <w:t>)</w:t>
      </w:r>
      <w:r w:rsidR="00523EF5">
        <w:t>.</w:t>
      </w:r>
    </w:p>
    <w:p w:rsidR="00720A07" w:rsidRDefault="00720A07" w:rsidP="004D5CFB"/>
    <w:p w:rsidR="00720A07" w:rsidRDefault="00720A07" w:rsidP="00720A07">
      <w:r>
        <w:t xml:space="preserve">Reinhart, Carmen, and Kenneth Rogoff, 2009, </w:t>
      </w:r>
      <w:r w:rsidRPr="00720A07">
        <w:rPr>
          <w:i/>
          <w:iCs/>
        </w:rPr>
        <w:t>This</w:t>
      </w:r>
      <w:r>
        <w:rPr>
          <w:i/>
          <w:iCs/>
        </w:rPr>
        <w:t xml:space="preserve"> Time is Different: </w:t>
      </w:r>
      <w:r w:rsidRPr="00720A07">
        <w:rPr>
          <w:i/>
          <w:iCs/>
        </w:rPr>
        <w:t>Eight Centuries of Financial Folly</w:t>
      </w:r>
      <w:r>
        <w:t xml:space="preserve"> (Princeton University Press).  </w:t>
      </w:r>
    </w:p>
    <w:p w:rsidR="00C109BB" w:rsidRDefault="00C109BB" w:rsidP="00C109BB"/>
    <w:p w:rsidR="005E6635" w:rsidRPr="00C109BB" w:rsidRDefault="005E6635" w:rsidP="00B32367">
      <w:pPr>
        <w:shd w:val="clear" w:color="auto" w:fill="FFFFFF"/>
        <w:rPr>
          <w:rFonts w:ascii="Tahoma" w:hAnsi="Tahoma" w:cs="Tahoma"/>
          <w:sz w:val="17"/>
          <w:szCs w:val="17"/>
        </w:rPr>
      </w:pPr>
      <w:r>
        <w:t xml:space="preserve">Shiller, Robert, 2007, </w:t>
      </w:r>
      <w:r w:rsidRPr="005E6635">
        <w:rPr>
          <w:i/>
          <w:iCs/>
          <w:color w:val="000000"/>
        </w:rPr>
        <w:t xml:space="preserve">Understanding Recent </w:t>
      </w:r>
      <w:r>
        <w:rPr>
          <w:i/>
          <w:iCs/>
          <w:color w:val="000000"/>
        </w:rPr>
        <w:t xml:space="preserve">Trends in House Prices and Home </w:t>
      </w:r>
      <w:r w:rsidRPr="005E6635">
        <w:rPr>
          <w:i/>
          <w:iCs/>
          <w:color w:val="000000"/>
        </w:rPr>
        <w:t>Ownership</w:t>
      </w:r>
      <w:r w:rsidRPr="005E6635">
        <w:rPr>
          <w:color w:val="000000"/>
        </w:rPr>
        <w:t xml:space="preserve"> </w:t>
      </w:r>
      <w:hyperlink r:id="rId9" w:anchor="###" w:history="1">
        <w:r w:rsidRPr="005E6635">
          <w:rPr>
            <w:rStyle w:val="Hyperlink"/>
            <w:color w:val="auto"/>
            <w:u w:val="none"/>
          </w:rPr>
          <w:t>Cowles Foundation Discussion Paper No. 1630</w:t>
        </w:r>
      </w:hyperlink>
      <w:r w:rsidRPr="005E6635">
        <w:rPr>
          <w:rFonts w:ascii="Tahoma" w:hAnsi="Tahoma" w:cs="Tahoma"/>
          <w:sz w:val="17"/>
          <w:szCs w:val="17"/>
        </w:rPr>
        <w:t xml:space="preserve"> </w:t>
      </w:r>
      <w:r w:rsidR="00C109BB">
        <w:rPr>
          <w:rFonts w:ascii="Tahoma" w:hAnsi="Tahoma" w:cs="Tahoma"/>
          <w:sz w:val="17"/>
          <w:szCs w:val="17"/>
        </w:rPr>
        <w:t>.</w:t>
      </w:r>
      <w:r w:rsidR="00C109BB">
        <w:rPr>
          <w:rFonts w:ascii="Tahoma" w:hAnsi="Tahoma" w:cs="Tahoma"/>
          <w:sz w:val="17"/>
          <w:szCs w:val="17"/>
        </w:rPr>
        <w:br/>
      </w:r>
      <w:r w:rsidR="00C109BB">
        <w:rPr>
          <w:rFonts w:ascii="Tahoma" w:hAnsi="Tahoma" w:cs="Tahoma"/>
          <w:sz w:val="17"/>
          <w:szCs w:val="17"/>
        </w:rPr>
        <w:br/>
      </w:r>
      <w:r w:rsidR="00C109BB">
        <w:rPr>
          <w:sz w:val="22"/>
          <w:szCs w:val="22"/>
          <w:lang w:val="en"/>
        </w:rPr>
        <w:t xml:space="preserve">Taleb, Nassim Nicholas, 2007, </w:t>
      </w:r>
      <w:r w:rsidR="00C109BB" w:rsidRPr="00C109BB">
        <w:rPr>
          <w:i/>
          <w:iCs/>
          <w:sz w:val="22"/>
          <w:szCs w:val="22"/>
          <w:lang w:val="en"/>
        </w:rPr>
        <w:t>The Black Swan</w:t>
      </w:r>
      <w:r w:rsidR="00B32367">
        <w:rPr>
          <w:i/>
          <w:iCs/>
          <w:sz w:val="22"/>
          <w:szCs w:val="22"/>
          <w:lang w:val="en"/>
        </w:rPr>
        <w:t>: The Impact of the Highly Improbable</w:t>
      </w:r>
      <w:r w:rsidR="00C109BB">
        <w:rPr>
          <w:sz w:val="22"/>
          <w:szCs w:val="22"/>
          <w:lang w:val="en"/>
        </w:rPr>
        <w:t xml:space="preserve"> (Penguin).</w:t>
      </w:r>
    </w:p>
    <w:p w:rsidR="00720A07" w:rsidRDefault="00720A07" w:rsidP="004D5CFB"/>
    <w:sectPr w:rsidR="00720A07">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C7A" w:rsidRDefault="003F6C7A">
      <w:r>
        <w:separator/>
      </w:r>
    </w:p>
  </w:endnote>
  <w:endnote w:type="continuationSeparator" w:id="0">
    <w:p w:rsidR="003F6C7A" w:rsidRDefault="003F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9A" w:rsidRDefault="003C279A" w:rsidP="00B045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279A" w:rsidRDefault="003C279A" w:rsidP="0004630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9A" w:rsidRDefault="003C279A" w:rsidP="00B045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0CE7">
      <w:rPr>
        <w:rStyle w:val="PageNumber"/>
        <w:noProof/>
      </w:rPr>
      <w:t>1</w:t>
    </w:r>
    <w:r>
      <w:rPr>
        <w:rStyle w:val="PageNumber"/>
      </w:rPr>
      <w:fldChar w:fldCharType="end"/>
    </w:r>
  </w:p>
  <w:p w:rsidR="003C279A" w:rsidRDefault="003C279A" w:rsidP="0004630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C7A" w:rsidRDefault="003F6C7A">
      <w:r>
        <w:separator/>
      </w:r>
    </w:p>
  </w:footnote>
  <w:footnote w:type="continuationSeparator" w:id="0">
    <w:p w:rsidR="003F6C7A" w:rsidRDefault="003F6C7A">
      <w:r>
        <w:continuationSeparator/>
      </w:r>
    </w:p>
  </w:footnote>
  <w:footnote w:id="1">
    <w:p w:rsidR="003C279A" w:rsidRDefault="003C279A" w:rsidP="00523EF5">
      <w:pPr>
        <w:pStyle w:val="FootnoteText"/>
      </w:pPr>
      <w:r>
        <w:rPr>
          <w:rStyle w:val="FootnoteReference"/>
        </w:rPr>
        <w:footnoteRef/>
      </w:r>
      <w:r>
        <w:t xml:space="preserve"> Mill (1843, p.188).   The proposition that all swans are white goes back to ancient Roman philosophy.   European explorers in 1697 discovered that Australian swans were in fact </w:t>
      </w:r>
      <w:r w:rsidR="00497C1E">
        <w:t>black.</w:t>
      </w:r>
    </w:p>
  </w:footnote>
  <w:footnote w:id="2">
    <w:p w:rsidR="003C279A" w:rsidRDefault="003C279A">
      <w:pPr>
        <w:pStyle w:val="FootnoteText"/>
      </w:pPr>
      <w:r>
        <w:rPr>
          <w:rStyle w:val="FootnoteReference"/>
        </w:rPr>
        <w:footnoteRef/>
      </w:r>
      <w:r>
        <w:t xml:space="preserve"> Taleb (2007).</w:t>
      </w:r>
    </w:p>
  </w:footnote>
  <w:footnote w:id="3">
    <w:p w:rsidR="003C279A" w:rsidRPr="008C2101" w:rsidRDefault="003C279A" w:rsidP="008C2101">
      <w:pPr>
        <w:pStyle w:val="FootnoteText"/>
      </w:pPr>
      <w:r>
        <w:rPr>
          <w:rStyle w:val="FootnoteReference"/>
        </w:rPr>
        <w:footnoteRef/>
      </w:r>
      <w:r>
        <w:t xml:space="preserve"> They included the anti-terrorism director at the National Security Council in the Clinton and Bush Administrations.   Clarke (2004).  </w:t>
      </w:r>
    </w:p>
  </w:footnote>
  <w:footnote w:id="4">
    <w:p w:rsidR="003C279A" w:rsidRDefault="003C279A">
      <w:pPr>
        <w:pStyle w:val="FootnoteText"/>
      </w:pPr>
      <w:r>
        <w:rPr>
          <w:rStyle w:val="FootnoteReference"/>
        </w:rPr>
        <w:footnoteRef/>
      </w:r>
      <w:r>
        <w:t xml:space="preserve"> Shiller (2007).</w:t>
      </w:r>
    </w:p>
  </w:footnote>
  <w:footnote w:id="5">
    <w:p w:rsidR="003C279A" w:rsidRDefault="003C279A">
      <w:pPr>
        <w:pStyle w:val="FootnoteText"/>
      </w:pPr>
      <w:r>
        <w:rPr>
          <w:rStyle w:val="FootnoteReference"/>
        </w:rPr>
        <w:footnoteRef/>
      </w:r>
      <w:r>
        <w:t xml:space="preserve"> E.g., Frankel (2008).</w:t>
      </w:r>
    </w:p>
  </w:footnote>
  <w:footnote w:id="6">
    <w:p w:rsidR="003C279A" w:rsidRDefault="003C279A">
      <w:pPr>
        <w:pStyle w:val="FootnoteText"/>
      </w:pPr>
      <w:r>
        <w:rPr>
          <w:rStyle w:val="FootnoteReference"/>
        </w:rPr>
        <w:footnoteRef/>
      </w:r>
      <w:r>
        <w:t xml:space="preserve">  In, 2006 all Western European countries had credit ratings above those of all emerging markets.   As </w:t>
      </w:r>
      <w:r w:rsidR="00497C1E">
        <w:t>of June</w:t>
      </w:r>
      <w:r>
        <w:t xml:space="preserve"> 2010, the ratings of </w:t>
      </w:r>
      <w:smartTag w:uri="urn:schemas-microsoft-com:office:smarttags" w:element="country-region">
        <w:r>
          <w:t>Greece</w:t>
        </w:r>
      </w:smartTag>
      <w:r>
        <w:t xml:space="preserve"> and </w:t>
      </w:r>
      <w:smartTag w:uri="urn:schemas-microsoft-com:office:smarttags" w:element="country-region">
        <w:r>
          <w:t>Iceland</w:t>
        </w:r>
      </w:smartTag>
      <w:r>
        <w:t xml:space="preserve">, to take two, had fallen below </w:t>
      </w:r>
      <w:smartTag w:uri="urn:schemas-microsoft-com:office:smarttags" w:element="country-region">
        <w:r>
          <w:t>Chile</w:t>
        </w:r>
      </w:smartTag>
      <w:r>
        <w:t xml:space="preserve">, </w:t>
      </w:r>
      <w:smartTag w:uri="urn:schemas-microsoft-com:office:smarttags" w:element="country-region">
        <w:r>
          <w:t>China</w:t>
        </w:r>
      </w:smartTag>
      <w:r>
        <w:t xml:space="preserve">, </w:t>
      </w:r>
      <w:smartTag w:uri="urn:schemas-microsoft-com:office:smarttags" w:element="country-region">
        <w:r>
          <w:t>Malaysia</w:t>
        </w:r>
      </w:smartTag>
      <w:r>
        <w:t xml:space="preserve">, </w:t>
      </w:r>
      <w:smartTag w:uri="urn:schemas-microsoft-com:office:smarttags" w:element="country-region">
        <w:r>
          <w:t>South Africa</w:t>
        </w:r>
      </w:smartTag>
      <w:r>
        <w:t xml:space="preserve">, </w:t>
      </w:r>
      <w:smartTag w:uri="urn:schemas-microsoft-com:office:smarttags" w:element="country-region">
        <w:smartTag w:uri="urn:schemas-microsoft-com:office:smarttags" w:element="place">
          <w:r>
            <w:t>Mexico</w:t>
          </w:r>
        </w:smartTag>
      </w:smartTag>
      <w:r>
        <w:t xml:space="preserve">, and many other emerging and developing countries.   (S&amp;P foreign currency long-term sovereign debt, obtained from </w:t>
      </w:r>
      <w:r w:rsidR="00497C1E">
        <w:t>Bloomberg, L.P</w:t>
      </w:r>
      <w:r>
        <w:t xml:space="preserve">.)  </w:t>
      </w:r>
    </w:p>
  </w:footnote>
  <w:footnote w:id="7">
    <w:p w:rsidR="003C279A" w:rsidRDefault="003C279A" w:rsidP="00EF535F">
      <w:pPr>
        <w:pStyle w:val="FootnoteText"/>
      </w:pPr>
      <w:r>
        <w:rPr>
          <w:rStyle w:val="FootnoteReference"/>
        </w:rPr>
        <w:footnoteRef/>
      </w:r>
      <w:r>
        <w:t xml:space="preserve"> Footnote 24 of the paper.   </w:t>
      </w:r>
      <w:r w:rsidRPr="007F72CB">
        <w:t>Burns and Mitchell (1946)</w:t>
      </w:r>
      <w:r>
        <w:t>.</w:t>
      </w:r>
    </w:p>
  </w:footnote>
  <w:footnote w:id="8">
    <w:p w:rsidR="003C279A" w:rsidRDefault="003C279A">
      <w:pPr>
        <w:pStyle w:val="FootnoteText"/>
      </w:pPr>
      <w:r>
        <w:rPr>
          <w:rStyle w:val="FootnoteReference"/>
        </w:rPr>
        <w:footnoteRef/>
      </w:r>
      <w:r>
        <w:t xml:space="preserve"> </w:t>
      </w:r>
      <w:r w:rsidRPr="003B01EA">
        <w:t>Frankel &amp; Cavallo (2008)</w:t>
      </w:r>
      <w:r>
        <w:t>.  References to others with similar findings are given there.</w:t>
      </w:r>
    </w:p>
  </w:footnote>
  <w:footnote w:id="9">
    <w:p w:rsidR="003C279A" w:rsidRDefault="003C279A">
      <w:pPr>
        <w:pStyle w:val="FootnoteText"/>
      </w:pPr>
      <w:r>
        <w:rPr>
          <w:rStyle w:val="FootnoteReference"/>
        </w:rPr>
        <w:footnoteRef/>
      </w:r>
      <w:r>
        <w:t xml:space="preserve"> In </w:t>
      </w:r>
      <w:r w:rsidRPr="003B01EA">
        <w:t xml:space="preserve">Frankel &amp; Saravelos (2010) </w:t>
      </w:r>
      <w:r>
        <w:t xml:space="preserve">we find that openness is not one of the </w:t>
      </w:r>
      <w:r w:rsidRPr="003B01EA">
        <w:t>Early Warning Indicators</w:t>
      </w:r>
      <w:r>
        <w:t xml:space="preserve"> from the preceding literature that is able to predict which countries got into trouble in 2008-09 and which did not.</w:t>
      </w:r>
      <w:r w:rsidRPr="003B01EA">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0728"/>
    <w:multiLevelType w:val="hybridMultilevel"/>
    <w:tmpl w:val="516E7B5E"/>
    <w:lvl w:ilvl="0" w:tplc="26166464">
      <w:start w:val="1"/>
      <w:numFmt w:val="bullet"/>
      <w:lvlText w:val=""/>
      <w:lvlJc w:val="left"/>
      <w:pPr>
        <w:tabs>
          <w:tab w:val="num" w:pos="720"/>
        </w:tabs>
        <w:ind w:left="720" w:hanging="360"/>
      </w:pPr>
      <w:rPr>
        <w:rFonts w:ascii="Wingdings" w:hAnsi="Wingdings" w:hint="default"/>
      </w:rPr>
    </w:lvl>
    <w:lvl w:ilvl="1" w:tplc="A5089680">
      <w:start w:val="228"/>
      <w:numFmt w:val="bullet"/>
      <w:lvlText w:val=""/>
      <w:lvlJc w:val="left"/>
      <w:pPr>
        <w:tabs>
          <w:tab w:val="num" w:pos="1440"/>
        </w:tabs>
        <w:ind w:left="1440" w:hanging="360"/>
      </w:pPr>
      <w:rPr>
        <w:rFonts w:ascii="Wingdings" w:hAnsi="Wingdings" w:hint="default"/>
      </w:rPr>
    </w:lvl>
    <w:lvl w:ilvl="2" w:tplc="3B14F05E" w:tentative="1">
      <w:start w:val="1"/>
      <w:numFmt w:val="bullet"/>
      <w:lvlText w:val=""/>
      <w:lvlJc w:val="left"/>
      <w:pPr>
        <w:tabs>
          <w:tab w:val="num" w:pos="2160"/>
        </w:tabs>
        <w:ind w:left="2160" w:hanging="360"/>
      </w:pPr>
      <w:rPr>
        <w:rFonts w:ascii="Wingdings" w:hAnsi="Wingdings" w:hint="default"/>
      </w:rPr>
    </w:lvl>
    <w:lvl w:ilvl="3" w:tplc="E634EEA4" w:tentative="1">
      <w:start w:val="1"/>
      <w:numFmt w:val="bullet"/>
      <w:lvlText w:val=""/>
      <w:lvlJc w:val="left"/>
      <w:pPr>
        <w:tabs>
          <w:tab w:val="num" w:pos="2880"/>
        </w:tabs>
        <w:ind w:left="2880" w:hanging="360"/>
      </w:pPr>
      <w:rPr>
        <w:rFonts w:ascii="Wingdings" w:hAnsi="Wingdings" w:hint="default"/>
      </w:rPr>
    </w:lvl>
    <w:lvl w:ilvl="4" w:tplc="BD5AC924" w:tentative="1">
      <w:start w:val="1"/>
      <w:numFmt w:val="bullet"/>
      <w:lvlText w:val=""/>
      <w:lvlJc w:val="left"/>
      <w:pPr>
        <w:tabs>
          <w:tab w:val="num" w:pos="3600"/>
        </w:tabs>
        <w:ind w:left="3600" w:hanging="360"/>
      </w:pPr>
      <w:rPr>
        <w:rFonts w:ascii="Wingdings" w:hAnsi="Wingdings" w:hint="default"/>
      </w:rPr>
    </w:lvl>
    <w:lvl w:ilvl="5" w:tplc="035AE4C0" w:tentative="1">
      <w:start w:val="1"/>
      <w:numFmt w:val="bullet"/>
      <w:lvlText w:val=""/>
      <w:lvlJc w:val="left"/>
      <w:pPr>
        <w:tabs>
          <w:tab w:val="num" w:pos="4320"/>
        </w:tabs>
        <w:ind w:left="4320" w:hanging="360"/>
      </w:pPr>
      <w:rPr>
        <w:rFonts w:ascii="Wingdings" w:hAnsi="Wingdings" w:hint="default"/>
      </w:rPr>
    </w:lvl>
    <w:lvl w:ilvl="6" w:tplc="5D8AD2F2" w:tentative="1">
      <w:start w:val="1"/>
      <w:numFmt w:val="bullet"/>
      <w:lvlText w:val=""/>
      <w:lvlJc w:val="left"/>
      <w:pPr>
        <w:tabs>
          <w:tab w:val="num" w:pos="5040"/>
        </w:tabs>
        <w:ind w:left="5040" w:hanging="360"/>
      </w:pPr>
      <w:rPr>
        <w:rFonts w:ascii="Wingdings" w:hAnsi="Wingdings" w:hint="default"/>
      </w:rPr>
    </w:lvl>
    <w:lvl w:ilvl="7" w:tplc="3D1E0510" w:tentative="1">
      <w:start w:val="1"/>
      <w:numFmt w:val="bullet"/>
      <w:lvlText w:val=""/>
      <w:lvlJc w:val="left"/>
      <w:pPr>
        <w:tabs>
          <w:tab w:val="num" w:pos="5760"/>
        </w:tabs>
        <w:ind w:left="5760" w:hanging="360"/>
      </w:pPr>
      <w:rPr>
        <w:rFonts w:ascii="Wingdings" w:hAnsi="Wingdings" w:hint="default"/>
      </w:rPr>
    </w:lvl>
    <w:lvl w:ilvl="8" w:tplc="A30C9318" w:tentative="1">
      <w:start w:val="1"/>
      <w:numFmt w:val="bullet"/>
      <w:lvlText w:val=""/>
      <w:lvlJc w:val="left"/>
      <w:pPr>
        <w:tabs>
          <w:tab w:val="num" w:pos="6480"/>
        </w:tabs>
        <w:ind w:left="6480" w:hanging="360"/>
      </w:pPr>
      <w:rPr>
        <w:rFonts w:ascii="Wingdings" w:hAnsi="Wingdings" w:hint="default"/>
      </w:rPr>
    </w:lvl>
  </w:abstractNum>
  <w:abstractNum w:abstractNumId="1">
    <w:nsid w:val="07FE49EF"/>
    <w:multiLevelType w:val="hybridMultilevel"/>
    <w:tmpl w:val="55E47228"/>
    <w:lvl w:ilvl="0" w:tplc="F57049E6">
      <w:start w:val="1"/>
      <w:numFmt w:val="bullet"/>
      <w:lvlText w:val=""/>
      <w:lvlJc w:val="left"/>
      <w:pPr>
        <w:tabs>
          <w:tab w:val="num" w:pos="720"/>
        </w:tabs>
        <w:ind w:left="720" w:hanging="360"/>
      </w:pPr>
      <w:rPr>
        <w:rFonts w:ascii="Wingdings" w:hAnsi="Wingdings" w:hint="default"/>
      </w:rPr>
    </w:lvl>
    <w:lvl w:ilvl="1" w:tplc="523E831C" w:tentative="1">
      <w:start w:val="1"/>
      <w:numFmt w:val="bullet"/>
      <w:lvlText w:val=""/>
      <w:lvlJc w:val="left"/>
      <w:pPr>
        <w:tabs>
          <w:tab w:val="num" w:pos="1440"/>
        </w:tabs>
        <w:ind w:left="1440" w:hanging="360"/>
      </w:pPr>
      <w:rPr>
        <w:rFonts w:ascii="Wingdings" w:hAnsi="Wingdings" w:hint="default"/>
      </w:rPr>
    </w:lvl>
    <w:lvl w:ilvl="2" w:tplc="309C3B14" w:tentative="1">
      <w:start w:val="1"/>
      <w:numFmt w:val="bullet"/>
      <w:lvlText w:val=""/>
      <w:lvlJc w:val="left"/>
      <w:pPr>
        <w:tabs>
          <w:tab w:val="num" w:pos="2160"/>
        </w:tabs>
        <w:ind w:left="2160" w:hanging="360"/>
      </w:pPr>
      <w:rPr>
        <w:rFonts w:ascii="Wingdings" w:hAnsi="Wingdings" w:hint="default"/>
      </w:rPr>
    </w:lvl>
    <w:lvl w:ilvl="3" w:tplc="F30EF0A2" w:tentative="1">
      <w:start w:val="1"/>
      <w:numFmt w:val="bullet"/>
      <w:lvlText w:val=""/>
      <w:lvlJc w:val="left"/>
      <w:pPr>
        <w:tabs>
          <w:tab w:val="num" w:pos="2880"/>
        </w:tabs>
        <w:ind w:left="2880" w:hanging="360"/>
      </w:pPr>
      <w:rPr>
        <w:rFonts w:ascii="Wingdings" w:hAnsi="Wingdings" w:hint="default"/>
      </w:rPr>
    </w:lvl>
    <w:lvl w:ilvl="4" w:tplc="14C676FA" w:tentative="1">
      <w:start w:val="1"/>
      <w:numFmt w:val="bullet"/>
      <w:lvlText w:val=""/>
      <w:lvlJc w:val="left"/>
      <w:pPr>
        <w:tabs>
          <w:tab w:val="num" w:pos="3600"/>
        </w:tabs>
        <w:ind w:left="3600" w:hanging="360"/>
      </w:pPr>
      <w:rPr>
        <w:rFonts w:ascii="Wingdings" w:hAnsi="Wingdings" w:hint="default"/>
      </w:rPr>
    </w:lvl>
    <w:lvl w:ilvl="5" w:tplc="B4607B00" w:tentative="1">
      <w:start w:val="1"/>
      <w:numFmt w:val="bullet"/>
      <w:lvlText w:val=""/>
      <w:lvlJc w:val="left"/>
      <w:pPr>
        <w:tabs>
          <w:tab w:val="num" w:pos="4320"/>
        </w:tabs>
        <w:ind w:left="4320" w:hanging="360"/>
      </w:pPr>
      <w:rPr>
        <w:rFonts w:ascii="Wingdings" w:hAnsi="Wingdings" w:hint="default"/>
      </w:rPr>
    </w:lvl>
    <w:lvl w:ilvl="6" w:tplc="46A8286C" w:tentative="1">
      <w:start w:val="1"/>
      <w:numFmt w:val="bullet"/>
      <w:lvlText w:val=""/>
      <w:lvlJc w:val="left"/>
      <w:pPr>
        <w:tabs>
          <w:tab w:val="num" w:pos="5040"/>
        </w:tabs>
        <w:ind w:left="5040" w:hanging="360"/>
      </w:pPr>
      <w:rPr>
        <w:rFonts w:ascii="Wingdings" w:hAnsi="Wingdings" w:hint="default"/>
      </w:rPr>
    </w:lvl>
    <w:lvl w:ilvl="7" w:tplc="1548D48A" w:tentative="1">
      <w:start w:val="1"/>
      <w:numFmt w:val="bullet"/>
      <w:lvlText w:val=""/>
      <w:lvlJc w:val="left"/>
      <w:pPr>
        <w:tabs>
          <w:tab w:val="num" w:pos="5760"/>
        </w:tabs>
        <w:ind w:left="5760" w:hanging="360"/>
      </w:pPr>
      <w:rPr>
        <w:rFonts w:ascii="Wingdings" w:hAnsi="Wingdings" w:hint="default"/>
      </w:rPr>
    </w:lvl>
    <w:lvl w:ilvl="8" w:tplc="60B0AD44" w:tentative="1">
      <w:start w:val="1"/>
      <w:numFmt w:val="bullet"/>
      <w:lvlText w:val=""/>
      <w:lvlJc w:val="left"/>
      <w:pPr>
        <w:tabs>
          <w:tab w:val="num" w:pos="6480"/>
        </w:tabs>
        <w:ind w:left="6480" w:hanging="360"/>
      </w:pPr>
      <w:rPr>
        <w:rFonts w:ascii="Wingdings" w:hAnsi="Wingdings" w:hint="default"/>
      </w:rPr>
    </w:lvl>
  </w:abstractNum>
  <w:abstractNum w:abstractNumId="2">
    <w:nsid w:val="18F10C7E"/>
    <w:multiLevelType w:val="hybridMultilevel"/>
    <w:tmpl w:val="F1107BBE"/>
    <w:lvl w:ilvl="0" w:tplc="A894C6D6">
      <w:start w:val="1"/>
      <w:numFmt w:val="bullet"/>
      <w:lvlText w:val=""/>
      <w:lvlJc w:val="left"/>
      <w:pPr>
        <w:tabs>
          <w:tab w:val="num" w:pos="720"/>
        </w:tabs>
        <w:ind w:left="720" w:hanging="360"/>
      </w:pPr>
      <w:rPr>
        <w:rFonts w:ascii="Wingdings" w:hAnsi="Wingdings" w:hint="default"/>
      </w:rPr>
    </w:lvl>
    <w:lvl w:ilvl="1" w:tplc="AF221C84">
      <w:start w:val="228"/>
      <w:numFmt w:val="bullet"/>
      <w:lvlText w:val=""/>
      <w:lvlJc w:val="left"/>
      <w:pPr>
        <w:tabs>
          <w:tab w:val="num" w:pos="1440"/>
        </w:tabs>
        <w:ind w:left="1440" w:hanging="360"/>
      </w:pPr>
      <w:rPr>
        <w:rFonts w:ascii="Wingdings" w:hAnsi="Wingdings" w:hint="default"/>
      </w:rPr>
    </w:lvl>
    <w:lvl w:ilvl="2" w:tplc="60482C76" w:tentative="1">
      <w:start w:val="1"/>
      <w:numFmt w:val="bullet"/>
      <w:lvlText w:val=""/>
      <w:lvlJc w:val="left"/>
      <w:pPr>
        <w:tabs>
          <w:tab w:val="num" w:pos="2160"/>
        </w:tabs>
        <w:ind w:left="2160" w:hanging="360"/>
      </w:pPr>
      <w:rPr>
        <w:rFonts w:ascii="Wingdings" w:hAnsi="Wingdings" w:hint="default"/>
      </w:rPr>
    </w:lvl>
    <w:lvl w:ilvl="3" w:tplc="2ED8678A" w:tentative="1">
      <w:start w:val="1"/>
      <w:numFmt w:val="bullet"/>
      <w:lvlText w:val=""/>
      <w:lvlJc w:val="left"/>
      <w:pPr>
        <w:tabs>
          <w:tab w:val="num" w:pos="2880"/>
        </w:tabs>
        <w:ind w:left="2880" w:hanging="360"/>
      </w:pPr>
      <w:rPr>
        <w:rFonts w:ascii="Wingdings" w:hAnsi="Wingdings" w:hint="default"/>
      </w:rPr>
    </w:lvl>
    <w:lvl w:ilvl="4" w:tplc="AE58F10A" w:tentative="1">
      <w:start w:val="1"/>
      <w:numFmt w:val="bullet"/>
      <w:lvlText w:val=""/>
      <w:lvlJc w:val="left"/>
      <w:pPr>
        <w:tabs>
          <w:tab w:val="num" w:pos="3600"/>
        </w:tabs>
        <w:ind w:left="3600" w:hanging="360"/>
      </w:pPr>
      <w:rPr>
        <w:rFonts w:ascii="Wingdings" w:hAnsi="Wingdings" w:hint="default"/>
      </w:rPr>
    </w:lvl>
    <w:lvl w:ilvl="5" w:tplc="9D98547A" w:tentative="1">
      <w:start w:val="1"/>
      <w:numFmt w:val="bullet"/>
      <w:lvlText w:val=""/>
      <w:lvlJc w:val="left"/>
      <w:pPr>
        <w:tabs>
          <w:tab w:val="num" w:pos="4320"/>
        </w:tabs>
        <w:ind w:left="4320" w:hanging="360"/>
      </w:pPr>
      <w:rPr>
        <w:rFonts w:ascii="Wingdings" w:hAnsi="Wingdings" w:hint="default"/>
      </w:rPr>
    </w:lvl>
    <w:lvl w:ilvl="6" w:tplc="5164EA8C" w:tentative="1">
      <w:start w:val="1"/>
      <w:numFmt w:val="bullet"/>
      <w:lvlText w:val=""/>
      <w:lvlJc w:val="left"/>
      <w:pPr>
        <w:tabs>
          <w:tab w:val="num" w:pos="5040"/>
        </w:tabs>
        <w:ind w:left="5040" w:hanging="360"/>
      </w:pPr>
      <w:rPr>
        <w:rFonts w:ascii="Wingdings" w:hAnsi="Wingdings" w:hint="default"/>
      </w:rPr>
    </w:lvl>
    <w:lvl w:ilvl="7" w:tplc="8E0CDB1C" w:tentative="1">
      <w:start w:val="1"/>
      <w:numFmt w:val="bullet"/>
      <w:lvlText w:val=""/>
      <w:lvlJc w:val="left"/>
      <w:pPr>
        <w:tabs>
          <w:tab w:val="num" w:pos="5760"/>
        </w:tabs>
        <w:ind w:left="5760" w:hanging="360"/>
      </w:pPr>
      <w:rPr>
        <w:rFonts w:ascii="Wingdings" w:hAnsi="Wingdings" w:hint="default"/>
      </w:rPr>
    </w:lvl>
    <w:lvl w:ilvl="8" w:tplc="4C5CD3BA" w:tentative="1">
      <w:start w:val="1"/>
      <w:numFmt w:val="bullet"/>
      <w:lvlText w:val=""/>
      <w:lvlJc w:val="left"/>
      <w:pPr>
        <w:tabs>
          <w:tab w:val="num" w:pos="6480"/>
        </w:tabs>
        <w:ind w:left="6480" w:hanging="360"/>
      </w:pPr>
      <w:rPr>
        <w:rFonts w:ascii="Wingdings" w:hAnsi="Wingdings" w:hint="default"/>
      </w:rPr>
    </w:lvl>
  </w:abstractNum>
  <w:abstractNum w:abstractNumId="3">
    <w:nsid w:val="230F1E47"/>
    <w:multiLevelType w:val="hybridMultilevel"/>
    <w:tmpl w:val="88BC311C"/>
    <w:lvl w:ilvl="0" w:tplc="5D2CCB3C">
      <w:start w:val="1"/>
      <w:numFmt w:val="decimal"/>
      <w:lvlText w:val="%1."/>
      <w:lvlJc w:val="left"/>
      <w:pPr>
        <w:tabs>
          <w:tab w:val="num" w:pos="720"/>
        </w:tabs>
        <w:ind w:left="720" w:hanging="360"/>
      </w:pPr>
    </w:lvl>
    <w:lvl w:ilvl="1" w:tplc="68646028" w:tentative="1">
      <w:start w:val="1"/>
      <w:numFmt w:val="decimal"/>
      <w:lvlText w:val="%2."/>
      <w:lvlJc w:val="left"/>
      <w:pPr>
        <w:tabs>
          <w:tab w:val="num" w:pos="1440"/>
        </w:tabs>
        <w:ind w:left="1440" w:hanging="360"/>
      </w:pPr>
    </w:lvl>
    <w:lvl w:ilvl="2" w:tplc="41327B7C" w:tentative="1">
      <w:start w:val="1"/>
      <w:numFmt w:val="decimal"/>
      <w:lvlText w:val="%3."/>
      <w:lvlJc w:val="left"/>
      <w:pPr>
        <w:tabs>
          <w:tab w:val="num" w:pos="2160"/>
        </w:tabs>
        <w:ind w:left="2160" w:hanging="360"/>
      </w:pPr>
    </w:lvl>
    <w:lvl w:ilvl="3" w:tplc="BA4433A0" w:tentative="1">
      <w:start w:val="1"/>
      <w:numFmt w:val="decimal"/>
      <w:lvlText w:val="%4."/>
      <w:lvlJc w:val="left"/>
      <w:pPr>
        <w:tabs>
          <w:tab w:val="num" w:pos="2880"/>
        </w:tabs>
        <w:ind w:left="2880" w:hanging="360"/>
      </w:pPr>
    </w:lvl>
    <w:lvl w:ilvl="4" w:tplc="077A292C" w:tentative="1">
      <w:start w:val="1"/>
      <w:numFmt w:val="decimal"/>
      <w:lvlText w:val="%5."/>
      <w:lvlJc w:val="left"/>
      <w:pPr>
        <w:tabs>
          <w:tab w:val="num" w:pos="3600"/>
        </w:tabs>
        <w:ind w:left="3600" w:hanging="360"/>
      </w:pPr>
    </w:lvl>
    <w:lvl w:ilvl="5" w:tplc="C4520C82" w:tentative="1">
      <w:start w:val="1"/>
      <w:numFmt w:val="decimal"/>
      <w:lvlText w:val="%6."/>
      <w:lvlJc w:val="left"/>
      <w:pPr>
        <w:tabs>
          <w:tab w:val="num" w:pos="4320"/>
        </w:tabs>
        <w:ind w:left="4320" w:hanging="360"/>
      </w:pPr>
    </w:lvl>
    <w:lvl w:ilvl="6" w:tplc="39560A68" w:tentative="1">
      <w:start w:val="1"/>
      <w:numFmt w:val="decimal"/>
      <w:lvlText w:val="%7."/>
      <w:lvlJc w:val="left"/>
      <w:pPr>
        <w:tabs>
          <w:tab w:val="num" w:pos="5040"/>
        </w:tabs>
        <w:ind w:left="5040" w:hanging="360"/>
      </w:pPr>
    </w:lvl>
    <w:lvl w:ilvl="7" w:tplc="B9103810" w:tentative="1">
      <w:start w:val="1"/>
      <w:numFmt w:val="decimal"/>
      <w:lvlText w:val="%8."/>
      <w:lvlJc w:val="left"/>
      <w:pPr>
        <w:tabs>
          <w:tab w:val="num" w:pos="5760"/>
        </w:tabs>
        <w:ind w:left="5760" w:hanging="360"/>
      </w:pPr>
    </w:lvl>
    <w:lvl w:ilvl="8" w:tplc="43A810A8" w:tentative="1">
      <w:start w:val="1"/>
      <w:numFmt w:val="decimal"/>
      <w:lvlText w:val="%9."/>
      <w:lvlJc w:val="left"/>
      <w:pPr>
        <w:tabs>
          <w:tab w:val="num" w:pos="6480"/>
        </w:tabs>
        <w:ind w:left="6480" w:hanging="360"/>
      </w:pPr>
    </w:lvl>
  </w:abstractNum>
  <w:abstractNum w:abstractNumId="4">
    <w:nsid w:val="26D14E67"/>
    <w:multiLevelType w:val="hybridMultilevel"/>
    <w:tmpl w:val="F5C6338C"/>
    <w:lvl w:ilvl="0" w:tplc="DFDEE5E6">
      <w:start w:val="1"/>
      <w:numFmt w:val="bullet"/>
      <w:lvlText w:val=""/>
      <w:lvlJc w:val="left"/>
      <w:pPr>
        <w:tabs>
          <w:tab w:val="num" w:pos="720"/>
        </w:tabs>
        <w:ind w:left="720" w:hanging="360"/>
      </w:pPr>
      <w:rPr>
        <w:rFonts w:ascii="Wingdings" w:hAnsi="Wingdings" w:hint="default"/>
      </w:rPr>
    </w:lvl>
    <w:lvl w:ilvl="1" w:tplc="35CC1F00" w:tentative="1">
      <w:start w:val="1"/>
      <w:numFmt w:val="bullet"/>
      <w:lvlText w:val=""/>
      <w:lvlJc w:val="left"/>
      <w:pPr>
        <w:tabs>
          <w:tab w:val="num" w:pos="1440"/>
        </w:tabs>
        <w:ind w:left="1440" w:hanging="360"/>
      </w:pPr>
      <w:rPr>
        <w:rFonts w:ascii="Wingdings" w:hAnsi="Wingdings" w:hint="default"/>
      </w:rPr>
    </w:lvl>
    <w:lvl w:ilvl="2" w:tplc="9594B85C" w:tentative="1">
      <w:start w:val="1"/>
      <w:numFmt w:val="bullet"/>
      <w:lvlText w:val=""/>
      <w:lvlJc w:val="left"/>
      <w:pPr>
        <w:tabs>
          <w:tab w:val="num" w:pos="2160"/>
        </w:tabs>
        <w:ind w:left="2160" w:hanging="360"/>
      </w:pPr>
      <w:rPr>
        <w:rFonts w:ascii="Wingdings" w:hAnsi="Wingdings" w:hint="default"/>
      </w:rPr>
    </w:lvl>
    <w:lvl w:ilvl="3" w:tplc="3D4A9F4A" w:tentative="1">
      <w:start w:val="1"/>
      <w:numFmt w:val="bullet"/>
      <w:lvlText w:val=""/>
      <w:lvlJc w:val="left"/>
      <w:pPr>
        <w:tabs>
          <w:tab w:val="num" w:pos="2880"/>
        </w:tabs>
        <w:ind w:left="2880" w:hanging="360"/>
      </w:pPr>
      <w:rPr>
        <w:rFonts w:ascii="Wingdings" w:hAnsi="Wingdings" w:hint="default"/>
      </w:rPr>
    </w:lvl>
    <w:lvl w:ilvl="4" w:tplc="49083A22" w:tentative="1">
      <w:start w:val="1"/>
      <w:numFmt w:val="bullet"/>
      <w:lvlText w:val=""/>
      <w:lvlJc w:val="left"/>
      <w:pPr>
        <w:tabs>
          <w:tab w:val="num" w:pos="3600"/>
        </w:tabs>
        <w:ind w:left="3600" w:hanging="360"/>
      </w:pPr>
      <w:rPr>
        <w:rFonts w:ascii="Wingdings" w:hAnsi="Wingdings" w:hint="default"/>
      </w:rPr>
    </w:lvl>
    <w:lvl w:ilvl="5" w:tplc="780CD2BE" w:tentative="1">
      <w:start w:val="1"/>
      <w:numFmt w:val="bullet"/>
      <w:lvlText w:val=""/>
      <w:lvlJc w:val="left"/>
      <w:pPr>
        <w:tabs>
          <w:tab w:val="num" w:pos="4320"/>
        </w:tabs>
        <w:ind w:left="4320" w:hanging="360"/>
      </w:pPr>
      <w:rPr>
        <w:rFonts w:ascii="Wingdings" w:hAnsi="Wingdings" w:hint="default"/>
      </w:rPr>
    </w:lvl>
    <w:lvl w:ilvl="6" w:tplc="5666059A" w:tentative="1">
      <w:start w:val="1"/>
      <w:numFmt w:val="bullet"/>
      <w:lvlText w:val=""/>
      <w:lvlJc w:val="left"/>
      <w:pPr>
        <w:tabs>
          <w:tab w:val="num" w:pos="5040"/>
        </w:tabs>
        <w:ind w:left="5040" w:hanging="360"/>
      </w:pPr>
      <w:rPr>
        <w:rFonts w:ascii="Wingdings" w:hAnsi="Wingdings" w:hint="default"/>
      </w:rPr>
    </w:lvl>
    <w:lvl w:ilvl="7" w:tplc="3D92879C" w:tentative="1">
      <w:start w:val="1"/>
      <w:numFmt w:val="bullet"/>
      <w:lvlText w:val=""/>
      <w:lvlJc w:val="left"/>
      <w:pPr>
        <w:tabs>
          <w:tab w:val="num" w:pos="5760"/>
        </w:tabs>
        <w:ind w:left="5760" w:hanging="360"/>
      </w:pPr>
      <w:rPr>
        <w:rFonts w:ascii="Wingdings" w:hAnsi="Wingdings" w:hint="default"/>
      </w:rPr>
    </w:lvl>
    <w:lvl w:ilvl="8" w:tplc="D7FEB40E" w:tentative="1">
      <w:start w:val="1"/>
      <w:numFmt w:val="bullet"/>
      <w:lvlText w:val=""/>
      <w:lvlJc w:val="left"/>
      <w:pPr>
        <w:tabs>
          <w:tab w:val="num" w:pos="6480"/>
        </w:tabs>
        <w:ind w:left="6480" w:hanging="360"/>
      </w:pPr>
      <w:rPr>
        <w:rFonts w:ascii="Wingdings" w:hAnsi="Wingdings" w:hint="default"/>
      </w:rPr>
    </w:lvl>
  </w:abstractNum>
  <w:abstractNum w:abstractNumId="5">
    <w:nsid w:val="305A2AC0"/>
    <w:multiLevelType w:val="hybridMultilevel"/>
    <w:tmpl w:val="69BA802E"/>
    <w:lvl w:ilvl="0" w:tplc="07E410A8">
      <w:start w:val="1"/>
      <w:numFmt w:val="bullet"/>
      <w:lvlText w:val=""/>
      <w:lvlJc w:val="left"/>
      <w:pPr>
        <w:tabs>
          <w:tab w:val="num" w:pos="720"/>
        </w:tabs>
        <w:ind w:left="720" w:hanging="360"/>
      </w:pPr>
      <w:rPr>
        <w:rFonts w:ascii="Wingdings" w:hAnsi="Wingdings" w:hint="default"/>
      </w:rPr>
    </w:lvl>
    <w:lvl w:ilvl="1" w:tplc="5E7AEFE4">
      <w:start w:val="228"/>
      <w:numFmt w:val="bullet"/>
      <w:lvlText w:val=""/>
      <w:lvlJc w:val="left"/>
      <w:pPr>
        <w:tabs>
          <w:tab w:val="num" w:pos="1440"/>
        </w:tabs>
        <w:ind w:left="1440" w:hanging="360"/>
      </w:pPr>
      <w:rPr>
        <w:rFonts w:ascii="Wingdings" w:hAnsi="Wingdings" w:hint="default"/>
      </w:rPr>
    </w:lvl>
    <w:lvl w:ilvl="2" w:tplc="7E32B9BC">
      <w:start w:val="228"/>
      <w:numFmt w:val="bullet"/>
      <w:lvlText w:val=""/>
      <w:lvlJc w:val="left"/>
      <w:pPr>
        <w:tabs>
          <w:tab w:val="num" w:pos="2160"/>
        </w:tabs>
        <w:ind w:left="2160" w:hanging="360"/>
      </w:pPr>
      <w:rPr>
        <w:rFonts w:ascii="Wingdings" w:hAnsi="Wingdings" w:hint="default"/>
      </w:rPr>
    </w:lvl>
    <w:lvl w:ilvl="3" w:tplc="0A689748" w:tentative="1">
      <w:start w:val="1"/>
      <w:numFmt w:val="bullet"/>
      <w:lvlText w:val=""/>
      <w:lvlJc w:val="left"/>
      <w:pPr>
        <w:tabs>
          <w:tab w:val="num" w:pos="2880"/>
        </w:tabs>
        <w:ind w:left="2880" w:hanging="360"/>
      </w:pPr>
      <w:rPr>
        <w:rFonts w:ascii="Wingdings" w:hAnsi="Wingdings" w:hint="default"/>
      </w:rPr>
    </w:lvl>
    <w:lvl w:ilvl="4" w:tplc="48ECD66E" w:tentative="1">
      <w:start w:val="1"/>
      <w:numFmt w:val="bullet"/>
      <w:lvlText w:val=""/>
      <w:lvlJc w:val="left"/>
      <w:pPr>
        <w:tabs>
          <w:tab w:val="num" w:pos="3600"/>
        </w:tabs>
        <w:ind w:left="3600" w:hanging="360"/>
      </w:pPr>
      <w:rPr>
        <w:rFonts w:ascii="Wingdings" w:hAnsi="Wingdings" w:hint="default"/>
      </w:rPr>
    </w:lvl>
    <w:lvl w:ilvl="5" w:tplc="C3EE25E4" w:tentative="1">
      <w:start w:val="1"/>
      <w:numFmt w:val="bullet"/>
      <w:lvlText w:val=""/>
      <w:lvlJc w:val="left"/>
      <w:pPr>
        <w:tabs>
          <w:tab w:val="num" w:pos="4320"/>
        </w:tabs>
        <w:ind w:left="4320" w:hanging="360"/>
      </w:pPr>
      <w:rPr>
        <w:rFonts w:ascii="Wingdings" w:hAnsi="Wingdings" w:hint="default"/>
      </w:rPr>
    </w:lvl>
    <w:lvl w:ilvl="6" w:tplc="E1063A82" w:tentative="1">
      <w:start w:val="1"/>
      <w:numFmt w:val="bullet"/>
      <w:lvlText w:val=""/>
      <w:lvlJc w:val="left"/>
      <w:pPr>
        <w:tabs>
          <w:tab w:val="num" w:pos="5040"/>
        </w:tabs>
        <w:ind w:left="5040" w:hanging="360"/>
      </w:pPr>
      <w:rPr>
        <w:rFonts w:ascii="Wingdings" w:hAnsi="Wingdings" w:hint="default"/>
      </w:rPr>
    </w:lvl>
    <w:lvl w:ilvl="7" w:tplc="0A8019D0" w:tentative="1">
      <w:start w:val="1"/>
      <w:numFmt w:val="bullet"/>
      <w:lvlText w:val=""/>
      <w:lvlJc w:val="left"/>
      <w:pPr>
        <w:tabs>
          <w:tab w:val="num" w:pos="5760"/>
        </w:tabs>
        <w:ind w:left="5760" w:hanging="360"/>
      </w:pPr>
      <w:rPr>
        <w:rFonts w:ascii="Wingdings" w:hAnsi="Wingdings" w:hint="default"/>
      </w:rPr>
    </w:lvl>
    <w:lvl w:ilvl="8" w:tplc="7F5C4E3A" w:tentative="1">
      <w:start w:val="1"/>
      <w:numFmt w:val="bullet"/>
      <w:lvlText w:val=""/>
      <w:lvlJc w:val="left"/>
      <w:pPr>
        <w:tabs>
          <w:tab w:val="num" w:pos="6480"/>
        </w:tabs>
        <w:ind w:left="6480" w:hanging="360"/>
      </w:pPr>
      <w:rPr>
        <w:rFonts w:ascii="Wingdings" w:hAnsi="Wingdings" w:hint="default"/>
      </w:rPr>
    </w:lvl>
  </w:abstractNum>
  <w:abstractNum w:abstractNumId="6">
    <w:nsid w:val="359B491C"/>
    <w:multiLevelType w:val="multilevel"/>
    <w:tmpl w:val="F50EB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DA2C74"/>
    <w:multiLevelType w:val="hybridMultilevel"/>
    <w:tmpl w:val="2C982EDC"/>
    <w:lvl w:ilvl="0" w:tplc="3BA803A8">
      <w:start w:val="1"/>
      <w:numFmt w:val="bullet"/>
      <w:lvlText w:val=""/>
      <w:lvlJc w:val="left"/>
      <w:pPr>
        <w:tabs>
          <w:tab w:val="num" w:pos="720"/>
        </w:tabs>
        <w:ind w:left="720" w:hanging="360"/>
      </w:pPr>
      <w:rPr>
        <w:rFonts w:ascii="Wingdings" w:hAnsi="Wingdings" w:hint="default"/>
      </w:rPr>
    </w:lvl>
    <w:lvl w:ilvl="1" w:tplc="BDF8561A">
      <w:start w:val="228"/>
      <w:numFmt w:val="bullet"/>
      <w:lvlText w:val=""/>
      <w:lvlJc w:val="left"/>
      <w:pPr>
        <w:tabs>
          <w:tab w:val="num" w:pos="1440"/>
        </w:tabs>
        <w:ind w:left="1440" w:hanging="360"/>
      </w:pPr>
      <w:rPr>
        <w:rFonts w:ascii="Wingdings" w:hAnsi="Wingdings" w:hint="default"/>
      </w:rPr>
    </w:lvl>
    <w:lvl w:ilvl="2" w:tplc="8E84BF42">
      <w:start w:val="228"/>
      <w:numFmt w:val="bullet"/>
      <w:lvlText w:val=""/>
      <w:lvlJc w:val="left"/>
      <w:pPr>
        <w:tabs>
          <w:tab w:val="num" w:pos="2160"/>
        </w:tabs>
        <w:ind w:left="2160" w:hanging="360"/>
      </w:pPr>
      <w:rPr>
        <w:rFonts w:ascii="Wingdings" w:hAnsi="Wingdings" w:hint="default"/>
      </w:rPr>
    </w:lvl>
    <w:lvl w:ilvl="3" w:tplc="E7EA84FC" w:tentative="1">
      <w:start w:val="1"/>
      <w:numFmt w:val="bullet"/>
      <w:lvlText w:val=""/>
      <w:lvlJc w:val="left"/>
      <w:pPr>
        <w:tabs>
          <w:tab w:val="num" w:pos="2880"/>
        </w:tabs>
        <w:ind w:left="2880" w:hanging="360"/>
      </w:pPr>
      <w:rPr>
        <w:rFonts w:ascii="Wingdings" w:hAnsi="Wingdings" w:hint="default"/>
      </w:rPr>
    </w:lvl>
    <w:lvl w:ilvl="4" w:tplc="61AED482" w:tentative="1">
      <w:start w:val="1"/>
      <w:numFmt w:val="bullet"/>
      <w:lvlText w:val=""/>
      <w:lvlJc w:val="left"/>
      <w:pPr>
        <w:tabs>
          <w:tab w:val="num" w:pos="3600"/>
        </w:tabs>
        <w:ind w:left="3600" w:hanging="360"/>
      </w:pPr>
      <w:rPr>
        <w:rFonts w:ascii="Wingdings" w:hAnsi="Wingdings" w:hint="default"/>
      </w:rPr>
    </w:lvl>
    <w:lvl w:ilvl="5" w:tplc="F82A1F64" w:tentative="1">
      <w:start w:val="1"/>
      <w:numFmt w:val="bullet"/>
      <w:lvlText w:val=""/>
      <w:lvlJc w:val="left"/>
      <w:pPr>
        <w:tabs>
          <w:tab w:val="num" w:pos="4320"/>
        </w:tabs>
        <w:ind w:left="4320" w:hanging="360"/>
      </w:pPr>
      <w:rPr>
        <w:rFonts w:ascii="Wingdings" w:hAnsi="Wingdings" w:hint="default"/>
      </w:rPr>
    </w:lvl>
    <w:lvl w:ilvl="6" w:tplc="BEE632F6" w:tentative="1">
      <w:start w:val="1"/>
      <w:numFmt w:val="bullet"/>
      <w:lvlText w:val=""/>
      <w:lvlJc w:val="left"/>
      <w:pPr>
        <w:tabs>
          <w:tab w:val="num" w:pos="5040"/>
        </w:tabs>
        <w:ind w:left="5040" w:hanging="360"/>
      </w:pPr>
      <w:rPr>
        <w:rFonts w:ascii="Wingdings" w:hAnsi="Wingdings" w:hint="default"/>
      </w:rPr>
    </w:lvl>
    <w:lvl w:ilvl="7" w:tplc="62FCF762" w:tentative="1">
      <w:start w:val="1"/>
      <w:numFmt w:val="bullet"/>
      <w:lvlText w:val=""/>
      <w:lvlJc w:val="left"/>
      <w:pPr>
        <w:tabs>
          <w:tab w:val="num" w:pos="5760"/>
        </w:tabs>
        <w:ind w:left="5760" w:hanging="360"/>
      </w:pPr>
      <w:rPr>
        <w:rFonts w:ascii="Wingdings" w:hAnsi="Wingdings" w:hint="default"/>
      </w:rPr>
    </w:lvl>
    <w:lvl w:ilvl="8" w:tplc="31ACFD04" w:tentative="1">
      <w:start w:val="1"/>
      <w:numFmt w:val="bullet"/>
      <w:lvlText w:val=""/>
      <w:lvlJc w:val="left"/>
      <w:pPr>
        <w:tabs>
          <w:tab w:val="num" w:pos="6480"/>
        </w:tabs>
        <w:ind w:left="6480" w:hanging="360"/>
      </w:pPr>
      <w:rPr>
        <w:rFonts w:ascii="Wingdings" w:hAnsi="Wingdings" w:hint="default"/>
      </w:rPr>
    </w:lvl>
  </w:abstractNum>
  <w:abstractNum w:abstractNumId="8">
    <w:nsid w:val="5DAF4B13"/>
    <w:multiLevelType w:val="hybridMultilevel"/>
    <w:tmpl w:val="AFB074E2"/>
    <w:lvl w:ilvl="0" w:tplc="CACA61EC">
      <w:start w:val="1"/>
      <w:numFmt w:val="bullet"/>
      <w:lvlText w:val=""/>
      <w:lvlJc w:val="left"/>
      <w:pPr>
        <w:tabs>
          <w:tab w:val="num" w:pos="720"/>
        </w:tabs>
        <w:ind w:left="720" w:hanging="360"/>
      </w:pPr>
      <w:rPr>
        <w:rFonts w:ascii="Wingdings" w:hAnsi="Wingdings" w:hint="default"/>
      </w:rPr>
    </w:lvl>
    <w:lvl w:ilvl="1" w:tplc="0D526D06">
      <w:start w:val="228"/>
      <w:numFmt w:val="bullet"/>
      <w:lvlText w:val=""/>
      <w:lvlJc w:val="left"/>
      <w:pPr>
        <w:tabs>
          <w:tab w:val="num" w:pos="1440"/>
        </w:tabs>
        <w:ind w:left="1440" w:hanging="360"/>
      </w:pPr>
      <w:rPr>
        <w:rFonts w:ascii="Wingdings" w:hAnsi="Wingdings" w:hint="default"/>
      </w:rPr>
    </w:lvl>
    <w:lvl w:ilvl="2" w:tplc="FB081C7E">
      <w:start w:val="228"/>
      <w:numFmt w:val="bullet"/>
      <w:lvlText w:val=""/>
      <w:lvlJc w:val="left"/>
      <w:pPr>
        <w:tabs>
          <w:tab w:val="num" w:pos="2160"/>
        </w:tabs>
        <w:ind w:left="2160" w:hanging="360"/>
      </w:pPr>
      <w:rPr>
        <w:rFonts w:ascii="Wingdings" w:hAnsi="Wingdings" w:hint="default"/>
      </w:rPr>
    </w:lvl>
    <w:lvl w:ilvl="3" w:tplc="82E2890E" w:tentative="1">
      <w:start w:val="1"/>
      <w:numFmt w:val="bullet"/>
      <w:lvlText w:val=""/>
      <w:lvlJc w:val="left"/>
      <w:pPr>
        <w:tabs>
          <w:tab w:val="num" w:pos="2880"/>
        </w:tabs>
        <w:ind w:left="2880" w:hanging="360"/>
      </w:pPr>
      <w:rPr>
        <w:rFonts w:ascii="Wingdings" w:hAnsi="Wingdings" w:hint="default"/>
      </w:rPr>
    </w:lvl>
    <w:lvl w:ilvl="4" w:tplc="4508B0F6" w:tentative="1">
      <w:start w:val="1"/>
      <w:numFmt w:val="bullet"/>
      <w:lvlText w:val=""/>
      <w:lvlJc w:val="left"/>
      <w:pPr>
        <w:tabs>
          <w:tab w:val="num" w:pos="3600"/>
        </w:tabs>
        <w:ind w:left="3600" w:hanging="360"/>
      </w:pPr>
      <w:rPr>
        <w:rFonts w:ascii="Wingdings" w:hAnsi="Wingdings" w:hint="default"/>
      </w:rPr>
    </w:lvl>
    <w:lvl w:ilvl="5" w:tplc="3978166A" w:tentative="1">
      <w:start w:val="1"/>
      <w:numFmt w:val="bullet"/>
      <w:lvlText w:val=""/>
      <w:lvlJc w:val="left"/>
      <w:pPr>
        <w:tabs>
          <w:tab w:val="num" w:pos="4320"/>
        </w:tabs>
        <w:ind w:left="4320" w:hanging="360"/>
      </w:pPr>
      <w:rPr>
        <w:rFonts w:ascii="Wingdings" w:hAnsi="Wingdings" w:hint="default"/>
      </w:rPr>
    </w:lvl>
    <w:lvl w:ilvl="6" w:tplc="39E0CE2E" w:tentative="1">
      <w:start w:val="1"/>
      <w:numFmt w:val="bullet"/>
      <w:lvlText w:val=""/>
      <w:lvlJc w:val="left"/>
      <w:pPr>
        <w:tabs>
          <w:tab w:val="num" w:pos="5040"/>
        </w:tabs>
        <w:ind w:left="5040" w:hanging="360"/>
      </w:pPr>
      <w:rPr>
        <w:rFonts w:ascii="Wingdings" w:hAnsi="Wingdings" w:hint="default"/>
      </w:rPr>
    </w:lvl>
    <w:lvl w:ilvl="7" w:tplc="5AD404E0" w:tentative="1">
      <w:start w:val="1"/>
      <w:numFmt w:val="bullet"/>
      <w:lvlText w:val=""/>
      <w:lvlJc w:val="left"/>
      <w:pPr>
        <w:tabs>
          <w:tab w:val="num" w:pos="5760"/>
        </w:tabs>
        <w:ind w:left="5760" w:hanging="360"/>
      </w:pPr>
      <w:rPr>
        <w:rFonts w:ascii="Wingdings" w:hAnsi="Wingdings" w:hint="default"/>
      </w:rPr>
    </w:lvl>
    <w:lvl w:ilvl="8" w:tplc="58CC0AD8" w:tentative="1">
      <w:start w:val="1"/>
      <w:numFmt w:val="bullet"/>
      <w:lvlText w:val=""/>
      <w:lvlJc w:val="left"/>
      <w:pPr>
        <w:tabs>
          <w:tab w:val="num" w:pos="6480"/>
        </w:tabs>
        <w:ind w:left="6480" w:hanging="360"/>
      </w:pPr>
      <w:rPr>
        <w:rFonts w:ascii="Wingdings" w:hAnsi="Wingdings" w:hint="default"/>
      </w:rPr>
    </w:lvl>
  </w:abstractNum>
  <w:abstractNum w:abstractNumId="9">
    <w:nsid w:val="62774301"/>
    <w:multiLevelType w:val="hybridMultilevel"/>
    <w:tmpl w:val="87DEB3EA"/>
    <w:lvl w:ilvl="0" w:tplc="C1FC616E">
      <w:start w:val="1"/>
      <w:numFmt w:val="bullet"/>
      <w:lvlText w:val=""/>
      <w:lvlJc w:val="left"/>
      <w:pPr>
        <w:tabs>
          <w:tab w:val="num" w:pos="720"/>
        </w:tabs>
        <w:ind w:left="720" w:hanging="360"/>
      </w:pPr>
      <w:rPr>
        <w:rFonts w:ascii="Wingdings" w:hAnsi="Wingdings" w:hint="default"/>
      </w:rPr>
    </w:lvl>
    <w:lvl w:ilvl="1" w:tplc="39549BB2">
      <w:start w:val="228"/>
      <w:numFmt w:val="bullet"/>
      <w:lvlText w:val=""/>
      <w:lvlJc w:val="left"/>
      <w:pPr>
        <w:tabs>
          <w:tab w:val="num" w:pos="1440"/>
        </w:tabs>
        <w:ind w:left="1440" w:hanging="360"/>
      </w:pPr>
      <w:rPr>
        <w:rFonts w:ascii="Wingdings" w:hAnsi="Wingdings" w:hint="default"/>
      </w:rPr>
    </w:lvl>
    <w:lvl w:ilvl="2" w:tplc="A2202F2E" w:tentative="1">
      <w:start w:val="1"/>
      <w:numFmt w:val="bullet"/>
      <w:lvlText w:val=""/>
      <w:lvlJc w:val="left"/>
      <w:pPr>
        <w:tabs>
          <w:tab w:val="num" w:pos="2160"/>
        </w:tabs>
        <w:ind w:left="2160" w:hanging="360"/>
      </w:pPr>
      <w:rPr>
        <w:rFonts w:ascii="Wingdings" w:hAnsi="Wingdings" w:hint="default"/>
      </w:rPr>
    </w:lvl>
    <w:lvl w:ilvl="3" w:tplc="784A3034" w:tentative="1">
      <w:start w:val="1"/>
      <w:numFmt w:val="bullet"/>
      <w:lvlText w:val=""/>
      <w:lvlJc w:val="left"/>
      <w:pPr>
        <w:tabs>
          <w:tab w:val="num" w:pos="2880"/>
        </w:tabs>
        <w:ind w:left="2880" w:hanging="360"/>
      </w:pPr>
      <w:rPr>
        <w:rFonts w:ascii="Wingdings" w:hAnsi="Wingdings" w:hint="default"/>
      </w:rPr>
    </w:lvl>
    <w:lvl w:ilvl="4" w:tplc="84BCAF72" w:tentative="1">
      <w:start w:val="1"/>
      <w:numFmt w:val="bullet"/>
      <w:lvlText w:val=""/>
      <w:lvlJc w:val="left"/>
      <w:pPr>
        <w:tabs>
          <w:tab w:val="num" w:pos="3600"/>
        </w:tabs>
        <w:ind w:left="3600" w:hanging="360"/>
      </w:pPr>
      <w:rPr>
        <w:rFonts w:ascii="Wingdings" w:hAnsi="Wingdings" w:hint="default"/>
      </w:rPr>
    </w:lvl>
    <w:lvl w:ilvl="5" w:tplc="2CBA3E76" w:tentative="1">
      <w:start w:val="1"/>
      <w:numFmt w:val="bullet"/>
      <w:lvlText w:val=""/>
      <w:lvlJc w:val="left"/>
      <w:pPr>
        <w:tabs>
          <w:tab w:val="num" w:pos="4320"/>
        </w:tabs>
        <w:ind w:left="4320" w:hanging="360"/>
      </w:pPr>
      <w:rPr>
        <w:rFonts w:ascii="Wingdings" w:hAnsi="Wingdings" w:hint="default"/>
      </w:rPr>
    </w:lvl>
    <w:lvl w:ilvl="6" w:tplc="8AE4DA44" w:tentative="1">
      <w:start w:val="1"/>
      <w:numFmt w:val="bullet"/>
      <w:lvlText w:val=""/>
      <w:lvlJc w:val="left"/>
      <w:pPr>
        <w:tabs>
          <w:tab w:val="num" w:pos="5040"/>
        </w:tabs>
        <w:ind w:left="5040" w:hanging="360"/>
      </w:pPr>
      <w:rPr>
        <w:rFonts w:ascii="Wingdings" w:hAnsi="Wingdings" w:hint="default"/>
      </w:rPr>
    </w:lvl>
    <w:lvl w:ilvl="7" w:tplc="1D9EAD96" w:tentative="1">
      <w:start w:val="1"/>
      <w:numFmt w:val="bullet"/>
      <w:lvlText w:val=""/>
      <w:lvlJc w:val="left"/>
      <w:pPr>
        <w:tabs>
          <w:tab w:val="num" w:pos="5760"/>
        </w:tabs>
        <w:ind w:left="5760" w:hanging="360"/>
      </w:pPr>
      <w:rPr>
        <w:rFonts w:ascii="Wingdings" w:hAnsi="Wingdings" w:hint="default"/>
      </w:rPr>
    </w:lvl>
    <w:lvl w:ilvl="8" w:tplc="FB04750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0"/>
  </w:num>
  <w:num w:numId="4">
    <w:abstractNumId w:val="3"/>
  </w:num>
  <w:num w:numId="5">
    <w:abstractNumId w:val="5"/>
  </w:num>
  <w:num w:numId="6">
    <w:abstractNumId w:val="4"/>
  </w:num>
  <w:num w:numId="7">
    <w:abstractNumId w:val="9"/>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71D7"/>
    <w:rsid w:val="00046306"/>
    <w:rsid w:val="00095AA7"/>
    <w:rsid w:val="000960CA"/>
    <w:rsid w:val="000B389C"/>
    <w:rsid w:val="000E17F5"/>
    <w:rsid w:val="001B4E16"/>
    <w:rsid w:val="00205F84"/>
    <w:rsid w:val="002776DF"/>
    <w:rsid w:val="002F6452"/>
    <w:rsid w:val="003037E6"/>
    <w:rsid w:val="00324602"/>
    <w:rsid w:val="00373296"/>
    <w:rsid w:val="003B01EA"/>
    <w:rsid w:val="003B6E9A"/>
    <w:rsid w:val="003C279A"/>
    <w:rsid w:val="003D65A2"/>
    <w:rsid w:val="003F6C7A"/>
    <w:rsid w:val="00423868"/>
    <w:rsid w:val="00482FFC"/>
    <w:rsid w:val="00487962"/>
    <w:rsid w:val="00497C1E"/>
    <w:rsid w:val="004A652A"/>
    <w:rsid w:val="004C44D1"/>
    <w:rsid w:val="004D5CFB"/>
    <w:rsid w:val="004E691F"/>
    <w:rsid w:val="00523EF5"/>
    <w:rsid w:val="005A69C9"/>
    <w:rsid w:val="005B306B"/>
    <w:rsid w:val="005E6635"/>
    <w:rsid w:val="006251A1"/>
    <w:rsid w:val="006627F8"/>
    <w:rsid w:val="00675C9A"/>
    <w:rsid w:val="00685C4B"/>
    <w:rsid w:val="006B0703"/>
    <w:rsid w:val="006D0467"/>
    <w:rsid w:val="006F286A"/>
    <w:rsid w:val="007064E4"/>
    <w:rsid w:val="00720A07"/>
    <w:rsid w:val="00733A36"/>
    <w:rsid w:val="007F0EB8"/>
    <w:rsid w:val="007F1CB8"/>
    <w:rsid w:val="007F72CB"/>
    <w:rsid w:val="008C2101"/>
    <w:rsid w:val="00907281"/>
    <w:rsid w:val="00954268"/>
    <w:rsid w:val="00957966"/>
    <w:rsid w:val="009602D8"/>
    <w:rsid w:val="009B27E7"/>
    <w:rsid w:val="009F739F"/>
    <w:rsid w:val="00A40D7B"/>
    <w:rsid w:val="00B04558"/>
    <w:rsid w:val="00B20CE7"/>
    <w:rsid w:val="00B32367"/>
    <w:rsid w:val="00B3783A"/>
    <w:rsid w:val="00BA7387"/>
    <w:rsid w:val="00C109BB"/>
    <w:rsid w:val="00C16E15"/>
    <w:rsid w:val="00C37A4E"/>
    <w:rsid w:val="00CD4C96"/>
    <w:rsid w:val="00D85DAC"/>
    <w:rsid w:val="00DD53C2"/>
    <w:rsid w:val="00E26B7C"/>
    <w:rsid w:val="00EA69C6"/>
    <w:rsid w:val="00EB2150"/>
    <w:rsid w:val="00EB3884"/>
    <w:rsid w:val="00EF0E7D"/>
    <w:rsid w:val="00EF2E49"/>
    <w:rsid w:val="00EF535F"/>
    <w:rsid w:val="00F171D7"/>
    <w:rsid w:val="00F30E6A"/>
    <w:rsid w:val="00F4351E"/>
    <w:rsid w:val="00FC33D4"/>
    <w:rsid w:val="00FD1C10"/>
    <w:rsid w:val="00FD5FD1"/>
    <w:rsid w:val="00FD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EF0E7D"/>
    <w:rPr>
      <w:sz w:val="20"/>
      <w:szCs w:val="20"/>
    </w:rPr>
  </w:style>
  <w:style w:type="character" w:styleId="FootnoteReference">
    <w:name w:val="footnote reference"/>
    <w:basedOn w:val="DefaultParagraphFont"/>
    <w:semiHidden/>
    <w:rsid w:val="00EF0E7D"/>
    <w:rPr>
      <w:vertAlign w:val="superscript"/>
    </w:rPr>
  </w:style>
  <w:style w:type="paragraph" w:styleId="Footer">
    <w:name w:val="footer"/>
    <w:basedOn w:val="Normal"/>
    <w:rsid w:val="00046306"/>
    <w:pPr>
      <w:tabs>
        <w:tab w:val="center" w:pos="4320"/>
        <w:tab w:val="right" w:pos="8640"/>
      </w:tabs>
    </w:pPr>
  </w:style>
  <w:style w:type="character" w:styleId="PageNumber">
    <w:name w:val="page number"/>
    <w:basedOn w:val="DefaultParagraphFont"/>
    <w:rsid w:val="00046306"/>
  </w:style>
  <w:style w:type="character" w:styleId="Hyperlink">
    <w:name w:val="Hyperlink"/>
    <w:basedOn w:val="DefaultParagraphFont"/>
    <w:rsid w:val="004D5C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0472">
      <w:bodyDiv w:val="1"/>
      <w:marLeft w:val="0"/>
      <w:marRight w:val="0"/>
      <w:marTop w:val="0"/>
      <w:marBottom w:val="0"/>
      <w:divBdr>
        <w:top w:val="none" w:sz="0" w:space="0" w:color="auto"/>
        <w:left w:val="none" w:sz="0" w:space="0" w:color="auto"/>
        <w:bottom w:val="none" w:sz="0" w:space="0" w:color="auto"/>
        <w:right w:val="none" w:sz="0" w:space="0" w:color="auto"/>
      </w:divBdr>
      <w:divsChild>
        <w:div w:id="1015108017">
          <w:marLeft w:val="0"/>
          <w:marRight w:val="0"/>
          <w:marTop w:val="0"/>
          <w:marBottom w:val="0"/>
          <w:divBdr>
            <w:top w:val="none" w:sz="0" w:space="0" w:color="auto"/>
            <w:left w:val="none" w:sz="0" w:space="0" w:color="auto"/>
            <w:bottom w:val="none" w:sz="0" w:space="0" w:color="auto"/>
            <w:right w:val="none" w:sz="0" w:space="0" w:color="auto"/>
          </w:divBdr>
          <w:divsChild>
            <w:div w:id="38236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7159">
      <w:bodyDiv w:val="1"/>
      <w:marLeft w:val="0"/>
      <w:marRight w:val="0"/>
      <w:marTop w:val="0"/>
      <w:marBottom w:val="0"/>
      <w:divBdr>
        <w:top w:val="none" w:sz="0" w:space="0" w:color="auto"/>
        <w:left w:val="none" w:sz="0" w:space="0" w:color="auto"/>
        <w:bottom w:val="none" w:sz="0" w:space="0" w:color="auto"/>
        <w:right w:val="none" w:sz="0" w:space="0" w:color="auto"/>
      </w:divBdr>
      <w:divsChild>
        <w:div w:id="1956979521">
          <w:marLeft w:val="0"/>
          <w:marRight w:val="0"/>
          <w:marTop w:val="0"/>
          <w:marBottom w:val="0"/>
          <w:divBdr>
            <w:top w:val="none" w:sz="0" w:space="0" w:color="auto"/>
            <w:left w:val="none" w:sz="0" w:space="0" w:color="auto"/>
            <w:bottom w:val="none" w:sz="0" w:space="0" w:color="auto"/>
            <w:right w:val="none" w:sz="0" w:space="0" w:color="auto"/>
          </w:divBdr>
          <w:divsChild>
            <w:div w:id="47192578">
              <w:marLeft w:val="0"/>
              <w:marRight w:val="0"/>
              <w:marTop w:val="0"/>
              <w:marBottom w:val="0"/>
              <w:divBdr>
                <w:top w:val="none" w:sz="0" w:space="0" w:color="auto"/>
                <w:left w:val="none" w:sz="0" w:space="0" w:color="auto"/>
                <w:bottom w:val="none" w:sz="0" w:space="0" w:color="auto"/>
                <w:right w:val="none" w:sz="0" w:space="0" w:color="auto"/>
              </w:divBdr>
            </w:div>
            <w:div w:id="170535559">
              <w:marLeft w:val="0"/>
              <w:marRight w:val="0"/>
              <w:marTop w:val="0"/>
              <w:marBottom w:val="0"/>
              <w:divBdr>
                <w:top w:val="none" w:sz="0" w:space="0" w:color="auto"/>
                <w:left w:val="none" w:sz="0" w:space="0" w:color="auto"/>
                <w:bottom w:val="none" w:sz="0" w:space="0" w:color="auto"/>
                <w:right w:val="none" w:sz="0" w:space="0" w:color="auto"/>
              </w:divBdr>
            </w:div>
            <w:div w:id="601886247">
              <w:marLeft w:val="0"/>
              <w:marRight w:val="0"/>
              <w:marTop w:val="0"/>
              <w:marBottom w:val="0"/>
              <w:divBdr>
                <w:top w:val="none" w:sz="0" w:space="0" w:color="auto"/>
                <w:left w:val="none" w:sz="0" w:space="0" w:color="auto"/>
                <w:bottom w:val="none" w:sz="0" w:space="0" w:color="auto"/>
                <w:right w:val="none" w:sz="0" w:space="0" w:color="auto"/>
              </w:divBdr>
            </w:div>
            <w:div w:id="1032727242">
              <w:marLeft w:val="0"/>
              <w:marRight w:val="0"/>
              <w:marTop w:val="0"/>
              <w:marBottom w:val="0"/>
              <w:divBdr>
                <w:top w:val="none" w:sz="0" w:space="0" w:color="auto"/>
                <w:left w:val="none" w:sz="0" w:space="0" w:color="auto"/>
                <w:bottom w:val="none" w:sz="0" w:space="0" w:color="auto"/>
                <w:right w:val="none" w:sz="0" w:space="0" w:color="auto"/>
              </w:divBdr>
            </w:div>
            <w:div w:id="121904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6555">
      <w:bodyDiv w:val="1"/>
      <w:marLeft w:val="0"/>
      <w:marRight w:val="0"/>
      <w:marTop w:val="0"/>
      <w:marBottom w:val="0"/>
      <w:divBdr>
        <w:top w:val="none" w:sz="0" w:space="0" w:color="auto"/>
        <w:left w:val="none" w:sz="0" w:space="0" w:color="auto"/>
        <w:bottom w:val="none" w:sz="0" w:space="0" w:color="auto"/>
        <w:right w:val="none" w:sz="0" w:space="0" w:color="auto"/>
      </w:divBdr>
      <w:divsChild>
        <w:div w:id="621111033">
          <w:marLeft w:val="0"/>
          <w:marRight w:val="0"/>
          <w:marTop w:val="0"/>
          <w:marBottom w:val="0"/>
          <w:divBdr>
            <w:top w:val="none" w:sz="0" w:space="0" w:color="auto"/>
            <w:left w:val="none" w:sz="0" w:space="0" w:color="auto"/>
            <w:bottom w:val="none" w:sz="0" w:space="0" w:color="auto"/>
            <w:right w:val="none" w:sz="0" w:space="0" w:color="auto"/>
          </w:divBdr>
        </w:div>
      </w:divsChild>
    </w:div>
    <w:div w:id="241530533">
      <w:bodyDiv w:val="1"/>
      <w:marLeft w:val="0"/>
      <w:marRight w:val="0"/>
      <w:marTop w:val="0"/>
      <w:marBottom w:val="0"/>
      <w:divBdr>
        <w:top w:val="none" w:sz="0" w:space="0" w:color="auto"/>
        <w:left w:val="none" w:sz="0" w:space="0" w:color="auto"/>
        <w:bottom w:val="none" w:sz="0" w:space="0" w:color="auto"/>
        <w:right w:val="none" w:sz="0" w:space="0" w:color="auto"/>
      </w:divBdr>
      <w:divsChild>
        <w:div w:id="1575969466">
          <w:marLeft w:val="0"/>
          <w:marRight w:val="0"/>
          <w:marTop w:val="0"/>
          <w:marBottom w:val="0"/>
          <w:divBdr>
            <w:top w:val="none" w:sz="0" w:space="0" w:color="auto"/>
            <w:left w:val="none" w:sz="0" w:space="0" w:color="auto"/>
            <w:bottom w:val="none" w:sz="0" w:space="0" w:color="auto"/>
            <w:right w:val="none" w:sz="0" w:space="0" w:color="auto"/>
          </w:divBdr>
          <w:divsChild>
            <w:div w:id="247468452">
              <w:marLeft w:val="0"/>
              <w:marRight w:val="0"/>
              <w:marTop w:val="0"/>
              <w:marBottom w:val="0"/>
              <w:divBdr>
                <w:top w:val="none" w:sz="0" w:space="0" w:color="auto"/>
                <w:left w:val="none" w:sz="0" w:space="0" w:color="auto"/>
                <w:bottom w:val="none" w:sz="0" w:space="0" w:color="auto"/>
                <w:right w:val="none" w:sz="0" w:space="0" w:color="auto"/>
              </w:divBdr>
            </w:div>
            <w:div w:id="360981458">
              <w:marLeft w:val="0"/>
              <w:marRight w:val="0"/>
              <w:marTop w:val="0"/>
              <w:marBottom w:val="0"/>
              <w:divBdr>
                <w:top w:val="none" w:sz="0" w:space="0" w:color="auto"/>
                <w:left w:val="none" w:sz="0" w:space="0" w:color="auto"/>
                <w:bottom w:val="none" w:sz="0" w:space="0" w:color="auto"/>
                <w:right w:val="none" w:sz="0" w:space="0" w:color="auto"/>
              </w:divBdr>
            </w:div>
            <w:div w:id="794643825">
              <w:marLeft w:val="0"/>
              <w:marRight w:val="0"/>
              <w:marTop w:val="0"/>
              <w:marBottom w:val="0"/>
              <w:divBdr>
                <w:top w:val="none" w:sz="0" w:space="0" w:color="auto"/>
                <w:left w:val="none" w:sz="0" w:space="0" w:color="auto"/>
                <w:bottom w:val="none" w:sz="0" w:space="0" w:color="auto"/>
                <w:right w:val="none" w:sz="0" w:space="0" w:color="auto"/>
              </w:divBdr>
            </w:div>
            <w:div w:id="862745177">
              <w:marLeft w:val="0"/>
              <w:marRight w:val="0"/>
              <w:marTop w:val="0"/>
              <w:marBottom w:val="0"/>
              <w:divBdr>
                <w:top w:val="none" w:sz="0" w:space="0" w:color="auto"/>
                <w:left w:val="none" w:sz="0" w:space="0" w:color="auto"/>
                <w:bottom w:val="none" w:sz="0" w:space="0" w:color="auto"/>
                <w:right w:val="none" w:sz="0" w:space="0" w:color="auto"/>
              </w:divBdr>
            </w:div>
            <w:div w:id="1082025592">
              <w:marLeft w:val="0"/>
              <w:marRight w:val="0"/>
              <w:marTop w:val="0"/>
              <w:marBottom w:val="0"/>
              <w:divBdr>
                <w:top w:val="none" w:sz="0" w:space="0" w:color="auto"/>
                <w:left w:val="none" w:sz="0" w:space="0" w:color="auto"/>
                <w:bottom w:val="none" w:sz="0" w:space="0" w:color="auto"/>
                <w:right w:val="none" w:sz="0" w:space="0" w:color="auto"/>
              </w:divBdr>
            </w:div>
            <w:div w:id="13851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3146">
      <w:bodyDiv w:val="1"/>
      <w:marLeft w:val="0"/>
      <w:marRight w:val="0"/>
      <w:marTop w:val="0"/>
      <w:marBottom w:val="0"/>
      <w:divBdr>
        <w:top w:val="none" w:sz="0" w:space="0" w:color="auto"/>
        <w:left w:val="none" w:sz="0" w:space="0" w:color="auto"/>
        <w:bottom w:val="none" w:sz="0" w:space="0" w:color="auto"/>
        <w:right w:val="none" w:sz="0" w:space="0" w:color="auto"/>
      </w:divBdr>
      <w:divsChild>
        <w:div w:id="1314484399">
          <w:marLeft w:val="0"/>
          <w:marRight w:val="0"/>
          <w:marTop w:val="0"/>
          <w:marBottom w:val="0"/>
          <w:divBdr>
            <w:top w:val="none" w:sz="0" w:space="0" w:color="auto"/>
            <w:left w:val="none" w:sz="0" w:space="0" w:color="auto"/>
            <w:bottom w:val="none" w:sz="0" w:space="0" w:color="auto"/>
            <w:right w:val="none" w:sz="0" w:space="0" w:color="auto"/>
          </w:divBdr>
          <w:divsChild>
            <w:div w:id="136654050">
              <w:marLeft w:val="0"/>
              <w:marRight w:val="0"/>
              <w:marTop w:val="0"/>
              <w:marBottom w:val="0"/>
              <w:divBdr>
                <w:top w:val="none" w:sz="0" w:space="0" w:color="auto"/>
                <w:left w:val="none" w:sz="0" w:space="0" w:color="auto"/>
                <w:bottom w:val="none" w:sz="0" w:space="0" w:color="auto"/>
                <w:right w:val="none" w:sz="0" w:space="0" w:color="auto"/>
              </w:divBdr>
            </w:div>
            <w:div w:id="473527250">
              <w:marLeft w:val="0"/>
              <w:marRight w:val="0"/>
              <w:marTop w:val="0"/>
              <w:marBottom w:val="0"/>
              <w:divBdr>
                <w:top w:val="none" w:sz="0" w:space="0" w:color="auto"/>
                <w:left w:val="none" w:sz="0" w:space="0" w:color="auto"/>
                <w:bottom w:val="none" w:sz="0" w:space="0" w:color="auto"/>
                <w:right w:val="none" w:sz="0" w:space="0" w:color="auto"/>
              </w:divBdr>
            </w:div>
            <w:div w:id="502864012">
              <w:marLeft w:val="0"/>
              <w:marRight w:val="0"/>
              <w:marTop w:val="0"/>
              <w:marBottom w:val="0"/>
              <w:divBdr>
                <w:top w:val="none" w:sz="0" w:space="0" w:color="auto"/>
                <w:left w:val="none" w:sz="0" w:space="0" w:color="auto"/>
                <w:bottom w:val="none" w:sz="0" w:space="0" w:color="auto"/>
                <w:right w:val="none" w:sz="0" w:space="0" w:color="auto"/>
              </w:divBdr>
            </w:div>
            <w:div w:id="938147850">
              <w:marLeft w:val="0"/>
              <w:marRight w:val="0"/>
              <w:marTop w:val="0"/>
              <w:marBottom w:val="0"/>
              <w:divBdr>
                <w:top w:val="none" w:sz="0" w:space="0" w:color="auto"/>
                <w:left w:val="none" w:sz="0" w:space="0" w:color="auto"/>
                <w:bottom w:val="none" w:sz="0" w:space="0" w:color="auto"/>
                <w:right w:val="none" w:sz="0" w:space="0" w:color="auto"/>
              </w:divBdr>
            </w:div>
            <w:div w:id="1899626648">
              <w:marLeft w:val="0"/>
              <w:marRight w:val="0"/>
              <w:marTop w:val="0"/>
              <w:marBottom w:val="0"/>
              <w:divBdr>
                <w:top w:val="none" w:sz="0" w:space="0" w:color="auto"/>
                <w:left w:val="none" w:sz="0" w:space="0" w:color="auto"/>
                <w:bottom w:val="none" w:sz="0" w:space="0" w:color="auto"/>
                <w:right w:val="none" w:sz="0" w:space="0" w:color="auto"/>
              </w:divBdr>
            </w:div>
            <w:div w:id="1992902961">
              <w:marLeft w:val="0"/>
              <w:marRight w:val="0"/>
              <w:marTop w:val="0"/>
              <w:marBottom w:val="0"/>
              <w:divBdr>
                <w:top w:val="none" w:sz="0" w:space="0" w:color="auto"/>
                <w:left w:val="none" w:sz="0" w:space="0" w:color="auto"/>
                <w:bottom w:val="none" w:sz="0" w:space="0" w:color="auto"/>
                <w:right w:val="none" w:sz="0" w:space="0" w:color="auto"/>
              </w:divBdr>
            </w:div>
            <w:div w:id="204205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333113">
      <w:bodyDiv w:val="1"/>
      <w:marLeft w:val="0"/>
      <w:marRight w:val="0"/>
      <w:marTop w:val="0"/>
      <w:marBottom w:val="0"/>
      <w:divBdr>
        <w:top w:val="none" w:sz="0" w:space="0" w:color="auto"/>
        <w:left w:val="none" w:sz="0" w:space="0" w:color="auto"/>
        <w:bottom w:val="none" w:sz="0" w:space="0" w:color="auto"/>
        <w:right w:val="none" w:sz="0" w:space="0" w:color="auto"/>
      </w:divBdr>
      <w:divsChild>
        <w:div w:id="1651203139">
          <w:marLeft w:val="0"/>
          <w:marRight w:val="75"/>
          <w:marTop w:val="0"/>
          <w:marBottom w:val="0"/>
          <w:divBdr>
            <w:top w:val="none" w:sz="0" w:space="0" w:color="auto"/>
            <w:left w:val="single" w:sz="6" w:space="2" w:color="DDDDDD"/>
            <w:bottom w:val="single" w:sz="6" w:space="2" w:color="DDDDDD"/>
            <w:right w:val="none" w:sz="0" w:space="0" w:color="auto"/>
          </w:divBdr>
          <w:divsChild>
            <w:div w:id="557782594">
              <w:marLeft w:val="0"/>
              <w:marRight w:val="0"/>
              <w:marTop w:val="0"/>
              <w:marBottom w:val="0"/>
              <w:divBdr>
                <w:top w:val="single" w:sz="6" w:space="8" w:color="A6B5C7"/>
                <w:left w:val="single" w:sz="6" w:space="8" w:color="A6B5C7"/>
                <w:bottom w:val="single" w:sz="6" w:space="8" w:color="A6B5C7"/>
                <w:right w:val="single" w:sz="6" w:space="8" w:color="A6B5C7"/>
              </w:divBdr>
              <w:divsChild>
                <w:div w:id="1808008290">
                  <w:marLeft w:val="0"/>
                  <w:marRight w:val="0"/>
                  <w:marTop w:val="0"/>
                  <w:marBottom w:val="0"/>
                  <w:divBdr>
                    <w:top w:val="single" w:sz="6" w:space="4" w:color="E4E4E4"/>
                    <w:left w:val="single" w:sz="6" w:space="19" w:color="E4E4E4"/>
                    <w:bottom w:val="single" w:sz="6" w:space="8" w:color="E4E4E4"/>
                    <w:right w:val="single" w:sz="6" w:space="15" w:color="E4E4E4"/>
                  </w:divBdr>
                </w:div>
              </w:divsChild>
            </w:div>
          </w:divsChild>
        </w:div>
      </w:divsChild>
    </w:div>
    <w:div w:id="825248192">
      <w:bodyDiv w:val="1"/>
      <w:marLeft w:val="0"/>
      <w:marRight w:val="0"/>
      <w:marTop w:val="0"/>
      <w:marBottom w:val="0"/>
      <w:divBdr>
        <w:top w:val="none" w:sz="0" w:space="0" w:color="auto"/>
        <w:left w:val="none" w:sz="0" w:space="0" w:color="auto"/>
        <w:bottom w:val="none" w:sz="0" w:space="0" w:color="auto"/>
        <w:right w:val="none" w:sz="0" w:space="0" w:color="auto"/>
      </w:divBdr>
      <w:divsChild>
        <w:div w:id="2098137317">
          <w:marLeft w:val="0"/>
          <w:marRight w:val="0"/>
          <w:marTop w:val="0"/>
          <w:marBottom w:val="0"/>
          <w:divBdr>
            <w:top w:val="none" w:sz="0" w:space="0" w:color="auto"/>
            <w:left w:val="none" w:sz="0" w:space="0" w:color="auto"/>
            <w:bottom w:val="none" w:sz="0" w:space="0" w:color="auto"/>
            <w:right w:val="none" w:sz="0" w:space="0" w:color="auto"/>
          </w:divBdr>
          <w:divsChild>
            <w:div w:id="1029836828">
              <w:marLeft w:val="0"/>
              <w:marRight w:val="0"/>
              <w:marTop w:val="0"/>
              <w:marBottom w:val="0"/>
              <w:divBdr>
                <w:top w:val="none" w:sz="0" w:space="0" w:color="auto"/>
                <w:left w:val="none" w:sz="0" w:space="0" w:color="auto"/>
                <w:bottom w:val="none" w:sz="0" w:space="0" w:color="auto"/>
                <w:right w:val="none" w:sz="0" w:space="0" w:color="auto"/>
              </w:divBdr>
              <w:divsChild>
                <w:div w:id="196923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01033">
      <w:bodyDiv w:val="1"/>
      <w:marLeft w:val="0"/>
      <w:marRight w:val="0"/>
      <w:marTop w:val="0"/>
      <w:marBottom w:val="0"/>
      <w:divBdr>
        <w:top w:val="none" w:sz="0" w:space="0" w:color="auto"/>
        <w:left w:val="none" w:sz="0" w:space="0" w:color="auto"/>
        <w:bottom w:val="none" w:sz="0" w:space="0" w:color="auto"/>
        <w:right w:val="none" w:sz="0" w:space="0" w:color="auto"/>
      </w:divBdr>
      <w:divsChild>
        <w:div w:id="625820571">
          <w:marLeft w:val="0"/>
          <w:marRight w:val="0"/>
          <w:marTop w:val="0"/>
          <w:marBottom w:val="0"/>
          <w:divBdr>
            <w:top w:val="none" w:sz="0" w:space="0" w:color="auto"/>
            <w:left w:val="none" w:sz="0" w:space="0" w:color="auto"/>
            <w:bottom w:val="none" w:sz="0" w:space="0" w:color="auto"/>
            <w:right w:val="none" w:sz="0" w:space="0" w:color="auto"/>
          </w:divBdr>
          <w:divsChild>
            <w:div w:id="352802139">
              <w:marLeft w:val="0"/>
              <w:marRight w:val="0"/>
              <w:marTop w:val="0"/>
              <w:marBottom w:val="0"/>
              <w:divBdr>
                <w:top w:val="none" w:sz="0" w:space="0" w:color="auto"/>
                <w:left w:val="none" w:sz="0" w:space="0" w:color="auto"/>
                <w:bottom w:val="none" w:sz="0" w:space="0" w:color="auto"/>
                <w:right w:val="none" w:sz="0" w:space="0" w:color="auto"/>
              </w:divBdr>
            </w:div>
            <w:div w:id="482235240">
              <w:marLeft w:val="0"/>
              <w:marRight w:val="0"/>
              <w:marTop w:val="0"/>
              <w:marBottom w:val="0"/>
              <w:divBdr>
                <w:top w:val="none" w:sz="0" w:space="0" w:color="auto"/>
                <w:left w:val="none" w:sz="0" w:space="0" w:color="auto"/>
                <w:bottom w:val="none" w:sz="0" w:space="0" w:color="auto"/>
                <w:right w:val="none" w:sz="0" w:space="0" w:color="auto"/>
              </w:divBdr>
            </w:div>
            <w:div w:id="799229965">
              <w:marLeft w:val="0"/>
              <w:marRight w:val="0"/>
              <w:marTop w:val="0"/>
              <w:marBottom w:val="0"/>
              <w:divBdr>
                <w:top w:val="none" w:sz="0" w:space="0" w:color="auto"/>
                <w:left w:val="none" w:sz="0" w:space="0" w:color="auto"/>
                <w:bottom w:val="none" w:sz="0" w:space="0" w:color="auto"/>
                <w:right w:val="none" w:sz="0" w:space="0" w:color="auto"/>
              </w:divBdr>
            </w:div>
            <w:div w:id="1006246571">
              <w:marLeft w:val="0"/>
              <w:marRight w:val="0"/>
              <w:marTop w:val="0"/>
              <w:marBottom w:val="0"/>
              <w:divBdr>
                <w:top w:val="none" w:sz="0" w:space="0" w:color="auto"/>
                <w:left w:val="none" w:sz="0" w:space="0" w:color="auto"/>
                <w:bottom w:val="none" w:sz="0" w:space="0" w:color="auto"/>
                <w:right w:val="none" w:sz="0" w:space="0" w:color="auto"/>
              </w:divBdr>
            </w:div>
            <w:div w:id="1448890337">
              <w:marLeft w:val="0"/>
              <w:marRight w:val="0"/>
              <w:marTop w:val="0"/>
              <w:marBottom w:val="0"/>
              <w:divBdr>
                <w:top w:val="none" w:sz="0" w:space="0" w:color="auto"/>
                <w:left w:val="none" w:sz="0" w:space="0" w:color="auto"/>
                <w:bottom w:val="none" w:sz="0" w:space="0" w:color="auto"/>
                <w:right w:val="none" w:sz="0" w:space="0" w:color="auto"/>
              </w:divBdr>
            </w:div>
            <w:div w:id="149247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4884">
      <w:bodyDiv w:val="1"/>
      <w:marLeft w:val="0"/>
      <w:marRight w:val="0"/>
      <w:marTop w:val="0"/>
      <w:marBottom w:val="0"/>
      <w:divBdr>
        <w:top w:val="none" w:sz="0" w:space="0" w:color="auto"/>
        <w:left w:val="none" w:sz="0" w:space="0" w:color="auto"/>
        <w:bottom w:val="none" w:sz="0" w:space="0" w:color="auto"/>
        <w:right w:val="none" w:sz="0" w:space="0" w:color="auto"/>
      </w:divBdr>
      <w:divsChild>
        <w:div w:id="1925873658">
          <w:marLeft w:val="0"/>
          <w:marRight w:val="0"/>
          <w:marTop w:val="0"/>
          <w:marBottom w:val="0"/>
          <w:divBdr>
            <w:top w:val="none" w:sz="0" w:space="0" w:color="auto"/>
            <w:left w:val="none" w:sz="0" w:space="0" w:color="auto"/>
            <w:bottom w:val="none" w:sz="0" w:space="0" w:color="auto"/>
            <w:right w:val="none" w:sz="0" w:space="0" w:color="auto"/>
          </w:divBdr>
          <w:divsChild>
            <w:div w:id="23142761">
              <w:marLeft w:val="0"/>
              <w:marRight w:val="0"/>
              <w:marTop w:val="0"/>
              <w:marBottom w:val="0"/>
              <w:divBdr>
                <w:top w:val="none" w:sz="0" w:space="0" w:color="auto"/>
                <w:left w:val="none" w:sz="0" w:space="0" w:color="auto"/>
                <w:bottom w:val="none" w:sz="0" w:space="0" w:color="auto"/>
                <w:right w:val="none" w:sz="0" w:space="0" w:color="auto"/>
              </w:divBdr>
            </w:div>
            <w:div w:id="122621170">
              <w:marLeft w:val="0"/>
              <w:marRight w:val="0"/>
              <w:marTop w:val="0"/>
              <w:marBottom w:val="0"/>
              <w:divBdr>
                <w:top w:val="none" w:sz="0" w:space="0" w:color="auto"/>
                <w:left w:val="none" w:sz="0" w:space="0" w:color="auto"/>
                <w:bottom w:val="none" w:sz="0" w:space="0" w:color="auto"/>
                <w:right w:val="none" w:sz="0" w:space="0" w:color="auto"/>
              </w:divBdr>
            </w:div>
            <w:div w:id="562716006">
              <w:marLeft w:val="0"/>
              <w:marRight w:val="0"/>
              <w:marTop w:val="0"/>
              <w:marBottom w:val="0"/>
              <w:divBdr>
                <w:top w:val="none" w:sz="0" w:space="0" w:color="auto"/>
                <w:left w:val="none" w:sz="0" w:space="0" w:color="auto"/>
                <w:bottom w:val="none" w:sz="0" w:space="0" w:color="auto"/>
                <w:right w:val="none" w:sz="0" w:space="0" w:color="auto"/>
              </w:divBdr>
            </w:div>
            <w:div w:id="897592420">
              <w:marLeft w:val="0"/>
              <w:marRight w:val="0"/>
              <w:marTop w:val="0"/>
              <w:marBottom w:val="0"/>
              <w:divBdr>
                <w:top w:val="none" w:sz="0" w:space="0" w:color="auto"/>
                <w:left w:val="none" w:sz="0" w:space="0" w:color="auto"/>
                <w:bottom w:val="none" w:sz="0" w:space="0" w:color="auto"/>
                <w:right w:val="none" w:sz="0" w:space="0" w:color="auto"/>
              </w:divBdr>
            </w:div>
            <w:div w:id="1041320541">
              <w:marLeft w:val="0"/>
              <w:marRight w:val="0"/>
              <w:marTop w:val="0"/>
              <w:marBottom w:val="0"/>
              <w:divBdr>
                <w:top w:val="none" w:sz="0" w:space="0" w:color="auto"/>
                <w:left w:val="none" w:sz="0" w:space="0" w:color="auto"/>
                <w:bottom w:val="none" w:sz="0" w:space="0" w:color="auto"/>
                <w:right w:val="none" w:sz="0" w:space="0" w:color="auto"/>
              </w:divBdr>
            </w:div>
            <w:div w:id="1505516954">
              <w:marLeft w:val="0"/>
              <w:marRight w:val="0"/>
              <w:marTop w:val="0"/>
              <w:marBottom w:val="0"/>
              <w:divBdr>
                <w:top w:val="none" w:sz="0" w:space="0" w:color="auto"/>
                <w:left w:val="none" w:sz="0" w:space="0" w:color="auto"/>
                <w:bottom w:val="none" w:sz="0" w:space="0" w:color="auto"/>
                <w:right w:val="none" w:sz="0" w:space="0" w:color="auto"/>
              </w:divBdr>
            </w:div>
            <w:div w:id="1550605557">
              <w:marLeft w:val="0"/>
              <w:marRight w:val="0"/>
              <w:marTop w:val="0"/>
              <w:marBottom w:val="0"/>
              <w:divBdr>
                <w:top w:val="none" w:sz="0" w:space="0" w:color="auto"/>
                <w:left w:val="none" w:sz="0" w:space="0" w:color="auto"/>
                <w:bottom w:val="none" w:sz="0" w:space="0" w:color="auto"/>
                <w:right w:val="none" w:sz="0" w:space="0" w:color="auto"/>
              </w:divBdr>
            </w:div>
            <w:div w:id="20754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441998">
      <w:bodyDiv w:val="1"/>
      <w:marLeft w:val="0"/>
      <w:marRight w:val="0"/>
      <w:marTop w:val="0"/>
      <w:marBottom w:val="0"/>
      <w:divBdr>
        <w:top w:val="none" w:sz="0" w:space="0" w:color="auto"/>
        <w:left w:val="none" w:sz="0" w:space="0" w:color="auto"/>
        <w:bottom w:val="none" w:sz="0" w:space="0" w:color="auto"/>
        <w:right w:val="none" w:sz="0" w:space="0" w:color="auto"/>
      </w:divBdr>
      <w:divsChild>
        <w:div w:id="281502158">
          <w:marLeft w:val="0"/>
          <w:marRight w:val="0"/>
          <w:marTop w:val="0"/>
          <w:marBottom w:val="0"/>
          <w:divBdr>
            <w:top w:val="none" w:sz="0" w:space="0" w:color="auto"/>
            <w:left w:val="none" w:sz="0" w:space="0" w:color="auto"/>
            <w:bottom w:val="none" w:sz="0" w:space="0" w:color="auto"/>
            <w:right w:val="none" w:sz="0" w:space="0" w:color="auto"/>
          </w:divBdr>
          <w:divsChild>
            <w:div w:id="293297353">
              <w:marLeft w:val="0"/>
              <w:marRight w:val="0"/>
              <w:marTop w:val="0"/>
              <w:marBottom w:val="0"/>
              <w:divBdr>
                <w:top w:val="none" w:sz="0" w:space="0" w:color="auto"/>
                <w:left w:val="none" w:sz="0" w:space="0" w:color="auto"/>
                <w:bottom w:val="none" w:sz="0" w:space="0" w:color="auto"/>
                <w:right w:val="none" w:sz="0" w:space="0" w:color="auto"/>
              </w:divBdr>
            </w:div>
            <w:div w:id="504711389">
              <w:marLeft w:val="0"/>
              <w:marRight w:val="0"/>
              <w:marTop w:val="0"/>
              <w:marBottom w:val="0"/>
              <w:divBdr>
                <w:top w:val="none" w:sz="0" w:space="0" w:color="auto"/>
                <w:left w:val="none" w:sz="0" w:space="0" w:color="auto"/>
                <w:bottom w:val="none" w:sz="0" w:space="0" w:color="auto"/>
                <w:right w:val="none" w:sz="0" w:space="0" w:color="auto"/>
              </w:divBdr>
            </w:div>
            <w:div w:id="561985644">
              <w:marLeft w:val="0"/>
              <w:marRight w:val="0"/>
              <w:marTop w:val="0"/>
              <w:marBottom w:val="0"/>
              <w:divBdr>
                <w:top w:val="none" w:sz="0" w:space="0" w:color="auto"/>
                <w:left w:val="none" w:sz="0" w:space="0" w:color="auto"/>
                <w:bottom w:val="none" w:sz="0" w:space="0" w:color="auto"/>
                <w:right w:val="none" w:sz="0" w:space="0" w:color="auto"/>
              </w:divBdr>
            </w:div>
            <w:div w:id="941306838">
              <w:marLeft w:val="0"/>
              <w:marRight w:val="0"/>
              <w:marTop w:val="0"/>
              <w:marBottom w:val="0"/>
              <w:divBdr>
                <w:top w:val="none" w:sz="0" w:space="0" w:color="auto"/>
                <w:left w:val="none" w:sz="0" w:space="0" w:color="auto"/>
                <w:bottom w:val="none" w:sz="0" w:space="0" w:color="auto"/>
                <w:right w:val="none" w:sz="0" w:space="0" w:color="auto"/>
              </w:divBdr>
            </w:div>
            <w:div w:id="1653485901">
              <w:marLeft w:val="0"/>
              <w:marRight w:val="0"/>
              <w:marTop w:val="0"/>
              <w:marBottom w:val="0"/>
              <w:divBdr>
                <w:top w:val="none" w:sz="0" w:space="0" w:color="auto"/>
                <w:left w:val="none" w:sz="0" w:space="0" w:color="auto"/>
                <w:bottom w:val="none" w:sz="0" w:space="0" w:color="auto"/>
                <w:right w:val="none" w:sz="0" w:space="0" w:color="auto"/>
              </w:divBdr>
            </w:div>
            <w:div w:id="214323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8643">
      <w:bodyDiv w:val="1"/>
      <w:marLeft w:val="0"/>
      <w:marRight w:val="0"/>
      <w:marTop w:val="0"/>
      <w:marBottom w:val="0"/>
      <w:divBdr>
        <w:top w:val="none" w:sz="0" w:space="0" w:color="auto"/>
        <w:left w:val="none" w:sz="0" w:space="0" w:color="auto"/>
        <w:bottom w:val="none" w:sz="0" w:space="0" w:color="auto"/>
        <w:right w:val="none" w:sz="0" w:space="0" w:color="auto"/>
      </w:divBdr>
      <w:divsChild>
        <w:div w:id="2140414460">
          <w:marLeft w:val="0"/>
          <w:marRight w:val="0"/>
          <w:marTop w:val="0"/>
          <w:marBottom w:val="0"/>
          <w:divBdr>
            <w:top w:val="none" w:sz="0" w:space="0" w:color="auto"/>
            <w:left w:val="none" w:sz="0" w:space="0" w:color="auto"/>
            <w:bottom w:val="none" w:sz="0" w:space="0" w:color="auto"/>
            <w:right w:val="none" w:sz="0" w:space="0" w:color="auto"/>
          </w:divBdr>
        </w:div>
      </w:divsChild>
    </w:div>
    <w:div w:id="1651982677">
      <w:bodyDiv w:val="1"/>
      <w:marLeft w:val="0"/>
      <w:marRight w:val="0"/>
      <w:marTop w:val="0"/>
      <w:marBottom w:val="0"/>
      <w:divBdr>
        <w:top w:val="none" w:sz="0" w:space="0" w:color="auto"/>
        <w:left w:val="none" w:sz="0" w:space="0" w:color="auto"/>
        <w:bottom w:val="none" w:sz="0" w:space="0" w:color="auto"/>
        <w:right w:val="none" w:sz="0" w:space="0" w:color="auto"/>
      </w:divBdr>
      <w:divsChild>
        <w:div w:id="2035687572">
          <w:marLeft w:val="0"/>
          <w:marRight w:val="0"/>
          <w:marTop w:val="0"/>
          <w:marBottom w:val="0"/>
          <w:divBdr>
            <w:top w:val="none" w:sz="0" w:space="0" w:color="auto"/>
            <w:left w:val="none" w:sz="0" w:space="0" w:color="auto"/>
            <w:bottom w:val="none" w:sz="0" w:space="0" w:color="auto"/>
            <w:right w:val="none" w:sz="0" w:space="0" w:color="auto"/>
          </w:divBdr>
          <w:divsChild>
            <w:div w:id="532811823">
              <w:marLeft w:val="0"/>
              <w:marRight w:val="0"/>
              <w:marTop w:val="0"/>
              <w:marBottom w:val="0"/>
              <w:divBdr>
                <w:top w:val="none" w:sz="0" w:space="0" w:color="auto"/>
                <w:left w:val="none" w:sz="0" w:space="0" w:color="auto"/>
                <w:bottom w:val="none" w:sz="0" w:space="0" w:color="auto"/>
                <w:right w:val="none" w:sz="0" w:space="0" w:color="auto"/>
              </w:divBdr>
            </w:div>
            <w:div w:id="546255758">
              <w:marLeft w:val="0"/>
              <w:marRight w:val="0"/>
              <w:marTop w:val="0"/>
              <w:marBottom w:val="0"/>
              <w:divBdr>
                <w:top w:val="none" w:sz="0" w:space="0" w:color="auto"/>
                <w:left w:val="none" w:sz="0" w:space="0" w:color="auto"/>
                <w:bottom w:val="none" w:sz="0" w:space="0" w:color="auto"/>
                <w:right w:val="none" w:sz="0" w:space="0" w:color="auto"/>
              </w:divBdr>
            </w:div>
            <w:div w:id="1005743144">
              <w:marLeft w:val="0"/>
              <w:marRight w:val="0"/>
              <w:marTop w:val="0"/>
              <w:marBottom w:val="0"/>
              <w:divBdr>
                <w:top w:val="none" w:sz="0" w:space="0" w:color="auto"/>
                <w:left w:val="none" w:sz="0" w:space="0" w:color="auto"/>
                <w:bottom w:val="none" w:sz="0" w:space="0" w:color="auto"/>
                <w:right w:val="none" w:sz="0" w:space="0" w:color="auto"/>
              </w:divBdr>
            </w:div>
            <w:div w:id="1155101764">
              <w:marLeft w:val="0"/>
              <w:marRight w:val="0"/>
              <w:marTop w:val="0"/>
              <w:marBottom w:val="0"/>
              <w:divBdr>
                <w:top w:val="none" w:sz="0" w:space="0" w:color="auto"/>
                <w:left w:val="none" w:sz="0" w:space="0" w:color="auto"/>
                <w:bottom w:val="none" w:sz="0" w:space="0" w:color="auto"/>
                <w:right w:val="none" w:sz="0" w:space="0" w:color="auto"/>
              </w:divBdr>
            </w:div>
            <w:div w:id="1608846555">
              <w:marLeft w:val="0"/>
              <w:marRight w:val="0"/>
              <w:marTop w:val="0"/>
              <w:marBottom w:val="0"/>
              <w:divBdr>
                <w:top w:val="none" w:sz="0" w:space="0" w:color="auto"/>
                <w:left w:val="none" w:sz="0" w:space="0" w:color="auto"/>
                <w:bottom w:val="none" w:sz="0" w:space="0" w:color="auto"/>
                <w:right w:val="none" w:sz="0" w:space="0" w:color="auto"/>
              </w:divBdr>
            </w:div>
            <w:div w:id="1713312367">
              <w:marLeft w:val="0"/>
              <w:marRight w:val="0"/>
              <w:marTop w:val="0"/>
              <w:marBottom w:val="0"/>
              <w:divBdr>
                <w:top w:val="none" w:sz="0" w:space="0" w:color="auto"/>
                <w:left w:val="none" w:sz="0" w:space="0" w:color="auto"/>
                <w:bottom w:val="none" w:sz="0" w:space="0" w:color="auto"/>
                <w:right w:val="none" w:sz="0" w:space="0" w:color="auto"/>
              </w:divBdr>
            </w:div>
            <w:div w:id="184072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17656">
      <w:bodyDiv w:val="1"/>
      <w:marLeft w:val="0"/>
      <w:marRight w:val="0"/>
      <w:marTop w:val="0"/>
      <w:marBottom w:val="0"/>
      <w:divBdr>
        <w:top w:val="none" w:sz="0" w:space="0" w:color="auto"/>
        <w:left w:val="none" w:sz="0" w:space="0" w:color="auto"/>
        <w:bottom w:val="none" w:sz="0" w:space="0" w:color="auto"/>
        <w:right w:val="none" w:sz="0" w:space="0" w:color="auto"/>
      </w:divBdr>
      <w:divsChild>
        <w:div w:id="753893317">
          <w:marLeft w:val="0"/>
          <w:marRight w:val="0"/>
          <w:marTop w:val="0"/>
          <w:marBottom w:val="0"/>
          <w:divBdr>
            <w:top w:val="none" w:sz="0" w:space="0" w:color="auto"/>
            <w:left w:val="none" w:sz="0" w:space="0" w:color="auto"/>
            <w:bottom w:val="none" w:sz="0" w:space="0" w:color="auto"/>
            <w:right w:val="none" w:sz="0" w:space="0" w:color="auto"/>
          </w:divBdr>
        </w:div>
      </w:divsChild>
    </w:div>
    <w:div w:id="1671248074">
      <w:bodyDiv w:val="1"/>
      <w:marLeft w:val="0"/>
      <w:marRight w:val="0"/>
      <w:marTop w:val="0"/>
      <w:marBottom w:val="0"/>
      <w:divBdr>
        <w:top w:val="none" w:sz="0" w:space="0" w:color="auto"/>
        <w:left w:val="none" w:sz="0" w:space="0" w:color="auto"/>
        <w:bottom w:val="none" w:sz="0" w:space="0" w:color="auto"/>
        <w:right w:val="none" w:sz="0" w:space="0" w:color="auto"/>
      </w:divBdr>
      <w:divsChild>
        <w:div w:id="1430733985">
          <w:marLeft w:val="0"/>
          <w:marRight w:val="0"/>
          <w:marTop w:val="0"/>
          <w:marBottom w:val="0"/>
          <w:divBdr>
            <w:top w:val="none" w:sz="0" w:space="0" w:color="auto"/>
            <w:left w:val="none" w:sz="0" w:space="0" w:color="auto"/>
            <w:bottom w:val="none" w:sz="0" w:space="0" w:color="auto"/>
            <w:right w:val="none" w:sz="0" w:space="0" w:color="auto"/>
          </w:divBdr>
          <w:divsChild>
            <w:div w:id="1619333560">
              <w:marLeft w:val="0"/>
              <w:marRight w:val="0"/>
              <w:marTop w:val="0"/>
              <w:marBottom w:val="0"/>
              <w:divBdr>
                <w:top w:val="none" w:sz="0" w:space="0" w:color="auto"/>
                <w:left w:val="none" w:sz="0" w:space="0" w:color="auto"/>
                <w:bottom w:val="none" w:sz="0" w:space="0" w:color="auto"/>
                <w:right w:val="none" w:sz="0" w:space="0" w:color="auto"/>
              </w:divBdr>
              <w:divsChild>
                <w:div w:id="20480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Q:\SaravelosEWIsNBERWP16047.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iencedirect.com/science?_ob=PublicationURL&amp;_tockey=%23TOC%235906%232008%23999729991%23700779%23FLA%23&amp;_cdi=5906&amp;_pubType=J&amp;view=c&amp;_auth=y&amp;_acct=C000050221&amp;_version=1&amp;_urlVersion=0&amp;_userid=10&amp;md5=e5cbb543f030fd141426059fec4961f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apers.ssrn.com/sol3/papers.cfm?abstract_id=10175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1838</Words>
  <Characters>10480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Comment on “Financial Cycles: What</vt:lpstr>
    </vt:vector>
  </TitlesOfParts>
  <Company>Harvard Kennedy School</Company>
  <LinksUpToDate>false</LinksUpToDate>
  <CharactersWithSpaces>12294</CharactersWithSpaces>
  <SharedDoc>false</SharedDoc>
  <HLinks>
    <vt:vector size="18" baseType="variant">
      <vt:variant>
        <vt:i4>3473423</vt:i4>
      </vt:variant>
      <vt:variant>
        <vt:i4>6</vt:i4>
      </vt:variant>
      <vt:variant>
        <vt:i4>0</vt:i4>
      </vt:variant>
      <vt:variant>
        <vt:i4>5</vt:i4>
      </vt:variant>
      <vt:variant>
        <vt:lpwstr>http://papers.ssrn.com/sol3/papers.cfm?abstract_id=1017546</vt:lpwstr>
      </vt:variant>
      <vt:variant>
        <vt:lpwstr>###</vt:lpwstr>
      </vt:variant>
      <vt:variant>
        <vt:i4>3276902</vt:i4>
      </vt:variant>
      <vt:variant>
        <vt:i4>3</vt:i4>
      </vt:variant>
      <vt:variant>
        <vt:i4>0</vt:i4>
      </vt:variant>
      <vt:variant>
        <vt:i4>5</vt:i4>
      </vt:variant>
      <vt:variant>
        <vt:lpwstr>http://www.hks.harvard.edu/fs/jfrankel/SaravelosEWIsNBERWP16047.pdf</vt:lpwstr>
      </vt:variant>
      <vt:variant>
        <vt:lpwstr/>
      </vt:variant>
      <vt:variant>
        <vt:i4>2293836</vt:i4>
      </vt:variant>
      <vt:variant>
        <vt:i4>0</vt:i4>
      </vt:variant>
      <vt:variant>
        <vt:i4>0</vt:i4>
      </vt:variant>
      <vt:variant>
        <vt:i4>5</vt:i4>
      </vt:variant>
      <vt:variant>
        <vt:lpwstr>http://www.sciencedirect.com/science?_ob=PublicationURL&amp;_tockey=%23TOC%235906%232008%23999729991%23700779%23FLA%23&amp;_cdi=5906&amp;_pubType=J&amp;view=c&amp;_auth=y&amp;_acct=C000050221&amp;_version=1&amp;_urlVersion=0&amp;_userid=10&amp;md5=e5cbb543f030fd141426059fec4961f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 on “Financial Cycles: What</dc:title>
  <dc:creator>Jeff Frankel</dc:creator>
  <cp:lastModifiedBy>Dell</cp:lastModifiedBy>
  <cp:revision>2</cp:revision>
  <dcterms:created xsi:type="dcterms:W3CDTF">2017-09-18T14:48:00Z</dcterms:created>
  <dcterms:modified xsi:type="dcterms:W3CDTF">2017-09-18T14:48:00Z</dcterms:modified>
</cp:coreProperties>
</file>