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CE" w:rsidRDefault="00C707CE" w:rsidP="00C707CE">
      <w:pPr>
        <w:jc w:val="right"/>
      </w:pPr>
      <w:r w:rsidRPr="00C707CE">
        <w:t xml:space="preserve">Jan. </w:t>
      </w:r>
      <w:r w:rsidR="0005420E">
        <w:t>5</w:t>
      </w:r>
      <w:r w:rsidRPr="00C707CE">
        <w:t>, 2018</w:t>
      </w:r>
    </w:p>
    <w:p w:rsidR="00933A07" w:rsidRDefault="000547D1" w:rsidP="00C707CE">
      <w:pPr>
        <w:spacing w:line="240" w:lineRule="auto"/>
        <w:jc w:val="center"/>
        <w:rPr>
          <w:b/>
          <w:sz w:val="32"/>
          <w:szCs w:val="32"/>
        </w:rPr>
      </w:pPr>
      <w:r>
        <w:rPr>
          <w:b/>
          <w:sz w:val="32"/>
          <w:szCs w:val="32"/>
        </w:rPr>
        <w:t>“</w:t>
      </w:r>
      <w:r w:rsidR="00933A07">
        <w:rPr>
          <w:b/>
          <w:sz w:val="32"/>
          <w:szCs w:val="32"/>
        </w:rPr>
        <w:t>The Case for (and Drawbacks of) Nominal GDP Targets</w:t>
      </w:r>
      <w:r>
        <w:rPr>
          <w:b/>
          <w:sz w:val="32"/>
          <w:szCs w:val="32"/>
        </w:rPr>
        <w:t>”</w:t>
      </w:r>
    </w:p>
    <w:p w:rsidR="00933A07" w:rsidRPr="00C707CE" w:rsidRDefault="00933A07" w:rsidP="00C707CE">
      <w:pPr>
        <w:spacing w:line="240" w:lineRule="auto"/>
        <w:jc w:val="center"/>
        <w:rPr>
          <w:sz w:val="28"/>
          <w:szCs w:val="28"/>
        </w:rPr>
      </w:pPr>
      <w:r>
        <w:rPr>
          <w:sz w:val="32"/>
          <w:szCs w:val="32"/>
        </w:rPr>
        <w:t xml:space="preserve">Jeffrey Frankel, Harpel Professor of Capital Formation and Growth, </w:t>
      </w:r>
      <w:r w:rsidR="00C31060">
        <w:rPr>
          <w:sz w:val="32"/>
          <w:szCs w:val="32"/>
        </w:rPr>
        <w:br/>
      </w:r>
      <w:r w:rsidRPr="00C707CE">
        <w:rPr>
          <w:sz w:val="28"/>
          <w:szCs w:val="28"/>
        </w:rPr>
        <w:t>Harvard Kennedy School, Harvard University</w:t>
      </w:r>
    </w:p>
    <w:p w:rsidR="000452A7" w:rsidRDefault="00567A3F" w:rsidP="00C707CE">
      <w:pPr>
        <w:spacing w:line="240" w:lineRule="auto"/>
        <w:jc w:val="center"/>
        <w:rPr>
          <w:sz w:val="32"/>
          <w:szCs w:val="32"/>
        </w:rPr>
      </w:pPr>
      <w:r>
        <w:rPr>
          <w:sz w:val="28"/>
          <w:szCs w:val="28"/>
        </w:rPr>
        <w:t>Detailed outli</w:t>
      </w:r>
      <w:bookmarkStart w:id="0" w:name="_GoBack"/>
      <w:bookmarkEnd w:id="0"/>
      <w:r>
        <w:rPr>
          <w:sz w:val="28"/>
          <w:szCs w:val="28"/>
        </w:rPr>
        <w:t>ne, p</w:t>
      </w:r>
      <w:r w:rsidR="00A70E33" w:rsidRPr="00C707CE">
        <w:rPr>
          <w:sz w:val="28"/>
          <w:szCs w:val="28"/>
        </w:rPr>
        <w:t>repared for</w:t>
      </w:r>
      <w:r w:rsidR="004846BA" w:rsidRPr="00C707CE">
        <w:rPr>
          <w:sz w:val="28"/>
          <w:szCs w:val="28"/>
        </w:rPr>
        <w:t xml:space="preserve"> </w:t>
      </w:r>
      <w:r w:rsidR="00A70E33" w:rsidRPr="00C707CE">
        <w:rPr>
          <w:sz w:val="28"/>
          <w:szCs w:val="28"/>
        </w:rPr>
        <w:t>Brookings Institution conference,</w:t>
      </w:r>
      <w:r w:rsidR="00A70E33" w:rsidRPr="00C707CE">
        <w:rPr>
          <w:b/>
          <w:sz w:val="28"/>
          <w:szCs w:val="28"/>
        </w:rPr>
        <w:t xml:space="preserve"> </w:t>
      </w:r>
      <w:r w:rsidR="00A70E33" w:rsidRPr="00C707CE">
        <w:rPr>
          <w:sz w:val="28"/>
          <w:szCs w:val="28"/>
        </w:rPr>
        <w:br/>
      </w:r>
      <w:r w:rsidR="00A70E33" w:rsidRPr="00567A3F">
        <w:rPr>
          <w:i/>
          <w:sz w:val="28"/>
          <w:szCs w:val="28"/>
        </w:rPr>
        <w:t>Should the Fed stick with the 2 percent inflation target or rethink it?</w:t>
      </w:r>
      <w:r w:rsidR="00A70E33" w:rsidRPr="00C707CE">
        <w:rPr>
          <w:sz w:val="28"/>
          <w:szCs w:val="28"/>
        </w:rPr>
        <w:t xml:space="preserve"> </w:t>
      </w:r>
      <w:r w:rsidR="00731F1C">
        <w:rPr>
          <w:sz w:val="28"/>
          <w:szCs w:val="28"/>
        </w:rPr>
        <w:br/>
      </w:r>
      <w:r w:rsidR="00A70E33" w:rsidRPr="00C707CE">
        <w:rPr>
          <w:rFonts w:ascii="Georgia" w:hAnsi="Georgia"/>
          <w:i/>
          <w:sz w:val="28"/>
          <w:szCs w:val="28"/>
          <w:lang w:eastAsia="ko-KR"/>
        </w:rPr>
        <w:t>Hutchins Center on Fiscal &amp; Monetary Policy</w:t>
      </w:r>
      <w:r w:rsidR="00A70E33" w:rsidRPr="00C707CE">
        <w:rPr>
          <w:sz w:val="28"/>
          <w:szCs w:val="28"/>
        </w:rPr>
        <w:br/>
      </w:r>
      <w:r w:rsidR="004846BA" w:rsidRPr="00C707CE">
        <w:rPr>
          <w:sz w:val="28"/>
          <w:szCs w:val="28"/>
          <w:lang w:eastAsia="ko-KR"/>
        </w:rPr>
        <w:t>Monday</w:t>
      </w:r>
      <w:r w:rsidR="004846BA" w:rsidRPr="00C707CE">
        <w:rPr>
          <w:sz w:val="28"/>
          <w:szCs w:val="28"/>
          <w:lang w:eastAsia="ja-JP"/>
        </w:rPr>
        <w:t>, January 8, 2018.</w:t>
      </w:r>
      <w:r w:rsidR="004846BA">
        <w:rPr>
          <w:lang w:eastAsia="ja-JP"/>
        </w:rPr>
        <w:t xml:space="preserve"> </w:t>
      </w:r>
      <w:r w:rsidR="004846BA">
        <w:t xml:space="preserve"> </w:t>
      </w:r>
      <w:r w:rsidR="00A70E33">
        <w:rPr>
          <w:b/>
          <w:sz w:val="32"/>
          <w:szCs w:val="32"/>
        </w:rPr>
        <w:br/>
      </w:r>
    </w:p>
    <w:p w:rsidR="00D452F5" w:rsidRPr="00D452F5" w:rsidRDefault="00D452F5" w:rsidP="00DA2C9A">
      <w:pPr>
        <w:rPr>
          <w:b/>
          <w:sz w:val="36"/>
          <w:szCs w:val="36"/>
        </w:rPr>
      </w:pPr>
      <w:r w:rsidRPr="00D452F5">
        <w:rPr>
          <w:b/>
          <w:sz w:val="36"/>
          <w:szCs w:val="36"/>
        </w:rPr>
        <w:t>To start</w:t>
      </w:r>
    </w:p>
    <w:p w:rsidR="00A34D4E" w:rsidRPr="00C707CE" w:rsidRDefault="000547D1" w:rsidP="00DA2C9A">
      <w:pPr>
        <w:rPr>
          <w:b/>
          <w:sz w:val="16"/>
          <w:szCs w:val="16"/>
        </w:rPr>
      </w:pPr>
      <w:r>
        <w:rPr>
          <w:b/>
          <w:sz w:val="28"/>
          <w:szCs w:val="28"/>
        </w:rPr>
        <w:t>Basic</w:t>
      </w:r>
      <w:r w:rsidR="00A34D4E" w:rsidRPr="00DA2C9A">
        <w:rPr>
          <w:b/>
          <w:sz w:val="28"/>
          <w:szCs w:val="28"/>
        </w:rPr>
        <w:t xml:space="preserve"> principle:   </w:t>
      </w:r>
      <w:r w:rsidR="00B00142">
        <w:rPr>
          <w:b/>
          <w:sz w:val="28"/>
          <w:szCs w:val="28"/>
        </w:rPr>
        <w:t xml:space="preserve">The point of </w:t>
      </w:r>
      <w:r>
        <w:rPr>
          <w:b/>
          <w:sz w:val="28"/>
          <w:szCs w:val="28"/>
        </w:rPr>
        <w:t xml:space="preserve">announcing </w:t>
      </w:r>
      <w:r w:rsidR="00B00142">
        <w:rPr>
          <w:b/>
          <w:sz w:val="28"/>
          <w:szCs w:val="28"/>
        </w:rPr>
        <w:t>a</w:t>
      </w:r>
      <w:r>
        <w:rPr>
          <w:b/>
          <w:sz w:val="28"/>
          <w:szCs w:val="28"/>
        </w:rPr>
        <w:t xml:space="preserve"> </w:t>
      </w:r>
      <w:r w:rsidR="00A34D4E" w:rsidRPr="00DA2C9A">
        <w:rPr>
          <w:b/>
          <w:sz w:val="28"/>
          <w:szCs w:val="28"/>
        </w:rPr>
        <w:t>target</w:t>
      </w:r>
      <w:r w:rsidR="00137A0F" w:rsidRPr="00DA2C9A">
        <w:rPr>
          <w:b/>
          <w:sz w:val="28"/>
          <w:szCs w:val="28"/>
        </w:rPr>
        <w:t xml:space="preserve"> is</w:t>
      </w:r>
      <w:r w:rsidR="00A34D4E" w:rsidRPr="00DA2C9A">
        <w:rPr>
          <w:b/>
          <w:sz w:val="28"/>
          <w:szCs w:val="28"/>
        </w:rPr>
        <w:t xml:space="preserve"> </w:t>
      </w:r>
      <w:r w:rsidR="00B00142">
        <w:rPr>
          <w:b/>
          <w:sz w:val="28"/>
          <w:szCs w:val="28"/>
        </w:rPr>
        <w:t>credibility</w:t>
      </w:r>
      <w:proofErr w:type="gramStart"/>
      <w:r>
        <w:rPr>
          <w:b/>
          <w:sz w:val="28"/>
          <w:szCs w:val="28"/>
        </w:rPr>
        <w:t>;  t</w:t>
      </w:r>
      <w:r w:rsidR="00B00142">
        <w:rPr>
          <w:b/>
          <w:sz w:val="28"/>
          <w:szCs w:val="28"/>
        </w:rPr>
        <w:t>herefore</w:t>
      </w:r>
      <w:proofErr w:type="gramEnd"/>
      <w:r w:rsidR="00B00142">
        <w:rPr>
          <w:b/>
          <w:sz w:val="28"/>
          <w:szCs w:val="28"/>
        </w:rPr>
        <w:t xml:space="preserve"> </w:t>
      </w:r>
      <w:r>
        <w:rPr>
          <w:b/>
          <w:sz w:val="28"/>
          <w:szCs w:val="28"/>
        </w:rPr>
        <w:t>the target</w:t>
      </w:r>
      <w:r w:rsidR="00B00142">
        <w:rPr>
          <w:b/>
          <w:sz w:val="28"/>
          <w:szCs w:val="28"/>
        </w:rPr>
        <w:t xml:space="preserve"> is not</w:t>
      </w:r>
      <w:r w:rsidR="00A34D4E" w:rsidRPr="00DA2C9A">
        <w:rPr>
          <w:b/>
          <w:sz w:val="28"/>
          <w:szCs w:val="28"/>
        </w:rPr>
        <w:t xml:space="preserve"> very useful if </w:t>
      </w:r>
      <w:r w:rsidR="00137A0F" w:rsidRPr="00DA2C9A">
        <w:rPr>
          <w:b/>
          <w:sz w:val="28"/>
          <w:szCs w:val="28"/>
        </w:rPr>
        <w:t xml:space="preserve">the authorities </w:t>
      </w:r>
      <w:r w:rsidR="00A34D4E" w:rsidRPr="00DA2C9A">
        <w:rPr>
          <w:b/>
          <w:sz w:val="28"/>
          <w:szCs w:val="28"/>
        </w:rPr>
        <w:t xml:space="preserve">are chronically unable to achieve </w:t>
      </w:r>
      <w:r>
        <w:rPr>
          <w:b/>
          <w:sz w:val="28"/>
          <w:szCs w:val="28"/>
        </w:rPr>
        <w:t>it</w:t>
      </w:r>
      <w:r w:rsidR="00A34D4E" w:rsidRPr="00DA2C9A">
        <w:rPr>
          <w:b/>
          <w:sz w:val="28"/>
          <w:szCs w:val="28"/>
        </w:rPr>
        <w:t>.</w:t>
      </w:r>
    </w:p>
    <w:p w:rsidR="00B6112F" w:rsidRPr="00C707CE" w:rsidRDefault="00B6112F" w:rsidP="00B6112F">
      <w:pPr>
        <w:pStyle w:val="ListParagraph"/>
        <w:ind w:left="360"/>
        <w:rPr>
          <w:b/>
          <w:sz w:val="16"/>
          <w:szCs w:val="16"/>
        </w:rPr>
      </w:pPr>
    </w:p>
    <w:p w:rsidR="00A34D4E" w:rsidRPr="00137A0F" w:rsidRDefault="00A34D4E" w:rsidP="00055F22">
      <w:pPr>
        <w:pStyle w:val="ListParagraph"/>
        <w:numPr>
          <w:ilvl w:val="0"/>
          <w:numId w:val="2"/>
        </w:numPr>
        <w:rPr>
          <w:sz w:val="28"/>
          <w:szCs w:val="28"/>
        </w:rPr>
      </w:pPr>
      <w:r w:rsidRPr="00137A0F">
        <w:rPr>
          <w:sz w:val="28"/>
          <w:szCs w:val="28"/>
        </w:rPr>
        <w:t>The main point of promising to raise inflation to 2% was to get the economy back to full employment.</w:t>
      </w:r>
      <w:r w:rsidR="00137A0F">
        <w:rPr>
          <w:sz w:val="28"/>
          <w:szCs w:val="28"/>
        </w:rPr>
        <w:t xml:space="preserve">  </w:t>
      </w:r>
      <w:r w:rsidRPr="00137A0F">
        <w:rPr>
          <w:sz w:val="28"/>
          <w:szCs w:val="28"/>
        </w:rPr>
        <w:t xml:space="preserve">The 2% inflation goal no longer </w:t>
      </w:r>
      <w:r w:rsidR="004846BA">
        <w:rPr>
          <w:sz w:val="28"/>
          <w:szCs w:val="28"/>
        </w:rPr>
        <w:t>serves the</w:t>
      </w:r>
      <w:r w:rsidR="00B00142">
        <w:rPr>
          <w:sz w:val="28"/>
          <w:szCs w:val="28"/>
        </w:rPr>
        <w:t xml:space="preserve"> </w:t>
      </w:r>
      <w:r w:rsidRPr="00137A0F">
        <w:rPr>
          <w:sz w:val="28"/>
          <w:szCs w:val="28"/>
        </w:rPr>
        <w:t>purpose</w:t>
      </w:r>
      <w:r w:rsidR="00B00142">
        <w:rPr>
          <w:sz w:val="28"/>
          <w:szCs w:val="28"/>
        </w:rPr>
        <w:t xml:space="preserve"> as envisioned</w:t>
      </w:r>
    </w:p>
    <w:p w:rsidR="00A34D4E" w:rsidRPr="00137A0F" w:rsidRDefault="00A34D4E" w:rsidP="00055F22">
      <w:pPr>
        <w:pStyle w:val="ListParagraph"/>
        <w:numPr>
          <w:ilvl w:val="1"/>
          <w:numId w:val="2"/>
        </w:numPr>
        <w:rPr>
          <w:sz w:val="28"/>
          <w:szCs w:val="28"/>
        </w:rPr>
      </w:pPr>
      <w:r w:rsidRPr="00137A0F">
        <w:rPr>
          <w:sz w:val="28"/>
          <w:szCs w:val="28"/>
        </w:rPr>
        <w:t>since it hasn‘t been achieved</w:t>
      </w:r>
      <w:r w:rsidR="00B00142">
        <w:rPr>
          <w:sz w:val="28"/>
          <w:szCs w:val="28"/>
        </w:rPr>
        <w:t xml:space="preserve"> and clearly lacks credibility;</w:t>
      </w:r>
    </w:p>
    <w:p w:rsidR="00A34D4E" w:rsidRPr="00137A0F" w:rsidRDefault="00A34D4E" w:rsidP="00055F22">
      <w:pPr>
        <w:pStyle w:val="ListParagraph"/>
        <w:numPr>
          <w:ilvl w:val="1"/>
          <w:numId w:val="2"/>
        </w:numPr>
        <w:rPr>
          <w:sz w:val="28"/>
          <w:szCs w:val="28"/>
        </w:rPr>
      </w:pPr>
      <w:proofErr w:type="gramStart"/>
      <w:r w:rsidRPr="00137A0F">
        <w:rPr>
          <w:sz w:val="28"/>
          <w:szCs w:val="28"/>
        </w:rPr>
        <w:t>and</w:t>
      </w:r>
      <w:proofErr w:type="gramEnd"/>
      <w:r w:rsidRPr="00137A0F">
        <w:rPr>
          <w:sz w:val="28"/>
          <w:szCs w:val="28"/>
        </w:rPr>
        <w:t xml:space="preserve"> </w:t>
      </w:r>
      <w:r w:rsidR="00B00142">
        <w:rPr>
          <w:sz w:val="28"/>
          <w:szCs w:val="28"/>
        </w:rPr>
        <w:t xml:space="preserve">also since </w:t>
      </w:r>
      <w:r w:rsidR="00137A0F">
        <w:rPr>
          <w:sz w:val="28"/>
          <w:szCs w:val="28"/>
        </w:rPr>
        <w:t xml:space="preserve">US </w:t>
      </w:r>
      <w:r w:rsidRPr="00137A0F">
        <w:rPr>
          <w:sz w:val="28"/>
          <w:szCs w:val="28"/>
        </w:rPr>
        <w:t xml:space="preserve">unemployment is </w:t>
      </w:r>
      <w:r w:rsidR="00B00142">
        <w:rPr>
          <w:sz w:val="28"/>
          <w:szCs w:val="28"/>
        </w:rPr>
        <w:t xml:space="preserve">nevertheless </w:t>
      </w:r>
      <w:r w:rsidRPr="00137A0F">
        <w:rPr>
          <w:sz w:val="28"/>
          <w:szCs w:val="28"/>
        </w:rPr>
        <w:t>back down to the natural rate</w:t>
      </w:r>
      <w:r w:rsidR="005B26D9" w:rsidRPr="00137A0F">
        <w:rPr>
          <w:sz w:val="28"/>
          <w:szCs w:val="28"/>
        </w:rPr>
        <w:t>.</w:t>
      </w:r>
    </w:p>
    <w:p w:rsidR="005B26D9" w:rsidRPr="00137A0F" w:rsidRDefault="005B26D9" w:rsidP="00055F22">
      <w:pPr>
        <w:pStyle w:val="ListParagraph"/>
        <w:numPr>
          <w:ilvl w:val="1"/>
          <w:numId w:val="2"/>
        </w:numPr>
        <w:rPr>
          <w:sz w:val="28"/>
          <w:szCs w:val="28"/>
        </w:rPr>
      </w:pPr>
      <w:r w:rsidRPr="00137A0F">
        <w:rPr>
          <w:sz w:val="28"/>
          <w:szCs w:val="28"/>
        </w:rPr>
        <w:t>Raising the inflation target</w:t>
      </w:r>
      <w:r w:rsidR="000C5D6C">
        <w:rPr>
          <w:sz w:val="28"/>
          <w:szCs w:val="28"/>
        </w:rPr>
        <w:t xml:space="preserve"> to 3 or 4%</w:t>
      </w:r>
      <w:r w:rsidRPr="00137A0F">
        <w:rPr>
          <w:sz w:val="28"/>
          <w:szCs w:val="28"/>
        </w:rPr>
        <w:t>, or setting a price level target</w:t>
      </w:r>
      <w:r w:rsidR="00CD6098" w:rsidRPr="00137A0F">
        <w:rPr>
          <w:sz w:val="28"/>
          <w:szCs w:val="28"/>
        </w:rPr>
        <w:t>, would be even</w:t>
      </w:r>
      <w:r w:rsidRPr="00137A0F">
        <w:rPr>
          <w:sz w:val="28"/>
          <w:szCs w:val="28"/>
        </w:rPr>
        <w:t xml:space="preserve"> less credible.</w:t>
      </w:r>
    </w:p>
    <w:p w:rsidR="005B26D9" w:rsidRPr="00C707CE" w:rsidRDefault="00B00142" w:rsidP="00055F22">
      <w:pPr>
        <w:pStyle w:val="ListParagraph"/>
        <w:numPr>
          <w:ilvl w:val="1"/>
          <w:numId w:val="2"/>
        </w:numPr>
        <w:rPr>
          <w:sz w:val="16"/>
          <w:szCs w:val="16"/>
        </w:rPr>
      </w:pPr>
      <w:r>
        <w:rPr>
          <w:sz w:val="28"/>
          <w:szCs w:val="28"/>
        </w:rPr>
        <w:t xml:space="preserve">I agree that </w:t>
      </w:r>
      <w:r w:rsidR="005B26D9" w:rsidRPr="00137A0F">
        <w:rPr>
          <w:sz w:val="28"/>
          <w:szCs w:val="28"/>
        </w:rPr>
        <w:t xml:space="preserve">it </w:t>
      </w:r>
      <w:r w:rsidR="003B15EB" w:rsidRPr="00137A0F">
        <w:rPr>
          <w:sz w:val="28"/>
          <w:szCs w:val="28"/>
        </w:rPr>
        <w:t>is</w:t>
      </w:r>
      <w:r w:rsidR="005B26D9" w:rsidRPr="00137A0F">
        <w:rPr>
          <w:sz w:val="28"/>
          <w:szCs w:val="28"/>
        </w:rPr>
        <w:t xml:space="preserve">n’t </w:t>
      </w:r>
      <w:r w:rsidR="003B15EB" w:rsidRPr="00137A0F">
        <w:rPr>
          <w:sz w:val="28"/>
          <w:szCs w:val="28"/>
        </w:rPr>
        <w:t xml:space="preserve">a bad idea </w:t>
      </w:r>
      <w:r w:rsidR="006C2C4D" w:rsidRPr="00137A0F">
        <w:rPr>
          <w:sz w:val="28"/>
          <w:szCs w:val="28"/>
        </w:rPr>
        <w:t xml:space="preserve">for the central bank </w:t>
      </w:r>
      <w:r w:rsidR="003B15EB" w:rsidRPr="00137A0F">
        <w:rPr>
          <w:sz w:val="28"/>
          <w:szCs w:val="28"/>
        </w:rPr>
        <w:t xml:space="preserve">to be transparent about </w:t>
      </w:r>
      <w:r w:rsidR="005B26D9" w:rsidRPr="00137A0F">
        <w:rPr>
          <w:sz w:val="28"/>
          <w:szCs w:val="28"/>
        </w:rPr>
        <w:t xml:space="preserve">what </w:t>
      </w:r>
      <w:r w:rsidR="006C2C4D" w:rsidRPr="00137A0F">
        <w:rPr>
          <w:sz w:val="28"/>
          <w:szCs w:val="28"/>
        </w:rPr>
        <w:t xml:space="preserve">it </w:t>
      </w:r>
      <w:r w:rsidR="005B26D9" w:rsidRPr="00137A0F">
        <w:rPr>
          <w:sz w:val="28"/>
          <w:szCs w:val="28"/>
        </w:rPr>
        <w:t xml:space="preserve">sees as the long-run inflation rate, </w:t>
      </w:r>
      <w:r>
        <w:rPr>
          <w:sz w:val="28"/>
          <w:szCs w:val="28"/>
        </w:rPr>
        <w:t xml:space="preserve">along with </w:t>
      </w:r>
      <w:r w:rsidR="005B26D9" w:rsidRPr="00137A0F">
        <w:rPr>
          <w:sz w:val="28"/>
          <w:szCs w:val="28"/>
        </w:rPr>
        <w:t xml:space="preserve">the long-run rates of </w:t>
      </w:r>
      <w:r w:rsidR="00CD6098" w:rsidRPr="00137A0F">
        <w:rPr>
          <w:sz w:val="28"/>
          <w:szCs w:val="28"/>
        </w:rPr>
        <w:t xml:space="preserve">GDP </w:t>
      </w:r>
      <w:r w:rsidR="005B26D9" w:rsidRPr="00137A0F">
        <w:rPr>
          <w:sz w:val="28"/>
          <w:szCs w:val="28"/>
        </w:rPr>
        <w:t>growth and unemployment.</w:t>
      </w:r>
      <w:r>
        <w:rPr>
          <w:sz w:val="28"/>
          <w:szCs w:val="28"/>
        </w:rPr>
        <w:t xml:space="preserve">  If this is all that is meant by</w:t>
      </w:r>
      <w:r w:rsidR="006C2C4D" w:rsidRPr="00137A0F">
        <w:rPr>
          <w:sz w:val="28"/>
          <w:szCs w:val="28"/>
        </w:rPr>
        <w:t xml:space="preserve"> F</w:t>
      </w:r>
      <w:r>
        <w:rPr>
          <w:sz w:val="28"/>
          <w:szCs w:val="28"/>
        </w:rPr>
        <w:t>lexible Inflation Targeting, then fine</w:t>
      </w:r>
      <w:r w:rsidR="006C2C4D" w:rsidRPr="00137A0F">
        <w:rPr>
          <w:sz w:val="28"/>
          <w:szCs w:val="28"/>
        </w:rPr>
        <w:t>.</w:t>
      </w:r>
      <w:r w:rsidR="00B6112F" w:rsidRPr="00C707CE">
        <w:rPr>
          <w:sz w:val="16"/>
          <w:szCs w:val="16"/>
        </w:rPr>
        <w:br/>
      </w:r>
    </w:p>
    <w:p w:rsidR="00C12CE2" w:rsidRPr="00137A0F" w:rsidRDefault="00C12CE2" w:rsidP="006C2C4D">
      <w:pPr>
        <w:pStyle w:val="ListParagraph"/>
        <w:numPr>
          <w:ilvl w:val="0"/>
          <w:numId w:val="2"/>
        </w:numPr>
        <w:spacing w:line="240" w:lineRule="auto"/>
        <w:rPr>
          <w:sz w:val="28"/>
          <w:szCs w:val="28"/>
        </w:rPr>
      </w:pPr>
      <w:r w:rsidRPr="00137A0F">
        <w:rPr>
          <w:sz w:val="28"/>
          <w:szCs w:val="28"/>
        </w:rPr>
        <w:t>More im</w:t>
      </w:r>
      <w:r w:rsidR="006C2C4D" w:rsidRPr="00137A0F">
        <w:rPr>
          <w:sz w:val="28"/>
          <w:szCs w:val="28"/>
        </w:rPr>
        <w:t xml:space="preserve">portant question:  if the central bank wants to communicate its intentions [not just at the long-term horizon, but also] at </w:t>
      </w:r>
      <w:r w:rsidR="00B00142">
        <w:rPr>
          <w:sz w:val="28"/>
          <w:szCs w:val="28"/>
        </w:rPr>
        <w:t>a</w:t>
      </w:r>
      <w:r w:rsidR="006C2C4D" w:rsidRPr="00137A0F">
        <w:rPr>
          <w:sz w:val="28"/>
          <w:szCs w:val="28"/>
        </w:rPr>
        <w:t xml:space="preserve"> 1</w:t>
      </w:r>
      <w:r w:rsidR="00B00142">
        <w:rPr>
          <w:sz w:val="28"/>
          <w:szCs w:val="28"/>
        </w:rPr>
        <w:t>- or</w:t>
      </w:r>
      <w:r w:rsidR="006C2C4D" w:rsidRPr="00137A0F">
        <w:rPr>
          <w:sz w:val="28"/>
          <w:szCs w:val="28"/>
        </w:rPr>
        <w:t>2</w:t>
      </w:r>
      <w:r w:rsidR="00B00142">
        <w:rPr>
          <w:sz w:val="28"/>
          <w:szCs w:val="28"/>
        </w:rPr>
        <w:t>-</w:t>
      </w:r>
      <w:r w:rsidR="006C2C4D" w:rsidRPr="00137A0F">
        <w:rPr>
          <w:sz w:val="28"/>
          <w:szCs w:val="28"/>
        </w:rPr>
        <w:t>year horizon, how should it express the signal?</w:t>
      </w:r>
    </w:p>
    <w:p w:rsidR="00151142" w:rsidRDefault="00151142" w:rsidP="006C2C4D">
      <w:pPr>
        <w:pStyle w:val="ListParagraph"/>
        <w:numPr>
          <w:ilvl w:val="1"/>
          <w:numId w:val="2"/>
        </w:numPr>
        <w:spacing w:line="240" w:lineRule="auto"/>
        <w:rPr>
          <w:sz w:val="28"/>
          <w:szCs w:val="28"/>
        </w:rPr>
      </w:pPr>
      <w:r>
        <w:rPr>
          <w:sz w:val="28"/>
          <w:szCs w:val="28"/>
        </w:rPr>
        <w:t xml:space="preserve">Obvious choices for a nominal anchor: </w:t>
      </w:r>
      <w:r w:rsidR="006C2C4D" w:rsidRPr="00137A0F">
        <w:rPr>
          <w:sz w:val="28"/>
          <w:szCs w:val="28"/>
        </w:rPr>
        <w:t xml:space="preserve">Inflation? M1?  </w:t>
      </w:r>
      <w:r w:rsidR="005F7073" w:rsidRPr="00137A0F">
        <w:rPr>
          <w:sz w:val="28"/>
          <w:szCs w:val="28"/>
        </w:rPr>
        <w:t>Exchange rate</w:t>
      </w:r>
      <w:r w:rsidR="005F7073">
        <w:rPr>
          <w:sz w:val="28"/>
          <w:szCs w:val="28"/>
        </w:rPr>
        <w:t xml:space="preserve">? </w:t>
      </w:r>
      <w:r w:rsidR="00B00142">
        <w:rPr>
          <w:sz w:val="28"/>
          <w:szCs w:val="28"/>
        </w:rPr>
        <w:t xml:space="preserve"> </w:t>
      </w:r>
    </w:p>
    <w:p w:rsidR="006C2C4D" w:rsidRPr="00137A0F" w:rsidRDefault="00151142" w:rsidP="006C2C4D">
      <w:pPr>
        <w:pStyle w:val="ListParagraph"/>
        <w:numPr>
          <w:ilvl w:val="1"/>
          <w:numId w:val="2"/>
        </w:numPr>
        <w:spacing w:line="240" w:lineRule="auto"/>
        <w:rPr>
          <w:sz w:val="28"/>
          <w:szCs w:val="28"/>
        </w:rPr>
      </w:pPr>
      <w:r>
        <w:rPr>
          <w:sz w:val="28"/>
          <w:szCs w:val="28"/>
        </w:rPr>
        <w:t xml:space="preserve">Other candidate variables? </w:t>
      </w:r>
      <w:r w:rsidR="000C5D6C" w:rsidRPr="00137A0F">
        <w:rPr>
          <w:sz w:val="28"/>
          <w:szCs w:val="28"/>
        </w:rPr>
        <w:t xml:space="preserve"> </w:t>
      </w:r>
      <w:r w:rsidR="00B00142">
        <w:rPr>
          <w:sz w:val="28"/>
          <w:szCs w:val="28"/>
        </w:rPr>
        <w:t>“F</w:t>
      </w:r>
      <w:r w:rsidR="005F7073">
        <w:rPr>
          <w:sz w:val="28"/>
          <w:szCs w:val="28"/>
        </w:rPr>
        <w:t>orward guidance”</w:t>
      </w:r>
      <w:r w:rsidR="00B00142">
        <w:rPr>
          <w:sz w:val="28"/>
          <w:szCs w:val="28"/>
        </w:rPr>
        <w:t xml:space="preserve"> has generally been phrased in terms of future short interest rates</w:t>
      </w:r>
      <w:r w:rsidR="00D1657D">
        <w:rPr>
          <w:sz w:val="28"/>
          <w:szCs w:val="28"/>
        </w:rPr>
        <w:t>.</w:t>
      </w:r>
      <w:r w:rsidR="005F7073">
        <w:rPr>
          <w:sz w:val="28"/>
          <w:szCs w:val="28"/>
        </w:rPr>
        <w:t xml:space="preserve">  </w:t>
      </w:r>
      <w:r>
        <w:rPr>
          <w:sz w:val="28"/>
          <w:szCs w:val="28"/>
        </w:rPr>
        <w:t>China has long set r</w:t>
      </w:r>
      <w:r w:rsidRPr="00137A0F">
        <w:rPr>
          <w:sz w:val="28"/>
          <w:szCs w:val="28"/>
        </w:rPr>
        <w:t>eal GDP</w:t>
      </w:r>
      <w:r>
        <w:rPr>
          <w:sz w:val="28"/>
          <w:szCs w:val="28"/>
        </w:rPr>
        <w:t xml:space="preserve"> targets (at </w:t>
      </w:r>
      <w:r>
        <w:rPr>
          <w:sz w:val="28"/>
          <w:szCs w:val="28"/>
        </w:rPr>
        <w:lastRenderedPageBreak/>
        <w:t>least until very recently).</w:t>
      </w:r>
      <w:r w:rsidRPr="00137A0F">
        <w:rPr>
          <w:sz w:val="28"/>
          <w:szCs w:val="28"/>
        </w:rPr>
        <w:t xml:space="preserve">  </w:t>
      </w:r>
      <w:r>
        <w:rPr>
          <w:sz w:val="28"/>
          <w:szCs w:val="28"/>
        </w:rPr>
        <w:t>The FRB &amp; BoE phrased thresholds in terms of the u</w:t>
      </w:r>
      <w:r w:rsidR="006C2C4D" w:rsidRPr="00137A0F">
        <w:rPr>
          <w:sz w:val="28"/>
          <w:szCs w:val="28"/>
        </w:rPr>
        <w:t>nemployment rate</w:t>
      </w:r>
      <w:r w:rsidR="005F7073">
        <w:rPr>
          <w:sz w:val="28"/>
          <w:szCs w:val="28"/>
        </w:rPr>
        <w:t xml:space="preserve"> </w:t>
      </w:r>
      <w:r>
        <w:rPr>
          <w:sz w:val="28"/>
          <w:szCs w:val="28"/>
        </w:rPr>
        <w:t xml:space="preserve">a few years back </w:t>
      </w:r>
      <w:r w:rsidR="005F7073">
        <w:rPr>
          <w:sz w:val="28"/>
          <w:szCs w:val="28"/>
        </w:rPr>
        <w:t>(</w:t>
      </w:r>
      <w:r>
        <w:rPr>
          <w:sz w:val="28"/>
          <w:szCs w:val="28"/>
        </w:rPr>
        <w:t>though unanticipated labor market shocks soon forced an end to that approach</w:t>
      </w:r>
      <w:r w:rsidR="005F7073">
        <w:rPr>
          <w:sz w:val="28"/>
          <w:szCs w:val="28"/>
        </w:rPr>
        <w:t>)</w:t>
      </w:r>
      <w:r>
        <w:rPr>
          <w:sz w:val="28"/>
          <w:szCs w:val="28"/>
        </w:rPr>
        <w:t xml:space="preserve">? </w:t>
      </w:r>
    </w:p>
    <w:p w:rsidR="006C2C4D" w:rsidRPr="00137A0F" w:rsidRDefault="00137A0F" w:rsidP="006C2C4D">
      <w:pPr>
        <w:pStyle w:val="ListParagraph"/>
        <w:numPr>
          <w:ilvl w:val="1"/>
          <w:numId w:val="2"/>
        </w:numPr>
        <w:spacing w:line="240" w:lineRule="auto"/>
        <w:rPr>
          <w:sz w:val="28"/>
          <w:szCs w:val="28"/>
        </w:rPr>
      </w:pPr>
      <w:r>
        <w:rPr>
          <w:sz w:val="28"/>
          <w:szCs w:val="28"/>
        </w:rPr>
        <w:t>[</w:t>
      </w:r>
      <w:r w:rsidR="006C2C4D" w:rsidRPr="00137A0F">
        <w:rPr>
          <w:sz w:val="28"/>
          <w:szCs w:val="28"/>
        </w:rPr>
        <w:t xml:space="preserve">The question will become important when </w:t>
      </w:r>
      <w:r w:rsidR="00BC12F8">
        <w:rPr>
          <w:sz w:val="28"/>
          <w:szCs w:val="28"/>
        </w:rPr>
        <w:t xml:space="preserve">the time comes </w:t>
      </w:r>
      <w:r w:rsidR="00151142">
        <w:rPr>
          <w:sz w:val="28"/>
          <w:szCs w:val="28"/>
        </w:rPr>
        <w:t xml:space="preserve">where </w:t>
      </w:r>
      <w:r w:rsidR="006C2C4D" w:rsidRPr="00137A0F">
        <w:rPr>
          <w:sz w:val="28"/>
          <w:szCs w:val="28"/>
        </w:rPr>
        <w:t xml:space="preserve">the </w:t>
      </w:r>
      <w:r w:rsidR="00E35E8F" w:rsidRPr="00137A0F">
        <w:rPr>
          <w:sz w:val="28"/>
          <w:szCs w:val="28"/>
        </w:rPr>
        <w:t xml:space="preserve">desired </w:t>
      </w:r>
      <w:r w:rsidR="006C2C4D" w:rsidRPr="00137A0F">
        <w:rPr>
          <w:sz w:val="28"/>
          <w:szCs w:val="28"/>
        </w:rPr>
        <w:t>short-run stance of monetary pol</w:t>
      </w:r>
      <w:r w:rsidR="00E35E8F" w:rsidRPr="00137A0F">
        <w:rPr>
          <w:sz w:val="28"/>
          <w:szCs w:val="28"/>
        </w:rPr>
        <w:t xml:space="preserve">icy once again deviates </w:t>
      </w:r>
      <w:r w:rsidR="006C2C4D" w:rsidRPr="00137A0F">
        <w:rPr>
          <w:sz w:val="28"/>
          <w:szCs w:val="28"/>
        </w:rPr>
        <w:t>from the long-run stance.</w:t>
      </w:r>
      <w:r w:rsidR="00151142">
        <w:rPr>
          <w:sz w:val="28"/>
          <w:szCs w:val="28"/>
        </w:rPr>
        <w:t>]</w:t>
      </w:r>
    </w:p>
    <w:p w:rsidR="006C2C4D" w:rsidRDefault="00151142" w:rsidP="006C2C4D">
      <w:pPr>
        <w:pStyle w:val="ListParagraph"/>
        <w:numPr>
          <w:ilvl w:val="2"/>
          <w:numId w:val="2"/>
        </w:numPr>
        <w:spacing w:line="240" w:lineRule="auto"/>
        <w:rPr>
          <w:sz w:val="24"/>
          <w:szCs w:val="24"/>
        </w:rPr>
      </w:pPr>
      <w:r>
        <w:rPr>
          <w:sz w:val="24"/>
          <w:szCs w:val="24"/>
        </w:rPr>
        <w:t>[</w:t>
      </w:r>
      <w:r w:rsidR="00BC12F8">
        <w:rPr>
          <w:sz w:val="24"/>
          <w:szCs w:val="24"/>
        </w:rPr>
        <w:t>E.g., b</w:t>
      </w:r>
      <w:r w:rsidR="006C2C4D">
        <w:rPr>
          <w:sz w:val="24"/>
          <w:szCs w:val="24"/>
        </w:rPr>
        <w:t>ecause a</w:t>
      </w:r>
      <w:r w:rsidR="00BC12F8">
        <w:rPr>
          <w:sz w:val="24"/>
          <w:szCs w:val="24"/>
        </w:rPr>
        <w:t>n unwanted</w:t>
      </w:r>
      <w:r w:rsidR="006C2C4D">
        <w:rPr>
          <w:sz w:val="24"/>
          <w:szCs w:val="24"/>
        </w:rPr>
        <w:t xml:space="preserve"> rise in inflation requires the central bank to tighten </w:t>
      </w:r>
      <w:r w:rsidR="00BC12F8">
        <w:rPr>
          <w:sz w:val="24"/>
          <w:szCs w:val="24"/>
        </w:rPr>
        <w:t xml:space="preserve">monetary policy </w:t>
      </w:r>
      <w:r w:rsidR="006C2C4D">
        <w:rPr>
          <w:sz w:val="24"/>
          <w:szCs w:val="24"/>
        </w:rPr>
        <w:t>and gradually bring the inflation rate back down</w:t>
      </w:r>
    </w:p>
    <w:p w:rsidR="006C2C4D" w:rsidRDefault="006C2C4D" w:rsidP="006C2C4D">
      <w:pPr>
        <w:pStyle w:val="ListParagraph"/>
        <w:numPr>
          <w:ilvl w:val="2"/>
          <w:numId w:val="2"/>
        </w:numPr>
        <w:spacing w:line="240" w:lineRule="auto"/>
        <w:rPr>
          <w:sz w:val="24"/>
          <w:szCs w:val="24"/>
        </w:rPr>
      </w:pPr>
      <w:r w:rsidRPr="006C2C4D">
        <w:rPr>
          <w:sz w:val="24"/>
          <w:szCs w:val="24"/>
        </w:rPr>
        <w:t>Or because a recession requires the reverse.</w:t>
      </w:r>
    </w:p>
    <w:p w:rsidR="00DA2C9A" w:rsidRDefault="006C2C4D" w:rsidP="006C2C4D">
      <w:pPr>
        <w:pStyle w:val="ListParagraph"/>
        <w:numPr>
          <w:ilvl w:val="2"/>
          <w:numId w:val="2"/>
        </w:numPr>
        <w:spacing w:line="240" w:lineRule="auto"/>
        <w:rPr>
          <w:sz w:val="24"/>
          <w:szCs w:val="24"/>
        </w:rPr>
      </w:pPr>
      <w:r w:rsidRPr="006C2C4D">
        <w:rPr>
          <w:sz w:val="24"/>
          <w:szCs w:val="24"/>
        </w:rPr>
        <w:t xml:space="preserve">This is </w:t>
      </w:r>
      <w:r w:rsidR="002C41E7">
        <w:rPr>
          <w:sz w:val="24"/>
          <w:szCs w:val="24"/>
        </w:rPr>
        <w:t xml:space="preserve">less </w:t>
      </w:r>
      <w:r w:rsidRPr="006C2C4D">
        <w:rPr>
          <w:sz w:val="24"/>
          <w:szCs w:val="24"/>
        </w:rPr>
        <w:t>a live question</w:t>
      </w:r>
      <w:r w:rsidR="00C12CE2" w:rsidRPr="006C2C4D">
        <w:rPr>
          <w:sz w:val="24"/>
          <w:szCs w:val="24"/>
        </w:rPr>
        <w:t xml:space="preserve"> </w:t>
      </w:r>
      <w:r w:rsidR="002C41E7">
        <w:rPr>
          <w:sz w:val="24"/>
          <w:szCs w:val="24"/>
        </w:rPr>
        <w:t xml:space="preserve">for the US </w:t>
      </w:r>
      <w:r w:rsidR="00BC12F8">
        <w:rPr>
          <w:sz w:val="24"/>
          <w:szCs w:val="24"/>
        </w:rPr>
        <w:t>rece</w:t>
      </w:r>
      <w:r w:rsidR="002C41E7">
        <w:rPr>
          <w:sz w:val="24"/>
          <w:szCs w:val="24"/>
        </w:rPr>
        <w:t xml:space="preserve">ntly than it is </w:t>
      </w:r>
      <w:r w:rsidR="00C12CE2" w:rsidRPr="006C2C4D">
        <w:rPr>
          <w:sz w:val="24"/>
          <w:szCs w:val="24"/>
        </w:rPr>
        <w:t xml:space="preserve">for </w:t>
      </w:r>
      <w:r w:rsidR="002C41E7">
        <w:rPr>
          <w:sz w:val="24"/>
          <w:szCs w:val="24"/>
        </w:rPr>
        <w:t>some</w:t>
      </w:r>
      <w:r w:rsidRPr="006C2C4D">
        <w:rPr>
          <w:sz w:val="24"/>
          <w:szCs w:val="24"/>
        </w:rPr>
        <w:t xml:space="preserve"> </w:t>
      </w:r>
      <w:r w:rsidR="00C12CE2" w:rsidRPr="006C2C4D">
        <w:rPr>
          <w:sz w:val="24"/>
          <w:szCs w:val="24"/>
        </w:rPr>
        <w:t xml:space="preserve">other countries </w:t>
      </w:r>
      <w:r w:rsidR="002C41E7">
        <w:rPr>
          <w:sz w:val="24"/>
          <w:szCs w:val="24"/>
        </w:rPr>
        <w:t xml:space="preserve">that </w:t>
      </w:r>
      <w:r w:rsidR="00C12CE2" w:rsidRPr="006C2C4D">
        <w:rPr>
          <w:sz w:val="24"/>
          <w:szCs w:val="24"/>
        </w:rPr>
        <w:t>need monetary policy</w:t>
      </w:r>
      <w:r w:rsidRPr="006C2C4D">
        <w:rPr>
          <w:sz w:val="24"/>
          <w:szCs w:val="24"/>
        </w:rPr>
        <w:t xml:space="preserve"> either to tighten (because inflation is currently too high) or to loosen (because of a downturn).</w:t>
      </w:r>
      <w:r w:rsidR="00137A0F">
        <w:rPr>
          <w:sz w:val="24"/>
          <w:szCs w:val="24"/>
        </w:rPr>
        <w:t xml:space="preserve"> ]</w:t>
      </w:r>
    </w:p>
    <w:p w:rsidR="00DA2C9A" w:rsidRDefault="00DA2C9A" w:rsidP="00DA2C9A">
      <w:pPr>
        <w:spacing w:line="240" w:lineRule="auto"/>
        <w:rPr>
          <w:sz w:val="24"/>
          <w:szCs w:val="24"/>
        </w:rPr>
      </w:pPr>
    </w:p>
    <w:p w:rsidR="00C12CE2" w:rsidRPr="00D452F5" w:rsidRDefault="00DA2C9A" w:rsidP="00DA2C9A">
      <w:pPr>
        <w:spacing w:line="240" w:lineRule="auto"/>
        <w:rPr>
          <w:b/>
          <w:sz w:val="16"/>
          <w:szCs w:val="16"/>
        </w:rPr>
      </w:pPr>
      <w:r w:rsidRPr="00D452F5">
        <w:rPr>
          <w:b/>
          <w:sz w:val="36"/>
          <w:szCs w:val="36"/>
        </w:rPr>
        <w:t>The proposal</w:t>
      </w:r>
      <w:r w:rsidR="00B6112F" w:rsidRPr="00D452F5">
        <w:rPr>
          <w:b/>
          <w:sz w:val="16"/>
          <w:szCs w:val="16"/>
        </w:rPr>
        <w:br/>
      </w:r>
    </w:p>
    <w:p w:rsidR="00AA4F1F" w:rsidRDefault="00137A0F" w:rsidP="00AA4F1F">
      <w:pPr>
        <w:pStyle w:val="ListParagraph"/>
        <w:numPr>
          <w:ilvl w:val="0"/>
          <w:numId w:val="2"/>
        </w:numPr>
        <w:spacing w:line="240" w:lineRule="auto"/>
        <w:rPr>
          <w:sz w:val="28"/>
          <w:szCs w:val="28"/>
        </w:rPr>
      </w:pPr>
      <w:r w:rsidRPr="00137A0F">
        <w:rPr>
          <w:sz w:val="28"/>
          <w:szCs w:val="28"/>
        </w:rPr>
        <w:t xml:space="preserve">I will defend the proposition that if central banks want to communicate their intentions at a 1-2 year horizon, it would be more effective to do so phrased in terms of nominal GDP than in terms of </w:t>
      </w:r>
      <w:r w:rsidR="00FA4F3D">
        <w:rPr>
          <w:sz w:val="28"/>
          <w:szCs w:val="28"/>
        </w:rPr>
        <w:t xml:space="preserve">CPI </w:t>
      </w:r>
      <w:r w:rsidRPr="00137A0F">
        <w:rPr>
          <w:sz w:val="28"/>
          <w:szCs w:val="28"/>
        </w:rPr>
        <w:t>inflation (or M1 or other possible variables).</w:t>
      </w:r>
    </w:p>
    <w:p w:rsidR="00DA2C9A" w:rsidRDefault="00FA4F3D" w:rsidP="00AD1AC4">
      <w:pPr>
        <w:pStyle w:val="ListParagraph"/>
        <w:numPr>
          <w:ilvl w:val="1"/>
          <w:numId w:val="2"/>
        </w:numPr>
        <w:spacing w:line="240" w:lineRule="auto"/>
        <w:rPr>
          <w:sz w:val="28"/>
          <w:szCs w:val="28"/>
        </w:rPr>
      </w:pPr>
      <w:r>
        <w:rPr>
          <w:sz w:val="28"/>
          <w:szCs w:val="28"/>
        </w:rPr>
        <w:t>I am not talking about staking a lot of credibility on a particular tar</w:t>
      </w:r>
      <w:r w:rsidR="00DA2C9A">
        <w:rPr>
          <w:sz w:val="28"/>
          <w:szCs w:val="28"/>
        </w:rPr>
        <w:t>get for nominal GDP growth</w:t>
      </w:r>
    </w:p>
    <w:p w:rsidR="00AD1AC4" w:rsidRPr="00DA2C9A" w:rsidRDefault="00DA2C9A" w:rsidP="00DA2C9A">
      <w:pPr>
        <w:pStyle w:val="ListParagraph"/>
        <w:numPr>
          <w:ilvl w:val="2"/>
          <w:numId w:val="2"/>
        </w:numPr>
        <w:spacing w:line="240" w:lineRule="auto"/>
        <w:rPr>
          <w:sz w:val="24"/>
          <w:szCs w:val="24"/>
        </w:rPr>
      </w:pPr>
      <w:proofErr w:type="gramStart"/>
      <w:r w:rsidRPr="00DA2C9A">
        <w:rPr>
          <w:sz w:val="24"/>
          <w:szCs w:val="24"/>
        </w:rPr>
        <w:t>just</w:t>
      </w:r>
      <w:proofErr w:type="gramEnd"/>
      <w:r w:rsidRPr="00DA2C9A">
        <w:rPr>
          <w:sz w:val="24"/>
          <w:szCs w:val="24"/>
        </w:rPr>
        <w:t xml:space="preserve"> as the Fed does not currently stake a lot of credibility on hitting its inflation target</w:t>
      </w:r>
      <w:r w:rsidR="003871AE">
        <w:rPr>
          <w:sz w:val="24"/>
          <w:szCs w:val="24"/>
        </w:rPr>
        <w:t xml:space="preserve"> in the short term</w:t>
      </w:r>
      <w:r w:rsidR="00FA4F3D" w:rsidRPr="00DA2C9A">
        <w:rPr>
          <w:sz w:val="24"/>
          <w:szCs w:val="24"/>
        </w:rPr>
        <w:t>.</w:t>
      </w:r>
    </w:p>
    <w:p w:rsidR="005F7073" w:rsidRDefault="00AD1AC4" w:rsidP="005F7073">
      <w:pPr>
        <w:pStyle w:val="ListParagraph"/>
        <w:numPr>
          <w:ilvl w:val="1"/>
          <w:numId w:val="2"/>
        </w:numPr>
        <w:spacing w:line="240" w:lineRule="auto"/>
        <w:rPr>
          <w:sz w:val="28"/>
          <w:szCs w:val="28"/>
        </w:rPr>
      </w:pPr>
      <w:r>
        <w:rPr>
          <w:sz w:val="28"/>
          <w:szCs w:val="28"/>
        </w:rPr>
        <w:t>My proposal could be as mild as</w:t>
      </w:r>
      <w:r w:rsidR="00255CD0">
        <w:rPr>
          <w:sz w:val="28"/>
          <w:szCs w:val="28"/>
        </w:rPr>
        <w:t xml:space="preserve"> adding a row for Nominal GDP to the F</w:t>
      </w:r>
      <w:r w:rsidR="005F7073">
        <w:rPr>
          <w:sz w:val="28"/>
          <w:szCs w:val="28"/>
        </w:rPr>
        <w:t>OMC</w:t>
      </w:r>
      <w:r w:rsidR="00255CD0">
        <w:rPr>
          <w:sz w:val="28"/>
          <w:szCs w:val="28"/>
        </w:rPr>
        <w:t>’</w:t>
      </w:r>
      <w:r w:rsidR="005F7073">
        <w:rPr>
          <w:sz w:val="28"/>
          <w:szCs w:val="28"/>
        </w:rPr>
        <w:t xml:space="preserve">s </w:t>
      </w:r>
      <w:hyperlink r:id="rId8" w:history="1">
        <w:r w:rsidR="005F7073" w:rsidRPr="005F7073">
          <w:rPr>
            <w:rStyle w:val="Hyperlink"/>
            <w:sz w:val="28"/>
            <w:szCs w:val="28"/>
          </w:rPr>
          <w:t>Summary</w:t>
        </w:r>
        <w:r w:rsidR="00255CD0" w:rsidRPr="005F7073">
          <w:rPr>
            <w:rStyle w:val="Hyperlink"/>
            <w:sz w:val="28"/>
            <w:szCs w:val="28"/>
          </w:rPr>
          <w:t xml:space="preserve"> of Economic Projections</w:t>
        </w:r>
      </w:hyperlink>
      <w:r w:rsidR="005F7073">
        <w:rPr>
          <w:sz w:val="28"/>
          <w:szCs w:val="28"/>
        </w:rPr>
        <w:t xml:space="preserve">, </w:t>
      </w:r>
    </w:p>
    <w:p w:rsidR="005F7073" w:rsidRPr="00DA2C9A" w:rsidRDefault="005F7073" w:rsidP="005F7073">
      <w:pPr>
        <w:pStyle w:val="ListParagraph"/>
        <w:numPr>
          <w:ilvl w:val="2"/>
          <w:numId w:val="2"/>
        </w:numPr>
        <w:spacing w:line="240" w:lineRule="auto"/>
        <w:rPr>
          <w:sz w:val="24"/>
          <w:szCs w:val="24"/>
        </w:rPr>
      </w:pPr>
      <w:r w:rsidRPr="00DA2C9A">
        <w:rPr>
          <w:sz w:val="24"/>
          <w:szCs w:val="24"/>
        </w:rPr>
        <w:t>I would want to do this even if the</w:t>
      </w:r>
      <w:r w:rsidR="003871AE">
        <w:rPr>
          <w:sz w:val="24"/>
          <w:szCs w:val="24"/>
        </w:rPr>
        <w:t xml:space="preserve"> Governors and d</w:t>
      </w:r>
      <w:r w:rsidR="000C5D6C" w:rsidRPr="00DA2C9A">
        <w:rPr>
          <w:sz w:val="24"/>
          <w:szCs w:val="24"/>
        </w:rPr>
        <w:t xml:space="preserve">istrict </w:t>
      </w:r>
      <w:r w:rsidR="003871AE">
        <w:rPr>
          <w:sz w:val="24"/>
          <w:szCs w:val="24"/>
        </w:rPr>
        <w:t>p</w:t>
      </w:r>
      <w:r w:rsidR="000C5D6C" w:rsidRPr="00DA2C9A">
        <w:rPr>
          <w:sz w:val="24"/>
          <w:szCs w:val="24"/>
        </w:rPr>
        <w:t>resid</w:t>
      </w:r>
      <w:r w:rsidR="003871AE">
        <w:rPr>
          <w:sz w:val="24"/>
          <w:szCs w:val="24"/>
        </w:rPr>
        <w:t>ents who fill out the SEP table</w:t>
      </w:r>
      <w:r w:rsidR="000C5D6C" w:rsidRPr="00DA2C9A">
        <w:rPr>
          <w:sz w:val="24"/>
          <w:szCs w:val="24"/>
        </w:rPr>
        <w:t xml:space="preserve"> simply got their</w:t>
      </w:r>
      <w:r w:rsidRPr="00DA2C9A">
        <w:rPr>
          <w:sz w:val="24"/>
          <w:szCs w:val="24"/>
        </w:rPr>
        <w:t xml:space="preserve"> </w:t>
      </w:r>
      <w:r w:rsidR="000C5D6C" w:rsidRPr="00DA2C9A">
        <w:rPr>
          <w:sz w:val="24"/>
          <w:szCs w:val="24"/>
        </w:rPr>
        <w:t xml:space="preserve">projected </w:t>
      </w:r>
      <w:r w:rsidRPr="00DA2C9A">
        <w:rPr>
          <w:sz w:val="24"/>
          <w:szCs w:val="24"/>
        </w:rPr>
        <w:t xml:space="preserve">NGDP growth numbers </w:t>
      </w:r>
      <w:r w:rsidR="000C5D6C" w:rsidRPr="00DA2C9A">
        <w:rPr>
          <w:sz w:val="24"/>
          <w:szCs w:val="24"/>
        </w:rPr>
        <w:t xml:space="preserve">by taking </w:t>
      </w:r>
      <w:r w:rsidRPr="00DA2C9A">
        <w:rPr>
          <w:sz w:val="24"/>
          <w:szCs w:val="24"/>
        </w:rPr>
        <w:t xml:space="preserve">the sum of the real growth </w:t>
      </w:r>
      <w:r w:rsidR="000C5D6C" w:rsidRPr="00DA2C9A">
        <w:rPr>
          <w:sz w:val="24"/>
          <w:szCs w:val="24"/>
        </w:rPr>
        <w:t>row</w:t>
      </w:r>
      <w:r w:rsidRPr="00DA2C9A">
        <w:rPr>
          <w:sz w:val="24"/>
          <w:szCs w:val="24"/>
        </w:rPr>
        <w:t xml:space="preserve"> and the (CPI) inflation </w:t>
      </w:r>
      <w:r w:rsidR="000C5D6C" w:rsidRPr="00DA2C9A">
        <w:rPr>
          <w:sz w:val="24"/>
          <w:szCs w:val="24"/>
        </w:rPr>
        <w:t xml:space="preserve">rate row of </w:t>
      </w:r>
      <w:r w:rsidRPr="00DA2C9A">
        <w:rPr>
          <w:sz w:val="24"/>
          <w:szCs w:val="24"/>
        </w:rPr>
        <w:t>table.</w:t>
      </w:r>
    </w:p>
    <w:p w:rsidR="005F7073" w:rsidRPr="00DA2C9A" w:rsidRDefault="005F7073" w:rsidP="005F7073">
      <w:pPr>
        <w:pStyle w:val="ListParagraph"/>
        <w:numPr>
          <w:ilvl w:val="2"/>
          <w:numId w:val="2"/>
        </w:numPr>
        <w:spacing w:line="240" w:lineRule="auto"/>
        <w:rPr>
          <w:sz w:val="24"/>
          <w:szCs w:val="24"/>
        </w:rPr>
      </w:pPr>
      <w:r w:rsidRPr="00DA2C9A">
        <w:rPr>
          <w:sz w:val="24"/>
          <w:szCs w:val="24"/>
        </w:rPr>
        <w:t>But I would prefer that NGDP be reported in the first row</w:t>
      </w:r>
      <w:r w:rsidR="000C5D6C" w:rsidRPr="00DA2C9A">
        <w:rPr>
          <w:sz w:val="24"/>
          <w:szCs w:val="24"/>
        </w:rPr>
        <w:t xml:space="preserve"> of the SEP table</w:t>
      </w:r>
    </w:p>
    <w:p w:rsidR="005F7073" w:rsidRPr="00DA2C9A" w:rsidRDefault="005F7073" w:rsidP="005F7073">
      <w:pPr>
        <w:pStyle w:val="ListParagraph"/>
        <w:numPr>
          <w:ilvl w:val="3"/>
          <w:numId w:val="2"/>
        </w:numPr>
        <w:spacing w:line="240" w:lineRule="auto"/>
        <w:rPr>
          <w:sz w:val="24"/>
          <w:szCs w:val="24"/>
        </w:rPr>
      </w:pPr>
      <w:r w:rsidRPr="00DA2C9A">
        <w:rPr>
          <w:sz w:val="24"/>
          <w:szCs w:val="24"/>
        </w:rPr>
        <w:t xml:space="preserve">before </w:t>
      </w:r>
      <w:r w:rsidR="005F000C" w:rsidRPr="00DA2C9A">
        <w:rPr>
          <w:sz w:val="24"/>
          <w:szCs w:val="24"/>
        </w:rPr>
        <w:t xml:space="preserve">the rows for </w:t>
      </w:r>
      <w:r w:rsidRPr="00DA2C9A">
        <w:rPr>
          <w:sz w:val="24"/>
          <w:szCs w:val="24"/>
        </w:rPr>
        <w:t>real growth, unemployment, CP</w:t>
      </w:r>
      <w:r w:rsidR="005F000C" w:rsidRPr="00DA2C9A">
        <w:rPr>
          <w:sz w:val="24"/>
          <w:szCs w:val="24"/>
        </w:rPr>
        <w:t>I inflation, and fed funds rate</w:t>
      </w:r>
      <w:r w:rsidR="000C5D6C" w:rsidRPr="00DA2C9A">
        <w:rPr>
          <w:sz w:val="24"/>
          <w:szCs w:val="24"/>
        </w:rPr>
        <w:t>,</w:t>
      </w:r>
    </w:p>
    <w:p w:rsidR="005F000C" w:rsidRPr="00DA2C9A" w:rsidRDefault="005F000C" w:rsidP="005F7073">
      <w:pPr>
        <w:pStyle w:val="ListParagraph"/>
        <w:numPr>
          <w:ilvl w:val="3"/>
          <w:numId w:val="2"/>
        </w:numPr>
        <w:spacing w:line="240" w:lineRule="auto"/>
        <w:rPr>
          <w:sz w:val="24"/>
          <w:szCs w:val="24"/>
        </w:rPr>
      </w:pPr>
      <w:proofErr w:type="gramStart"/>
      <w:r w:rsidRPr="00DA2C9A">
        <w:rPr>
          <w:sz w:val="24"/>
          <w:szCs w:val="24"/>
        </w:rPr>
        <w:t>and</w:t>
      </w:r>
      <w:proofErr w:type="gramEnd"/>
      <w:r w:rsidRPr="00DA2C9A">
        <w:rPr>
          <w:sz w:val="24"/>
          <w:szCs w:val="24"/>
        </w:rPr>
        <w:t xml:space="preserve"> that the public be allowed to infer that the Fed was now paying some attention to NGDP.</w:t>
      </w:r>
    </w:p>
    <w:p w:rsidR="005F000C" w:rsidRPr="00DA2C9A" w:rsidRDefault="003871AE" w:rsidP="005F7073">
      <w:pPr>
        <w:pStyle w:val="ListParagraph"/>
        <w:numPr>
          <w:ilvl w:val="3"/>
          <w:numId w:val="2"/>
        </w:numPr>
        <w:spacing w:line="240" w:lineRule="auto"/>
        <w:rPr>
          <w:sz w:val="24"/>
          <w:szCs w:val="24"/>
        </w:rPr>
      </w:pPr>
      <w:r>
        <w:rPr>
          <w:sz w:val="24"/>
          <w:szCs w:val="24"/>
        </w:rPr>
        <w:t>T</w:t>
      </w:r>
      <w:r w:rsidR="005F000C" w:rsidRPr="00DA2C9A">
        <w:rPr>
          <w:sz w:val="24"/>
          <w:szCs w:val="24"/>
        </w:rPr>
        <w:t>he governors and district presid</w:t>
      </w:r>
      <w:r w:rsidR="000C5D6C" w:rsidRPr="00DA2C9A">
        <w:rPr>
          <w:sz w:val="24"/>
          <w:szCs w:val="24"/>
        </w:rPr>
        <w:t>ents</w:t>
      </w:r>
      <w:r w:rsidR="005F000C" w:rsidRPr="00DA2C9A">
        <w:rPr>
          <w:sz w:val="24"/>
          <w:szCs w:val="24"/>
        </w:rPr>
        <w:t xml:space="preserve"> might shift from a</w:t>
      </w:r>
      <w:r>
        <w:rPr>
          <w:sz w:val="24"/>
          <w:szCs w:val="24"/>
        </w:rPr>
        <w:t xml:space="preserve">n initial instinct </w:t>
      </w:r>
      <w:r w:rsidR="005F000C" w:rsidRPr="00DA2C9A">
        <w:rPr>
          <w:sz w:val="24"/>
          <w:szCs w:val="24"/>
        </w:rPr>
        <w:t xml:space="preserve">of </w:t>
      </w:r>
      <w:r>
        <w:rPr>
          <w:sz w:val="24"/>
          <w:szCs w:val="24"/>
        </w:rPr>
        <w:t>projec</w:t>
      </w:r>
      <w:r w:rsidR="005F000C" w:rsidRPr="00DA2C9A">
        <w:rPr>
          <w:sz w:val="24"/>
          <w:szCs w:val="24"/>
        </w:rPr>
        <w:t xml:space="preserve">ting growth and inflation </w:t>
      </w:r>
      <w:r>
        <w:rPr>
          <w:sz w:val="24"/>
          <w:szCs w:val="24"/>
        </w:rPr>
        <w:t xml:space="preserve">separately </w:t>
      </w:r>
      <w:r w:rsidR="005F000C" w:rsidRPr="00DA2C9A">
        <w:rPr>
          <w:sz w:val="24"/>
          <w:szCs w:val="24"/>
        </w:rPr>
        <w:t>and then adding the two together</w:t>
      </w:r>
      <w:r>
        <w:rPr>
          <w:sz w:val="24"/>
          <w:szCs w:val="24"/>
        </w:rPr>
        <w:t xml:space="preserve"> to get their projection of nominal GDP</w:t>
      </w:r>
      <w:r w:rsidR="005F000C" w:rsidRPr="00DA2C9A">
        <w:rPr>
          <w:sz w:val="24"/>
          <w:szCs w:val="24"/>
        </w:rPr>
        <w:t>, to a habit of doing it in the other order.</w:t>
      </w:r>
    </w:p>
    <w:p w:rsidR="000C5D6C" w:rsidRPr="00DA2C9A" w:rsidRDefault="000C5D6C" w:rsidP="005F7073">
      <w:pPr>
        <w:pStyle w:val="ListParagraph"/>
        <w:numPr>
          <w:ilvl w:val="3"/>
          <w:numId w:val="2"/>
        </w:numPr>
        <w:spacing w:line="240" w:lineRule="auto"/>
        <w:rPr>
          <w:sz w:val="24"/>
          <w:szCs w:val="24"/>
        </w:rPr>
      </w:pPr>
      <w:r w:rsidRPr="00DA2C9A">
        <w:rPr>
          <w:sz w:val="24"/>
          <w:szCs w:val="24"/>
        </w:rPr>
        <w:t xml:space="preserve">After all, they </w:t>
      </w:r>
      <w:r w:rsidR="003871AE">
        <w:rPr>
          <w:sz w:val="24"/>
          <w:szCs w:val="24"/>
        </w:rPr>
        <w:t xml:space="preserve">probably </w:t>
      </w:r>
      <w:r w:rsidRPr="00DA2C9A">
        <w:rPr>
          <w:sz w:val="24"/>
          <w:szCs w:val="24"/>
        </w:rPr>
        <w:t>have (even) less control over the two components than they do over nominal GDP.</w:t>
      </w:r>
    </w:p>
    <w:p w:rsidR="005F000C" w:rsidRPr="00C479B7" w:rsidRDefault="00C479B7" w:rsidP="00C479B7">
      <w:pPr>
        <w:spacing w:line="240" w:lineRule="auto"/>
        <w:jc w:val="center"/>
        <w:rPr>
          <w:b/>
          <w:sz w:val="28"/>
          <w:szCs w:val="28"/>
        </w:rPr>
      </w:pPr>
      <w:r w:rsidRPr="00C479B7">
        <w:lastRenderedPageBreak/>
        <w:drawing>
          <wp:inline distT="0" distB="0" distL="0" distR="0" wp14:anchorId="77D62B54" wp14:editId="6E4934D1">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5F000C" w:rsidRPr="00C707CE" w:rsidRDefault="005F000C" w:rsidP="00C707CE">
      <w:pPr>
        <w:spacing w:line="240" w:lineRule="auto"/>
      </w:pPr>
      <w:r w:rsidRPr="00C707CE">
        <w:rPr>
          <w:b/>
          <w:sz w:val="36"/>
          <w:szCs w:val="36"/>
        </w:rPr>
        <w:t>What is the case for NGDPT?</w:t>
      </w:r>
      <w:r w:rsidR="00C34970" w:rsidRPr="00C707CE">
        <w:rPr>
          <w:sz w:val="36"/>
          <w:szCs w:val="36"/>
        </w:rPr>
        <w:t xml:space="preserve"> </w:t>
      </w:r>
      <w:r w:rsidR="00C34970" w:rsidRPr="00C707CE">
        <w:br/>
      </w:r>
    </w:p>
    <w:p w:rsidR="00C34970" w:rsidRPr="00B6112F" w:rsidRDefault="00C34970" w:rsidP="005F000C">
      <w:pPr>
        <w:pStyle w:val="ListParagraph"/>
        <w:numPr>
          <w:ilvl w:val="0"/>
          <w:numId w:val="2"/>
        </w:numPr>
        <w:spacing w:line="240" w:lineRule="auto"/>
        <w:rPr>
          <w:b/>
          <w:sz w:val="28"/>
          <w:szCs w:val="28"/>
        </w:rPr>
      </w:pPr>
      <w:r w:rsidRPr="00B6112F">
        <w:rPr>
          <w:b/>
          <w:sz w:val="28"/>
          <w:szCs w:val="28"/>
        </w:rPr>
        <w:t>NGDPT dominates a money target</w:t>
      </w:r>
    </w:p>
    <w:p w:rsidR="00A61B91" w:rsidRDefault="005F000C" w:rsidP="00A61B91">
      <w:pPr>
        <w:pStyle w:val="ListParagraph"/>
        <w:numPr>
          <w:ilvl w:val="1"/>
          <w:numId w:val="2"/>
        </w:numPr>
        <w:spacing w:line="240" w:lineRule="auto"/>
        <w:rPr>
          <w:sz w:val="28"/>
          <w:szCs w:val="28"/>
        </w:rPr>
      </w:pPr>
      <w:r>
        <w:rPr>
          <w:sz w:val="28"/>
          <w:szCs w:val="28"/>
        </w:rPr>
        <w:t>It</w:t>
      </w:r>
      <w:r w:rsidR="005446A4">
        <w:rPr>
          <w:sz w:val="28"/>
          <w:szCs w:val="28"/>
        </w:rPr>
        <w:t xml:space="preserve"> arose in the 1980s, when the alternative was Milton Friedman’s M1 target.</w:t>
      </w:r>
    </w:p>
    <w:p w:rsidR="00A61B91" w:rsidRPr="00A61B91" w:rsidRDefault="005446A4" w:rsidP="00A61B91">
      <w:pPr>
        <w:pStyle w:val="ListParagraph"/>
        <w:numPr>
          <w:ilvl w:val="1"/>
          <w:numId w:val="2"/>
        </w:numPr>
        <w:spacing w:line="240" w:lineRule="auto"/>
        <w:rPr>
          <w:sz w:val="28"/>
          <w:szCs w:val="28"/>
        </w:rPr>
      </w:pPr>
      <w:r w:rsidRPr="00A61B91">
        <w:rPr>
          <w:rFonts w:cs="Arial"/>
          <w:color w:val="000000"/>
          <w:sz w:val="28"/>
          <w:szCs w:val="28"/>
          <w:shd w:val="clear" w:color="auto" w:fill="FFFFFF"/>
        </w:rPr>
        <w:t>A</w:t>
      </w:r>
      <w:r w:rsidR="003871AE" w:rsidRPr="00A61B91">
        <w:rPr>
          <w:rFonts w:cs="Arial"/>
          <w:color w:val="000000"/>
          <w:sz w:val="28"/>
          <w:szCs w:val="28"/>
          <w:shd w:val="clear" w:color="auto" w:fill="FFFFFF"/>
        </w:rPr>
        <w:t>fter monetarist rules broke down</w:t>
      </w:r>
      <w:r w:rsidR="003871AE">
        <w:rPr>
          <w:rFonts w:cs="Arial"/>
          <w:color w:val="000000"/>
          <w:sz w:val="28"/>
          <w:szCs w:val="28"/>
          <w:shd w:val="clear" w:color="auto" w:fill="FFFFFF"/>
        </w:rPr>
        <w:t>, a</w:t>
      </w:r>
      <w:r w:rsidRPr="00A61B91">
        <w:rPr>
          <w:rFonts w:cs="Arial"/>
          <w:color w:val="000000"/>
          <w:sz w:val="28"/>
          <w:szCs w:val="28"/>
          <w:shd w:val="clear" w:color="auto" w:fill="FFFFFF"/>
        </w:rPr>
        <w:t xml:space="preserve"> number of monetary economists pointed out the robustness of nominal GDP targeting. </w:t>
      </w:r>
    </w:p>
    <w:p w:rsidR="003871AE" w:rsidRPr="003871AE" w:rsidRDefault="003871AE" w:rsidP="00A61B91">
      <w:pPr>
        <w:pStyle w:val="ListParagraph"/>
        <w:numPr>
          <w:ilvl w:val="2"/>
          <w:numId w:val="2"/>
        </w:numPr>
        <w:spacing w:line="240" w:lineRule="auto"/>
        <w:rPr>
          <w:sz w:val="28"/>
          <w:szCs w:val="28"/>
        </w:rPr>
      </w:pPr>
      <w:r>
        <w:rPr>
          <w:rFonts w:cs="Arial"/>
          <w:color w:val="000000"/>
          <w:sz w:val="28"/>
          <w:szCs w:val="28"/>
          <w:shd w:val="clear" w:color="auto" w:fill="FFFFFF"/>
        </w:rPr>
        <w:t xml:space="preserve">The original proposal was from </w:t>
      </w:r>
      <w:r w:rsidR="005446A4" w:rsidRPr="00A61B91">
        <w:rPr>
          <w:rFonts w:cs="Arial"/>
          <w:color w:val="000000"/>
          <w:sz w:val="28"/>
          <w:szCs w:val="28"/>
          <w:shd w:val="clear" w:color="auto" w:fill="FFFFFF"/>
        </w:rPr>
        <w:t>Meade (1978</w:t>
      </w:r>
      <w:r w:rsidR="00CB175B">
        <w:rPr>
          <w:rFonts w:cs="Arial"/>
          <w:color w:val="000000"/>
          <w:sz w:val="28"/>
          <w:szCs w:val="28"/>
          <w:shd w:val="clear" w:color="auto" w:fill="FFFFFF"/>
        </w:rPr>
        <w:t>, 1982</w:t>
      </w:r>
      <w:r>
        <w:rPr>
          <w:rFonts w:cs="Arial"/>
          <w:color w:val="000000"/>
          <w:sz w:val="28"/>
          <w:szCs w:val="28"/>
          <w:shd w:val="clear" w:color="auto" w:fill="FFFFFF"/>
        </w:rPr>
        <w:t xml:space="preserve">) and </w:t>
      </w:r>
      <w:r w:rsidR="00CB175B">
        <w:rPr>
          <w:rFonts w:cs="Arial"/>
          <w:color w:val="000000"/>
          <w:sz w:val="28"/>
          <w:szCs w:val="28"/>
          <w:shd w:val="clear" w:color="auto" w:fill="FFFFFF"/>
        </w:rPr>
        <w:t xml:space="preserve">Tobin (1980, 83), </w:t>
      </w:r>
    </w:p>
    <w:p w:rsidR="005446A4" w:rsidRPr="00A61B91" w:rsidRDefault="003871AE" w:rsidP="00A61B91">
      <w:pPr>
        <w:pStyle w:val="ListParagraph"/>
        <w:numPr>
          <w:ilvl w:val="2"/>
          <w:numId w:val="2"/>
        </w:numPr>
        <w:spacing w:line="240" w:lineRule="auto"/>
        <w:rPr>
          <w:sz w:val="28"/>
          <w:szCs w:val="28"/>
        </w:rPr>
      </w:pPr>
      <w:proofErr w:type="gramStart"/>
      <w:r>
        <w:rPr>
          <w:rFonts w:cs="Arial"/>
          <w:color w:val="000000"/>
          <w:sz w:val="28"/>
          <w:szCs w:val="28"/>
          <w:shd w:val="clear" w:color="auto" w:fill="FFFFFF"/>
        </w:rPr>
        <w:t>followed</w:t>
      </w:r>
      <w:proofErr w:type="gramEnd"/>
      <w:r>
        <w:rPr>
          <w:rFonts w:cs="Arial"/>
          <w:color w:val="000000"/>
          <w:sz w:val="28"/>
          <w:szCs w:val="28"/>
          <w:shd w:val="clear" w:color="auto" w:fill="FFFFFF"/>
        </w:rPr>
        <w:t xml:space="preserve"> by analysis from </w:t>
      </w:r>
      <w:r w:rsidR="005446A4" w:rsidRPr="00A61B91">
        <w:rPr>
          <w:rFonts w:cs="Arial"/>
          <w:color w:val="000000"/>
          <w:sz w:val="28"/>
          <w:szCs w:val="28"/>
          <w:shd w:val="clear" w:color="auto" w:fill="FFFFFF"/>
        </w:rPr>
        <w:t>Bean</w:t>
      </w:r>
      <w:r w:rsidR="00066CAE">
        <w:rPr>
          <w:rFonts w:cs="Arial"/>
          <w:color w:val="000000"/>
          <w:sz w:val="28"/>
          <w:szCs w:val="28"/>
          <w:shd w:val="clear" w:color="auto" w:fill="FFFFFF"/>
        </w:rPr>
        <w:t xml:space="preserve"> (1983)</w:t>
      </w:r>
      <w:r w:rsidR="005446A4" w:rsidRPr="00A61B91">
        <w:rPr>
          <w:rFonts w:cs="Arial"/>
          <w:color w:val="000000"/>
          <w:sz w:val="28"/>
          <w:szCs w:val="28"/>
          <w:shd w:val="clear" w:color="auto" w:fill="FFFFFF"/>
        </w:rPr>
        <w:t xml:space="preserve">, </w:t>
      </w:r>
      <w:r w:rsidR="006E3420">
        <w:rPr>
          <w:rFonts w:cs="Arial"/>
          <w:color w:val="000000"/>
          <w:sz w:val="28"/>
          <w:szCs w:val="28"/>
          <w:shd w:val="clear" w:color="auto" w:fill="FFFFFF"/>
        </w:rPr>
        <w:t xml:space="preserve">Taylor (1985), </w:t>
      </w:r>
      <w:r w:rsidR="00066CAE">
        <w:rPr>
          <w:rFonts w:cs="Arial"/>
          <w:color w:val="000000"/>
          <w:sz w:val="28"/>
          <w:szCs w:val="28"/>
          <w:shd w:val="clear" w:color="auto" w:fill="FFFFFF"/>
        </w:rPr>
        <w:t>West</w:t>
      </w:r>
      <w:r w:rsidR="00A20701">
        <w:rPr>
          <w:rFonts w:cs="Arial"/>
          <w:color w:val="000000"/>
          <w:sz w:val="28"/>
          <w:szCs w:val="28"/>
          <w:shd w:val="clear" w:color="auto" w:fill="FFFFFF"/>
        </w:rPr>
        <w:t xml:space="preserve"> (1986)</w:t>
      </w:r>
      <w:r w:rsidR="00066CAE">
        <w:rPr>
          <w:rFonts w:cs="Arial"/>
          <w:color w:val="000000"/>
          <w:sz w:val="28"/>
          <w:szCs w:val="28"/>
          <w:shd w:val="clear" w:color="auto" w:fill="FFFFFF"/>
        </w:rPr>
        <w:t>, Feldstein</w:t>
      </w:r>
      <w:r w:rsidR="005446A4" w:rsidRPr="00A61B91">
        <w:rPr>
          <w:rFonts w:cs="Arial"/>
          <w:color w:val="000000"/>
          <w:sz w:val="28"/>
          <w:szCs w:val="28"/>
          <w:shd w:val="clear" w:color="auto" w:fill="FFFFFF"/>
        </w:rPr>
        <w:t xml:space="preserve"> </w:t>
      </w:r>
      <w:r w:rsidR="00A61B91">
        <w:rPr>
          <w:rFonts w:cs="Arial"/>
          <w:color w:val="000000"/>
          <w:sz w:val="28"/>
          <w:szCs w:val="28"/>
          <w:shd w:val="clear" w:color="auto" w:fill="FFFFFF"/>
        </w:rPr>
        <w:t xml:space="preserve">&amp; </w:t>
      </w:r>
      <w:r w:rsidR="005446A4" w:rsidRPr="00A61B91">
        <w:rPr>
          <w:rFonts w:cs="Arial"/>
          <w:color w:val="000000"/>
          <w:sz w:val="28"/>
          <w:szCs w:val="28"/>
          <w:shd w:val="clear" w:color="auto" w:fill="FFFFFF"/>
        </w:rPr>
        <w:t>Stock</w:t>
      </w:r>
      <w:r w:rsidR="00066CAE">
        <w:rPr>
          <w:rFonts w:cs="Arial"/>
          <w:color w:val="000000"/>
          <w:sz w:val="28"/>
          <w:szCs w:val="28"/>
          <w:shd w:val="clear" w:color="auto" w:fill="FFFFFF"/>
        </w:rPr>
        <w:t xml:space="preserve"> (1994)</w:t>
      </w:r>
      <w:r w:rsidR="005446A4" w:rsidRPr="00A61B91">
        <w:rPr>
          <w:rFonts w:cs="Arial"/>
          <w:color w:val="000000"/>
          <w:sz w:val="28"/>
          <w:szCs w:val="28"/>
          <w:shd w:val="clear" w:color="auto" w:fill="FFFFFF"/>
        </w:rPr>
        <w:t xml:space="preserve">, </w:t>
      </w:r>
      <w:r w:rsidR="006E3420" w:rsidRPr="00A61B91">
        <w:rPr>
          <w:rFonts w:cs="Arial"/>
          <w:color w:val="000000"/>
          <w:sz w:val="28"/>
          <w:szCs w:val="28"/>
          <w:shd w:val="clear" w:color="auto" w:fill="FFFFFF"/>
        </w:rPr>
        <w:t>Hall</w:t>
      </w:r>
      <w:r w:rsidR="006E3420">
        <w:rPr>
          <w:rFonts w:cs="Arial"/>
          <w:color w:val="000000"/>
          <w:sz w:val="28"/>
          <w:szCs w:val="28"/>
          <w:shd w:val="clear" w:color="auto" w:fill="FFFFFF"/>
        </w:rPr>
        <w:t xml:space="preserve"> &amp; </w:t>
      </w:r>
      <w:proofErr w:type="spellStart"/>
      <w:r w:rsidR="006E3420">
        <w:rPr>
          <w:rFonts w:cs="Arial"/>
          <w:color w:val="000000"/>
          <w:sz w:val="28"/>
          <w:szCs w:val="28"/>
          <w:shd w:val="clear" w:color="auto" w:fill="FFFFFF"/>
        </w:rPr>
        <w:t>Mankiw</w:t>
      </w:r>
      <w:proofErr w:type="spellEnd"/>
      <w:r w:rsidR="006E3420">
        <w:rPr>
          <w:rFonts w:cs="Arial"/>
          <w:color w:val="000000"/>
          <w:sz w:val="28"/>
          <w:szCs w:val="28"/>
          <w:shd w:val="clear" w:color="auto" w:fill="FFFFFF"/>
        </w:rPr>
        <w:t xml:space="preserve"> (1994)</w:t>
      </w:r>
      <w:r w:rsidR="006E3420" w:rsidRPr="00A61B91">
        <w:rPr>
          <w:rFonts w:cs="Arial"/>
          <w:color w:val="000000"/>
          <w:sz w:val="28"/>
          <w:szCs w:val="28"/>
          <w:shd w:val="clear" w:color="auto" w:fill="FFFFFF"/>
        </w:rPr>
        <w:t>,</w:t>
      </w:r>
      <w:r w:rsidR="006E3420">
        <w:rPr>
          <w:rFonts w:cs="Arial"/>
          <w:color w:val="000000"/>
          <w:sz w:val="28"/>
          <w:szCs w:val="28"/>
          <w:shd w:val="clear" w:color="auto" w:fill="FFFFFF"/>
        </w:rPr>
        <w:t xml:space="preserve"> </w:t>
      </w:r>
      <w:r w:rsidR="005446A4" w:rsidRPr="00A61B91">
        <w:rPr>
          <w:rFonts w:cs="Arial"/>
          <w:color w:val="000000"/>
          <w:sz w:val="28"/>
          <w:szCs w:val="28"/>
          <w:shd w:val="clear" w:color="auto" w:fill="FFFFFF"/>
        </w:rPr>
        <w:t>Frankel</w:t>
      </w:r>
      <w:r w:rsidR="00066CAE">
        <w:rPr>
          <w:rFonts w:cs="Arial"/>
          <w:color w:val="000000"/>
          <w:sz w:val="28"/>
          <w:szCs w:val="28"/>
          <w:shd w:val="clear" w:color="auto" w:fill="FFFFFF"/>
        </w:rPr>
        <w:t xml:space="preserve"> (1995),</w:t>
      </w:r>
      <w:r w:rsidR="00066CAE" w:rsidRPr="00066CAE">
        <w:rPr>
          <w:rFonts w:cs="Arial"/>
          <w:color w:val="000000"/>
          <w:sz w:val="28"/>
          <w:szCs w:val="28"/>
          <w:shd w:val="clear" w:color="auto" w:fill="FFFFFF"/>
        </w:rPr>
        <w:t xml:space="preserve"> </w:t>
      </w:r>
      <w:r w:rsidR="00066CAE" w:rsidRPr="00066CAE">
        <w:rPr>
          <w:rFonts w:cs="Tahoma"/>
          <w:color w:val="000000"/>
          <w:sz w:val="28"/>
          <w:szCs w:val="28"/>
        </w:rPr>
        <w:t xml:space="preserve">Bernanke and </w:t>
      </w:r>
      <w:proofErr w:type="spellStart"/>
      <w:r w:rsidR="00066CAE" w:rsidRPr="00066CAE">
        <w:rPr>
          <w:rFonts w:cs="Tahoma"/>
          <w:color w:val="000000"/>
          <w:sz w:val="28"/>
          <w:szCs w:val="28"/>
        </w:rPr>
        <w:t>Mishkin</w:t>
      </w:r>
      <w:proofErr w:type="spellEnd"/>
      <w:r w:rsidR="00066CAE" w:rsidRPr="00066CAE">
        <w:rPr>
          <w:rFonts w:cs="Tahoma"/>
          <w:color w:val="000000"/>
          <w:sz w:val="28"/>
          <w:szCs w:val="28"/>
        </w:rPr>
        <w:t xml:space="preserve"> (1997), </w:t>
      </w:r>
      <w:r w:rsidR="006E3420" w:rsidRPr="00A61B91">
        <w:rPr>
          <w:rFonts w:cs="Arial"/>
          <w:color w:val="000000"/>
          <w:sz w:val="28"/>
          <w:szCs w:val="28"/>
          <w:shd w:val="clear" w:color="auto" w:fill="FFFFFF"/>
        </w:rPr>
        <w:t>McCallum</w:t>
      </w:r>
      <w:r w:rsidR="006E3420">
        <w:rPr>
          <w:rFonts w:cs="Arial"/>
          <w:color w:val="000000"/>
          <w:sz w:val="28"/>
          <w:szCs w:val="28"/>
          <w:shd w:val="clear" w:color="auto" w:fill="FFFFFF"/>
        </w:rPr>
        <w:t xml:space="preserve"> (1998),</w:t>
      </w:r>
      <w:r w:rsidR="006E3420">
        <w:rPr>
          <w:rFonts w:cs="Arial"/>
          <w:color w:val="000000"/>
          <w:sz w:val="28"/>
          <w:szCs w:val="28"/>
          <w:shd w:val="clear" w:color="auto" w:fill="FFFFFF"/>
        </w:rPr>
        <w:t xml:space="preserve"> </w:t>
      </w:r>
      <w:r w:rsidR="00066CAE" w:rsidRPr="00066CAE">
        <w:rPr>
          <w:rFonts w:cs="Tahoma"/>
          <w:color w:val="000000"/>
          <w:sz w:val="28"/>
          <w:szCs w:val="28"/>
        </w:rPr>
        <w:t>among others.</w:t>
      </w:r>
    </w:p>
    <w:p w:rsidR="00A61B91" w:rsidRPr="00A61B91" w:rsidRDefault="005446A4" w:rsidP="00C34970">
      <w:pPr>
        <w:pStyle w:val="ListParagraph"/>
        <w:numPr>
          <w:ilvl w:val="1"/>
          <w:numId w:val="2"/>
        </w:numPr>
        <w:spacing w:line="240" w:lineRule="auto"/>
        <w:rPr>
          <w:sz w:val="28"/>
          <w:szCs w:val="28"/>
        </w:rPr>
      </w:pPr>
      <w:r w:rsidRPr="00A61B91">
        <w:rPr>
          <w:rFonts w:cs="Arial"/>
          <w:color w:val="000000"/>
          <w:sz w:val="28"/>
          <w:szCs w:val="28"/>
          <w:shd w:val="clear" w:color="auto" w:fill="FFFFFF"/>
        </w:rPr>
        <w:t>“Robustness” refers to the target’s ability to hold up in the long term under various shocks.</w:t>
      </w:r>
    </w:p>
    <w:p w:rsidR="005446A4" w:rsidRPr="00416B3A" w:rsidRDefault="005446A4" w:rsidP="00A61B91">
      <w:pPr>
        <w:pStyle w:val="ListParagraph"/>
        <w:numPr>
          <w:ilvl w:val="2"/>
          <w:numId w:val="2"/>
        </w:numPr>
        <w:spacing w:line="240" w:lineRule="auto"/>
        <w:rPr>
          <w:sz w:val="28"/>
          <w:szCs w:val="28"/>
        </w:rPr>
      </w:pPr>
      <w:r w:rsidRPr="00F91367">
        <w:rPr>
          <w:rFonts w:cs="Arial"/>
          <w:b/>
          <w:color w:val="000000"/>
          <w:sz w:val="28"/>
          <w:szCs w:val="28"/>
          <w:shd w:val="clear" w:color="auto" w:fill="FFFFFF"/>
        </w:rPr>
        <w:t>Relative to the money growth rule, the advantage of nominal GDP targeting was robustness with respect to velocity shocks</w:t>
      </w:r>
      <w:r w:rsidRPr="00A61B91">
        <w:rPr>
          <w:rFonts w:cs="Arial"/>
          <w:color w:val="000000"/>
          <w:sz w:val="28"/>
          <w:szCs w:val="28"/>
          <w:shd w:val="clear" w:color="auto" w:fill="FFFFFF"/>
        </w:rPr>
        <w:t xml:space="preserve"> in particular.</w:t>
      </w:r>
    </w:p>
    <w:p w:rsidR="00416B3A" w:rsidRPr="00C34970" w:rsidRDefault="003871AE" w:rsidP="00A61B91">
      <w:pPr>
        <w:pStyle w:val="ListParagraph"/>
        <w:numPr>
          <w:ilvl w:val="2"/>
          <w:numId w:val="2"/>
        </w:numPr>
        <w:spacing w:line="240" w:lineRule="auto"/>
        <w:rPr>
          <w:sz w:val="28"/>
          <w:szCs w:val="28"/>
        </w:rPr>
      </w:pPr>
      <w:r>
        <w:rPr>
          <w:sz w:val="28"/>
          <w:szCs w:val="28"/>
        </w:rPr>
        <w:t>[</w:t>
      </w:r>
      <w:r w:rsidR="00416B3A">
        <w:rPr>
          <w:sz w:val="28"/>
          <w:szCs w:val="28"/>
        </w:rPr>
        <w:t>If Volcker had rigidly stuck with the M1 target after the big increase in the demand for money that occurred around 1982, monetary policy would have been way too tight and the 1981-82 recession would have lasted another four years.</w:t>
      </w:r>
      <w:r>
        <w:rPr>
          <w:sz w:val="28"/>
          <w:szCs w:val="28"/>
        </w:rPr>
        <w:t>]</w:t>
      </w:r>
      <w:r w:rsidR="00416B3A">
        <w:rPr>
          <w:sz w:val="28"/>
          <w:szCs w:val="28"/>
        </w:rPr>
        <w:t xml:space="preserve"> </w:t>
      </w:r>
      <w:r w:rsidR="00B6112F">
        <w:rPr>
          <w:sz w:val="28"/>
          <w:szCs w:val="28"/>
        </w:rPr>
        <w:br/>
      </w:r>
    </w:p>
    <w:p w:rsidR="00F91367" w:rsidRDefault="00C34970" w:rsidP="00B6112F">
      <w:pPr>
        <w:pStyle w:val="ListParagraph"/>
        <w:numPr>
          <w:ilvl w:val="0"/>
          <w:numId w:val="2"/>
        </w:numPr>
        <w:spacing w:line="240" w:lineRule="auto"/>
        <w:rPr>
          <w:b/>
          <w:sz w:val="28"/>
          <w:szCs w:val="28"/>
        </w:rPr>
      </w:pPr>
      <w:r w:rsidRPr="00B6112F">
        <w:rPr>
          <w:b/>
          <w:sz w:val="28"/>
          <w:szCs w:val="28"/>
        </w:rPr>
        <w:lastRenderedPageBreak/>
        <w:t>NGDPT underwent a revival around 2011-12</w:t>
      </w:r>
      <w:r w:rsidR="00F91367" w:rsidRPr="00B6112F">
        <w:rPr>
          <w:b/>
          <w:sz w:val="28"/>
          <w:szCs w:val="28"/>
        </w:rPr>
        <w:t>, under quite different circumstances.</w:t>
      </w:r>
      <w:r w:rsidR="00B6112F" w:rsidRPr="00B6112F">
        <w:rPr>
          <w:b/>
          <w:sz w:val="28"/>
          <w:szCs w:val="28"/>
        </w:rPr>
        <w:t xml:space="preserve">  </w:t>
      </w:r>
      <w:r w:rsidR="00F91367" w:rsidRPr="00B6112F">
        <w:rPr>
          <w:b/>
          <w:sz w:val="28"/>
          <w:szCs w:val="28"/>
        </w:rPr>
        <w:t>The alternative to beat was no longer an M1 target, which had crashed-and-burned in the early 1980s, but an inflation target.</w:t>
      </w:r>
    </w:p>
    <w:p w:rsidR="00B6112F" w:rsidRPr="00B072FB" w:rsidRDefault="00B6112F" w:rsidP="00B6112F">
      <w:pPr>
        <w:pStyle w:val="ListParagraph"/>
        <w:numPr>
          <w:ilvl w:val="1"/>
          <w:numId w:val="2"/>
        </w:numPr>
        <w:spacing w:line="240" w:lineRule="auto"/>
        <w:rPr>
          <w:sz w:val="28"/>
          <w:szCs w:val="28"/>
        </w:rPr>
      </w:pPr>
      <w:r w:rsidRPr="003871AE">
        <w:rPr>
          <w:rFonts w:cs="Arial"/>
          <w:color w:val="000000"/>
          <w:sz w:val="28"/>
          <w:szCs w:val="28"/>
          <w:shd w:val="clear" w:color="auto" w:fill="FFFFFF"/>
        </w:rPr>
        <w:t>The new proponents show</w:t>
      </w:r>
      <w:r w:rsidR="00912C3D">
        <w:rPr>
          <w:rFonts w:cs="Arial"/>
          <w:color w:val="000000"/>
          <w:sz w:val="28"/>
          <w:szCs w:val="28"/>
          <w:shd w:val="clear" w:color="auto" w:fill="FFFFFF"/>
        </w:rPr>
        <w:t>ed</w:t>
      </w:r>
      <w:r w:rsidRPr="003871AE">
        <w:rPr>
          <w:rFonts w:cs="Arial"/>
          <w:color w:val="000000"/>
          <w:sz w:val="28"/>
          <w:szCs w:val="28"/>
          <w:shd w:val="clear" w:color="auto" w:fill="FFFFFF"/>
        </w:rPr>
        <w:t xml:space="preserve"> up </w:t>
      </w:r>
      <w:r w:rsidR="00B13964" w:rsidRPr="003871AE">
        <w:rPr>
          <w:rFonts w:cs="Arial"/>
          <w:color w:val="000000"/>
          <w:sz w:val="28"/>
          <w:szCs w:val="28"/>
          <w:shd w:val="clear" w:color="auto" w:fill="FFFFFF"/>
        </w:rPr>
        <w:t xml:space="preserve">across </w:t>
      </w:r>
      <w:r w:rsidR="00912C3D">
        <w:rPr>
          <w:rFonts w:cs="Arial"/>
          <w:color w:val="000000"/>
          <w:sz w:val="28"/>
          <w:szCs w:val="28"/>
          <w:shd w:val="clear" w:color="auto" w:fill="FFFFFF"/>
        </w:rPr>
        <w:t xml:space="preserve"> a wide </w:t>
      </w:r>
      <w:r w:rsidRPr="003871AE">
        <w:rPr>
          <w:rFonts w:cs="Arial"/>
          <w:color w:val="000000"/>
          <w:sz w:val="28"/>
          <w:szCs w:val="28"/>
          <w:shd w:val="clear" w:color="auto" w:fill="FFFFFF"/>
        </w:rPr>
        <w:t>spectru</w:t>
      </w:r>
      <w:r w:rsidR="00F6325A" w:rsidRPr="003871AE">
        <w:rPr>
          <w:rFonts w:cs="Arial"/>
          <w:color w:val="000000"/>
          <w:sz w:val="28"/>
          <w:szCs w:val="28"/>
          <w:shd w:val="clear" w:color="auto" w:fill="FFFFFF"/>
        </w:rPr>
        <w:t>m</w:t>
      </w:r>
      <w:r w:rsidR="00912C3D">
        <w:rPr>
          <w:rFonts w:cs="Arial"/>
          <w:color w:val="000000"/>
          <w:sz w:val="28"/>
          <w:szCs w:val="28"/>
          <w:shd w:val="clear" w:color="auto" w:fill="FFFFFF"/>
        </w:rPr>
        <w:t xml:space="preserve"> of analysts</w:t>
      </w:r>
      <w:r w:rsidR="00F6325A" w:rsidRPr="003871AE">
        <w:rPr>
          <w:rFonts w:cs="Arial"/>
          <w:color w:val="000000"/>
          <w:sz w:val="28"/>
          <w:szCs w:val="28"/>
          <w:shd w:val="clear" w:color="auto" w:fill="FFFFFF"/>
        </w:rPr>
        <w:t>: Romer (2011)</w:t>
      </w:r>
      <w:r w:rsidR="00912C3D">
        <w:rPr>
          <w:rFonts w:cs="Arial"/>
          <w:color w:val="000000"/>
          <w:sz w:val="28"/>
          <w:szCs w:val="28"/>
          <w:shd w:val="clear" w:color="auto" w:fill="FFFFFF"/>
        </w:rPr>
        <w:t xml:space="preserve"> and</w:t>
      </w:r>
      <w:r w:rsidR="00F6325A" w:rsidRPr="003871AE">
        <w:rPr>
          <w:rFonts w:cs="Arial"/>
          <w:color w:val="000000"/>
          <w:sz w:val="28"/>
          <w:szCs w:val="28"/>
          <w:shd w:val="clear" w:color="auto" w:fill="FFFFFF"/>
        </w:rPr>
        <w:t xml:space="preserve"> Krugman (2011)</w:t>
      </w:r>
      <w:r w:rsidRPr="003871AE">
        <w:rPr>
          <w:rFonts w:cs="Arial"/>
          <w:color w:val="000000"/>
          <w:sz w:val="28"/>
          <w:szCs w:val="28"/>
          <w:shd w:val="clear" w:color="auto" w:fill="FFFFFF"/>
        </w:rPr>
        <w:t xml:space="preserve">; </w:t>
      </w:r>
      <w:proofErr w:type="spellStart"/>
      <w:r w:rsidRPr="003871AE">
        <w:rPr>
          <w:rFonts w:cs="Arial"/>
          <w:color w:val="000000"/>
          <w:sz w:val="28"/>
          <w:szCs w:val="28"/>
          <w:shd w:val="clear" w:color="auto" w:fill="FFFFFF"/>
        </w:rPr>
        <w:t>Hatzius</w:t>
      </w:r>
      <w:proofErr w:type="spellEnd"/>
      <w:r w:rsidRPr="003871AE">
        <w:rPr>
          <w:rFonts w:cs="Arial"/>
          <w:color w:val="000000"/>
          <w:sz w:val="28"/>
          <w:szCs w:val="28"/>
          <w:shd w:val="clear" w:color="auto" w:fill="FFFFFF"/>
        </w:rPr>
        <w:t xml:space="preserve"> (2011) a</w:t>
      </w:r>
      <w:r w:rsidR="00F6325A" w:rsidRPr="003871AE">
        <w:rPr>
          <w:rFonts w:cs="Arial"/>
          <w:color w:val="000000"/>
          <w:sz w:val="28"/>
          <w:szCs w:val="28"/>
          <w:shd w:val="clear" w:color="auto" w:fill="FFFFFF"/>
        </w:rPr>
        <w:t>nd Woodford (2012</w:t>
      </w:r>
      <w:r w:rsidR="00B13964" w:rsidRPr="003871AE">
        <w:rPr>
          <w:rFonts w:cs="Arial"/>
          <w:color w:val="000000"/>
          <w:sz w:val="28"/>
          <w:szCs w:val="28"/>
          <w:shd w:val="clear" w:color="auto" w:fill="FFFFFF"/>
        </w:rPr>
        <w:t xml:space="preserve">); David </w:t>
      </w:r>
      <w:proofErr w:type="spellStart"/>
      <w:r w:rsidR="00B13964" w:rsidRPr="003871AE">
        <w:rPr>
          <w:rFonts w:cs="Arial"/>
          <w:color w:val="000000"/>
          <w:sz w:val="28"/>
          <w:szCs w:val="28"/>
          <w:shd w:val="clear" w:color="auto" w:fill="FFFFFF"/>
        </w:rPr>
        <w:t>Beckworth</w:t>
      </w:r>
      <w:proofErr w:type="spellEnd"/>
      <w:r w:rsidR="00B13964" w:rsidRPr="003871AE">
        <w:rPr>
          <w:rFonts w:cs="Arial"/>
          <w:color w:val="000000"/>
          <w:sz w:val="28"/>
          <w:szCs w:val="28"/>
          <w:shd w:val="clear" w:color="auto" w:fill="FFFFFF"/>
        </w:rPr>
        <w:t xml:space="preserve"> (</w:t>
      </w:r>
      <w:r w:rsidR="00482CEA" w:rsidRPr="003871AE">
        <w:rPr>
          <w:rFonts w:cs="Arial"/>
          <w:color w:val="000000"/>
          <w:sz w:val="28"/>
          <w:szCs w:val="28"/>
          <w:shd w:val="clear" w:color="auto" w:fill="FFFFFF"/>
        </w:rPr>
        <w:t xml:space="preserve">2016 and </w:t>
      </w:r>
      <w:r w:rsidR="00B13964" w:rsidRPr="003871AE">
        <w:rPr>
          <w:rFonts w:cs="Arial"/>
          <w:color w:val="000000"/>
          <w:sz w:val="28"/>
          <w:szCs w:val="28"/>
          <w:shd w:val="clear" w:color="auto" w:fill="FFFFFF"/>
        </w:rPr>
        <w:t xml:space="preserve">at </w:t>
      </w:r>
      <w:hyperlink r:id="rId10" w:history="1">
        <w:r w:rsidR="00B13964" w:rsidRPr="003871AE">
          <w:rPr>
            <w:rStyle w:val="Hyperlink"/>
            <w:rFonts w:cs="Arial"/>
            <w:sz w:val="28"/>
            <w:szCs w:val="28"/>
            <w:shd w:val="clear" w:color="auto" w:fill="FFFFFF"/>
          </w:rPr>
          <w:t>Macro Market Musings</w:t>
        </w:r>
      </w:hyperlink>
      <w:r w:rsidR="00B13964" w:rsidRPr="003871AE">
        <w:rPr>
          <w:rFonts w:cs="Arial"/>
          <w:color w:val="000000"/>
          <w:sz w:val="28"/>
          <w:szCs w:val="28"/>
          <w:shd w:val="clear" w:color="auto" w:fill="FFFFFF"/>
        </w:rPr>
        <w:t xml:space="preserve">), </w:t>
      </w:r>
      <w:r w:rsidR="00E248CE" w:rsidRPr="003871AE">
        <w:rPr>
          <w:rFonts w:cs="Arial"/>
          <w:color w:val="000000"/>
          <w:sz w:val="28"/>
          <w:szCs w:val="28"/>
          <w:shd w:val="clear" w:color="auto" w:fill="FFFFFF"/>
        </w:rPr>
        <w:t>Scott Sumner (</w:t>
      </w:r>
      <w:r w:rsidR="00482CEA" w:rsidRPr="003871AE">
        <w:rPr>
          <w:rFonts w:cs="Arial"/>
          <w:color w:val="000000"/>
          <w:sz w:val="28"/>
          <w:szCs w:val="28"/>
          <w:shd w:val="clear" w:color="auto" w:fill="FFFFFF"/>
        </w:rPr>
        <w:t xml:space="preserve">2014, and </w:t>
      </w:r>
      <w:r w:rsidR="00E248CE" w:rsidRPr="003871AE">
        <w:rPr>
          <w:rFonts w:cs="Arial"/>
          <w:color w:val="000000"/>
          <w:sz w:val="28"/>
          <w:szCs w:val="28"/>
          <w:shd w:val="clear" w:color="auto" w:fill="FFFFFF"/>
        </w:rPr>
        <w:t xml:space="preserve">at </w:t>
      </w:r>
      <w:hyperlink r:id="rId11" w:history="1">
        <w:r w:rsidR="00E248CE" w:rsidRPr="003871AE">
          <w:rPr>
            <w:rStyle w:val="Hyperlink"/>
            <w:rFonts w:cs="Arial"/>
            <w:sz w:val="28"/>
            <w:szCs w:val="28"/>
            <w:shd w:val="clear" w:color="auto" w:fill="FFFFFF"/>
          </w:rPr>
          <w:t>Money Illusion</w:t>
        </w:r>
      </w:hyperlink>
      <w:r w:rsidR="00E248CE" w:rsidRPr="003871AE">
        <w:rPr>
          <w:rFonts w:cs="Arial"/>
          <w:color w:val="000000"/>
          <w:sz w:val="28"/>
          <w:szCs w:val="28"/>
          <w:shd w:val="clear" w:color="auto" w:fill="FFFFFF"/>
        </w:rPr>
        <w:t>)</w:t>
      </w:r>
      <w:r w:rsidR="00B072FB">
        <w:rPr>
          <w:rFonts w:cs="Arial"/>
          <w:color w:val="000000"/>
          <w:sz w:val="28"/>
          <w:szCs w:val="28"/>
          <w:shd w:val="clear" w:color="auto" w:fill="FFFFFF"/>
        </w:rPr>
        <w:t xml:space="preserve">, </w:t>
      </w:r>
      <w:r w:rsidR="00B072FB" w:rsidRPr="003871AE">
        <w:rPr>
          <w:rFonts w:cs="Arial"/>
          <w:color w:val="000000"/>
          <w:sz w:val="28"/>
          <w:szCs w:val="28"/>
          <w:shd w:val="clear" w:color="auto" w:fill="FFFFFF"/>
        </w:rPr>
        <w:t xml:space="preserve">Lars Christensen (at </w:t>
      </w:r>
      <w:hyperlink r:id="rId12" w:history="1">
        <w:r w:rsidR="00B072FB" w:rsidRPr="003871AE">
          <w:rPr>
            <w:rStyle w:val="Hyperlink"/>
            <w:rFonts w:cs="Arial"/>
            <w:sz w:val="28"/>
            <w:szCs w:val="28"/>
            <w:shd w:val="clear" w:color="auto" w:fill="FFFFFF"/>
          </w:rPr>
          <w:t>Market</w:t>
        </w:r>
      </w:hyperlink>
      <w:r w:rsidR="00B072FB" w:rsidRPr="003871AE">
        <w:rPr>
          <w:rFonts w:cs="Arial"/>
          <w:color w:val="000000"/>
          <w:sz w:val="28"/>
          <w:szCs w:val="28"/>
          <w:shd w:val="clear" w:color="auto" w:fill="FFFFFF"/>
        </w:rPr>
        <w:t xml:space="preserve"> </w:t>
      </w:r>
      <w:hyperlink r:id="rId13" w:history="1">
        <w:r w:rsidR="00B072FB" w:rsidRPr="003871AE">
          <w:rPr>
            <w:rStyle w:val="Hyperlink"/>
            <w:rFonts w:cs="Arial"/>
            <w:sz w:val="28"/>
            <w:szCs w:val="28"/>
            <w:shd w:val="clear" w:color="auto" w:fill="FFFFFF"/>
          </w:rPr>
          <w:t>Monetarist</w:t>
        </w:r>
      </w:hyperlink>
      <w:r w:rsidR="00B072FB" w:rsidRPr="003871AE">
        <w:rPr>
          <w:rFonts w:cs="Arial"/>
          <w:color w:val="000000"/>
          <w:sz w:val="28"/>
          <w:szCs w:val="28"/>
          <w:shd w:val="clear" w:color="auto" w:fill="FFFFFF"/>
        </w:rPr>
        <w:t>),</w:t>
      </w:r>
      <w:r w:rsidR="00B072FB">
        <w:rPr>
          <w:rFonts w:cs="Arial"/>
          <w:color w:val="000000"/>
          <w:sz w:val="28"/>
          <w:szCs w:val="28"/>
          <w:shd w:val="clear" w:color="auto" w:fill="FFFFFF"/>
        </w:rPr>
        <w:t xml:space="preserve"> and </w:t>
      </w:r>
      <w:r w:rsidR="00B072FB" w:rsidRPr="00B072FB">
        <w:rPr>
          <w:rFonts w:cs="Arial"/>
          <w:color w:val="000000"/>
          <w:sz w:val="28"/>
          <w:szCs w:val="28"/>
          <w:shd w:val="clear" w:color="auto" w:fill="FFFFFF"/>
        </w:rPr>
        <w:t>Marcus Nunes (at </w:t>
      </w:r>
      <w:proofErr w:type="spellStart"/>
      <w:r w:rsidR="00B072FB" w:rsidRPr="00B072FB">
        <w:rPr>
          <w:sz w:val="28"/>
          <w:szCs w:val="28"/>
        </w:rPr>
        <w:fldChar w:fldCharType="begin"/>
      </w:r>
      <w:r w:rsidR="00B072FB" w:rsidRPr="00B072FB">
        <w:rPr>
          <w:sz w:val="28"/>
          <w:szCs w:val="28"/>
        </w:rPr>
        <w:instrText xml:space="preserve"> HYPERLINK "http://thefaintofheart.wordpress.com/" </w:instrText>
      </w:r>
      <w:r w:rsidR="00B072FB" w:rsidRPr="00B072FB">
        <w:rPr>
          <w:sz w:val="28"/>
          <w:szCs w:val="28"/>
        </w:rPr>
        <w:fldChar w:fldCharType="separate"/>
      </w:r>
      <w:r w:rsidR="00B072FB" w:rsidRPr="00B072FB">
        <w:rPr>
          <w:rStyle w:val="Hyperlink"/>
          <w:rFonts w:cs="Arial"/>
          <w:color w:val="085A92"/>
          <w:sz w:val="28"/>
          <w:szCs w:val="28"/>
          <w:bdr w:val="none" w:sz="0" w:space="0" w:color="auto" w:frame="1"/>
          <w:shd w:val="clear" w:color="auto" w:fill="FFFFFF"/>
        </w:rPr>
        <w:t>Historinhas</w:t>
      </w:r>
      <w:proofErr w:type="spellEnd"/>
      <w:r w:rsidR="00B072FB" w:rsidRPr="00B072FB">
        <w:rPr>
          <w:sz w:val="28"/>
          <w:szCs w:val="28"/>
        </w:rPr>
        <w:fldChar w:fldCharType="end"/>
      </w:r>
      <w:r w:rsidR="00B072FB" w:rsidRPr="00B072FB">
        <w:rPr>
          <w:rFonts w:cs="Arial"/>
          <w:color w:val="000000"/>
          <w:sz w:val="28"/>
          <w:szCs w:val="28"/>
          <w:shd w:val="clear" w:color="auto" w:fill="FFFFFF"/>
        </w:rPr>
        <w:t>)</w:t>
      </w:r>
      <w:r w:rsidRPr="00B072FB">
        <w:rPr>
          <w:rFonts w:cs="Arial"/>
          <w:color w:val="000000"/>
          <w:sz w:val="28"/>
          <w:szCs w:val="28"/>
          <w:shd w:val="clear" w:color="auto" w:fill="FFFFFF"/>
        </w:rPr>
        <w:t>.</w:t>
      </w:r>
    </w:p>
    <w:p w:rsidR="00E248CE" w:rsidRPr="00E248CE" w:rsidRDefault="00F91367" w:rsidP="00F91367">
      <w:pPr>
        <w:pStyle w:val="ListParagraph"/>
        <w:numPr>
          <w:ilvl w:val="1"/>
          <w:numId w:val="2"/>
        </w:numPr>
        <w:spacing w:line="240" w:lineRule="auto"/>
        <w:rPr>
          <w:sz w:val="28"/>
          <w:szCs w:val="28"/>
        </w:rPr>
      </w:pPr>
      <w:r w:rsidRPr="00416B3A">
        <w:rPr>
          <w:b/>
          <w:sz w:val="28"/>
          <w:szCs w:val="28"/>
        </w:rPr>
        <w:t>The case</w:t>
      </w:r>
      <w:r w:rsidR="00B6112F">
        <w:rPr>
          <w:b/>
          <w:sz w:val="28"/>
          <w:szCs w:val="28"/>
        </w:rPr>
        <w:t xml:space="preserve"> in favor of a </w:t>
      </w:r>
      <w:r w:rsidR="00B6112F">
        <w:rPr>
          <w:rFonts w:cs="Arial"/>
          <w:b/>
          <w:color w:val="000000"/>
          <w:sz w:val="28"/>
          <w:szCs w:val="28"/>
          <w:shd w:val="clear" w:color="auto" w:fill="FFFFFF"/>
        </w:rPr>
        <w:t>nominal GDP target</w:t>
      </w:r>
      <w:r w:rsidRPr="00416B3A">
        <w:rPr>
          <w:b/>
          <w:sz w:val="28"/>
          <w:szCs w:val="28"/>
        </w:rPr>
        <w:t xml:space="preserve"> is still </w:t>
      </w:r>
      <w:r w:rsidR="00B6112F">
        <w:rPr>
          <w:b/>
          <w:sz w:val="28"/>
          <w:szCs w:val="28"/>
        </w:rPr>
        <w:t>its</w:t>
      </w:r>
      <w:r w:rsidRPr="00416B3A">
        <w:rPr>
          <w:b/>
          <w:sz w:val="28"/>
          <w:szCs w:val="28"/>
        </w:rPr>
        <w:t xml:space="preserve"> robustness </w:t>
      </w:r>
      <w:r w:rsidR="00B6112F">
        <w:rPr>
          <w:b/>
          <w:sz w:val="28"/>
          <w:szCs w:val="28"/>
        </w:rPr>
        <w:t>with respect to shocks</w:t>
      </w:r>
      <w:r w:rsidR="00B6112F">
        <w:rPr>
          <w:rFonts w:cs="Arial"/>
          <w:b/>
          <w:color w:val="000000"/>
          <w:sz w:val="28"/>
          <w:szCs w:val="28"/>
          <w:shd w:val="clear" w:color="auto" w:fill="FFFFFF"/>
        </w:rPr>
        <w:t xml:space="preserve">.  But </w:t>
      </w:r>
      <w:r w:rsidRPr="00416B3A">
        <w:rPr>
          <w:rFonts w:cs="Arial"/>
          <w:b/>
          <w:color w:val="000000"/>
          <w:sz w:val="28"/>
          <w:szCs w:val="28"/>
          <w:shd w:val="clear" w:color="auto" w:fill="FFFFFF"/>
        </w:rPr>
        <w:t>relative to a CPI inflation target, the advantage of nominal GDP targeting is robustness with respect to Aggregate Supply shocks</w:t>
      </w:r>
      <w:r>
        <w:rPr>
          <w:rFonts w:cs="Arial"/>
          <w:color w:val="000000"/>
          <w:sz w:val="28"/>
          <w:szCs w:val="28"/>
          <w:shd w:val="clear" w:color="auto" w:fill="FFFFFF"/>
        </w:rPr>
        <w:t xml:space="preserve"> </w:t>
      </w:r>
    </w:p>
    <w:p w:rsidR="00E248CE" w:rsidRPr="00E248CE" w:rsidRDefault="00F91367" w:rsidP="00E248CE">
      <w:pPr>
        <w:pStyle w:val="ListParagraph"/>
        <w:numPr>
          <w:ilvl w:val="2"/>
          <w:numId w:val="2"/>
        </w:numPr>
        <w:spacing w:line="240" w:lineRule="auto"/>
        <w:rPr>
          <w:sz w:val="28"/>
          <w:szCs w:val="28"/>
        </w:rPr>
      </w:pPr>
      <w:proofErr w:type="gramStart"/>
      <w:r>
        <w:rPr>
          <w:rFonts w:cs="Arial"/>
          <w:color w:val="000000"/>
          <w:sz w:val="28"/>
          <w:szCs w:val="28"/>
          <w:shd w:val="clear" w:color="auto" w:fill="FFFFFF"/>
        </w:rPr>
        <w:t>such</w:t>
      </w:r>
      <w:proofErr w:type="gramEnd"/>
      <w:r>
        <w:rPr>
          <w:rFonts w:cs="Arial"/>
          <w:color w:val="000000"/>
          <w:sz w:val="28"/>
          <w:szCs w:val="28"/>
          <w:shd w:val="clear" w:color="auto" w:fill="FFFFFF"/>
        </w:rPr>
        <w:t xml:space="preserve"> as productivity shocks</w:t>
      </w:r>
      <w:r w:rsidR="00B82C16">
        <w:rPr>
          <w:rFonts w:cs="Arial"/>
          <w:color w:val="000000"/>
          <w:sz w:val="28"/>
          <w:szCs w:val="28"/>
          <w:shd w:val="clear" w:color="auto" w:fill="FFFFFF"/>
        </w:rPr>
        <w:t xml:space="preserve"> or </w:t>
      </w:r>
      <w:r w:rsidR="00E248CE">
        <w:rPr>
          <w:rFonts w:cs="Arial"/>
          <w:color w:val="000000"/>
          <w:sz w:val="28"/>
          <w:szCs w:val="28"/>
          <w:shd w:val="clear" w:color="auto" w:fill="FFFFFF"/>
        </w:rPr>
        <w:t>commodity shocks..</w:t>
      </w:r>
      <w:r>
        <w:rPr>
          <w:rFonts w:cs="Arial"/>
          <w:color w:val="000000"/>
          <w:sz w:val="28"/>
          <w:szCs w:val="28"/>
          <w:shd w:val="clear" w:color="auto" w:fill="FFFFFF"/>
        </w:rPr>
        <w:t xml:space="preserve">.  </w:t>
      </w:r>
    </w:p>
    <w:p w:rsidR="00F91367" w:rsidRPr="00B6112F" w:rsidRDefault="00E248CE" w:rsidP="00E248CE">
      <w:pPr>
        <w:pStyle w:val="ListParagraph"/>
        <w:numPr>
          <w:ilvl w:val="2"/>
          <w:numId w:val="2"/>
        </w:numPr>
        <w:spacing w:line="240" w:lineRule="auto"/>
        <w:rPr>
          <w:sz w:val="28"/>
          <w:szCs w:val="28"/>
        </w:rPr>
      </w:pPr>
      <w:r>
        <w:rPr>
          <w:rFonts w:cs="Arial"/>
          <w:color w:val="000000"/>
          <w:sz w:val="28"/>
          <w:szCs w:val="28"/>
          <w:shd w:val="clear" w:color="auto" w:fill="FFFFFF"/>
        </w:rPr>
        <w:t>[</w:t>
      </w:r>
      <w:r w:rsidR="00F26B41">
        <w:rPr>
          <w:rFonts w:cs="Arial"/>
          <w:color w:val="000000"/>
          <w:sz w:val="28"/>
          <w:szCs w:val="28"/>
          <w:shd w:val="clear" w:color="auto" w:fill="FFFFFF"/>
        </w:rPr>
        <w:t>Bhandari and Frankel (2017) argue that w</w:t>
      </w:r>
      <w:r w:rsidR="00FF2DEE">
        <w:rPr>
          <w:rFonts w:cs="Arial"/>
          <w:color w:val="000000"/>
          <w:sz w:val="28"/>
          <w:szCs w:val="28"/>
          <w:shd w:val="clear" w:color="auto" w:fill="FFFFFF"/>
        </w:rPr>
        <w:t>eather shocks</w:t>
      </w:r>
      <w:r w:rsidR="00B82C16">
        <w:rPr>
          <w:rFonts w:cs="Arial"/>
          <w:color w:val="000000"/>
          <w:sz w:val="28"/>
          <w:szCs w:val="28"/>
          <w:shd w:val="clear" w:color="auto" w:fill="FFFFFF"/>
        </w:rPr>
        <w:t xml:space="preserve">, natural disasters, </w:t>
      </w:r>
      <w:r w:rsidR="00FF2DEE">
        <w:rPr>
          <w:rFonts w:cs="Arial"/>
          <w:color w:val="000000"/>
          <w:sz w:val="28"/>
          <w:szCs w:val="28"/>
          <w:shd w:val="clear" w:color="auto" w:fill="FFFFFF"/>
        </w:rPr>
        <w:t>and t</w:t>
      </w:r>
      <w:r w:rsidR="00F91367">
        <w:rPr>
          <w:rFonts w:cs="Arial"/>
          <w:color w:val="000000"/>
          <w:sz w:val="28"/>
          <w:szCs w:val="28"/>
          <w:shd w:val="clear" w:color="auto" w:fill="FFFFFF"/>
        </w:rPr>
        <w:t xml:space="preserve">erms of trade shocks </w:t>
      </w:r>
      <w:r w:rsidR="003871AE">
        <w:rPr>
          <w:rFonts w:cs="Arial"/>
          <w:color w:val="000000"/>
          <w:sz w:val="28"/>
          <w:szCs w:val="28"/>
          <w:shd w:val="clear" w:color="auto" w:fill="FFFFFF"/>
        </w:rPr>
        <w:t xml:space="preserve">make NGDPT </w:t>
      </w:r>
      <w:r w:rsidR="00F91367">
        <w:rPr>
          <w:rFonts w:cs="Arial"/>
          <w:color w:val="000000"/>
          <w:sz w:val="28"/>
          <w:szCs w:val="28"/>
          <w:shd w:val="clear" w:color="auto" w:fill="FFFFFF"/>
        </w:rPr>
        <w:t xml:space="preserve">particularly </w:t>
      </w:r>
      <w:r w:rsidR="003871AE">
        <w:rPr>
          <w:rFonts w:cs="Arial"/>
          <w:color w:val="000000"/>
          <w:sz w:val="28"/>
          <w:szCs w:val="28"/>
          <w:shd w:val="clear" w:color="auto" w:fill="FFFFFF"/>
        </w:rPr>
        <w:t>relevant</w:t>
      </w:r>
      <w:r w:rsidR="00F91367">
        <w:rPr>
          <w:rFonts w:cs="Arial"/>
          <w:color w:val="000000"/>
          <w:sz w:val="28"/>
          <w:szCs w:val="28"/>
          <w:shd w:val="clear" w:color="auto" w:fill="FFFFFF"/>
        </w:rPr>
        <w:t xml:space="preserve"> for </w:t>
      </w:r>
      <w:r w:rsidR="00FF2DEE">
        <w:rPr>
          <w:rFonts w:cs="Arial"/>
          <w:color w:val="000000"/>
          <w:sz w:val="28"/>
          <w:szCs w:val="28"/>
          <w:shd w:val="clear" w:color="auto" w:fill="FFFFFF"/>
        </w:rPr>
        <w:t>developi</w:t>
      </w:r>
      <w:r w:rsidR="00F26B41">
        <w:rPr>
          <w:rFonts w:cs="Arial"/>
          <w:color w:val="000000"/>
          <w:sz w:val="28"/>
          <w:szCs w:val="28"/>
          <w:shd w:val="clear" w:color="auto" w:fill="FFFFFF"/>
        </w:rPr>
        <w:t>ng countries.</w:t>
      </w:r>
      <w:r>
        <w:rPr>
          <w:rFonts w:cs="Arial"/>
          <w:color w:val="000000"/>
          <w:sz w:val="28"/>
          <w:szCs w:val="28"/>
          <w:shd w:val="clear" w:color="auto" w:fill="FFFFFF"/>
        </w:rPr>
        <w:t>]</w:t>
      </w:r>
    </w:p>
    <w:p w:rsidR="00B6112F" w:rsidRPr="00E248CE" w:rsidRDefault="00B6112F" w:rsidP="00F91367">
      <w:pPr>
        <w:pStyle w:val="ListParagraph"/>
        <w:numPr>
          <w:ilvl w:val="1"/>
          <w:numId w:val="2"/>
        </w:numPr>
        <w:spacing w:line="240" w:lineRule="auto"/>
        <w:rPr>
          <w:sz w:val="28"/>
          <w:szCs w:val="28"/>
        </w:rPr>
      </w:pPr>
      <w:r>
        <w:rPr>
          <w:b/>
          <w:sz w:val="28"/>
          <w:szCs w:val="28"/>
        </w:rPr>
        <w:t>In the presence of an adverse supply shock, an inflation target implies a needlessly tight monetary policy and a needlessly large recession.</w:t>
      </w:r>
    </w:p>
    <w:p w:rsidR="003871AE" w:rsidRDefault="00E248CE" w:rsidP="00E248CE">
      <w:pPr>
        <w:pStyle w:val="ListParagraph"/>
        <w:numPr>
          <w:ilvl w:val="2"/>
          <w:numId w:val="2"/>
        </w:numPr>
        <w:spacing w:line="240" w:lineRule="auto"/>
        <w:rPr>
          <w:sz w:val="28"/>
          <w:szCs w:val="28"/>
        </w:rPr>
      </w:pPr>
      <w:r w:rsidRPr="00E248CE">
        <w:rPr>
          <w:sz w:val="28"/>
          <w:szCs w:val="28"/>
        </w:rPr>
        <w:t xml:space="preserve">NGDP targeting allows the impact of the shift to be </w:t>
      </w:r>
      <w:r w:rsidR="00D1657D">
        <w:rPr>
          <w:sz w:val="28"/>
          <w:szCs w:val="28"/>
        </w:rPr>
        <w:t xml:space="preserve">automatically </w:t>
      </w:r>
      <w:r w:rsidRPr="00E248CE">
        <w:rPr>
          <w:sz w:val="28"/>
          <w:szCs w:val="28"/>
        </w:rPr>
        <w:t>divided between some loss of price stability and some loss on the output objective</w:t>
      </w:r>
      <w:r w:rsidR="00633DFC">
        <w:rPr>
          <w:sz w:val="28"/>
          <w:szCs w:val="28"/>
        </w:rPr>
        <w:t>…</w:t>
      </w:r>
    </w:p>
    <w:p w:rsidR="00DC0355" w:rsidRDefault="00633DFC" w:rsidP="00E248CE">
      <w:pPr>
        <w:pStyle w:val="ListParagraph"/>
        <w:numPr>
          <w:ilvl w:val="2"/>
          <w:numId w:val="2"/>
        </w:numPr>
        <w:spacing w:line="240" w:lineRule="auto"/>
        <w:rPr>
          <w:sz w:val="28"/>
          <w:szCs w:val="28"/>
        </w:rPr>
      </w:pPr>
      <w:r>
        <w:rPr>
          <w:sz w:val="28"/>
          <w:szCs w:val="28"/>
        </w:rPr>
        <w:t>…w</w:t>
      </w:r>
      <w:r w:rsidR="003871AE">
        <w:rPr>
          <w:sz w:val="28"/>
          <w:szCs w:val="28"/>
        </w:rPr>
        <w:t xml:space="preserve">hereas an </w:t>
      </w:r>
      <w:r>
        <w:rPr>
          <w:sz w:val="28"/>
          <w:szCs w:val="28"/>
        </w:rPr>
        <w:t xml:space="preserve">ex ante </w:t>
      </w:r>
      <w:r w:rsidR="003871AE">
        <w:rPr>
          <w:sz w:val="28"/>
          <w:szCs w:val="28"/>
        </w:rPr>
        <w:t xml:space="preserve">inflation target, if it has </w:t>
      </w:r>
      <w:r>
        <w:rPr>
          <w:sz w:val="28"/>
          <w:szCs w:val="28"/>
        </w:rPr>
        <w:t xml:space="preserve">any </w:t>
      </w:r>
      <w:r w:rsidR="003871AE">
        <w:rPr>
          <w:sz w:val="28"/>
          <w:szCs w:val="28"/>
        </w:rPr>
        <w:t xml:space="preserve">influence on ex post monetary policy, </w:t>
      </w:r>
      <w:r w:rsidR="00DC0355">
        <w:rPr>
          <w:sz w:val="28"/>
          <w:szCs w:val="28"/>
        </w:rPr>
        <w:t>can push</w:t>
      </w:r>
      <w:r w:rsidR="003871AE">
        <w:rPr>
          <w:sz w:val="28"/>
          <w:szCs w:val="28"/>
        </w:rPr>
        <w:t xml:space="preserve"> the authorities to tighten </w:t>
      </w:r>
      <w:r w:rsidR="00452871">
        <w:rPr>
          <w:sz w:val="28"/>
          <w:szCs w:val="28"/>
        </w:rPr>
        <w:t xml:space="preserve">in the face of </w:t>
      </w:r>
      <w:r w:rsidR="00DC0355">
        <w:rPr>
          <w:sz w:val="28"/>
          <w:szCs w:val="28"/>
        </w:rPr>
        <w:t>an adverse shock</w:t>
      </w:r>
      <w:r w:rsidR="00302DF7">
        <w:rPr>
          <w:sz w:val="28"/>
          <w:szCs w:val="28"/>
        </w:rPr>
        <w:t>, thereby needlessly worsening the fall in output</w:t>
      </w:r>
      <w:r w:rsidR="00171464">
        <w:rPr>
          <w:sz w:val="28"/>
          <w:szCs w:val="28"/>
        </w:rPr>
        <w:t xml:space="preserve">. </w:t>
      </w:r>
      <w:r w:rsidR="00302DF7">
        <w:rPr>
          <w:sz w:val="28"/>
          <w:szCs w:val="28"/>
        </w:rPr>
        <w:t xml:space="preserve"> See graph. </w:t>
      </w:r>
      <w:r w:rsidR="00171464">
        <w:rPr>
          <w:sz w:val="28"/>
          <w:szCs w:val="28"/>
        </w:rPr>
        <w:t xml:space="preserve"> E.g., this can explain the ECB’s decision </w:t>
      </w:r>
      <w:r w:rsidR="008337F3">
        <w:rPr>
          <w:sz w:val="28"/>
          <w:szCs w:val="28"/>
        </w:rPr>
        <w:t xml:space="preserve">in July 2008 </w:t>
      </w:r>
      <w:r w:rsidR="00171464">
        <w:rPr>
          <w:sz w:val="28"/>
          <w:szCs w:val="28"/>
        </w:rPr>
        <w:t xml:space="preserve">to raise interest rates </w:t>
      </w:r>
      <w:r w:rsidR="00DC0355">
        <w:rPr>
          <w:sz w:val="28"/>
          <w:szCs w:val="28"/>
        </w:rPr>
        <w:t>just as the world was sliding into the great recession</w:t>
      </w:r>
      <w:r w:rsidR="00F6508B">
        <w:rPr>
          <w:sz w:val="28"/>
          <w:szCs w:val="28"/>
        </w:rPr>
        <w:t>. [That move was hard to explain, other than as an IT-induced reaction to spiking oil prices.</w:t>
      </w:r>
      <w:r w:rsidR="00171464">
        <w:rPr>
          <w:sz w:val="28"/>
          <w:szCs w:val="28"/>
        </w:rPr>
        <w:t>]</w:t>
      </w:r>
      <w:r w:rsidR="00DC0355">
        <w:rPr>
          <w:sz w:val="28"/>
          <w:szCs w:val="28"/>
        </w:rPr>
        <w:t xml:space="preserve">  </w:t>
      </w:r>
      <w:r w:rsidR="004A46C9">
        <w:rPr>
          <w:sz w:val="28"/>
          <w:szCs w:val="28"/>
        </w:rPr>
        <w:br/>
      </w:r>
    </w:p>
    <w:p w:rsidR="004A46C9" w:rsidRPr="004A46C9" w:rsidRDefault="004A46C9" w:rsidP="004A46C9">
      <w:pPr>
        <w:spacing w:line="240" w:lineRule="auto"/>
        <w:ind w:left="1620"/>
        <w:rPr>
          <w:sz w:val="28"/>
          <w:szCs w:val="28"/>
        </w:rPr>
      </w:pPr>
      <w:r w:rsidRPr="008E49BF">
        <w:rPr>
          <w:noProof/>
          <w:shd w:val="clear" w:color="auto" w:fill="FFFFFF"/>
        </w:rPr>
        <w:lastRenderedPageBreak/>
        <w:drawing>
          <wp:inline distT="0" distB="0" distL="0" distR="0" wp14:anchorId="16D2DD78" wp14:editId="3287094E">
            <wp:extent cx="4394199" cy="32956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94813" cy="3296110"/>
                    </a:xfrm>
                    <a:prstGeom prst="rect">
                      <a:avLst/>
                    </a:prstGeom>
                  </pic:spPr>
                </pic:pic>
              </a:graphicData>
            </a:graphic>
          </wp:inline>
        </w:drawing>
      </w:r>
    </w:p>
    <w:p w:rsidR="004A46C9" w:rsidRPr="00731F1C" w:rsidRDefault="004A46C9" w:rsidP="00731F1C">
      <w:pPr>
        <w:spacing w:line="240" w:lineRule="auto"/>
        <w:rPr>
          <w:sz w:val="28"/>
          <w:szCs w:val="28"/>
        </w:rPr>
      </w:pPr>
    </w:p>
    <w:p w:rsidR="004A46C9" w:rsidRDefault="004A46C9" w:rsidP="004A46C9">
      <w:pPr>
        <w:pStyle w:val="ListParagraph"/>
        <w:numPr>
          <w:ilvl w:val="1"/>
          <w:numId w:val="2"/>
        </w:numPr>
        <w:spacing w:line="240" w:lineRule="auto"/>
        <w:rPr>
          <w:sz w:val="28"/>
          <w:szCs w:val="28"/>
        </w:rPr>
      </w:pPr>
      <w:r>
        <w:rPr>
          <w:sz w:val="28"/>
          <w:szCs w:val="28"/>
        </w:rPr>
        <w:t xml:space="preserve">NGDPT proponents  have also come up with a relatively new argument, concerning </w:t>
      </w:r>
      <w:r w:rsidR="00ED0ABC">
        <w:rPr>
          <w:sz w:val="28"/>
          <w:szCs w:val="28"/>
        </w:rPr>
        <w:t>risk-sharing</w:t>
      </w:r>
      <w:r w:rsidR="00ED0ABC">
        <w:rPr>
          <w:sz w:val="28"/>
          <w:szCs w:val="28"/>
        </w:rPr>
        <w:t xml:space="preserve"> and financial stability</w:t>
      </w:r>
      <w:r>
        <w:rPr>
          <w:sz w:val="28"/>
          <w:szCs w:val="28"/>
        </w:rPr>
        <w:t>:</w:t>
      </w:r>
    </w:p>
    <w:p w:rsidR="004A46C9" w:rsidRDefault="004A46C9" w:rsidP="000F0C48">
      <w:pPr>
        <w:pStyle w:val="ListParagraph"/>
        <w:numPr>
          <w:ilvl w:val="2"/>
          <w:numId w:val="2"/>
        </w:numPr>
        <w:spacing w:line="240" w:lineRule="auto"/>
        <w:rPr>
          <w:sz w:val="28"/>
          <w:szCs w:val="28"/>
        </w:rPr>
      </w:pPr>
      <w:proofErr w:type="gramStart"/>
      <w:r>
        <w:rPr>
          <w:sz w:val="28"/>
          <w:szCs w:val="28"/>
        </w:rPr>
        <w:t>b</w:t>
      </w:r>
      <w:r w:rsidR="000F0C48">
        <w:rPr>
          <w:sz w:val="28"/>
          <w:szCs w:val="28"/>
        </w:rPr>
        <w:t>y</w:t>
      </w:r>
      <w:proofErr w:type="gramEnd"/>
      <w:r>
        <w:rPr>
          <w:sz w:val="28"/>
          <w:szCs w:val="28"/>
        </w:rPr>
        <w:t xml:space="preserve"> allowing inflation in response to </w:t>
      </w:r>
      <w:r w:rsidR="000F0C48">
        <w:rPr>
          <w:sz w:val="28"/>
          <w:szCs w:val="28"/>
        </w:rPr>
        <w:t xml:space="preserve">adverse </w:t>
      </w:r>
      <w:r>
        <w:rPr>
          <w:sz w:val="28"/>
          <w:szCs w:val="28"/>
        </w:rPr>
        <w:t>supply shocks, NGDPT would alleviate the real burden of recessions on debtors</w:t>
      </w:r>
      <w:r w:rsidRPr="000F0C48">
        <w:rPr>
          <w:sz w:val="28"/>
          <w:szCs w:val="28"/>
        </w:rPr>
        <w:t>.</w:t>
      </w:r>
    </w:p>
    <w:p w:rsidR="000F0C48" w:rsidRPr="000F0C48" w:rsidRDefault="000F0C48" w:rsidP="000F0C48">
      <w:pPr>
        <w:pStyle w:val="ListParagraph"/>
        <w:numPr>
          <w:ilvl w:val="2"/>
          <w:numId w:val="2"/>
        </w:numPr>
        <w:spacing w:line="240" w:lineRule="auto"/>
        <w:rPr>
          <w:sz w:val="28"/>
          <w:szCs w:val="28"/>
        </w:rPr>
      </w:pPr>
      <w:r>
        <w:rPr>
          <w:sz w:val="28"/>
          <w:szCs w:val="28"/>
        </w:rPr>
        <w:t>I.e., counter-cyclical inflation improves the financial distribution of risk.</w:t>
      </w:r>
    </w:p>
    <w:p w:rsidR="004A46C9" w:rsidRPr="0005420E" w:rsidRDefault="004A46C9" w:rsidP="004A46C9">
      <w:pPr>
        <w:pStyle w:val="ListParagraph"/>
        <w:numPr>
          <w:ilvl w:val="2"/>
          <w:numId w:val="2"/>
        </w:numPr>
        <w:spacing w:line="240" w:lineRule="auto"/>
        <w:rPr>
          <w:sz w:val="28"/>
          <w:szCs w:val="28"/>
        </w:rPr>
      </w:pPr>
      <w:hyperlink r:id="rId15" w:tgtFrame="_blank" w:history="1">
        <w:r w:rsidRPr="0005420E">
          <w:rPr>
            <w:rStyle w:val="Hyperlink"/>
            <w:rFonts w:ascii="Calibri" w:hAnsi="Calibri"/>
            <w:color w:val="1155CC"/>
            <w:sz w:val="28"/>
            <w:szCs w:val="28"/>
            <w:shd w:val="clear" w:color="auto" w:fill="FFFFFF"/>
          </w:rPr>
          <w:t>Koenig (2013)</w:t>
        </w:r>
      </w:hyperlink>
      <w:r w:rsidRPr="0005420E">
        <w:rPr>
          <w:rFonts w:ascii="Calibri" w:hAnsi="Calibri"/>
          <w:color w:val="222222"/>
          <w:sz w:val="28"/>
          <w:szCs w:val="28"/>
          <w:shd w:val="clear" w:color="auto" w:fill="FFFFFF"/>
        </w:rPr>
        <w:t>, </w:t>
      </w:r>
      <w:proofErr w:type="spellStart"/>
      <w:r w:rsidRPr="0005420E">
        <w:rPr>
          <w:sz w:val="28"/>
          <w:szCs w:val="28"/>
        </w:rPr>
        <w:fldChar w:fldCharType="begin"/>
      </w:r>
      <w:r w:rsidRPr="0005420E">
        <w:rPr>
          <w:sz w:val="28"/>
          <w:szCs w:val="28"/>
        </w:rPr>
        <w:instrText xml:space="preserve"> HYPERLINK "https://www.brookings.edu/wp-content/uploads/2014/03/2014a_Sheedy.pdf" \t "_blank" </w:instrText>
      </w:r>
      <w:r w:rsidRPr="0005420E">
        <w:rPr>
          <w:sz w:val="28"/>
          <w:szCs w:val="28"/>
        </w:rPr>
        <w:fldChar w:fldCharType="separate"/>
      </w:r>
      <w:r w:rsidRPr="0005420E">
        <w:rPr>
          <w:rStyle w:val="Hyperlink"/>
          <w:rFonts w:ascii="Calibri" w:hAnsi="Calibri"/>
          <w:color w:val="1155CC"/>
          <w:sz w:val="28"/>
          <w:szCs w:val="28"/>
          <w:shd w:val="clear" w:color="auto" w:fill="FFFFFF"/>
        </w:rPr>
        <w:t>Sheedy</w:t>
      </w:r>
      <w:proofErr w:type="spellEnd"/>
      <w:r w:rsidRPr="0005420E">
        <w:rPr>
          <w:rStyle w:val="Hyperlink"/>
          <w:rFonts w:ascii="Calibri" w:hAnsi="Calibri"/>
          <w:color w:val="1155CC"/>
          <w:sz w:val="28"/>
          <w:szCs w:val="28"/>
          <w:shd w:val="clear" w:color="auto" w:fill="FFFFFF"/>
        </w:rPr>
        <w:t xml:space="preserve"> (2014)</w:t>
      </w:r>
      <w:r w:rsidRPr="0005420E">
        <w:rPr>
          <w:sz w:val="28"/>
          <w:szCs w:val="28"/>
        </w:rPr>
        <w:fldChar w:fldCharType="end"/>
      </w:r>
      <w:r w:rsidRPr="0005420E">
        <w:rPr>
          <w:rFonts w:ascii="Calibri" w:hAnsi="Calibri"/>
          <w:color w:val="222222"/>
          <w:sz w:val="28"/>
          <w:szCs w:val="28"/>
          <w:shd w:val="clear" w:color="auto" w:fill="FFFFFF"/>
        </w:rPr>
        <w:t>, and </w:t>
      </w:r>
      <w:hyperlink r:id="rId16" w:tgtFrame="_blank" w:history="1">
        <w:r w:rsidRPr="0005420E">
          <w:rPr>
            <w:rStyle w:val="Hyperlink"/>
            <w:rFonts w:ascii="Calibri" w:hAnsi="Calibri"/>
            <w:color w:val="1155CC"/>
            <w:sz w:val="28"/>
            <w:szCs w:val="28"/>
            <w:shd w:val="clear" w:color="auto" w:fill="FFFFFF"/>
          </w:rPr>
          <w:t>Bullard et al. (2015).</w:t>
        </w:r>
      </w:hyperlink>
    </w:p>
    <w:p w:rsidR="004A46C9" w:rsidRDefault="004A46C9" w:rsidP="004A46C9">
      <w:pPr>
        <w:pStyle w:val="ListParagraph"/>
        <w:spacing w:line="240" w:lineRule="auto"/>
        <w:ind w:left="1080"/>
        <w:rPr>
          <w:sz w:val="28"/>
          <w:szCs w:val="28"/>
        </w:rPr>
      </w:pPr>
    </w:p>
    <w:p w:rsidR="00DA2C9A" w:rsidRPr="00731F1C" w:rsidRDefault="00DA2C9A" w:rsidP="00DA2C9A">
      <w:pPr>
        <w:pStyle w:val="ListParagraph"/>
        <w:numPr>
          <w:ilvl w:val="0"/>
          <w:numId w:val="2"/>
        </w:numPr>
        <w:spacing w:line="240" w:lineRule="auto"/>
        <w:rPr>
          <w:sz w:val="16"/>
          <w:szCs w:val="16"/>
        </w:rPr>
      </w:pPr>
      <w:r w:rsidRPr="00D452F5">
        <w:rPr>
          <w:b/>
          <w:sz w:val="36"/>
          <w:szCs w:val="36"/>
        </w:rPr>
        <w:t xml:space="preserve">What are the </w:t>
      </w:r>
      <w:r w:rsidR="00D452F5">
        <w:rPr>
          <w:b/>
          <w:sz w:val="36"/>
          <w:szCs w:val="36"/>
        </w:rPr>
        <w:t xml:space="preserve">drawbacks of </w:t>
      </w:r>
      <w:r w:rsidRPr="00D452F5">
        <w:rPr>
          <w:b/>
          <w:sz w:val="36"/>
          <w:szCs w:val="36"/>
        </w:rPr>
        <w:t>NGDPT</w:t>
      </w:r>
      <w:r w:rsidR="002B440C" w:rsidRPr="00D452F5">
        <w:rPr>
          <w:b/>
          <w:sz w:val="36"/>
          <w:szCs w:val="36"/>
        </w:rPr>
        <w:t>?</w:t>
      </w:r>
      <w:r w:rsidR="00731F1C" w:rsidRPr="00731F1C">
        <w:rPr>
          <w:b/>
          <w:sz w:val="16"/>
          <w:szCs w:val="16"/>
        </w:rPr>
        <w:br/>
      </w:r>
    </w:p>
    <w:p w:rsidR="00A64F02" w:rsidRDefault="00A64F02" w:rsidP="00A64F02">
      <w:pPr>
        <w:pStyle w:val="ListParagraph"/>
        <w:numPr>
          <w:ilvl w:val="1"/>
          <w:numId w:val="2"/>
        </w:numPr>
        <w:spacing w:line="240" w:lineRule="auto"/>
        <w:rPr>
          <w:sz w:val="28"/>
          <w:szCs w:val="28"/>
        </w:rPr>
      </w:pPr>
      <w:r>
        <w:rPr>
          <w:sz w:val="28"/>
          <w:szCs w:val="28"/>
        </w:rPr>
        <w:t>One common argument against Nominal GDP targets is that the authority cannot hit them.  But the same point applies to inflation targets.  Either way, nobody proposes to stake all credibility on hitting the target.</w:t>
      </w:r>
    </w:p>
    <w:p w:rsidR="00A64F02" w:rsidRDefault="00A64F02" w:rsidP="00A64F02">
      <w:pPr>
        <w:pStyle w:val="ListParagraph"/>
        <w:numPr>
          <w:ilvl w:val="1"/>
          <w:numId w:val="2"/>
        </w:numPr>
        <w:spacing w:line="240" w:lineRule="auto"/>
        <w:rPr>
          <w:sz w:val="28"/>
          <w:szCs w:val="28"/>
        </w:rPr>
      </w:pPr>
      <w:r>
        <w:rPr>
          <w:sz w:val="28"/>
          <w:szCs w:val="28"/>
        </w:rPr>
        <w:t>A second common argument is that the per</w:t>
      </w:r>
      <w:r w:rsidR="00B7664C">
        <w:rPr>
          <w:sz w:val="28"/>
          <w:szCs w:val="28"/>
        </w:rPr>
        <w:t xml:space="preserve">son in the street does not </w:t>
      </w:r>
      <w:r w:rsidR="00B82C16">
        <w:rPr>
          <w:sz w:val="28"/>
          <w:szCs w:val="28"/>
        </w:rPr>
        <w:t xml:space="preserve">understand what </w:t>
      </w:r>
      <w:r>
        <w:rPr>
          <w:sz w:val="28"/>
          <w:szCs w:val="28"/>
        </w:rPr>
        <w:t xml:space="preserve">nominal GDP </w:t>
      </w:r>
      <w:r w:rsidR="00B82C16">
        <w:rPr>
          <w:sz w:val="28"/>
          <w:szCs w:val="28"/>
        </w:rPr>
        <w:t xml:space="preserve">is, </w:t>
      </w:r>
      <w:proofErr w:type="gramStart"/>
      <w:r w:rsidR="00B7664C">
        <w:rPr>
          <w:sz w:val="28"/>
          <w:szCs w:val="28"/>
        </w:rPr>
        <w:t>nor</w:t>
      </w:r>
      <w:proofErr w:type="gramEnd"/>
      <w:r w:rsidR="00B7664C">
        <w:rPr>
          <w:sz w:val="28"/>
          <w:szCs w:val="28"/>
        </w:rPr>
        <w:t xml:space="preserve"> </w:t>
      </w:r>
      <w:r w:rsidR="00B82C16">
        <w:rPr>
          <w:sz w:val="28"/>
          <w:szCs w:val="28"/>
        </w:rPr>
        <w:t>how it breaks down into</w:t>
      </w:r>
      <w:r>
        <w:rPr>
          <w:sz w:val="28"/>
          <w:szCs w:val="28"/>
        </w:rPr>
        <w:t xml:space="preserve"> real GDP</w:t>
      </w:r>
      <w:r w:rsidR="00B82C16">
        <w:rPr>
          <w:sz w:val="28"/>
          <w:szCs w:val="28"/>
        </w:rPr>
        <w:t xml:space="preserve"> versus the price level</w:t>
      </w:r>
      <w:r>
        <w:rPr>
          <w:sz w:val="28"/>
          <w:szCs w:val="28"/>
        </w:rPr>
        <w:t xml:space="preserve">.  </w:t>
      </w:r>
      <w:r w:rsidR="00B82C16">
        <w:rPr>
          <w:sz w:val="28"/>
          <w:szCs w:val="28"/>
        </w:rPr>
        <w:t xml:space="preserve">Central bankers fear the public would hold them responsible for hitting a real GDP target which might be rendered impossible by an adverse supply shock. </w:t>
      </w:r>
      <w:r>
        <w:rPr>
          <w:sz w:val="28"/>
          <w:szCs w:val="28"/>
        </w:rPr>
        <w:t>This could well be true.</w:t>
      </w:r>
      <w:r w:rsidR="00B82C16">
        <w:rPr>
          <w:sz w:val="28"/>
          <w:szCs w:val="28"/>
        </w:rPr>
        <w:t xml:space="preserve">  All the more reason to avoid choosing an ex ante target like inflation that in the event of an adverse supply shock must be abandoned ex post amid feeble explanations</w:t>
      </w:r>
      <w:r w:rsidR="00791E79" w:rsidRPr="00791E79">
        <w:rPr>
          <w:sz w:val="24"/>
          <w:szCs w:val="24"/>
        </w:rPr>
        <w:t xml:space="preserve"> </w:t>
      </w:r>
      <w:r w:rsidR="00791E79" w:rsidRPr="00791E79">
        <w:rPr>
          <w:sz w:val="28"/>
          <w:szCs w:val="28"/>
        </w:rPr>
        <w:t>about the unforeseen shock.</w:t>
      </w:r>
      <w:r w:rsidR="00791E79" w:rsidRPr="00B34E0C">
        <w:rPr>
          <w:sz w:val="24"/>
          <w:szCs w:val="24"/>
        </w:rPr>
        <w:t xml:space="preserve"> </w:t>
      </w:r>
      <w:r w:rsidR="00791E79">
        <w:rPr>
          <w:sz w:val="28"/>
          <w:szCs w:val="28"/>
        </w:rPr>
        <w:t xml:space="preserve">  </w:t>
      </w:r>
    </w:p>
    <w:p w:rsidR="0099730B" w:rsidRPr="002B440C" w:rsidRDefault="0099730B" w:rsidP="00A64F02">
      <w:pPr>
        <w:pStyle w:val="ListParagraph"/>
        <w:numPr>
          <w:ilvl w:val="1"/>
          <w:numId w:val="2"/>
        </w:numPr>
        <w:spacing w:line="240" w:lineRule="auto"/>
        <w:rPr>
          <w:sz w:val="28"/>
          <w:szCs w:val="28"/>
        </w:rPr>
      </w:pPr>
      <w:r>
        <w:rPr>
          <w:sz w:val="28"/>
          <w:szCs w:val="28"/>
        </w:rPr>
        <w:lastRenderedPageBreak/>
        <w:t xml:space="preserve">Nominal GDP numbers are always revised ex post. </w:t>
      </w:r>
      <w:r w:rsidR="00897CEA">
        <w:rPr>
          <w:sz w:val="28"/>
          <w:szCs w:val="28"/>
        </w:rPr>
        <w:t xml:space="preserve"> CPI numbers usually are not.  </w:t>
      </w:r>
      <w:r>
        <w:rPr>
          <w:sz w:val="28"/>
          <w:szCs w:val="28"/>
        </w:rPr>
        <w:t xml:space="preserve">This does seem to me a valid </w:t>
      </w:r>
      <w:r w:rsidR="00D452F5">
        <w:rPr>
          <w:sz w:val="28"/>
          <w:szCs w:val="28"/>
        </w:rPr>
        <w:t xml:space="preserve">drawback of </w:t>
      </w:r>
      <w:r>
        <w:rPr>
          <w:sz w:val="28"/>
          <w:szCs w:val="28"/>
        </w:rPr>
        <w:t>NGDPT</w:t>
      </w:r>
      <w:r w:rsidR="00D452F5">
        <w:rPr>
          <w:sz w:val="28"/>
          <w:szCs w:val="28"/>
        </w:rPr>
        <w:t>, but not in itself a fatal one</w:t>
      </w:r>
      <w:r w:rsidR="00897CEA">
        <w:rPr>
          <w:sz w:val="28"/>
          <w:szCs w:val="28"/>
        </w:rPr>
        <w:t xml:space="preserve"> [since, again, we are not promising to hit the target exactly anyway].</w:t>
      </w:r>
    </w:p>
    <w:p w:rsidR="00F91367" w:rsidRDefault="00F91367" w:rsidP="00A61B91">
      <w:pPr>
        <w:spacing w:line="240" w:lineRule="auto"/>
        <w:rPr>
          <w:rFonts w:cs="Arial"/>
          <w:color w:val="000000"/>
          <w:u w:val="single"/>
          <w:shd w:val="clear" w:color="auto" w:fill="FFFFFF"/>
        </w:rPr>
      </w:pPr>
    </w:p>
    <w:p w:rsidR="00F91367" w:rsidRPr="00933A07" w:rsidRDefault="00DC0355" w:rsidP="00933A07">
      <w:pPr>
        <w:jc w:val="center"/>
        <w:rPr>
          <w:rFonts w:cs="Arial"/>
          <w:b/>
          <w:color w:val="000000"/>
          <w:sz w:val="32"/>
          <w:szCs w:val="32"/>
          <w:shd w:val="clear" w:color="auto" w:fill="FFFFFF"/>
        </w:rPr>
      </w:pPr>
      <w:r w:rsidRPr="00933A07">
        <w:rPr>
          <w:rFonts w:cs="Arial"/>
          <w:b/>
          <w:color w:val="000000"/>
          <w:sz w:val="32"/>
          <w:szCs w:val="32"/>
          <w:shd w:val="clear" w:color="auto" w:fill="FFFFFF"/>
        </w:rPr>
        <w:t>Appendix</w:t>
      </w:r>
    </w:p>
    <w:p w:rsidR="008E49BF" w:rsidRDefault="008E49BF" w:rsidP="008E49BF">
      <w:pPr>
        <w:spacing w:line="240" w:lineRule="auto"/>
        <w:jc w:val="center"/>
        <w:rPr>
          <w:rFonts w:cs="Arial"/>
          <w:color w:val="000000"/>
          <w:u w:val="single"/>
          <w:shd w:val="clear" w:color="auto" w:fill="FFFFFF"/>
        </w:rPr>
      </w:pPr>
      <w:r w:rsidRPr="008E49BF">
        <w:rPr>
          <w:rFonts w:cs="Arial"/>
          <w:noProof/>
          <w:color w:val="000000"/>
          <w:u w:val="single"/>
          <w:shd w:val="clear" w:color="auto" w:fill="FFFFFF"/>
        </w:rPr>
        <w:drawing>
          <wp:inline distT="0" distB="0" distL="0" distR="0" wp14:anchorId="7F3A0A16" wp14:editId="70A1E7D3">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pic:spPr>
                </pic:pic>
              </a:graphicData>
            </a:graphic>
          </wp:inline>
        </w:drawing>
      </w:r>
    </w:p>
    <w:p w:rsidR="00EB2679" w:rsidRDefault="00EB2679" w:rsidP="008E49BF">
      <w:pPr>
        <w:spacing w:line="240" w:lineRule="auto"/>
        <w:jc w:val="center"/>
        <w:rPr>
          <w:rFonts w:cs="Arial"/>
          <w:color w:val="000000"/>
          <w:u w:val="single"/>
          <w:shd w:val="clear" w:color="auto" w:fill="FFFFFF"/>
        </w:rPr>
      </w:pPr>
      <w:r w:rsidRPr="00EB2679">
        <w:rPr>
          <w:rFonts w:cs="Arial"/>
          <w:noProof/>
          <w:color w:val="000000"/>
          <w:u w:val="single"/>
          <w:shd w:val="clear" w:color="auto" w:fill="FFFFFF"/>
        </w:rPr>
        <w:lastRenderedPageBreak/>
        <w:drawing>
          <wp:inline distT="0" distB="0" distL="0" distR="0" wp14:anchorId="2EB43562" wp14:editId="5270CC17">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638" cy="3429479"/>
                    </a:xfrm>
                    <a:prstGeom prst="rect">
                      <a:avLst/>
                    </a:prstGeom>
                  </pic:spPr>
                </pic:pic>
              </a:graphicData>
            </a:graphic>
          </wp:inline>
        </w:drawing>
      </w:r>
    </w:p>
    <w:p w:rsidR="00EB2679" w:rsidRDefault="00EB2679" w:rsidP="008E49BF">
      <w:pPr>
        <w:spacing w:line="240" w:lineRule="auto"/>
        <w:jc w:val="center"/>
        <w:rPr>
          <w:rFonts w:cs="Arial"/>
          <w:color w:val="000000"/>
          <w:u w:val="single"/>
          <w:shd w:val="clear" w:color="auto" w:fill="FFFFFF"/>
        </w:rPr>
      </w:pPr>
      <w:r w:rsidRPr="00EB2679">
        <w:rPr>
          <w:rFonts w:cs="Arial"/>
          <w:noProof/>
          <w:color w:val="000000"/>
          <w:u w:val="single"/>
          <w:shd w:val="clear" w:color="auto" w:fill="FFFFFF"/>
        </w:rPr>
        <w:drawing>
          <wp:inline distT="0" distB="0" distL="0" distR="0" wp14:anchorId="554F5185" wp14:editId="5EF72EB6">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638" cy="3429479"/>
                    </a:xfrm>
                    <a:prstGeom prst="rect">
                      <a:avLst/>
                    </a:prstGeom>
                  </pic:spPr>
                </pic:pic>
              </a:graphicData>
            </a:graphic>
          </wp:inline>
        </w:drawing>
      </w:r>
    </w:p>
    <w:p w:rsidR="00F6325A" w:rsidRDefault="00F6325A" w:rsidP="008E49BF">
      <w:pPr>
        <w:spacing w:line="240" w:lineRule="auto"/>
        <w:jc w:val="center"/>
        <w:rPr>
          <w:rFonts w:cs="Arial"/>
          <w:color w:val="000000"/>
          <w:u w:val="single"/>
          <w:shd w:val="clear" w:color="auto" w:fill="FFFFFF"/>
        </w:rPr>
      </w:pPr>
    </w:p>
    <w:p w:rsidR="00F6325A" w:rsidRDefault="00F6325A" w:rsidP="008E49BF">
      <w:pPr>
        <w:spacing w:line="240" w:lineRule="auto"/>
        <w:jc w:val="center"/>
        <w:rPr>
          <w:rFonts w:cs="Arial"/>
          <w:color w:val="000000"/>
          <w:u w:val="single"/>
          <w:shd w:val="clear" w:color="auto" w:fill="FFFFFF"/>
        </w:rPr>
      </w:pPr>
      <w:r w:rsidRPr="00F6325A">
        <w:rPr>
          <w:rFonts w:cs="Arial"/>
          <w:noProof/>
          <w:color w:val="000000"/>
          <w:u w:val="single"/>
          <w:shd w:val="clear" w:color="auto" w:fill="FFFFFF"/>
        </w:rPr>
        <w:lastRenderedPageBreak/>
        <w:drawing>
          <wp:inline distT="0" distB="0" distL="0" distR="0" wp14:anchorId="4B9D0C4E" wp14:editId="62EDDBAF">
            <wp:extent cx="4572638" cy="3429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72638" cy="3429479"/>
                    </a:xfrm>
                    <a:prstGeom prst="rect">
                      <a:avLst/>
                    </a:prstGeom>
                  </pic:spPr>
                </pic:pic>
              </a:graphicData>
            </a:graphic>
          </wp:inline>
        </w:drawing>
      </w:r>
    </w:p>
    <w:p w:rsidR="00F91367" w:rsidRDefault="00F91367" w:rsidP="00A61B91">
      <w:pPr>
        <w:spacing w:line="240" w:lineRule="auto"/>
        <w:rPr>
          <w:rFonts w:cs="Arial"/>
          <w:color w:val="000000"/>
          <w:u w:val="single"/>
          <w:shd w:val="clear" w:color="auto" w:fill="FFFFFF"/>
        </w:rPr>
      </w:pPr>
    </w:p>
    <w:p w:rsidR="00E248CE" w:rsidRDefault="00E248CE" w:rsidP="00A61B91">
      <w:pPr>
        <w:spacing w:line="240" w:lineRule="auto"/>
        <w:rPr>
          <w:rFonts w:cs="Arial"/>
          <w:color w:val="000000"/>
          <w:u w:val="single"/>
          <w:shd w:val="clear" w:color="auto" w:fill="FFFFFF"/>
        </w:rPr>
      </w:pPr>
      <w:r>
        <w:rPr>
          <w:rFonts w:cs="Arial"/>
          <w:color w:val="000000"/>
          <w:u w:val="single"/>
          <w:shd w:val="clear" w:color="auto" w:fill="FFFFFF"/>
        </w:rPr>
        <w:br/>
      </w:r>
    </w:p>
    <w:p w:rsidR="00A61B91" w:rsidRPr="0005420E" w:rsidRDefault="00A61B91" w:rsidP="00DC0355">
      <w:pPr>
        <w:rPr>
          <w:rFonts w:cs="Arial"/>
          <w:color w:val="000000"/>
          <w:sz w:val="24"/>
          <w:szCs w:val="24"/>
          <w:u w:val="single"/>
          <w:shd w:val="clear" w:color="auto" w:fill="FFFFFF"/>
        </w:rPr>
      </w:pPr>
      <w:r w:rsidRPr="0005420E">
        <w:rPr>
          <w:rFonts w:cs="Arial"/>
          <w:color w:val="000000"/>
          <w:sz w:val="24"/>
          <w:szCs w:val="24"/>
          <w:u w:val="single"/>
          <w:shd w:val="clear" w:color="auto" w:fill="FFFFFF"/>
        </w:rPr>
        <w:t>References</w:t>
      </w:r>
    </w:p>
    <w:p w:rsidR="00986FBF" w:rsidRPr="0005420E" w:rsidRDefault="00791E79" w:rsidP="00A61B91">
      <w:pPr>
        <w:pStyle w:val="NormalWeb"/>
        <w:shd w:val="clear" w:color="auto" w:fill="FFFFFF"/>
        <w:spacing w:before="0" w:beforeAutospacing="0" w:after="0" w:afterAutospacing="0"/>
        <w:textAlignment w:val="baseline"/>
        <w:rPr>
          <w:rFonts w:asciiTheme="minorHAnsi" w:hAnsiTheme="minorHAnsi" w:cs="Arial"/>
          <w:color w:val="000000"/>
        </w:rPr>
      </w:pPr>
      <w:proofErr w:type="spellStart"/>
      <w:r w:rsidRPr="0005420E">
        <w:rPr>
          <w:rFonts w:asciiTheme="minorHAnsi" w:hAnsiTheme="minorHAnsi" w:cs="Arial"/>
          <w:color w:val="000000"/>
        </w:rPr>
        <w:t>Azariadis</w:t>
      </w:r>
      <w:proofErr w:type="spellEnd"/>
      <w:r w:rsidRPr="0005420E">
        <w:rPr>
          <w:rFonts w:asciiTheme="minorHAnsi" w:hAnsiTheme="minorHAnsi" w:cs="Arial"/>
          <w:color w:val="000000"/>
        </w:rPr>
        <w:t xml:space="preserve">, </w:t>
      </w:r>
      <w:r w:rsidRPr="0005420E">
        <w:rPr>
          <w:rFonts w:asciiTheme="minorHAnsi" w:hAnsiTheme="minorHAnsi"/>
        </w:rPr>
        <w:t xml:space="preserve">C, J Bullard, </w:t>
      </w:r>
      <w:proofErr w:type="spellStart"/>
      <w:r w:rsidRPr="0005420E">
        <w:rPr>
          <w:rFonts w:asciiTheme="minorHAnsi" w:hAnsiTheme="minorHAnsi"/>
        </w:rPr>
        <w:t>Aarti</w:t>
      </w:r>
      <w:proofErr w:type="spellEnd"/>
      <w:r w:rsidRPr="0005420E">
        <w:rPr>
          <w:rFonts w:asciiTheme="minorHAnsi" w:hAnsiTheme="minorHAnsi"/>
        </w:rPr>
        <w:t xml:space="preserve"> Singh and </w:t>
      </w:r>
      <w:proofErr w:type="spellStart"/>
      <w:r w:rsidRPr="0005420E">
        <w:rPr>
          <w:rFonts w:asciiTheme="minorHAnsi" w:hAnsiTheme="minorHAnsi"/>
        </w:rPr>
        <w:t>Jacek</w:t>
      </w:r>
      <w:proofErr w:type="spellEnd"/>
      <w:r w:rsidRPr="0005420E">
        <w:rPr>
          <w:rFonts w:asciiTheme="minorHAnsi" w:hAnsiTheme="minorHAnsi"/>
        </w:rPr>
        <w:t xml:space="preserve"> </w:t>
      </w:r>
      <w:proofErr w:type="spellStart"/>
      <w:r w:rsidRPr="0005420E">
        <w:rPr>
          <w:rFonts w:asciiTheme="minorHAnsi" w:hAnsiTheme="minorHAnsi"/>
        </w:rPr>
        <w:t>Suda</w:t>
      </w:r>
      <w:proofErr w:type="spellEnd"/>
      <w:r w:rsidRPr="0005420E">
        <w:rPr>
          <w:rFonts w:asciiTheme="minorHAnsi" w:hAnsiTheme="minorHAnsi"/>
        </w:rPr>
        <w:t>,</w:t>
      </w:r>
      <w:r w:rsidRPr="0005420E">
        <w:t xml:space="preserve"> </w:t>
      </w:r>
      <w:r w:rsidRPr="0005420E">
        <w:rPr>
          <w:rFonts w:asciiTheme="minorHAnsi" w:hAnsiTheme="minorHAnsi" w:cs="Arial"/>
          <w:color w:val="000000"/>
        </w:rPr>
        <w:t>2015 “</w:t>
      </w:r>
      <w:hyperlink r:id="rId21" w:history="1">
        <w:r w:rsidRPr="0005420E">
          <w:rPr>
            <w:rStyle w:val="Hyperlink"/>
            <w:rFonts w:asciiTheme="minorHAnsi" w:hAnsiTheme="minorHAnsi" w:cs="Arial"/>
          </w:rPr>
          <w:t>Op</w:t>
        </w:r>
        <w:r w:rsidRPr="0005420E">
          <w:rPr>
            <w:rStyle w:val="Hyperlink"/>
            <w:rFonts w:asciiTheme="minorHAnsi" w:hAnsiTheme="minorHAnsi" w:cs="Arial"/>
          </w:rPr>
          <w:t>t</w:t>
        </w:r>
        <w:r w:rsidRPr="0005420E">
          <w:rPr>
            <w:rStyle w:val="Hyperlink"/>
            <w:rFonts w:asciiTheme="minorHAnsi" w:hAnsiTheme="minorHAnsi" w:cs="Arial"/>
          </w:rPr>
          <w:t>imal Monetary</w:t>
        </w:r>
        <w:r w:rsidRPr="0005420E">
          <w:rPr>
            <w:rStyle w:val="Hyperlink"/>
            <w:rFonts w:asciiTheme="minorHAnsi" w:hAnsiTheme="minorHAnsi" w:cs="Arial"/>
          </w:rPr>
          <w:t xml:space="preserve"> </w:t>
        </w:r>
        <w:r w:rsidRPr="0005420E">
          <w:rPr>
            <w:rStyle w:val="Hyperlink"/>
            <w:rFonts w:asciiTheme="minorHAnsi" w:hAnsiTheme="minorHAnsi" w:cs="Arial"/>
          </w:rPr>
          <w:t>Policy at the Zero Lower Bound,</w:t>
        </w:r>
      </w:hyperlink>
      <w:r w:rsidRPr="0005420E">
        <w:rPr>
          <w:rFonts w:asciiTheme="minorHAnsi" w:hAnsiTheme="minorHAnsi" w:cs="Arial"/>
          <w:color w:val="000000"/>
        </w:rPr>
        <w:t>”  Federal Reserve Bank of St. Louis.</w:t>
      </w:r>
      <w:r w:rsidRPr="0005420E">
        <w:rPr>
          <w:rFonts w:asciiTheme="minorHAnsi" w:hAnsiTheme="minorHAnsi" w:cs="Arial"/>
          <w:color w:val="000000"/>
        </w:rPr>
        <w:br/>
      </w:r>
      <w:r w:rsidRPr="0005420E">
        <w:rPr>
          <w:rFonts w:asciiTheme="minorHAnsi" w:hAnsiTheme="minorHAnsi" w:cs="Arial"/>
          <w:color w:val="000000"/>
        </w:rPr>
        <w:br/>
      </w:r>
      <w:r w:rsidR="00A61B91" w:rsidRPr="0005420E">
        <w:rPr>
          <w:rFonts w:asciiTheme="minorHAnsi" w:hAnsiTheme="minorHAnsi" w:cs="Arial"/>
          <w:color w:val="000000"/>
        </w:rPr>
        <w:t>Bean, C (1983), “Targeting Nominal Income: An Appraisal”, </w:t>
      </w:r>
      <w:proofErr w:type="gramStart"/>
      <w:r w:rsidR="00A61B91" w:rsidRPr="0005420E">
        <w:rPr>
          <w:rStyle w:val="Emphasis"/>
          <w:rFonts w:asciiTheme="minorHAnsi" w:hAnsiTheme="minorHAnsi" w:cs="Arial"/>
          <w:color w:val="000000"/>
          <w:bdr w:val="none" w:sz="0" w:space="0" w:color="auto" w:frame="1"/>
        </w:rPr>
        <w:t>The</w:t>
      </w:r>
      <w:proofErr w:type="gramEnd"/>
      <w:r w:rsidR="00A61B91" w:rsidRPr="0005420E">
        <w:rPr>
          <w:rStyle w:val="Emphasis"/>
          <w:rFonts w:asciiTheme="minorHAnsi" w:hAnsiTheme="minorHAnsi" w:cs="Arial"/>
          <w:color w:val="000000"/>
          <w:bdr w:val="none" w:sz="0" w:space="0" w:color="auto" w:frame="1"/>
        </w:rPr>
        <w:t xml:space="preserve"> Economic Journal,</w:t>
      </w:r>
      <w:r w:rsidR="00A61B91" w:rsidRPr="0005420E">
        <w:rPr>
          <w:rFonts w:asciiTheme="minorHAnsi" w:hAnsiTheme="minorHAnsi" w:cs="Arial"/>
          <w:color w:val="000000"/>
        </w:rPr>
        <w:t> 93, 806-819.</w:t>
      </w:r>
    </w:p>
    <w:p w:rsidR="0057712E" w:rsidRPr="0005420E" w:rsidRDefault="0057712E" w:rsidP="0057712E">
      <w:pPr>
        <w:pStyle w:val="NormalWeb"/>
        <w:shd w:val="clear" w:color="auto" w:fill="FFFFFF"/>
        <w:spacing w:before="0" w:beforeAutospacing="0" w:after="0" w:afterAutospacing="0"/>
        <w:textAlignment w:val="baseline"/>
        <w:rPr>
          <w:rFonts w:asciiTheme="minorHAnsi" w:hAnsiTheme="minorHAnsi" w:cs="Arial"/>
          <w:color w:val="333333"/>
        </w:rPr>
      </w:pPr>
      <w:r w:rsidRPr="0005420E">
        <w:rPr>
          <w:rFonts w:asciiTheme="minorHAnsi" w:hAnsiTheme="minorHAnsi" w:cs="Arial"/>
          <w:color w:val="000000"/>
        </w:rPr>
        <w:br/>
      </w:r>
      <w:proofErr w:type="spellStart"/>
      <w:r w:rsidRPr="0005420E">
        <w:rPr>
          <w:rFonts w:asciiTheme="minorHAnsi" w:hAnsiTheme="minorHAnsi" w:cs="Arial"/>
          <w:color w:val="000000"/>
        </w:rPr>
        <w:t>Beckworth</w:t>
      </w:r>
      <w:proofErr w:type="spellEnd"/>
      <w:r w:rsidRPr="0005420E">
        <w:rPr>
          <w:rFonts w:asciiTheme="minorHAnsi" w:hAnsiTheme="minorHAnsi" w:cs="Arial"/>
          <w:color w:val="000000"/>
        </w:rPr>
        <w:t xml:space="preserve">, </w:t>
      </w:r>
      <w:proofErr w:type="gramStart"/>
      <w:r w:rsidRPr="0005420E">
        <w:rPr>
          <w:rFonts w:asciiTheme="minorHAnsi" w:hAnsiTheme="minorHAnsi" w:cs="Arial"/>
          <w:color w:val="000000"/>
        </w:rPr>
        <w:t>D  and</w:t>
      </w:r>
      <w:proofErr w:type="gramEnd"/>
      <w:r w:rsidRPr="0005420E">
        <w:rPr>
          <w:rFonts w:asciiTheme="minorHAnsi" w:hAnsiTheme="minorHAnsi" w:cs="Arial"/>
          <w:color w:val="000000"/>
        </w:rPr>
        <w:t xml:space="preserve"> </w:t>
      </w:r>
      <w:r w:rsidRPr="0005420E">
        <w:rPr>
          <w:rFonts w:asciiTheme="minorHAnsi" w:hAnsiTheme="minorHAnsi"/>
        </w:rPr>
        <w:t>J Hendrickson</w:t>
      </w:r>
      <w:r w:rsidRPr="0005420E">
        <w:rPr>
          <w:rFonts w:asciiTheme="minorHAnsi" w:hAnsiTheme="minorHAnsi" w:cs="Arial"/>
          <w:color w:val="000000"/>
        </w:rPr>
        <w:t xml:space="preserve"> (2016) </w:t>
      </w:r>
      <w:r w:rsidRPr="0005420E">
        <w:rPr>
          <w:rFonts w:asciiTheme="minorHAnsi" w:hAnsiTheme="minorHAnsi" w:cs="Arial"/>
          <w:color w:val="333333"/>
        </w:rPr>
        <w:t>“</w:t>
      </w:r>
      <w:hyperlink r:id="rId22" w:history="1">
        <w:r w:rsidRPr="0005420E">
          <w:rPr>
            <w:rStyle w:val="Hyperlink"/>
            <w:rFonts w:asciiTheme="minorHAnsi" w:hAnsiTheme="minorHAnsi" w:cs="Arial"/>
          </w:rPr>
          <w:t>Nominal GDP Targeting and the Taylor Rule on an Even Playing Field</w:t>
        </w:r>
      </w:hyperlink>
      <w:r w:rsidRPr="0005420E">
        <w:rPr>
          <w:rFonts w:asciiTheme="minorHAnsi" w:hAnsiTheme="minorHAnsi" w:cs="Arial"/>
          <w:color w:val="333333"/>
        </w:rPr>
        <w:t xml:space="preserve">” </w:t>
      </w:r>
      <w:hyperlink r:id="rId23" w:history="1">
        <w:proofErr w:type="spellStart"/>
        <w:r w:rsidRPr="0005420E">
          <w:rPr>
            <w:rStyle w:val="Hyperlink"/>
            <w:rFonts w:asciiTheme="minorHAnsi" w:hAnsiTheme="minorHAnsi" w:cs="Arial"/>
          </w:rPr>
          <w:t>Mercatus</w:t>
        </w:r>
        <w:proofErr w:type="spellEnd"/>
        <w:r w:rsidRPr="0005420E">
          <w:rPr>
            <w:rStyle w:val="Hyperlink"/>
            <w:rFonts w:asciiTheme="minorHAnsi" w:hAnsiTheme="minorHAnsi" w:cs="Arial"/>
          </w:rPr>
          <w:t xml:space="preserve"> Working Paper</w:t>
        </w:r>
      </w:hyperlink>
      <w:r w:rsidRPr="0005420E">
        <w:rPr>
          <w:rFonts w:asciiTheme="minorHAnsi" w:hAnsiTheme="minorHAnsi" w:cs="Arial"/>
          <w:color w:val="333333"/>
        </w:rPr>
        <w:t xml:space="preserve">, </w:t>
      </w:r>
      <w:r w:rsidR="00482CEA" w:rsidRPr="0005420E">
        <w:rPr>
          <w:rFonts w:asciiTheme="minorHAnsi" w:hAnsiTheme="minorHAnsi" w:cs="Arial"/>
          <w:color w:val="333333"/>
        </w:rPr>
        <w:t>Oc</w:t>
      </w:r>
      <w:r w:rsidRPr="0005420E">
        <w:rPr>
          <w:rFonts w:asciiTheme="minorHAnsi" w:hAnsiTheme="minorHAnsi" w:cs="Arial"/>
          <w:color w:val="333333"/>
        </w:rPr>
        <w:t>t.</w:t>
      </w:r>
      <w:r w:rsidR="003A404E" w:rsidRPr="0005420E">
        <w:rPr>
          <w:rFonts w:asciiTheme="minorHAnsi" w:hAnsiTheme="minorHAnsi" w:cs="Arial"/>
          <w:color w:val="333333"/>
        </w:rPr>
        <w:br/>
      </w:r>
    </w:p>
    <w:p w:rsidR="003A404E" w:rsidRPr="0005420E" w:rsidRDefault="003A404E" w:rsidP="0057712E">
      <w:pPr>
        <w:pStyle w:val="NormalWeb"/>
        <w:shd w:val="clear" w:color="auto" w:fill="FFFFFF"/>
        <w:spacing w:before="0" w:beforeAutospacing="0" w:after="0" w:afterAutospacing="0"/>
        <w:textAlignment w:val="baseline"/>
        <w:rPr>
          <w:rFonts w:asciiTheme="minorHAnsi" w:hAnsiTheme="minorHAnsi" w:cs="Arial"/>
          <w:color w:val="333333"/>
        </w:rPr>
      </w:pPr>
      <w:r w:rsidRPr="0005420E">
        <w:rPr>
          <w:rFonts w:asciiTheme="minorHAnsi" w:hAnsiTheme="minorHAnsi" w:cs="Tahoma"/>
          <w:color w:val="000000"/>
        </w:rPr>
        <w:t xml:space="preserve">Bernanke, B and F </w:t>
      </w:r>
      <w:proofErr w:type="spellStart"/>
      <w:r w:rsidRPr="0005420E">
        <w:rPr>
          <w:rFonts w:asciiTheme="minorHAnsi" w:hAnsiTheme="minorHAnsi" w:cs="Tahoma"/>
          <w:color w:val="000000"/>
        </w:rPr>
        <w:t>Mishkin</w:t>
      </w:r>
      <w:proofErr w:type="spellEnd"/>
      <w:r w:rsidRPr="0005420E">
        <w:rPr>
          <w:rFonts w:asciiTheme="minorHAnsi" w:hAnsiTheme="minorHAnsi" w:cs="Tahoma"/>
          <w:color w:val="000000"/>
        </w:rPr>
        <w:t xml:space="preserve"> (1997) "</w:t>
      </w:r>
      <w:r w:rsidRPr="0005420E">
        <w:rPr>
          <w:rFonts w:asciiTheme="minorHAnsi" w:hAnsiTheme="minorHAnsi" w:cs="Tahoma"/>
        </w:rPr>
        <w:t>Inflation Targeting: A New Framework For Monetary Policy</w:t>
      </w:r>
      <w:proofErr w:type="gramStart"/>
      <w:r w:rsidRPr="0005420E">
        <w:rPr>
          <w:rFonts w:asciiTheme="minorHAnsi" w:hAnsiTheme="minorHAnsi" w:cs="Tahoma"/>
        </w:rPr>
        <w:t>?,</w:t>
      </w:r>
      <w:proofErr w:type="gramEnd"/>
      <w:r w:rsidRPr="0005420E">
        <w:rPr>
          <w:rFonts w:asciiTheme="minorHAnsi" w:hAnsiTheme="minorHAnsi" w:cs="Tahoma"/>
          <w:color w:val="000000"/>
        </w:rPr>
        <w:t xml:space="preserve">" </w:t>
      </w:r>
      <w:r w:rsidRPr="0005420E">
        <w:rPr>
          <w:rFonts w:asciiTheme="minorHAnsi" w:hAnsiTheme="minorHAnsi" w:cs="Tahoma"/>
          <w:i/>
          <w:color w:val="000000"/>
        </w:rPr>
        <w:t>Journal of Economic Perspectives</w:t>
      </w:r>
      <w:r w:rsidRPr="0005420E">
        <w:rPr>
          <w:rFonts w:asciiTheme="minorHAnsi" w:hAnsiTheme="minorHAnsi" w:cs="Tahoma"/>
          <w:color w:val="000000"/>
        </w:rPr>
        <w:t>, v11(2,Spring), 97-116</w:t>
      </w:r>
      <w:r w:rsidR="00066CAE" w:rsidRPr="0005420E">
        <w:rPr>
          <w:rFonts w:asciiTheme="minorHAnsi" w:hAnsiTheme="minorHAnsi" w:cs="Tahoma"/>
          <w:color w:val="000000"/>
        </w:rPr>
        <w:t>.</w:t>
      </w:r>
    </w:p>
    <w:p w:rsidR="00986FBF" w:rsidRPr="0005420E" w:rsidRDefault="00986FBF" w:rsidP="00A61B91">
      <w:pPr>
        <w:pStyle w:val="NormalWeb"/>
        <w:shd w:val="clear" w:color="auto" w:fill="FFFFFF"/>
        <w:spacing w:before="0" w:beforeAutospacing="0" w:after="0" w:afterAutospacing="0"/>
        <w:textAlignment w:val="baseline"/>
        <w:rPr>
          <w:rFonts w:asciiTheme="minorHAnsi" w:hAnsiTheme="minorHAnsi" w:cs="Arial"/>
          <w:color w:val="000000"/>
        </w:rPr>
      </w:pPr>
    </w:p>
    <w:p w:rsidR="00CB175B" w:rsidRPr="0005420E" w:rsidRDefault="00986FBF" w:rsidP="00A61B91">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Theme="minorHAnsi" w:hAnsiTheme="minorHAnsi" w:cs="Arial"/>
          <w:color w:val="1E1E1E"/>
          <w:shd w:val="clear" w:color="auto" w:fill="FFFFFF"/>
        </w:rPr>
        <w:t>Bhandari</w:t>
      </w:r>
      <w:r w:rsidR="004846BA" w:rsidRPr="0005420E">
        <w:rPr>
          <w:rFonts w:asciiTheme="minorHAnsi" w:hAnsiTheme="minorHAnsi" w:cs="Arial"/>
          <w:color w:val="1E1E1E"/>
          <w:shd w:val="clear" w:color="auto" w:fill="FFFFFF"/>
        </w:rPr>
        <w:t>, P</w:t>
      </w:r>
      <w:r w:rsidR="00B13964" w:rsidRPr="0005420E">
        <w:rPr>
          <w:rFonts w:asciiTheme="minorHAnsi" w:hAnsiTheme="minorHAnsi" w:cs="Arial"/>
          <w:color w:val="1E1E1E"/>
          <w:shd w:val="clear" w:color="auto" w:fill="FFFFFF"/>
        </w:rPr>
        <w:t xml:space="preserve"> </w:t>
      </w:r>
      <w:r w:rsidRPr="0005420E">
        <w:rPr>
          <w:rFonts w:asciiTheme="minorHAnsi" w:hAnsiTheme="minorHAnsi" w:cs="Arial"/>
          <w:color w:val="1E1E1E"/>
          <w:shd w:val="clear" w:color="auto" w:fill="FFFFFF"/>
        </w:rPr>
        <w:t>and J Frankel, 2017, “</w:t>
      </w:r>
      <w:hyperlink r:id="rId24" w:history="1">
        <w:r w:rsidRPr="0005420E">
          <w:rPr>
            <w:rStyle w:val="Hyperlink"/>
            <w:rFonts w:asciiTheme="minorHAnsi" w:hAnsiTheme="minorHAnsi" w:cs="Arial"/>
            <w:color w:val="215990"/>
            <w:shd w:val="clear" w:color="auto" w:fill="FFFFFF"/>
          </w:rPr>
          <w:t>Nominal GDP Targeting for Developing Countries</w:t>
        </w:r>
      </w:hyperlink>
      <w:r w:rsidRPr="0005420E">
        <w:rPr>
          <w:rFonts w:asciiTheme="minorHAnsi" w:hAnsiTheme="minorHAnsi" w:cs="Arial"/>
          <w:color w:val="1E1E1E"/>
          <w:shd w:val="clear" w:color="auto" w:fill="FFFFFF"/>
        </w:rPr>
        <w:t>,” [</w:t>
      </w:r>
      <w:hyperlink r:id="rId25" w:history="1">
        <w:r w:rsidRPr="0005420E">
          <w:rPr>
            <w:rStyle w:val="Hyperlink"/>
            <w:rFonts w:asciiTheme="minorHAnsi" w:hAnsiTheme="minorHAnsi" w:cs="Arial"/>
            <w:color w:val="215990"/>
            <w:shd w:val="clear" w:color="auto" w:fill="FFFFFF"/>
          </w:rPr>
          <w:t>word</w:t>
        </w:r>
      </w:hyperlink>
      <w:r w:rsidRPr="0005420E">
        <w:rPr>
          <w:rFonts w:asciiTheme="minorHAnsi" w:hAnsiTheme="minorHAnsi" w:cs="Arial"/>
          <w:color w:val="1E1E1E"/>
          <w:shd w:val="clear" w:color="auto" w:fill="FFFFFF"/>
        </w:rPr>
        <w:t>] </w:t>
      </w:r>
      <w:r w:rsidRPr="0005420E">
        <w:rPr>
          <w:rStyle w:val="Emphasis"/>
          <w:rFonts w:asciiTheme="minorHAnsi" w:hAnsiTheme="minorHAnsi" w:cs="Arial"/>
          <w:color w:val="1E1E1E"/>
          <w:shd w:val="clear" w:color="auto" w:fill="FFFFFF"/>
        </w:rPr>
        <w:t>Research in Economics</w:t>
      </w:r>
      <w:r w:rsidR="00B13964" w:rsidRPr="0005420E">
        <w:rPr>
          <w:rStyle w:val="Emphasis"/>
          <w:rFonts w:asciiTheme="minorHAnsi" w:hAnsiTheme="minorHAnsi" w:cs="Arial"/>
          <w:color w:val="1E1E1E"/>
          <w:shd w:val="clear" w:color="auto" w:fill="FFFFFF"/>
        </w:rPr>
        <w:t xml:space="preserve"> </w:t>
      </w:r>
      <w:r w:rsidRPr="0005420E">
        <w:rPr>
          <w:rFonts w:asciiTheme="minorHAnsi" w:hAnsiTheme="minorHAnsi" w:cs="Arial"/>
          <w:color w:val="1E1E1E"/>
          <w:shd w:val="clear" w:color="auto" w:fill="FFFFFF"/>
        </w:rPr>
        <w:t>(</w:t>
      </w:r>
      <w:hyperlink r:id="rId26" w:tooltip="published in Research in Economics" w:history="1">
        <w:r w:rsidRPr="0005420E">
          <w:rPr>
            <w:rStyle w:val="Hyperlink"/>
            <w:rFonts w:asciiTheme="minorHAnsi" w:hAnsiTheme="minorHAnsi" w:cs="Arial"/>
            <w:color w:val="215990"/>
            <w:shd w:val="clear" w:color="auto" w:fill="FFFFFF"/>
          </w:rPr>
          <w:t>Elsevier</w:t>
        </w:r>
      </w:hyperlink>
      <w:r w:rsidRPr="0005420E">
        <w:rPr>
          <w:rFonts w:asciiTheme="minorHAnsi" w:hAnsiTheme="minorHAnsi" w:cs="Arial"/>
          <w:color w:val="1E1E1E"/>
          <w:shd w:val="clear" w:color="auto" w:fill="FFFFFF"/>
        </w:rPr>
        <w:t xml:space="preserve">), vol.71, issue 3 (Elsevier), September, </w:t>
      </w:r>
      <w:hyperlink r:id="rId27" w:history="1">
        <w:r w:rsidRPr="0005420E">
          <w:rPr>
            <w:rStyle w:val="Hyperlink"/>
            <w:rFonts w:asciiTheme="minorHAnsi" w:hAnsiTheme="minorHAnsi" w:cs="Arial"/>
            <w:shd w:val="clear" w:color="auto" w:fill="FFFFFF"/>
          </w:rPr>
          <w:t>pp. 491-506</w:t>
        </w:r>
      </w:hyperlink>
      <w:r w:rsidRPr="0005420E">
        <w:rPr>
          <w:rFonts w:asciiTheme="minorHAnsi" w:hAnsiTheme="minorHAnsi" w:cs="Arial"/>
          <w:color w:val="1E1E1E"/>
          <w:shd w:val="clear" w:color="auto" w:fill="FFFFFF"/>
        </w:rPr>
        <w:t>.   </w:t>
      </w:r>
      <w:hyperlink r:id="rId28" w:tooltip="Bhandari &amp; Frankel" w:history="1">
        <w:proofErr w:type="gramStart"/>
        <w:r w:rsidRPr="0005420E">
          <w:rPr>
            <w:rStyle w:val="Hyperlink"/>
            <w:rFonts w:asciiTheme="minorHAnsi" w:hAnsiTheme="minorHAnsi" w:cs="Arial"/>
            <w:color w:val="215990"/>
            <w:shd w:val="clear" w:color="auto" w:fill="FFFFFF"/>
          </w:rPr>
          <w:t>NBER WP 20898</w:t>
        </w:r>
      </w:hyperlink>
      <w:r w:rsidRPr="0005420E">
        <w:rPr>
          <w:rFonts w:asciiTheme="minorHAnsi" w:hAnsiTheme="minorHAnsi" w:cs="Arial"/>
          <w:color w:val="1E1E1E"/>
          <w:shd w:val="clear" w:color="auto" w:fill="FFFFFF"/>
        </w:rPr>
        <w:t>.</w:t>
      </w:r>
      <w:proofErr w:type="gramEnd"/>
      <w:r w:rsidRPr="0005420E">
        <w:rPr>
          <w:rFonts w:ascii="Arial" w:hAnsi="Arial" w:cs="Arial"/>
          <w:color w:val="1E1E1E"/>
          <w:shd w:val="clear" w:color="auto" w:fill="FFFFFF"/>
        </w:rPr>
        <w:t> </w:t>
      </w:r>
      <w:r w:rsidR="00CB175B" w:rsidRPr="0005420E">
        <w:rPr>
          <w:rFonts w:asciiTheme="minorHAnsi" w:hAnsiTheme="minorHAnsi" w:cs="Arial"/>
          <w:color w:val="000000"/>
        </w:rPr>
        <w:br/>
      </w:r>
    </w:p>
    <w:p w:rsidR="00A61B91" w:rsidRPr="0005420E" w:rsidRDefault="00CB175B" w:rsidP="00A61B91">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Theme="minorHAnsi" w:hAnsiTheme="minorHAnsi" w:cs="Arial"/>
          <w:color w:val="000000"/>
        </w:rPr>
        <w:t xml:space="preserve">Feldstein, M and J Stock (1994), “The Use of a Monetary Aggregate to Target Nominal GDP” in N Gregory </w:t>
      </w:r>
      <w:proofErr w:type="spellStart"/>
      <w:r w:rsidRPr="0005420E">
        <w:rPr>
          <w:rFonts w:asciiTheme="minorHAnsi" w:hAnsiTheme="minorHAnsi" w:cs="Arial"/>
          <w:color w:val="000000"/>
        </w:rPr>
        <w:t>Mankiw</w:t>
      </w:r>
      <w:proofErr w:type="spellEnd"/>
      <w:r w:rsidRPr="0005420E">
        <w:rPr>
          <w:rFonts w:asciiTheme="minorHAnsi" w:hAnsiTheme="minorHAnsi" w:cs="Arial"/>
          <w:color w:val="000000"/>
        </w:rPr>
        <w:t xml:space="preserve"> (ed.) </w:t>
      </w:r>
      <w:r w:rsidRPr="0005420E">
        <w:rPr>
          <w:rStyle w:val="Emphasis"/>
          <w:rFonts w:asciiTheme="minorHAnsi" w:hAnsiTheme="minorHAnsi" w:cs="Arial"/>
          <w:color w:val="000000"/>
          <w:bdr w:val="none" w:sz="0" w:space="0" w:color="auto" w:frame="1"/>
        </w:rPr>
        <w:t>Monetary Policy</w:t>
      </w:r>
      <w:r w:rsidRPr="0005420E">
        <w:rPr>
          <w:rFonts w:asciiTheme="minorHAnsi" w:hAnsiTheme="minorHAnsi" w:cs="Arial"/>
          <w:color w:val="000000"/>
        </w:rPr>
        <w:t>, NBER, University of Chicago Press).</w:t>
      </w:r>
      <w:r w:rsidRPr="0005420E">
        <w:rPr>
          <w:rFonts w:asciiTheme="minorHAnsi" w:hAnsiTheme="minorHAnsi" w:cs="Arial"/>
          <w:color w:val="000000"/>
        </w:rPr>
        <w:br/>
      </w:r>
    </w:p>
    <w:p w:rsidR="00A61B91" w:rsidRPr="0005420E" w:rsidRDefault="00A61B91" w:rsidP="00A61B91">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Theme="minorHAnsi" w:hAnsiTheme="minorHAnsi" w:cs="Arial"/>
          <w:color w:val="000000"/>
        </w:rPr>
        <w:lastRenderedPageBreak/>
        <w:t>Frankel, J (1995), "</w:t>
      </w:r>
      <w:hyperlink r:id="rId29" w:tgtFrame="_blank" w:history="1">
        <w:r w:rsidRPr="0005420E">
          <w:rPr>
            <w:rStyle w:val="Hyperlink"/>
            <w:rFonts w:asciiTheme="minorHAnsi" w:hAnsiTheme="minorHAnsi" w:cs="Arial"/>
            <w:color w:val="085A92"/>
            <w:bdr w:val="none" w:sz="0" w:space="0" w:color="auto" w:frame="1"/>
          </w:rPr>
          <w:t>The Stabilizing Properties of a Nominal GNP Rule,</w:t>
        </w:r>
      </w:hyperlink>
      <w:r w:rsidRPr="0005420E">
        <w:rPr>
          <w:rFonts w:asciiTheme="minorHAnsi" w:hAnsiTheme="minorHAnsi" w:cs="Arial"/>
          <w:color w:val="000000"/>
        </w:rPr>
        <w:t>" </w:t>
      </w:r>
      <w:r w:rsidRPr="0005420E">
        <w:rPr>
          <w:rStyle w:val="Emphasis"/>
          <w:rFonts w:asciiTheme="minorHAnsi" w:hAnsiTheme="minorHAnsi" w:cs="Arial"/>
          <w:color w:val="000000"/>
          <w:bdr w:val="none" w:sz="0" w:space="0" w:color="auto" w:frame="1"/>
        </w:rPr>
        <w:t>Journal of Money, Credit and Banking</w:t>
      </w:r>
      <w:r w:rsidRPr="0005420E">
        <w:rPr>
          <w:rFonts w:asciiTheme="minorHAnsi" w:hAnsiTheme="minorHAnsi" w:cs="Arial"/>
          <w:color w:val="000000"/>
        </w:rPr>
        <w:t> 27, 2, May, 318-334.</w:t>
      </w:r>
      <w:r w:rsidR="00CB175B" w:rsidRPr="0005420E">
        <w:rPr>
          <w:rFonts w:asciiTheme="minorHAnsi" w:hAnsiTheme="minorHAnsi" w:cs="Arial"/>
          <w:color w:val="000000"/>
        </w:rPr>
        <w:br/>
      </w:r>
    </w:p>
    <w:p w:rsidR="004B1197" w:rsidRPr="0005420E" w:rsidRDefault="00B13964" w:rsidP="00A61B91">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Theme="minorHAnsi" w:hAnsiTheme="minorHAnsi" w:cs="Arial"/>
          <w:color w:val="000000"/>
        </w:rPr>
        <w:t>--</w:t>
      </w:r>
      <w:r w:rsidR="00A61B91" w:rsidRPr="0005420E">
        <w:rPr>
          <w:rFonts w:asciiTheme="minorHAnsi" w:hAnsiTheme="minorHAnsi" w:cs="Arial"/>
          <w:color w:val="000000"/>
        </w:rPr>
        <w:t xml:space="preserve"> (2012</w:t>
      </w:r>
      <w:r w:rsidRPr="0005420E">
        <w:rPr>
          <w:rFonts w:asciiTheme="minorHAnsi" w:hAnsiTheme="minorHAnsi" w:cs="Arial"/>
          <w:color w:val="000000"/>
        </w:rPr>
        <w:t>a</w:t>
      </w:r>
      <w:r w:rsidR="00A61B91" w:rsidRPr="0005420E">
        <w:rPr>
          <w:rFonts w:asciiTheme="minorHAnsi" w:hAnsiTheme="minorHAnsi" w:cs="Arial"/>
          <w:color w:val="000000"/>
        </w:rPr>
        <w:t>), “</w:t>
      </w:r>
      <w:hyperlink r:id="rId30" w:tgtFrame="_blank" w:history="1">
        <w:r w:rsidR="00A61B91" w:rsidRPr="0005420E">
          <w:rPr>
            <w:rStyle w:val="Hyperlink"/>
            <w:rFonts w:asciiTheme="minorHAnsi" w:hAnsiTheme="minorHAnsi" w:cs="Arial"/>
            <w:color w:val="085A92"/>
            <w:bdr w:val="none" w:sz="0" w:space="0" w:color="auto" w:frame="1"/>
          </w:rPr>
          <w:t xml:space="preserve">Inflation Targeting is </w:t>
        </w:r>
        <w:proofErr w:type="gramStart"/>
        <w:r w:rsidR="00A61B91" w:rsidRPr="0005420E">
          <w:rPr>
            <w:rStyle w:val="Hyperlink"/>
            <w:rFonts w:asciiTheme="minorHAnsi" w:hAnsiTheme="minorHAnsi" w:cs="Arial"/>
            <w:color w:val="085A92"/>
            <w:bdr w:val="none" w:sz="0" w:space="0" w:color="auto" w:frame="1"/>
          </w:rPr>
          <w:t>Dead</w:t>
        </w:r>
        <w:proofErr w:type="gramEnd"/>
        <w:r w:rsidR="00A61B91" w:rsidRPr="0005420E">
          <w:rPr>
            <w:rStyle w:val="Hyperlink"/>
            <w:rFonts w:asciiTheme="minorHAnsi" w:hAnsiTheme="minorHAnsi" w:cs="Arial"/>
            <w:color w:val="085A92"/>
            <w:bdr w:val="none" w:sz="0" w:space="0" w:color="auto" w:frame="1"/>
          </w:rPr>
          <w:t xml:space="preserve">. </w:t>
        </w:r>
        <w:proofErr w:type="gramStart"/>
        <w:r w:rsidR="00A61B91" w:rsidRPr="0005420E">
          <w:rPr>
            <w:rStyle w:val="Hyperlink"/>
            <w:rFonts w:asciiTheme="minorHAnsi" w:hAnsiTheme="minorHAnsi" w:cs="Arial"/>
            <w:color w:val="085A92"/>
            <w:bdr w:val="none" w:sz="0" w:space="0" w:color="auto" w:frame="1"/>
          </w:rPr>
          <w:t>Long Live Nominal GDP Targeting</w:t>
        </w:r>
      </w:hyperlink>
      <w:r w:rsidR="00A61B91" w:rsidRPr="0005420E">
        <w:rPr>
          <w:rFonts w:asciiTheme="minorHAnsi" w:hAnsiTheme="minorHAnsi" w:cs="Arial"/>
          <w:color w:val="000000"/>
        </w:rPr>
        <w:t xml:space="preserve">,” </w:t>
      </w:r>
      <w:r w:rsidR="004846BA" w:rsidRPr="0005420E">
        <w:rPr>
          <w:rFonts w:asciiTheme="minorHAnsi" w:hAnsiTheme="minorHAnsi" w:cs="Arial"/>
          <w:i/>
          <w:color w:val="000000"/>
        </w:rPr>
        <w:t>VoxEU</w:t>
      </w:r>
      <w:r w:rsidR="004846BA" w:rsidRPr="0005420E">
        <w:rPr>
          <w:rFonts w:asciiTheme="minorHAnsi" w:hAnsiTheme="minorHAnsi" w:cs="Arial"/>
          <w:color w:val="000000"/>
        </w:rPr>
        <w:t xml:space="preserve">, </w:t>
      </w:r>
      <w:r w:rsidR="00A61B91" w:rsidRPr="0005420E">
        <w:rPr>
          <w:rFonts w:asciiTheme="minorHAnsi" w:hAnsiTheme="minorHAnsi" w:cs="Arial"/>
          <w:color w:val="000000"/>
        </w:rPr>
        <w:t>June</w:t>
      </w:r>
      <w:r w:rsidR="004846BA" w:rsidRPr="0005420E">
        <w:rPr>
          <w:rFonts w:asciiTheme="minorHAnsi" w:hAnsiTheme="minorHAnsi" w:cs="Arial"/>
          <w:color w:val="000000"/>
        </w:rPr>
        <w:t xml:space="preserve"> 19</w:t>
      </w:r>
      <w:r w:rsidR="00A61B91" w:rsidRPr="0005420E">
        <w:rPr>
          <w:rFonts w:asciiTheme="minorHAnsi" w:hAnsiTheme="minorHAnsi" w:cs="Arial"/>
          <w:color w:val="000000"/>
        </w:rPr>
        <w:t>.</w:t>
      </w:r>
      <w:proofErr w:type="gramEnd"/>
    </w:p>
    <w:p w:rsidR="00B13964" w:rsidRPr="0005420E" w:rsidRDefault="004B1197" w:rsidP="00A61B91">
      <w:pPr>
        <w:pStyle w:val="NormalWeb"/>
        <w:shd w:val="clear" w:color="auto" w:fill="FFFFFF"/>
        <w:spacing w:before="0" w:beforeAutospacing="0" w:after="0" w:afterAutospacing="0"/>
        <w:textAlignment w:val="baseline"/>
        <w:rPr>
          <w:rFonts w:asciiTheme="minorHAnsi" w:hAnsiTheme="minorHAnsi"/>
          <w:color w:val="1E1E1E"/>
          <w:shd w:val="clear" w:color="auto" w:fill="FFFFFF"/>
        </w:rPr>
      </w:pPr>
      <w:r w:rsidRPr="0005420E">
        <w:rPr>
          <w:rFonts w:asciiTheme="minorHAnsi" w:hAnsiTheme="minorHAnsi"/>
          <w:color w:val="1E1E1E"/>
          <w:shd w:val="clear" w:color="auto" w:fill="FFFFFF"/>
        </w:rPr>
        <w:br/>
        <w:t xml:space="preserve">-- </w:t>
      </w:r>
      <w:r w:rsidR="00B13964" w:rsidRPr="0005420E">
        <w:rPr>
          <w:rFonts w:asciiTheme="minorHAnsi" w:hAnsiTheme="minorHAnsi"/>
          <w:color w:val="1E1E1E"/>
          <w:shd w:val="clear" w:color="auto" w:fill="FFFFFF"/>
        </w:rPr>
        <w:t xml:space="preserve">(2012b) </w:t>
      </w:r>
      <w:r w:rsidRPr="0005420E">
        <w:rPr>
          <w:rFonts w:asciiTheme="minorHAnsi" w:hAnsiTheme="minorHAnsi"/>
          <w:color w:val="1E1E1E"/>
          <w:shd w:val="clear" w:color="auto" w:fill="FFFFFF"/>
        </w:rPr>
        <w:t>“</w:t>
      </w:r>
      <w:hyperlink r:id="rId31" w:history="1">
        <w:r w:rsidRPr="0005420E">
          <w:rPr>
            <w:rStyle w:val="Hyperlink"/>
            <w:rFonts w:asciiTheme="minorHAnsi" w:hAnsiTheme="minorHAnsi"/>
            <w:color w:val="215990"/>
            <w:shd w:val="clear" w:color="auto" w:fill="FFFFFF"/>
          </w:rPr>
          <w:t>Central banks can phase in nominal GDP targets without damaging the inflation anchor</w:t>
        </w:r>
      </w:hyperlink>
      <w:r w:rsidRPr="0005420E">
        <w:rPr>
          <w:rFonts w:asciiTheme="minorHAnsi" w:hAnsiTheme="minorHAnsi"/>
          <w:color w:val="1E1E1E"/>
          <w:shd w:val="clear" w:color="auto" w:fill="FFFFFF"/>
        </w:rPr>
        <w:t>” </w:t>
      </w:r>
      <w:hyperlink r:id="rId32" w:history="1">
        <w:r w:rsidRPr="0005420E">
          <w:rPr>
            <w:rStyle w:val="Hyperlink"/>
            <w:rFonts w:asciiTheme="minorHAnsi" w:hAnsiTheme="minorHAnsi"/>
            <w:i/>
            <w:iCs/>
            <w:color w:val="215990"/>
            <w:shd w:val="clear" w:color="auto" w:fill="FFFFFF"/>
          </w:rPr>
          <w:t>VoxEU</w:t>
        </w:r>
      </w:hyperlink>
      <w:r w:rsidR="004846BA" w:rsidRPr="0005420E">
        <w:rPr>
          <w:rFonts w:asciiTheme="minorHAnsi" w:hAnsiTheme="minorHAnsi"/>
          <w:color w:val="1E1E1E"/>
          <w:shd w:val="clear" w:color="auto" w:fill="FFFFFF"/>
        </w:rPr>
        <w:t>, Dec. 19</w:t>
      </w:r>
      <w:r w:rsidRPr="0005420E">
        <w:rPr>
          <w:rFonts w:asciiTheme="minorHAnsi" w:hAnsiTheme="minorHAnsi"/>
          <w:color w:val="1E1E1E"/>
          <w:shd w:val="clear" w:color="auto" w:fill="FFFFFF"/>
        </w:rPr>
        <w:t>.  </w:t>
      </w:r>
    </w:p>
    <w:p w:rsidR="00B13964" w:rsidRPr="0005420E" w:rsidRDefault="00B13964" w:rsidP="00A61B91">
      <w:pPr>
        <w:pStyle w:val="NormalWeb"/>
        <w:shd w:val="clear" w:color="auto" w:fill="FFFFFF"/>
        <w:spacing w:before="0" w:beforeAutospacing="0" w:after="0" w:afterAutospacing="0"/>
        <w:textAlignment w:val="baseline"/>
        <w:rPr>
          <w:rFonts w:asciiTheme="minorHAnsi" w:hAnsiTheme="minorHAnsi"/>
          <w:color w:val="1E1E1E"/>
          <w:shd w:val="clear" w:color="auto" w:fill="FFFFFF"/>
        </w:rPr>
      </w:pPr>
    </w:p>
    <w:p w:rsidR="00A61B91" w:rsidRPr="0005420E" w:rsidRDefault="00B13964" w:rsidP="00A61B91">
      <w:pPr>
        <w:pStyle w:val="NormalWeb"/>
        <w:shd w:val="clear" w:color="auto" w:fill="FFFFFF"/>
        <w:spacing w:before="0" w:beforeAutospacing="0" w:after="0" w:afterAutospacing="0"/>
        <w:textAlignment w:val="baseline"/>
        <w:rPr>
          <w:rFonts w:ascii="Arial" w:hAnsi="Arial" w:cs="Arial"/>
          <w:color w:val="1E1E1E"/>
          <w:shd w:val="clear" w:color="auto" w:fill="FFFFFF"/>
        </w:rPr>
      </w:pPr>
      <w:r w:rsidRPr="0005420E">
        <w:rPr>
          <w:rFonts w:asciiTheme="minorHAnsi" w:hAnsiTheme="minorHAnsi" w:cs="Arial"/>
          <w:color w:val="1E1E1E"/>
          <w:shd w:val="clear" w:color="auto" w:fill="FFFFFF"/>
        </w:rPr>
        <w:t>-- (2014</w:t>
      </w:r>
      <w:proofErr w:type="gramStart"/>
      <w:r w:rsidRPr="0005420E">
        <w:rPr>
          <w:rFonts w:asciiTheme="minorHAnsi" w:hAnsiTheme="minorHAnsi" w:cs="Arial"/>
          <w:color w:val="1E1E1E"/>
          <w:shd w:val="clear" w:color="auto" w:fill="FFFFFF"/>
        </w:rPr>
        <w:t>)  "</w:t>
      </w:r>
      <w:proofErr w:type="gramEnd"/>
      <w:r w:rsidRPr="0005420E">
        <w:rPr>
          <w:rFonts w:asciiTheme="minorHAnsi" w:hAnsiTheme="minorHAnsi" w:cs="Arial"/>
          <w:color w:val="1E1E1E"/>
          <w:shd w:val="clear" w:color="auto" w:fill="FFFFFF"/>
        </w:rPr>
        <w:fldChar w:fldCharType="begin"/>
      </w:r>
      <w:r w:rsidRPr="0005420E">
        <w:rPr>
          <w:rFonts w:asciiTheme="minorHAnsi" w:hAnsiTheme="minorHAnsi" w:cs="Arial"/>
          <w:color w:val="1E1E1E"/>
          <w:shd w:val="clear" w:color="auto" w:fill="FFFFFF"/>
        </w:rPr>
        <w:instrText xml:space="preserve"> HYPERLINK "http://hks.harvard.edu/fs/jfrankel/NGDPtargtMidIncomeCsCBRT.docx" </w:instrText>
      </w:r>
      <w:r w:rsidRPr="0005420E">
        <w:rPr>
          <w:rFonts w:asciiTheme="minorHAnsi" w:hAnsiTheme="minorHAnsi" w:cs="Arial"/>
          <w:color w:val="1E1E1E"/>
          <w:shd w:val="clear" w:color="auto" w:fill="FFFFFF"/>
        </w:rPr>
        <w:fldChar w:fldCharType="separate"/>
      </w:r>
      <w:r w:rsidRPr="0005420E">
        <w:rPr>
          <w:rStyle w:val="Hyperlink"/>
          <w:rFonts w:asciiTheme="minorHAnsi" w:hAnsiTheme="minorHAnsi" w:cs="Arial"/>
          <w:color w:val="215990"/>
          <w:shd w:val="clear" w:color="auto" w:fill="FFFFFF"/>
        </w:rPr>
        <w:t>Nominal GDP Targeting for Middle-Income Countries</w:t>
      </w:r>
      <w:r w:rsidRPr="0005420E">
        <w:rPr>
          <w:rFonts w:asciiTheme="minorHAnsi" w:hAnsiTheme="minorHAnsi" w:cs="Arial"/>
          <w:color w:val="1E1E1E"/>
          <w:shd w:val="clear" w:color="auto" w:fill="FFFFFF"/>
        </w:rPr>
        <w:fldChar w:fldCharType="end"/>
      </w:r>
      <w:r w:rsidRPr="0005420E">
        <w:rPr>
          <w:rFonts w:asciiTheme="minorHAnsi" w:hAnsiTheme="minorHAnsi" w:cs="Arial"/>
          <w:color w:val="1E1E1E"/>
          <w:shd w:val="clear" w:color="auto" w:fill="FFFFFF"/>
        </w:rPr>
        <w:t>," </w:t>
      </w:r>
      <w:r w:rsidRPr="0005420E">
        <w:rPr>
          <w:rStyle w:val="Emphasis"/>
          <w:rFonts w:asciiTheme="minorHAnsi" w:hAnsiTheme="minorHAnsi" w:cs="Arial"/>
          <w:color w:val="1E1E1E"/>
          <w:shd w:val="clear" w:color="auto" w:fill="FFFFFF"/>
        </w:rPr>
        <w:t>Central Bank Review</w:t>
      </w:r>
      <w:hyperlink r:id="rId33" w:history="1">
        <w:r w:rsidRPr="0005420E">
          <w:rPr>
            <w:rStyle w:val="Hyperlink"/>
            <w:rFonts w:asciiTheme="minorHAnsi" w:hAnsiTheme="minorHAnsi" w:cs="Arial"/>
            <w:shd w:val="clear" w:color="auto" w:fill="FFFFFF"/>
          </w:rPr>
          <w:t>, vol.14, no.3, September</w:t>
        </w:r>
      </w:hyperlink>
      <w:r w:rsidRPr="0005420E">
        <w:rPr>
          <w:rFonts w:asciiTheme="minorHAnsi" w:hAnsiTheme="minorHAnsi" w:cs="Arial"/>
          <w:color w:val="1E1E1E"/>
          <w:shd w:val="clear" w:color="auto" w:fill="FFFFFF"/>
        </w:rPr>
        <w:t xml:space="preserve"> (Central Bank of the Republic of Turkey), pp.1-14.  HKS </w:t>
      </w:r>
      <w:hyperlink r:id="rId34" w:history="1">
        <w:r w:rsidRPr="0005420E">
          <w:rPr>
            <w:rStyle w:val="Hyperlink"/>
            <w:rFonts w:asciiTheme="minorHAnsi" w:hAnsiTheme="minorHAnsi" w:cs="Arial"/>
            <w:color w:val="215990"/>
            <w:shd w:val="clear" w:color="auto" w:fill="FFFFFF"/>
          </w:rPr>
          <w:t>RWP</w:t>
        </w:r>
      </w:hyperlink>
      <w:r w:rsidRPr="0005420E">
        <w:rPr>
          <w:rFonts w:asciiTheme="minorHAnsi" w:hAnsiTheme="minorHAnsi" w:cs="Arial"/>
          <w:color w:val="1E1E1E"/>
          <w:shd w:val="clear" w:color="auto" w:fill="FFFFFF"/>
        </w:rPr>
        <w:t> </w:t>
      </w:r>
      <w:hyperlink r:id="rId35" w:history="1">
        <w:r w:rsidRPr="0005420E">
          <w:rPr>
            <w:rStyle w:val="Hyperlink"/>
            <w:rFonts w:asciiTheme="minorHAnsi" w:hAnsiTheme="minorHAnsi" w:cs="Arial"/>
            <w:color w:val="215990"/>
            <w:shd w:val="clear" w:color="auto" w:fill="FFFFFF"/>
          </w:rPr>
          <w:t>14-033</w:t>
        </w:r>
      </w:hyperlink>
      <w:r w:rsidR="003A404E" w:rsidRPr="0005420E">
        <w:rPr>
          <w:rFonts w:asciiTheme="minorHAnsi" w:hAnsiTheme="minorHAnsi" w:cs="Arial"/>
          <w:color w:val="1E1E1E"/>
          <w:shd w:val="clear" w:color="auto" w:fill="FFFFFF"/>
        </w:rPr>
        <w:t>.</w:t>
      </w:r>
      <w:r w:rsidR="004B1197" w:rsidRPr="0005420E">
        <w:rPr>
          <w:rFonts w:asciiTheme="minorHAnsi" w:hAnsiTheme="minorHAnsi"/>
          <w:color w:val="1E1E1E"/>
          <w:shd w:val="clear" w:color="auto" w:fill="FFFFFF"/>
        </w:rPr>
        <w:br/>
      </w:r>
      <w:r w:rsidR="004B1197" w:rsidRPr="0005420E">
        <w:rPr>
          <w:rFonts w:asciiTheme="minorHAnsi" w:hAnsiTheme="minorHAnsi"/>
          <w:color w:val="1E1E1E"/>
        </w:rPr>
        <w:br/>
      </w:r>
      <w:r w:rsidR="00A61B91" w:rsidRPr="0005420E">
        <w:rPr>
          <w:rFonts w:asciiTheme="minorHAnsi" w:hAnsiTheme="minorHAnsi" w:cs="Arial"/>
          <w:color w:val="000000"/>
        </w:rPr>
        <w:t xml:space="preserve">Hall, R E and N G </w:t>
      </w:r>
      <w:proofErr w:type="spellStart"/>
      <w:r w:rsidR="00A61B91" w:rsidRPr="0005420E">
        <w:rPr>
          <w:rFonts w:asciiTheme="minorHAnsi" w:hAnsiTheme="minorHAnsi" w:cs="Arial"/>
          <w:color w:val="000000"/>
        </w:rPr>
        <w:t>Mankiw</w:t>
      </w:r>
      <w:proofErr w:type="spellEnd"/>
      <w:r w:rsidR="00A61B91" w:rsidRPr="0005420E">
        <w:rPr>
          <w:rFonts w:asciiTheme="minorHAnsi" w:hAnsiTheme="minorHAnsi" w:cs="Arial"/>
          <w:color w:val="000000"/>
        </w:rPr>
        <w:t xml:space="preserve"> (1994), “Nominal Income Targeting”, in N Gregory </w:t>
      </w:r>
      <w:proofErr w:type="spellStart"/>
      <w:r w:rsidR="00A61B91" w:rsidRPr="0005420E">
        <w:rPr>
          <w:rFonts w:asciiTheme="minorHAnsi" w:hAnsiTheme="minorHAnsi" w:cs="Arial"/>
          <w:color w:val="000000"/>
        </w:rPr>
        <w:t>Mankiw</w:t>
      </w:r>
      <w:proofErr w:type="spellEnd"/>
      <w:r w:rsidR="00A61B91" w:rsidRPr="0005420E">
        <w:rPr>
          <w:rFonts w:asciiTheme="minorHAnsi" w:hAnsiTheme="minorHAnsi" w:cs="Arial"/>
          <w:color w:val="000000"/>
        </w:rPr>
        <w:t>, ed., </w:t>
      </w:r>
      <w:r w:rsidR="00A61B91" w:rsidRPr="0005420E">
        <w:rPr>
          <w:rStyle w:val="Emphasis"/>
          <w:rFonts w:asciiTheme="minorHAnsi" w:hAnsiTheme="minorHAnsi" w:cs="Arial"/>
          <w:color w:val="000000"/>
          <w:bdr w:val="none" w:sz="0" w:space="0" w:color="auto" w:frame="1"/>
        </w:rPr>
        <w:t>Monetary Policy</w:t>
      </w:r>
      <w:r w:rsidR="00A61B91" w:rsidRPr="0005420E">
        <w:rPr>
          <w:rFonts w:asciiTheme="minorHAnsi" w:hAnsiTheme="minorHAnsi" w:cs="Arial"/>
          <w:color w:val="000000"/>
        </w:rPr>
        <w:t>, (University of Chicago Press), 71-93.</w:t>
      </w:r>
    </w:p>
    <w:p w:rsidR="00A61B91" w:rsidRPr="0005420E" w:rsidRDefault="00A61B91" w:rsidP="00A61B91">
      <w:pPr>
        <w:pStyle w:val="NormalWeb"/>
        <w:shd w:val="clear" w:color="auto" w:fill="FFFFFF"/>
        <w:spacing w:before="240" w:beforeAutospacing="0" w:after="240" w:afterAutospacing="0"/>
        <w:textAlignment w:val="baseline"/>
        <w:rPr>
          <w:rFonts w:asciiTheme="minorHAnsi" w:hAnsiTheme="minorHAnsi" w:cs="Arial"/>
          <w:color w:val="000000"/>
        </w:rPr>
      </w:pPr>
      <w:proofErr w:type="spellStart"/>
      <w:proofErr w:type="gramStart"/>
      <w:r w:rsidRPr="0005420E">
        <w:rPr>
          <w:rFonts w:asciiTheme="minorHAnsi" w:hAnsiTheme="minorHAnsi" w:cs="Arial"/>
          <w:color w:val="000000"/>
        </w:rPr>
        <w:t>Hatzius</w:t>
      </w:r>
      <w:proofErr w:type="spellEnd"/>
      <w:r w:rsidRPr="0005420E">
        <w:rPr>
          <w:rFonts w:asciiTheme="minorHAnsi" w:hAnsiTheme="minorHAnsi" w:cs="Arial"/>
          <w:color w:val="000000"/>
        </w:rPr>
        <w:t>, J (2011), “The Case for a Nominal GDP Level Target,” US Economics Analyst, issue 11/41, Goldman Sachs, Oct.</w:t>
      </w:r>
      <w:proofErr w:type="gramEnd"/>
    </w:p>
    <w:p w:rsidR="00B9406D" w:rsidRPr="0005420E" w:rsidRDefault="00B9406D" w:rsidP="00A61B91">
      <w:pPr>
        <w:pStyle w:val="NormalWeb"/>
        <w:shd w:val="clear" w:color="auto" w:fill="FFFFFF"/>
        <w:spacing w:before="240" w:beforeAutospacing="0" w:after="240" w:afterAutospacing="0"/>
        <w:textAlignment w:val="baseline"/>
        <w:rPr>
          <w:rFonts w:asciiTheme="minorHAnsi" w:hAnsiTheme="minorHAnsi" w:cs="Arial"/>
          <w:color w:val="000000"/>
        </w:rPr>
      </w:pPr>
      <w:r w:rsidRPr="0005420E">
        <w:rPr>
          <w:rFonts w:asciiTheme="minorHAnsi" w:hAnsiTheme="minorHAnsi"/>
        </w:rPr>
        <w:t>Koenig, E, 2013</w:t>
      </w:r>
      <w:proofErr w:type="gramStart"/>
      <w:r w:rsidRPr="0005420E">
        <w:rPr>
          <w:rFonts w:asciiTheme="minorHAnsi" w:hAnsiTheme="minorHAnsi"/>
        </w:rPr>
        <w:t>,“</w:t>
      </w:r>
      <w:proofErr w:type="gramEnd"/>
      <w:r w:rsidRPr="0005420E">
        <w:rPr>
          <w:rFonts w:asciiTheme="minorHAnsi" w:hAnsiTheme="minorHAnsi"/>
        </w:rPr>
        <w:fldChar w:fldCharType="begin"/>
      </w:r>
      <w:r w:rsidRPr="0005420E">
        <w:rPr>
          <w:rFonts w:asciiTheme="minorHAnsi" w:hAnsiTheme="minorHAnsi"/>
        </w:rPr>
        <w:instrText xml:space="preserve"> HYPERLINK "http://citeseerx.ist.psu.edu/viewdoc/download?doi=10.1.1.362.3591&amp;rep=rep1&amp;type=pdf" </w:instrText>
      </w:r>
      <w:r w:rsidRPr="0005420E">
        <w:rPr>
          <w:rFonts w:asciiTheme="minorHAnsi" w:hAnsiTheme="minorHAnsi"/>
        </w:rPr>
      </w:r>
      <w:r w:rsidRPr="0005420E">
        <w:rPr>
          <w:rFonts w:asciiTheme="minorHAnsi" w:hAnsiTheme="minorHAnsi"/>
        </w:rPr>
        <w:fldChar w:fldCharType="separate"/>
      </w:r>
      <w:r w:rsidRPr="0005420E">
        <w:rPr>
          <w:rStyle w:val="Hyperlink"/>
          <w:rFonts w:asciiTheme="minorHAnsi" w:hAnsiTheme="minorHAnsi"/>
        </w:rPr>
        <w:t xml:space="preserve">Like a Good Neighbor: Monetary Policy, Financial Stability, and the </w:t>
      </w:r>
      <w:r w:rsidRPr="0005420E">
        <w:rPr>
          <w:rStyle w:val="Hyperlink"/>
          <w:rFonts w:asciiTheme="minorHAnsi" w:hAnsiTheme="minorHAnsi"/>
        </w:rPr>
        <w:t>D</w:t>
      </w:r>
      <w:r w:rsidRPr="0005420E">
        <w:rPr>
          <w:rStyle w:val="Hyperlink"/>
          <w:rFonts w:asciiTheme="minorHAnsi" w:hAnsiTheme="minorHAnsi"/>
        </w:rPr>
        <w:t>istribution of Risk,</w:t>
      </w:r>
      <w:r w:rsidRPr="0005420E">
        <w:rPr>
          <w:rStyle w:val="Hyperlink"/>
          <w:rFonts w:asciiTheme="minorHAnsi" w:hAnsiTheme="minorHAnsi" w:cs="Cambria Math"/>
        </w:rPr>
        <w:t>”</w:t>
      </w:r>
      <w:r w:rsidRPr="0005420E">
        <w:rPr>
          <w:rFonts w:asciiTheme="minorHAnsi" w:hAnsiTheme="minorHAnsi"/>
        </w:rPr>
        <w:fldChar w:fldCharType="end"/>
      </w:r>
      <w:r w:rsidRPr="0005420E">
        <w:rPr>
          <w:rFonts w:asciiTheme="minorHAnsi" w:hAnsiTheme="minorHAnsi" w:cs="Cambria Math"/>
        </w:rPr>
        <w:t xml:space="preserve"> </w:t>
      </w:r>
      <w:r w:rsidRPr="0005420E">
        <w:rPr>
          <w:rFonts w:asciiTheme="minorHAnsi" w:hAnsiTheme="minorHAnsi"/>
          <w:i/>
        </w:rPr>
        <w:t>International Jour</w:t>
      </w:r>
      <w:r w:rsidRPr="0005420E">
        <w:rPr>
          <w:rFonts w:asciiTheme="minorHAnsi" w:hAnsiTheme="minorHAnsi"/>
          <w:i/>
        </w:rPr>
        <w:t>nal of Central Banking</w:t>
      </w:r>
      <w:r w:rsidRPr="0005420E">
        <w:rPr>
          <w:rFonts w:asciiTheme="minorHAnsi" w:hAnsiTheme="minorHAnsi"/>
        </w:rPr>
        <w:t>, June, 57-82.</w:t>
      </w:r>
    </w:p>
    <w:p w:rsidR="00F91367" w:rsidRPr="0005420E" w:rsidRDefault="00F91367" w:rsidP="00A61B91">
      <w:pPr>
        <w:pStyle w:val="NormalWeb"/>
        <w:shd w:val="clear" w:color="auto" w:fill="FFFFFF"/>
        <w:spacing w:before="240" w:beforeAutospacing="0" w:after="240" w:afterAutospacing="0"/>
        <w:textAlignment w:val="baseline"/>
        <w:rPr>
          <w:rFonts w:asciiTheme="minorHAnsi" w:hAnsiTheme="minorHAnsi" w:cs="Arial"/>
          <w:color w:val="000000"/>
        </w:rPr>
      </w:pPr>
      <w:proofErr w:type="gramStart"/>
      <w:r w:rsidRPr="0005420E">
        <w:rPr>
          <w:rFonts w:asciiTheme="minorHAnsi" w:hAnsiTheme="minorHAnsi" w:cs="Arial"/>
          <w:color w:val="000000"/>
          <w:shd w:val="clear" w:color="auto" w:fill="FFFFFF"/>
        </w:rPr>
        <w:t>Krugman, P (2011), “</w:t>
      </w:r>
      <w:hyperlink r:id="rId36" w:tgtFrame="_blank" w:history="1">
        <w:r w:rsidRPr="0005420E">
          <w:rPr>
            <w:rStyle w:val="Hyperlink"/>
            <w:rFonts w:asciiTheme="minorHAnsi" w:hAnsiTheme="minorHAnsi" w:cs="Arial"/>
            <w:color w:val="085A92"/>
            <w:bdr w:val="none" w:sz="0" w:space="0" w:color="auto" w:frame="1"/>
            <w:shd w:val="clear" w:color="auto" w:fill="FFFFFF"/>
          </w:rPr>
          <w:t xml:space="preserve">A Volcker Moment Indeed (Slightly </w:t>
        </w:r>
        <w:proofErr w:type="spellStart"/>
        <w:r w:rsidRPr="0005420E">
          <w:rPr>
            <w:rStyle w:val="Hyperlink"/>
            <w:rFonts w:asciiTheme="minorHAnsi" w:hAnsiTheme="minorHAnsi" w:cs="Arial"/>
            <w:color w:val="085A92"/>
            <w:bdr w:val="none" w:sz="0" w:space="0" w:color="auto" w:frame="1"/>
            <w:shd w:val="clear" w:color="auto" w:fill="FFFFFF"/>
          </w:rPr>
          <w:t>Wonkish</w:t>
        </w:r>
        <w:proofErr w:type="spellEnd"/>
        <w:r w:rsidRPr="0005420E">
          <w:rPr>
            <w:rStyle w:val="Hyperlink"/>
            <w:rFonts w:asciiTheme="minorHAnsi" w:hAnsiTheme="minorHAnsi" w:cs="Arial"/>
            <w:color w:val="085A92"/>
            <w:bdr w:val="none" w:sz="0" w:space="0" w:color="auto" w:frame="1"/>
            <w:shd w:val="clear" w:color="auto" w:fill="FFFFFF"/>
          </w:rPr>
          <w:t>)</w:t>
        </w:r>
      </w:hyperlink>
      <w:r w:rsidRPr="0005420E">
        <w:rPr>
          <w:rFonts w:asciiTheme="minorHAnsi" w:hAnsiTheme="minorHAnsi" w:cs="Arial"/>
          <w:color w:val="000000"/>
          <w:shd w:val="clear" w:color="auto" w:fill="FFFFFF"/>
        </w:rPr>
        <w:t>,” blog, 30 October.</w:t>
      </w:r>
      <w:proofErr w:type="gramEnd"/>
    </w:p>
    <w:p w:rsidR="00A61B91" w:rsidRPr="0005420E" w:rsidRDefault="00A61B91" w:rsidP="00A61B91">
      <w:pPr>
        <w:pStyle w:val="NormalWeb"/>
        <w:shd w:val="clear" w:color="auto" w:fill="FFFFFF"/>
        <w:spacing w:before="0" w:beforeAutospacing="0" w:after="0" w:afterAutospacing="0"/>
        <w:textAlignment w:val="baseline"/>
        <w:rPr>
          <w:rFonts w:asciiTheme="minorHAnsi" w:hAnsiTheme="minorHAnsi" w:cs="Arial"/>
          <w:color w:val="000000"/>
        </w:rPr>
      </w:pPr>
      <w:proofErr w:type="gramStart"/>
      <w:r w:rsidRPr="0005420E">
        <w:rPr>
          <w:rFonts w:asciiTheme="minorHAnsi" w:hAnsiTheme="minorHAnsi" w:cs="Arial"/>
          <w:color w:val="000000"/>
        </w:rPr>
        <w:t>McCallum, B T and E Nelson (1998), “Nominal Income Targeting in an Open-Economy Optimizing Model,” </w:t>
      </w:r>
      <w:r w:rsidRPr="0005420E">
        <w:rPr>
          <w:rStyle w:val="Emphasis"/>
          <w:rFonts w:asciiTheme="minorHAnsi" w:hAnsiTheme="minorHAnsi" w:cs="Arial"/>
          <w:color w:val="000000"/>
          <w:bdr w:val="none" w:sz="0" w:space="0" w:color="auto" w:frame="1"/>
        </w:rPr>
        <w:t>Journal of Monetary Economics</w:t>
      </w:r>
      <w:r w:rsidRPr="0005420E">
        <w:rPr>
          <w:rFonts w:asciiTheme="minorHAnsi" w:hAnsiTheme="minorHAnsi" w:cs="Arial"/>
          <w:color w:val="000000"/>
        </w:rPr>
        <w:t>, 43(3), 553-578.</w:t>
      </w:r>
      <w:proofErr w:type="gramEnd"/>
      <w:r w:rsidR="00F91367" w:rsidRPr="0005420E">
        <w:rPr>
          <w:rFonts w:asciiTheme="minorHAnsi" w:hAnsiTheme="minorHAnsi" w:cs="Arial"/>
          <w:color w:val="000000"/>
        </w:rPr>
        <w:br/>
      </w:r>
    </w:p>
    <w:p w:rsidR="00A61B91" w:rsidRPr="0005420E" w:rsidRDefault="00A61B91" w:rsidP="00A61B91">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Theme="minorHAnsi" w:hAnsiTheme="minorHAnsi" w:cs="Arial"/>
          <w:color w:val="000000"/>
        </w:rPr>
        <w:t>Meade, J (1978), “The Meaning of Internal Balance”, </w:t>
      </w:r>
      <w:proofErr w:type="gramStart"/>
      <w:r w:rsidRPr="0005420E">
        <w:rPr>
          <w:rStyle w:val="Emphasis"/>
          <w:rFonts w:asciiTheme="minorHAnsi" w:hAnsiTheme="minorHAnsi" w:cs="Arial"/>
          <w:color w:val="000000"/>
          <w:bdr w:val="none" w:sz="0" w:space="0" w:color="auto" w:frame="1"/>
        </w:rPr>
        <w:t>The</w:t>
      </w:r>
      <w:proofErr w:type="gramEnd"/>
      <w:r w:rsidRPr="0005420E">
        <w:rPr>
          <w:rStyle w:val="Emphasis"/>
          <w:rFonts w:asciiTheme="minorHAnsi" w:hAnsiTheme="minorHAnsi" w:cs="Arial"/>
          <w:color w:val="000000"/>
          <w:bdr w:val="none" w:sz="0" w:space="0" w:color="auto" w:frame="1"/>
        </w:rPr>
        <w:t xml:space="preserve"> Economic Journal</w:t>
      </w:r>
      <w:r w:rsidRPr="0005420E">
        <w:rPr>
          <w:rFonts w:asciiTheme="minorHAnsi" w:hAnsiTheme="minorHAnsi" w:cs="Arial"/>
          <w:color w:val="000000"/>
        </w:rPr>
        <w:t>, 88, 423-435.</w:t>
      </w:r>
    </w:p>
    <w:p w:rsidR="00F91367" w:rsidRPr="0005420E" w:rsidRDefault="00F91367" w:rsidP="00F91367">
      <w:pPr>
        <w:pStyle w:val="NormalWeb"/>
        <w:shd w:val="clear" w:color="auto" w:fill="FFFFFF"/>
        <w:spacing w:before="0" w:beforeAutospacing="0" w:after="0" w:afterAutospacing="0"/>
        <w:textAlignment w:val="baseline"/>
        <w:rPr>
          <w:rFonts w:asciiTheme="minorHAnsi" w:hAnsiTheme="minorHAnsi" w:cs="Arial"/>
          <w:color w:val="000000"/>
        </w:rPr>
      </w:pPr>
      <w:r w:rsidRPr="0005420E">
        <w:rPr>
          <w:rFonts w:ascii="Arial" w:hAnsi="Arial" w:cs="Arial"/>
          <w:color w:val="000000"/>
        </w:rPr>
        <w:br/>
      </w:r>
      <w:r w:rsidRPr="0005420E">
        <w:rPr>
          <w:rFonts w:asciiTheme="minorHAnsi" w:hAnsiTheme="minorHAnsi" w:cs="Arial"/>
          <w:color w:val="000000"/>
        </w:rPr>
        <w:t>Romer, C (2011), “</w:t>
      </w:r>
      <w:hyperlink r:id="rId37" w:tgtFrame="_blank" w:history="1">
        <w:r w:rsidRPr="0005420E">
          <w:rPr>
            <w:rStyle w:val="Hyperlink"/>
            <w:rFonts w:asciiTheme="minorHAnsi" w:hAnsiTheme="minorHAnsi" w:cs="Arial"/>
            <w:color w:val="085A92"/>
            <w:u w:val="none"/>
            <w:bdr w:val="none" w:sz="0" w:space="0" w:color="auto" w:frame="1"/>
          </w:rPr>
          <w:t>Dear Ben: It’s Time for Your Volcker Moment</w:t>
        </w:r>
      </w:hyperlink>
      <w:r w:rsidRPr="0005420E">
        <w:rPr>
          <w:rFonts w:asciiTheme="minorHAnsi" w:hAnsiTheme="minorHAnsi" w:cs="Arial"/>
          <w:color w:val="000000"/>
        </w:rPr>
        <w:t>,” </w:t>
      </w:r>
      <w:r w:rsidRPr="0005420E">
        <w:rPr>
          <w:rStyle w:val="Emphasis"/>
          <w:rFonts w:asciiTheme="minorHAnsi" w:hAnsiTheme="minorHAnsi" w:cs="Arial"/>
          <w:color w:val="000000"/>
          <w:bdr w:val="none" w:sz="0" w:space="0" w:color="auto" w:frame="1"/>
        </w:rPr>
        <w:t>The New York Times</w:t>
      </w:r>
      <w:r w:rsidRPr="0005420E">
        <w:rPr>
          <w:rFonts w:asciiTheme="minorHAnsi" w:hAnsiTheme="minorHAnsi" w:cs="Arial"/>
          <w:color w:val="000000"/>
        </w:rPr>
        <w:t>, 29 October.</w:t>
      </w:r>
    </w:p>
    <w:p w:rsidR="00B9406D" w:rsidRPr="0005420E" w:rsidRDefault="00B9406D" w:rsidP="00F91367">
      <w:pPr>
        <w:pStyle w:val="NormalWeb"/>
        <w:shd w:val="clear" w:color="auto" w:fill="FFFFFF"/>
        <w:spacing w:before="0" w:beforeAutospacing="0" w:after="0" w:afterAutospacing="0"/>
        <w:textAlignment w:val="baseline"/>
        <w:rPr>
          <w:rFonts w:asciiTheme="minorHAnsi" w:hAnsiTheme="minorHAnsi" w:cs="Arial"/>
          <w:color w:val="000000"/>
        </w:rPr>
      </w:pPr>
    </w:p>
    <w:p w:rsidR="00B9406D" w:rsidRPr="0005420E" w:rsidRDefault="00B9406D" w:rsidP="00F91367">
      <w:pPr>
        <w:pStyle w:val="NormalWeb"/>
        <w:shd w:val="clear" w:color="auto" w:fill="FFFFFF"/>
        <w:spacing w:before="0" w:beforeAutospacing="0" w:after="0" w:afterAutospacing="0"/>
        <w:textAlignment w:val="baseline"/>
        <w:rPr>
          <w:rFonts w:asciiTheme="minorHAnsi" w:hAnsiTheme="minorHAnsi" w:cs="Arial"/>
          <w:color w:val="000000"/>
        </w:rPr>
      </w:pPr>
      <w:proofErr w:type="spellStart"/>
      <w:r w:rsidRPr="0005420E">
        <w:rPr>
          <w:rFonts w:asciiTheme="minorHAnsi" w:hAnsiTheme="minorHAnsi" w:cs="Arial"/>
          <w:color w:val="000000"/>
        </w:rPr>
        <w:t>Sheedy</w:t>
      </w:r>
      <w:proofErr w:type="spellEnd"/>
      <w:r w:rsidRPr="0005420E">
        <w:rPr>
          <w:rFonts w:asciiTheme="minorHAnsi" w:hAnsiTheme="minorHAnsi" w:cs="Arial"/>
          <w:color w:val="000000"/>
        </w:rPr>
        <w:t>, Kev</w:t>
      </w:r>
      <w:r w:rsidR="006E3420" w:rsidRPr="0005420E">
        <w:rPr>
          <w:rFonts w:asciiTheme="minorHAnsi" w:hAnsiTheme="minorHAnsi" w:cs="Arial"/>
          <w:color w:val="000000"/>
        </w:rPr>
        <w:t>i</w:t>
      </w:r>
      <w:r w:rsidRPr="0005420E">
        <w:rPr>
          <w:rFonts w:asciiTheme="minorHAnsi" w:hAnsiTheme="minorHAnsi" w:cs="Arial"/>
          <w:color w:val="000000"/>
        </w:rPr>
        <w:t>n</w:t>
      </w:r>
      <w:r w:rsidR="006E3420" w:rsidRPr="0005420E">
        <w:rPr>
          <w:rFonts w:asciiTheme="minorHAnsi" w:hAnsiTheme="minorHAnsi" w:cs="Arial"/>
          <w:color w:val="000000"/>
        </w:rPr>
        <w:t xml:space="preserve"> (2014)</w:t>
      </w:r>
      <w:proofErr w:type="gramStart"/>
      <w:r w:rsidR="006E3420" w:rsidRPr="0005420E">
        <w:rPr>
          <w:rFonts w:asciiTheme="minorHAnsi" w:hAnsiTheme="minorHAnsi" w:cs="Arial"/>
          <w:color w:val="000000"/>
        </w:rPr>
        <w:t>,</w:t>
      </w:r>
      <w:r w:rsidRPr="0005420E">
        <w:rPr>
          <w:rFonts w:asciiTheme="minorHAnsi" w:hAnsiTheme="minorHAnsi" w:cs="Arial"/>
          <w:color w:val="000000"/>
        </w:rPr>
        <w:t xml:space="preserve"> </w:t>
      </w:r>
      <w:r w:rsidR="006E3420" w:rsidRPr="0005420E">
        <w:rPr>
          <w:rFonts w:asciiTheme="minorHAnsi" w:hAnsiTheme="minorHAnsi" w:cs="Arial"/>
          <w:color w:val="000000"/>
        </w:rPr>
        <w:t xml:space="preserve"> “</w:t>
      </w:r>
      <w:proofErr w:type="gramEnd"/>
      <w:r w:rsidRPr="0005420E">
        <w:rPr>
          <w:rFonts w:asciiTheme="minorHAnsi" w:hAnsiTheme="minorHAnsi"/>
        </w:rPr>
        <w:t>Debt and Incomplete Financial Markets: A Case for Nominal GDP Targeting</w:t>
      </w:r>
      <w:r w:rsidR="006E3420" w:rsidRPr="0005420E">
        <w:rPr>
          <w:rFonts w:asciiTheme="minorHAnsi" w:hAnsiTheme="minorHAnsi"/>
        </w:rPr>
        <w:t xml:space="preserve">,”  </w:t>
      </w:r>
      <w:r w:rsidR="006E3420" w:rsidRPr="0005420E">
        <w:rPr>
          <w:rFonts w:asciiTheme="minorHAnsi" w:hAnsiTheme="minorHAnsi"/>
          <w:i/>
        </w:rPr>
        <w:t>Brookings Papers o</w:t>
      </w:r>
      <w:r w:rsidR="006E3420" w:rsidRPr="0005420E">
        <w:rPr>
          <w:rFonts w:asciiTheme="minorHAnsi" w:hAnsiTheme="minorHAnsi"/>
          <w:i/>
        </w:rPr>
        <w:t>n Economic Activity</w:t>
      </w:r>
      <w:r w:rsidR="006E3420" w:rsidRPr="0005420E">
        <w:rPr>
          <w:rFonts w:asciiTheme="minorHAnsi" w:hAnsiTheme="minorHAnsi"/>
        </w:rPr>
        <w:t>, Spring.</w:t>
      </w:r>
    </w:p>
    <w:p w:rsidR="00482CEA" w:rsidRPr="0005420E" w:rsidRDefault="00482CEA" w:rsidP="00F91367">
      <w:pPr>
        <w:pStyle w:val="NormalWeb"/>
        <w:shd w:val="clear" w:color="auto" w:fill="FFFFFF"/>
        <w:spacing w:before="0" w:beforeAutospacing="0" w:after="0" w:afterAutospacing="0"/>
        <w:textAlignment w:val="baseline"/>
        <w:rPr>
          <w:rFonts w:asciiTheme="minorHAnsi" w:hAnsiTheme="minorHAnsi" w:cs="Arial"/>
          <w:i/>
        </w:rPr>
      </w:pPr>
      <w:r w:rsidRPr="0005420E">
        <w:rPr>
          <w:rFonts w:asciiTheme="minorHAnsi" w:hAnsiTheme="minorHAnsi" w:cs="Arial"/>
          <w:color w:val="000000"/>
        </w:rPr>
        <w:br/>
      </w:r>
      <w:r w:rsidRPr="0005420E">
        <w:rPr>
          <w:rFonts w:asciiTheme="minorHAnsi" w:hAnsiTheme="minorHAnsi" w:cs="Arial"/>
        </w:rPr>
        <w:t xml:space="preserve">Sumner, S (2014) </w:t>
      </w:r>
      <w:r w:rsidR="004846BA" w:rsidRPr="0005420E">
        <w:rPr>
          <w:rFonts w:asciiTheme="minorHAnsi" w:hAnsiTheme="minorHAnsi" w:cs="Arial"/>
        </w:rPr>
        <w:t>“</w:t>
      </w:r>
      <w:hyperlink r:id="rId38" w:history="1">
        <w:r w:rsidRPr="0005420E">
          <w:rPr>
            <w:rStyle w:val="Hyperlink"/>
            <w:rFonts w:asciiTheme="minorHAnsi" w:hAnsiTheme="minorHAnsi" w:cs="Arial"/>
            <w:bCs/>
            <w:color w:val="244061" w:themeColor="accent1" w:themeShade="80"/>
          </w:rPr>
          <w:t>Nominal GDP Targeting: A Simple Rule to Improve Fed Performance</w:t>
        </w:r>
      </w:hyperlink>
      <w:r w:rsidR="004846BA" w:rsidRPr="0005420E">
        <w:rPr>
          <w:rStyle w:val="Hyperlink"/>
          <w:rFonts w:asciiTheme="minorHAnsi" w:hAnsiTheme="minorHAnsi" w:cs="Arial"/>
          <w:bCs/>
          <w:color w:val="244061" w:themeColor="accent1" w:themeShade="80"/>
        </w:rPr>
        <w:t>,</w:t>
      </w:r>
      <w:proofErr w:type="gramStart"/>
      <w:r w:rsidR="004846BA" w:rsidRPr="0005420E">
        <w:rPr>
          <w:rStyle w:val="Hyperlink"/>
          <w:rFonts w:asciiTheme="minorHAnsi" w:hAnsiTheme="minorHAnsi" w:cs="Arial"/>
          <w:bCs/>
          <w:color w:val="244061" w:themeColor="accent1" w:themeShade="80"/>
        </w:rPr>
        <w:t xml:space="preserve">” </w:t>
      </w:r>
      <w:r w:rsidRPr="0005420E">
        <w:rPr>
          <w:rFonts w:asciiTheme="minorHAnsi" w:hAnsiTheme="minorHAnsi" w:cs="Arial"/>
          <w:bCs/>
          <w:color w:val="244061" w:themeColor="accent1" w:themeShade="80"/>
        </w:rPr>
        <w:t xml:space="preserve"> </w:t>
      </w:r>
      <w:r w:rsidRPr="0005420E">
        <w:rPr>
          <w:rFonts w:asciiTheme="minorHAnsi" w:hAnsiTheme="minorHAnsi" w:cs="Arial"/>
          <w:i/>
        </w:rPr>
        <w:t>Cato</w:t>
      </w:r>
      <w:proofErr w:type="gramEnd"/>
      <w:r w:rsidRPr="0005420E">
        <w:rPr>
          <w:rFonts w:asciiTheme="minorHAnsi" w:hAnsiTheme="minorHAnsi" w:cs="Arial"/>
          <w:i/>
        </w:rPr>
        <w:t xml:space="preserve"> Journal</w:t>
      </w:r>
      <w:r w:rsidR="00A20701" w:rsidRPr="0005420E">
        <w:rPr>
          <w:rFonts w:asciiTheme="minorHAnsi" w:hAnsiTheme="minorHAnsi" w:cs="Arial"/>
          <w:i/>
        </w:rPr>
        <w:t>.</w:t>
      </w:r>
    </w:p>
    <w:p w:rsidR="00A20701" w:rsidRPr="0005420E" w:rsidRDefault="00A20701" w:rsidP="00F91367">
      <w:pPr>
        <w:pStyle w:val="NormalWeb"/>
        <w:shd w:val="clear" w:color="auto" w:fill="FFFFFF"/>
        <w:spacing w:before="0" w:beforeAutospacing="0" w:after="0" w:afterAutospacing="0"/>
        <w:textAlignment w:val="baseline"/>
        <w:rPr>
          <w:rFonts w:asciiTheme="minorHAnsi" w:hAnsiTheme="minorHAnsi" w:cs="Arial"/>
          <w:color w:val="222222"/>
        </w:rPr>
      </w:pPr>
      <w:r w:rsidRPr="0005420E">
        <w:br/>
      </w:r>
      <w:r w:rsidRPr="0005420E">
        <w:rPr>
          <w:rFonts w:asciiTheme="minorHAnsi" w:hAnsiTheme="minorHAnsi"/>
        </w:rPr>
        <w:t xml:space="preserve">Taylor, </w:t>
      </w:r>
      <w:r w:rsidR="00D452F5" w:rsidRPr="0005420E">
        <w:rPr>
          <w:rFonts w:asciiTheme="minorHAnsi" w:hAnsiTheme="minorHAnsi"/>
        </w:rPr>
        <w:t>J</w:t>
      </w:r>
      <w:r w:rsidRPr="0005420E">
        <w:rPr>
          <w:rFonts w:asciiTheme="minorHAnsi" w:hAnsiTheme="minorHAnsi"/>
        </w:rPr>
        <w:t xml:space="preserve"> (1985). </w:t>
      </w:r>
      <w:r w:rsidR="006E3420" w:rsidRPr="0005420E">
        <w:rPr>
          <w:rFonts w:asciiTheme="minorHAnsi" w:hAnsiTheme="minorHAnsi"/>
        </w:rPr>
        <w:t>“</w:t>
      </w:r>
      <w:r w:rsidRPr="0005420E">
        <w:rPr>
          <w:rFonts w:asciiTheme="minorHAnsi" w:hAnsiTheme="minorHAnsi"/>
        </w:rPr>
        <w:t>What would nominal GNP targeting do to the business cycle?</w:t>
      </w:r>
      <w:r w:rsidR="006E3420" w:rsidRPr="0005420E">
        <w:rPr>
          <w:rFonts w:asciiTheme="minorHAnsi" w:hAnsiTheme="minorHAnsi"/>
        </w:rPr>
        <w:t>”</w:t>
      </w:r>
      <w:r w:rsidRPr="0005420E">
        <w:rPr>
          <w:rFonts w:asciiTheme="minorHAnsi" w:hAnsiTheme="minorHAnsi"/>
        </w:rPr>
        <w:t xml:space="preserve"> Carnegie-Rochester Conference Series on Public Policy 22: 61-84</w:t>
      </w:r>
    </w:p>
    <w:p w:rsidR="008E49BF" w:rsidRPr="0005420E" w:rsidRDefault="008E49BF" w:rsidP="00F91367">
      <w:pPr>
        <w:pStyle w:val="NormalWeb"/>
        <w:shd w:val="clear" w:color="auto" w:fill="FFFFFF"/>
        <w:spacing w:before="0" w:beforeAutospacing="0" w:after="0" w:afterAutospacing="0"/>
        <w:textAlignment w:val="baseline"/>
        <w:rPr>
          <w:rFonts w:asciiTheme="minorHAnsi" w:hAnsiTheme="minorHAnsi" w:cs="Arial"/>
          <w:color w:val="000000"/>
        </w:rPr>
      </w:pPr>
    </w:p>
    <w:p w:rsidR="008E49BF" w:rsidRPr="0005420E" w:rsidRDefault="00A20701" w:rsidP="008E49BF">
      <w:pPr>
        <w:tabs>
          <w:tab w:val="left" w:pos="-1440"/>
        </w:tabs>
        <w:spacing w:line="240" w:lineRule="auto"/>
        <w:jc w:val="both"/>
        <w:rPr>
          <w:rFonts w:eastAsia="Times New Roman"/>
          <w:snapToGrid w:val="0"/>
          <w:sz w:val="24"/>
          <w:szCs w:val="24"/>
        </w:rPr>
      </w:pPr>
      <w:r w:rsidRPr="0005420E">
        <w:rPr>
          <w:rFonts w:eastAsia="Times New Roman"/>
          <w:snapToGrid w:val="0"/>
          <w:sz w:val="24"/>
          <w:szCs w:val="24"/>
        </w:rPr>
        <w:t>Tobin, J</w:t>
      </w:r>
      <w:r w:rsidR="008E49BF" w:rsidRPr="0005420E">
        <w:rPr>
          <w:rFonts w:eastAsia="Times New Roman"/>
          <w:snapToGrid w:val="0"/>
          <w:sz w:val="24"/>
          <w:szCs w:val="24"/>
        </w:rPr>
        <w:t xml:space="preserve"> </w:t>
      </w:r>
      <w:r w:rsidRPr="0005420E">
        <w:rPr>
          <w:rFonts w:eastAsia="Times New Roman"/>
          <w:snapToGrid w:val="0"/>
          <w:sz w:val="24"/>
          <w:szCs w:val="24"/>
        </w:rPr>
        <w:t>(</w:t>
      </w:r>
      <w:r w:rsidR="008E49BF" w:rsidRPr="0005420E">
        <w:rPr>
          <w:rFonts w:eastAsia="Times New Roman"/>
          <w:snapToGrid w:val="0"/>
          <w:sz w:val="24"/>
          <w:szCs w:val="24"/>
        </w:rPr>
        <w:t>1980</w:t>
      </w:r>
      <w:r w:rsidRPr="0005420E">
        <w:rPr>
          <w:rFonts w:eastAsia="Times New Roman"/>
          <w:snapToGrid w:val="0"/>
          <w:sz w:val="24"/>
          <w:szCs w:val="24"/>
        </w:rPr>
        <w:t>)</w:t>
      </w:r>
      <w:r w:rsidR="008E49BF" w:rsidRPr="0005420E">
        <w:rPr>
          <w:rFonts w:eastAsia="Times New Roman"/>
          <w:snapToGrid w:val="0"/>
          <w:sz w:val="24"/>
          <w:szCs w:val="24"/>
        </w:rPr>
        <w:t xml:space="preserve">, “Stabilization Policy Ten Years After,” </w:t>
      </w:r>
      <w:r w:rsidR="008E49BF" w:rsidRPr="0005420E">
        <w:rPr>
          <w:rFonts w:eastAsia="Times New Roman"/>
          <w:i/>
          <w:snapToGrid w:val="0"/>
          <w:sz w:val="24"/>
          <w:szCs w:val="24"/>
        </w:rPr>
        <w:t>Brookings Papers on Economic Activity,</w:t>
      </w:r>
      <w:r w:rsidR="008E49BF" w:rsidRPr="0005420E">
        <w:rPr>
          <w:rFonts w:eastAsia="Times New Roman"/>
          <w:snapToGrid w:val="0"/>
          <w:sz w:val="24"/>
          <w:szCs w:val="24"/>
        </w:rPr>
        <w:t xml:space="preserve"> no.1, pp. 19-72.</w:t>
      </w:r>
    </w:p>
    <w:p w:rsidR="00A20701" w:rsidRPr="0005420E" w:rsidRDefault="00A20701" w:rsidP="008E49BF">
      <w:pPr>
        <w:tabs>
          <w:tab w:val="left" w:pos="-1440"/>
        </w:tabs>
        <w:spacing w:line="240" w:lineRule="auto"/>
        <w:jc w:val="both"/>
        <w:rPr>
          <w:sz w:val="24"/>
          <w:szCs w:val="24"/>
        </w:rPr>
      </w:pPr>
      <w:r w:rsidRPr="0005420E">
        <w:rPr>
          <w:sz w:val="24"/>
          <w:szCs w:val="24"/>
        </w:rPr>
        <w:t xml:space="preserve">Vines, D., J. </w:t>
      </w:r>
      <w:proofErr w:type="spellStart"/>
      <w:r w:rsidRPr="0005420E">
        <w:rPr>
          <w:sz w:val="24"/>
          <w:szCs w:val="24"/>
        </w:rPr>
        <w:t>Maciejowski</w:t>
      </w:r>
      <w:proofErr w:type="spellEnd"/>
      <w:r w:rsidRPr="0005420E">
        <w:rPr>
          <w:sz w:val="24"/>
          <w:szCs w:val="24"/>
        </w:rPr>
        <w:t xml:space="preserve">, and J.E. Meade (1983), </w:t>
      </w:r>
      <w:r w:rsidRPr="0005420E">
        <w:rPr>
          <w:i/>
          <w:sz w:val="24"/>
          <w:szCs w:val="24"/>
        </w:rPr>
        <w:t>Demand Management</w:t>
      </w:r>
      <w:r w:rsidRPr="0005420E">
        <w:rPr>
          <w:sz w:val="24"/>
          <w:szCs w:val="24"/>
        </w:rPr>
        <w:t xml:space="preserve"> (George Allen: London). </w:t>
      </w:r>
    </w:p>
    <w:p w:rsidR="00066CAE" w:rsidRPr="0005420E" w:rsidRDefault="00A20701" w:rsidP="008E49BF">
      <w:pPr>
        <w:tabs>
          <w:tab w:val="left" w:pos="-1440"/>
        </w:tabs>
        <w:spacing w:line="240" w:lineRule="auto"/>
        <w:jc w:val="both"/>
        <w:rPr>
          <w:rFonts w:eastAsia="Times New Roman"/>
          <w:snapToGrid w:val="0"/>
          <w:sz w:val="24"/>
          <w:szCs w:val="24"/>
        </w:rPr>
      </w:pPr>
      <w:r w:rsidRPr="0005420E">
        <w:rPr>
          <w:sz w:val="24"/>
          <w:szCs w:val="24"/>
        </w:rPr>
        <w:t xml:space="preserve">West, K (1986), “Targeting Nominal Income: A Note”, </w:t>
      </w:r>
      <w:r w:rsidRPr="0005420E">
        <w:rPr>
          <w:i/>
          <w:sz w:val="24"/>
          <w:szCs w:val="24"/>
        </w:rPr>
        <w:t>Economic Journal,</w:t>
      </w:r>
      <w:r w:rsidRPr="0005420E">
        <w:rPr>
          <w:sz w:val="24"/>
          <w:szCs w:val="24"/>
        </w:rPr>
        <w:t xml:space="preserve"> 96, Dec., 1077-1083.</w:t>
      </w:r>
    </w:p>
    <w:p w:rsidR="00A61B91" w:rsidRPr="0005420E" w:rsidRDefault="008E49BF" w:rsidP="00482CEA">
      <w:pPr>
        <w:pStyle w:val="ListParagraph"/>
        <w:spacing w:line="240" w:lineRule="auto"/>
        <w:ind w:left="0"/>
        <w:jc w:val="both"/>
        <w:rPr>
          <w:color w:val="000000"/>
          <w:sz w:val="24"/>
          <w:szCs w:val="24"/>
        </w:rPr>
      </w:pPr>
      <w:r w:rsidRPr="0005420E">
        <w:rPr>
          <w:color w:val="000000"/>
          <w:sz w:val="24"/>
          <w:szCs w:val="24"/>
        </w:rPr>
        <w:t>Woodford, M</w:t>
      </w:r>
      <w:r w:rsidR="00D452F5" w:rsidRPr="0005420E">
        <w:rPr>
          <w:color w:val="000000"/>
          <w:sz w:val="24"/>
          <w:szCs w:val="24"/>
        </w:rPr>
        <w:t xml:space="preserve"> (</w:t>
      </w:r>
      <w:r w:rsidRPr="0005420E">
        <w:rPr>
          <w:color w:val="000000"/>
          <w:sz w:val="24"/>
          <w:szCs w:val="24"/>
        </w:rPr>
        <w:t>2012</w:t>
      </w:r>
      <w:r w:rsidR="00D452F5" w:rsidRPr="0005420E">
        <w:rPr>
          <w:color w:val="000000"/>
          <w:sz w:val="24"/>
          <w:szCs w:val="24"/>
        </w:rPr>
        <w:t>)</w:t>
      </w:r>
      <w:r w:rsidRPr="0005420E">
        <w:rPr>
          <w:color w:val="000000"/>
          <w:sz w:val="24"/>
          <w:szCs w:val="24"/>
        </w:rPr>
        <w:t>: “</w:t>
      </w:r>
      <w:r w:rsidRPr="0005420E">
        <w:rPr>
          <w:sz w:val="24"/>
          <w:szCs w:val="24"/>
        </w:rPr>
        <w:t>Policy Methods of Accommodation at the Interest-Rate Lower Bound”,</w:t>
      </w:r>
      <w:r w:rsidRPr="0005420E">
        <w:rPr>
          <w:color w:val="000000"/>
          <w:sz w:val="24"/>
          <w:szCs w:val="24"/>
        </w:rPr>
        <w:t xml:space="preserve"> presented at the Jackson Hole Symposium (Federal Reserve Bank of Kansas City), August.</w:t>
      </w:r>
    </w:p>
    <w:sectPr w:rsidR="00A61B91" w:rsidRPr="0005420E" w:rsidSect="00C525AE">
      <w:footerReference w:type="default" r:id="rId3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E1" w:rsidRDefault="00947CE1" w:rsidP="00947CE1">
      <w:pPr>
        <w:spacing w:after="0" w:line="240" w:lineRule="auto"/>
      </w:pPr>
      <w:r>
        <w:separator/>
      </w:r>
    </w:p>
  </w:endnote>
  <w:endnote w:type="continuationSeparator" w:id="0">
    <w:p w:rsidR="00947CE1" w:rsidRDefault="00947CE1" w:rsidP="0094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25526"/>
      <w:docPartObj>
        <w:docPartGallery w:val="Page Numbers (Bottom of Page)"/>
        <w:docPartUnique/>
      </w:docPartObj>
    </w:sdtPr>
    <w:sdtEndPr>
      <w:rPr>
        <w:noProof/>
      </w:rPr>
    </w:sdtEndPr>
    <w:sdtContent>
      <w:p w:rsidR="00947CE1" w:rsidRDefault="00947CE1">
        <w:pPr>
          <w:pStyle w:val="Footer"/>
          <w:jc w:val="right"/>
        </w:pPr>
        <w:r>
          <w:fldChar w:fldCharType="begin"/>
        </w:r>
        <w:r>
          <w:instrText xml:space="preserve"> PAGE   \* MERGEFORMAT </w:instrText>
        </w:r>
        <w:r>
          <w:fldChar w:fldCharType="separate"/>
        </w:r>
        <w:r w:rsidR="00567A3F">
          <w:rPr>
            <w:noProof/>
          </w:rPr>
          <w:t>1</w:t>
        </w:r>
        <w:r>
          <w:rPr>
            <w:noProof/>
          </w:rPr>
          <w:fldChar w:fldCharType="end"/>
        </w:r>
      </w:p>
    </w:sdtContent>
  </w:sdt>
  <w:p w:rsidR="00947CE1" w:rsidRDefault="00947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E1" w:rsidRDefault="00947CE1" w:rsidP="00947CE1">
      <w:pPr>
        <w:spacing w:after="0" w:line="240" w:lineRule="auto"/>
      </w:pPr>
      <w:r>
        <w:separator/>
      </w:r>
    </w:p>
  </w:footnote>
  <w:footnote w:type="continuationSeparator" w:id="0">
    <w:p w:rsidR="00947CE1" w:rsidRDefault="00947CE1" w:rsidP="00947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54884"/>
    <w:multiLevelType w:val="hybridMultilevel"/>
    <w:tmpl w:val="F5E8602C"/>
    <w:lvl w:ilvl="0" w:tplc="3740E1A4">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041E8"/>
    <w:multiLevelType w:val="hybridMultilevel"/>
    <w:tmpl w:val="4EA2F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A12E3"/>
    <w:multiLevelType w:val="hybridMultilevel"/>
    <w:tmpl w:val="0B6EDB26"/>
    <w:lvl w:ilvl="0" w:tplc="CFD6FB60">
      <w:start w:val="1"/>
      <w:numFmt w:val="decimal"/>
      <w:lvlText w:val="%1."/>
      <w:lvlJc w:val="left"/>
      <w:pPr>
        <w:ind w:left="360" w:hanging="360"/>
      </w:pPr>
      <w:rPr>
        <w:b/>
        <w:sz w:val="36"/>
        <w:szCs w:val="36"/>
      </w:rPr>
    </w:lvl>
    <w:lvl w:ilvl="1" w:tplc="98D4830A">
      <w:start w:val="1"/>
      <w:numFmt w:val="lowerLetter"/>
      <w:lvlText w:val="%2."/>
      <w:lvlJc w:val="left"/>
      <w:pPr>
        <w:ind w:left="1080" w:hanging="360"/>
      </w:pPr>
      <w:rPr>
        <w:sz w:val="28"/>
        <w:szCs w:val="28"/>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4E"/>
    <w:rsid w:val="000452A7"/>
    <w:rsid w:val="0005420E"/>
    <w:rsid w:val="000547D1"/>
    <w:rsid w:val="00055F22"/>
    <w:rsid w:val="00066CAE"/>
    <w:rsid w:val="000C5D6C"/>
    <w:rsid w:val="000F0C48"/>
    <w:rsid w:val="0013480F"/>
    <w:rsid w:val="00137A0F"/>
    <w:rsid w:val="00151142"/>
    <w:rsid w:val="00171464"/>
    <w:rsid w:val="00255CD0"/>
    <w:rsid w:val="002B440C"/>
    <w:rsid w:val="002C41E7"/>
    <w:rsid w:val="00302DF7"/>
    <w:rsid w:val="003871AE"/>
    <w:rsid w:val="003A404E"/>
    <w:rsid w:val="003B15EB"/>
    <w:rsid w:val="00416B3A"/>
    <w:rsid w:val="0041785A"/>
    <w:rsid w:val="00452871"/>
    <w:rsid w:val="0047559B"/>
    <w:rsid w:val="00482CEA"/>
    <w:rsid w:val="004846BA"/>
    <w:rsid w:val="004A46C9"/>
    <w:rsid w:val="004B1197"/>
    <w:rsid w:val="004C4C44"/>
    <w:rsid w:val="005446A4"/>
    <w:rsid w:val="00567A3F"/>
    <w:rsid w:val="0057712E"/>
    <w:rsid w:val="005B26D9"/>
    <w:rsid w:val="005F000C"/>
    <w:rsid w:val="005F7073"/>
    <w:rsid w:val="00633DFC"/>
    <w:rsid w:val="00674EEE"/>
    <w:rsid w:val="006C2C4D"/>
    <w:rsid w:val="006E3420"/>
    <w:rsid w:val="00731F1C"/>
    <w:rsid w:val="00791E79"/>
    <w:rsid w:val="008337F3"/>
    <w:rsid w:val="00897CEA"/>
    <w:rsid w:val="008E49BF"/>
    <w:rsid w:val="00912C3D"/>
    <w:rsid w:val="00933A07"/>
    <w:rsid w:val="00947CE1"/>
    <w:rsid w:val="00986FBF"/>
    <w:rsid w:val="0099730B"/>
    <w:rsid w:val="00A20701"/>
    <w:rsid w:val="00A34D4E"/>
    <w:rsid w:val="00A61B91"/>
    <w:rsid w:val="00A64F02"/>
    <w:rsid w:val="00A70E33"/>
    <w:rsid w:val="00AA4F1F"/>
    <w:rsid w:val="00AD1AC4"/>
    <w:rsid w:val="00B00142"/>
    <w:rsid w:val="00B072FB"/>
    <w:rsid w:val="00B13964"/>
    <w:rsid w:val="00B6112F"/>
    <w:rsid w:val="00B65FD1"/>
    <w:rsid w:val="00B7664C"/>
    <w:rsid w:val="00B82C16"/>
    <w:rsid w:val="00B9406D"/>
    <w:rsid w:val="00BC12F8"/>
    <w:rsid w:val="00C12CE2"/>
    <w:rsid w:val="00C31060"/>
    <w:rsid w:val="00C34970"/>
    <w:rsid w:val="00C479B7"/>
    <w:rsid w:val="00C525AE"/>
    <w:rsid w:val="00C707CE"/>
    <w:rsid w:val="00CB175B"/>
    <w:rsid w:val="00CD6098"/>
    <w:rsid w:val="00CE0EFA"/>
    <w:rsid w:val="00D1657D"/>
    <w:rsid w:val="00D452F5"/>
    <w:rsid w:val="00DA2C9A"/>
    <w:rsid w:val="00DC0355"/>
    <w:rsid w:val="00E248CE"/>
    <w:rsid w:val="00E35E8F"/>
    <w:rsid w:val="00E75511"/>
    <w:rsid w:val="00E86EBF"/>
    <w:rsid w:val="00EB2679"/>
    <w:rsid w:val="00ED0ABC"/>
    <w:rsid w:val="00ED1FA8"/>
    <w:rsid w:val="00F26B41"/>
    <w:rsid w:val="00F6325A"/>
    <w:rsid w:val="00F6508B"/>
    <w:rsid w:val="00F91367"/>
    <w:rsid w:val="00FA0C3F"/>
    <w:rsid w:val="00FA4F3D"/>
    <w:rsid w:val="00FF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2">
    <w:name w:val="heading 2"/>
    <w:basedOn w:val="Normal"/>
    <w:link w:val="Heading2Char"/>
    <w:uiPriority w:val="9"/>
    <w:qFormat/>
    <w:rsid w:val="00577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2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D4E"/>
    <w:pPr>
      <w:ind w:left="720"/>
      <w:contextualSpacing/>
    </w:pPr>
  </w:style>
  <w:style w:type="character" w:styleId="Hyperlink">
    <w:name w:val="Hyperlink"/>
    <w:basedOn w:val="DefaultParagraphFont"/>
    <w:uiPriority w:val="99"/>
    <w:unhideWhenUsed/>
    <w:rsid w:val="005F7073"/>
    <w:rPr>
      <w:color w:val="0000FF" w:themeColor="hyperlink"/>
      <w:u w:val="single"/>
    </w:rPr>
  </w:style>
  <w:style w:type="paragraph" w:styleId="NormalWeb">
    <w:name w:val="Normal (Web)"/>
    <w:basedOn w:val="Normal"/>
    <w:uiPriority w:val="99"/>
    <w:unhideWhenUsed/>
    <w:rsid w:val="00A61B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1B91"/>
    <w:rPr>
      <w:i/>
      <w:iCs/>
    </w:rPr>
  </w:style>
  <w:style w:type="paragraph" w:styleId="BalloonText">
    <w:name w:val="Balloon Text"/>
    <w:basedOn w:val="Normal"/>
    <w:link w:val="BalloonTextChar"/>
    <w:uiPriority w:val="99"/>
    <w:semiHidden/>
    <w:unhideWhenUsed/>
    <w:rsid w:val="008E4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BF"/>
    <w:rPr>
      <w:rFonts w:ascii="Tahoma" w:hAnsi="Tahoma" w:cs="Tahoma"/>
      <w:sz w:val="16"/>
      <w:szCs w:val="16"/>
    </w:rPr>
  </w:style>
  <w:style w:type="character" w:styleId="FollowedHyperlink">
    <w:name w:val="FollowedHyperlink"/>
    <w:basedOn w:val="DefaultParagraphFont"/>
    <w:uiPriority w:val="99"/>
    <w:semiHidden/>
    <w:unhideWhenUsed/>
    <w:rsid w:val="00B13964"/>
    <w:rPr>
      <w:color w:val="800080" w:themeColor="followedHyperlink"/>
      <w:u w:val="single"/>
    </w:rPr>
  </w:style>
  <w:style w:type="character" w:customStyle="1" w:styleId="Heading2Char">
    <w:name w:val="Heading 2 Char"/>
    <w:basedOn w:val="DefaultParagraphFont"/>
    <w:link w:val="Heading2"/>
    <w:uiPriority w:val="9"/>
    <w:rsid w:val="005771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2CE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47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CE1"/>
  </w:style>
  <w:style w:type="paragraph" w:styleId="Footer">
    <w:name w:val="footer"/>
    <w:basedOn w:val="Normal"/>
    <w:link w:val="FooterChar"/>
    <w:uiPriority w:val="99"/>
    <w:unhideWhenUsed/>
    <w:rsid w:val="00947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2">
    <w:name w:val="heading 2"/>
    <w:basedOn w:val="Normal"/>
    <w:link w:val="Heading2Char"/>
    <w:uiPriority w:val="9"/>
    <w:qFormat/>
    <w:rsid w:val="00577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2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D4E"/>
    <w:pPr>
      <w:ind w:left="720"/>
      <w:contextualSpacing/>
    </w:pPr>
  </w:style>
  <w:style w:type="character" w:styleId="Hyperlink">
    <w:name w:val="Hyperlink"/>
    <w:basedOn w:val="DefaultParagraphFont"/>
    <w:uiPriority w:val="99"/>
    <w:unhideWhenUsed/>
    <w:rsid w:val="005F7073"/>
    <w:rPr>
      <w:color w:val="0000FF" w:themeColor="hyperlink"/>
      <w:u w:val="single"/>
    </w:rPr>
  </w:style>
  <w:style w:type="paragraph" w:styleId="NormalWeb">
    <w:name w:val="Normal (Web)"/>
    <w:basedOn w:val="Normal"/>
    <w:uiPriority w:val="99"/>
    <w:unhideWhenUsed/>
    <w:rsid w:val="00A61B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1B91"/>
    <w:rPr>
      <w:i/>
      <w:iCs/>
    </w:rPr>
  </w:style>
  <w:style w:type="paragraph" w:styleId="BalloonText">
    <w:name w:val="Balloon Text"/>
    <w:basedOn w:val="Normal"/>
    <w:link w:val="BalloonTextChar"/>
    <w:uiPriority w:val="99"/>
    <w:semiHidden/>
    <w:unhideWhenUsed/>
    <w:rsid w:val="008E4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BF"/>
    <w:rPr>
      <w:rFonts w:ascii="Tahoma" w:hAnsi="Tahoma" w:cs="Tahoma"/>
      <w:sz w:val="16"/>
      <w:szCs w:val="16"/>
    </w:rPr>
  </w:style>
  <w:style w:type="character" w:styleId="FollowedHyperlink">
    <w:name w:val="FollowedHyperlink"/>
    <w:basedOn w:val="DefaultParagraphFont"/>
    <w:uiPriority w:val="99"/>
    <w:semiHidden/>
    <w:unhideWhenUsed/>
    <w:rsid w:val="00B13964"/>
    <w:rPr>
      <w:color w:val="800080" w:themeColor="followedHyperlink"/>
      <w:u w:val="single"/>
    </w:rPr>
  </w:style>
  <w:style w:type="character" w:customStyle="1" w:styleId="Heading2Char">
    <w:name w:val="Heading 2 Char"/>
    <w:basedOn w:val="DefaultParagraphFont"/>
    <w:link w:val="Heading2"/>
    <w:uiPriority w:val="9"/>
    <w:rsid w:val="005771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2CE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47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CE1"/>
  </w:style>
  <w:style w:type="paragraph" w:styleId="Footer">
    <w:name w:val="footer"/>
    <w:basedOn w:val="Normal"/>
    <w:link w:val="FooterChar"/>
    <w:uiPriority w:val="99"/>
    <w:unhideWhenUsed/>
    <w:rsid w:val="00947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5594">
      <w:bodyDiv w:val="1"/>
      <w:marLeft w:val="0"/>
      <w:marRight w:val="0"/>
      <w:marTop w:val="0"/>
      <w:marBottom w:val="0"/>
      <w:divBdr>
        <w:top w:val="none" w:sz="0" w:space="0" w:color="auto"/>
        <w:left w:val="none" w:sz="0" w:space="0" w:color="auto"/>
        <w:bottom w:val="none" w:sz="0" w:space="0" w:color="auto"/>
        <w:right w:val="none" w:sz="0" w:space="0" w:color="auto"/>
      </w:divBdr>
      <w:divsChild>
        <w:div w:id="446435009">
          <w:marLeft w:val="0"/>
          <w:marRight w:val="0"/>
          <w:marTop w:val="0"/>
          <w:marBottom w:val="0"/>
          <w:divBdr>
            <w:top w:val="none" w:sz="0" w:space="0" w:color="auto"/>
            <w:left w:val="none" w:sz="0" w:space="0" w:color="auto"/>
            <w:bottom w:val="none" w:sz="0" w:space="0" w:color="auto"/>
            <w:right w:val="none" w:sz="0" w:space="0" w:color="auto"/>
          </w:divBdr>
        </w:div>
      </w:divsChild>
    </w:div>
    <w:div w:id="1146513474">
      <w:bodyDiv w:val="1"/>
      <w:marLeft w:val="0"/>
      <w:marRight w:val="0"/>
      <w:marTop w:val="0"/>
      <w:marBottom w:val="0"/>
      <w:divBdr>
        <w:top w:val="none" w:sz="0" w:space="0" w:color="auto"/>
        <w:left w:val="none" w:sz="0" w:space="0" w:color="auto"/>
        <w:bottom w:val="none" w:sz="0" w:space="0" w:color="auto"/>
        <w:right w:val="none" w:sz="0" w:space="0" w:color="auto"/>
      </w:divBdr>
    </w:div>
    <w:div w:id="1344359302">
      <w:bodyDiv w:val="1"/>
      <w:marLeft w:val="0"/>
      <w:marRight w:val="0"/>
      <w:marTop w:val="0"/>
      <w:marBottom w:val="0"/>
      <w:divBdr>
        <w:top w:val="none" w:sz="0" w:space="0" w:color="auto"/>
        <w:left w:val="none" w:sz="0" w:space="0" w:color="auto"/>
        <w:bottom w:val="none" w:sz="0" w:space="0" w:color="auto"/>
        <w:right w:val="none" w:sz="0" w:space="0" w:color="auto"/>
      </w:divBdr>
    </w:div>
    <w:div w:id="17897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monetarypolicy/files/fomcprojtabl20171213.pdf" TargetMode="External"/><Relationship Id="rId13" Type="http://schemas.openxmlformats.org/officeDocument/2006/relationships/hyperlink" Target="https://marketmonetarist.com/tag/inflation-targeting/" TargetMode="External"/><Relationship Id="rId18" Type="http://schemas.openxmlformats.org/officeDocument/2006/relationships/image" Target="media/image4.png"/><Relationship Id="rId26" Type="http://schemas.openxmlformats.org/officeDocument/2006/relationships/hyperlink" Target="https://doi.org/10.1016/j.rie.2017.06.001"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stlouisfed.org/~/media/Files/PDFs/Bullard/papers/Optimal-QE-2015May27.pdf" TargetMode="External"/><Relationship Id="rId34" Type="http://schemas.openxmlformats.org/officeDocument/2006/relationships/hyperlink" Target="http://hks.harvard.edu/fs/jfrankel/ch.hks.harvard.edu/publications/workingpapers/Faculty_Name.aspx?PersonId=15" TargetMode="External"/><Relationship Id="rId7" Type="http://schemas.openxmlformats.org/officeDocument/2006/relationships/endnotes" Target="endnotes.xml"/><Relationship Id="rId12" Type="http://schemas.openxmlformats.org/officeDocument/2006/relationships/hyperlink" Target="https://marketmonetarist.com/" TargetMode="External"/><Relationship Id="rId17" Type="http://schemas.openxmlformats.org/officeDocument/2006/relationships/image" Target="media/image3.png"/><Relationship Id="rId25" Type="http://schemas.openxmlformats.org/officeDocument/2006/relationships/hyperlink" Target="https://scholar.harvard.edu/files/frankel/files/ngdpt-_india_researchinecon_0.docx" TargetMode="External"/><Relationship Id="rId33" Type="http://schemas.openxmlformats.org/officeDocument/2006/relationships/hyperlink" Target="http://www.tcmb.gov.tr/wps/wcm/connect/TCMB+EN/TCMB+EN/Main+Menu/PUBLICATIONS/Central+Bank+Review/Central+Bank+Review/2014" TargetMode="External"/><Relationship Id="rId38" Type="http://schemas.openxmlformats.org/officeDocument/2006/relationships/hyperlink" Target="https://ideas.repec.org/a/cto/journl/v34y2014i2p315-337.html" TargetMode="External"/><Relationship Id="rId2" Type="http://schemas.openxmlformats.org/officeDocument/2006/relationships/styles" Target="styles.xml"/><Relationship Id="rId16" Type="http://schemas.openxmlformats.org/officeDocument/2006/relationships/hyperlink" Target="https://www.stlouisfed.org/~/media/Files/PDFs/Bullard/papers/Optimal-QE-2015May27.pdf" TargetMode="External"/><Relationship Id="rId20" Type="http://schemas.openxmlformats.org/officeDocument/2006/relationships/image" Target="media/image6.png"/><Relationship Id="rId29" Type="http://schemas.openxmlformats.org/officeDocument/2006/relationships/hyperlink" Target="http://www.hks.harvard.edu/fs/jfrankel/NOMGNP11.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moneyillusion.com/" TargetMode="External"/><Relationship Id="rId24" Type="http://schemas.openxmlformats.org/officeDocument/2006/relationships/hyperlink" Target="https://scholar.harvard.edu/files/frankel/files/ngdpt-_india_researchinecon.pdf" TargetMode="External"/><Relationship Id="rId32" Type="http://schemas.openxmlformats.org/officeDocument/2006/relationships/hyperlink" Target="http://www.voxeu.org/person/jeffrey-frankel" TargetMode="External"/><Relationship Id="rId37" Type="http://schemas.openxmlformats.org/officeDocument/2006/relationships/hyperlink" Target="http://www.nytimes.com/2011/10/30/business/economy/ben-bernanke-needs-a-volcker-moment.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iteseerx.ist.psu.edu/viewdoc/download?doi=10.1.1.362.3591&amp;rep=rep1&amp;type=pdf" TargetMode="External"/><Relationship Id="rId23" Type="http://schemas.openxmlformats.org/officeDocument/2006/relationships/hyperlink" Target="https://www.mercatus.org/system/files/mercatus-beckworth-ngdp-taylor-rule-v1.pdf" TargetMode="External"/><Relationship Id="rId28" Type="http://schemas.openxmlformats.org/officeDocument/2006/relationships/hyperlink" Target="http://www.nber.org/papers/w20898" TargetMode="External"/><Relationship Id="rId36" Type="http://schemas.openxmlformats.org/officeDocument/2006/relationships/hyperlink" Target="http://krugman.blogs.nytimes.com/2011/10/30/a-volcker-moment-indeed-slightly-wonkish/" TargetMode="External"/><Relationship Id="rId10" Type="http://schemas.openxmlformats.org/officeDocument/2006/relationships/hyperlink" Target="http://macromarketmusings.blogspot.com/" TargetMode="External"/><Relationship Id="rId19" Type="http://schemas.openxmlformats.org/officeDocument/2006/relationships/image" Target="media/image5.png"/><Relationship Id="rId31" Type="http://schemas.openxmlformats.org/officeDocument/2006/relationships/hyperlink" Target="http://www.voxeu.org/article/central-banks-can-phase-nominal-gdp-targets-without-damaging-inflation-ancho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www.mercatus.org/publications/nominal-GDP-targeting-taylor-rule" TargetMode="External"/><Relationship Id="rId27" Type="http://schemas.openxmlformats.org/officeDocument/2006/relationships/hyperlink" Target="https://scholar.harvard.edu/files/frankel/files/ngdpt_uncorrctdproof_yreec2017.pdf" TargetMode="External"/><Relationship Id="rId30" Type="http://schemas.openxmlformats.org/officeDocument/2006/relationships/hyperlink" Target="http://www.voxeu.org/article/inflation-targeting-dead-long-live-nominal-gdp-targeting" TargetMode="External"/><Relationship Id="rId35" Type="http://schemas.openxmlformats.org/officeDocument/2006/relationships/hyperlink" Target="https://research.hks.harvard.edu/publications/getFile.aspx?Id=1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2018-01-05T00:11:00Z</cp:lastPrinted>
  <dcterms:created xsi:type="dcterms:W3CDTF">2018-01-05T23:15:00Z</dcterms:created>
  <dcterms:modified xsi:type="dcterms:W3CDTF">2018-01-05T23:15:00Z</dcterms:modified>
</cp:coreProperties>
</file>