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B1D" w:rsidRDefault="00720B1D" w:rsidP="00720B1D">
      <w:pPr>
        <w:jc w:val="right"/>
        <w:rPr>
          <w:sz w:val="24"/>
          <w:szCs w:val="24"/>
        </w:rPr>
      </w:pPr>
      <w:r>
        <w:rPr>
          <w:sz w:val="24"/>
          <w:szCs w:val="24"/>
        </w:rPr>
        <w:t>Oct. 2</w:t>
      </w:r>
      <w:r w:rsidR="00597938">
        <w:rPr>
          <w:sz w:val="24"/>
          <w:szCs w:val="24"/>
        </w:rPr>
        <w:t>6</w:t>
      </w:r>
      <w:bookmarkStart w:id="0" w:name="_GoBack"/>
      <w:bookmarkEnd w:id="0"/>
      <w:r>
        <w:rPr>
          <w:sz w:val="24"/>
          <w:szCs w:val="24"/>
        </w:rPr>
        <w:t>, 2018</w:t>
      </w:r>
    </w:p>
    <w:p w:rsidR="00112A45" w:rsidRPr="006A40B8" w:rsidRDefault="0067662F" w:rsidP="0067662F">
      <w:pPr>
        <w:spacing w:line="240" w:lineRule="auto"/>
        <w:jc w:val="center"/>
        <w:rPr>
          <w:sz w:val="24"/>
          <w:szCs w:val="24"/>
        </w:rPr>
      </w:pPr>
      <w:r w:rsidRPr="0067662F">
        <w:rPr>
          <w:b/>
          <w:sz w:val="24"/>
          <w:szCs w:val="24"/>
        </w:rPr>
        <w:t>“Should the Fed Be Constrained?”</w:t>
      </w:r>
      <w:r w:rsidR="00B82593" w:rsidRPr="006A40B8">
        <w:rPr>
          <w:sz w:val="24"/>
          <w:szCs w:val="24"/>
        </w:rPr>
        <w:br/>
      </w:r>
      <w:r w:rsidR="00B82593" w:rsidRPr="006A40B8">
        <w:rPr>
          <w:sz w:val="24"/>
          <w:szCs w:val="24"/>
        </w:rPr>
        <w:br/>
      </w:r>
      <w:r w:rsidR="00B82593" w:rsidRPr="0067662F">
        <w:rPr>
          <w:b/>
          <w:sz w:val="24"/>
          <w:szCs w:val="24"/>
        </w:rPr>
        <w:t>Jeffrey Frankel</w:t>
      </w:r>
      <w:r w:rsidR="00B82593" w:rsidRPr="006A40B8">
        <w:rPr>
          <w:sz w:val="24"/>
          <w:szCs w:val="24"/>
        </w:rPr>
        <w:br/>
        <w:t>Harpel Professor of Capital Formation &amp; Growth</w:t>
      </w:r>
      <w:r w:rsidR="00B82593" w:rsidRPr="006A40B8">
        <w:rPr>
          <w:sz w:val="24"/>
          <w:szCs w:val="24"/>
        </w:rPr>
        <w:br/>
        <w:t>Harvard University</w:t>
      </w:r>
    </w:p>
    <w:p w:rsidR="00AF70EC" w:rsidRPr="006A40B8" w:rsidRDefault="0067662F" w:rsidP="0067662F">
      <w:pPr>
        <w:spacing w:line="240" w:lineRule="auto"/>
        <w:jc w:val="center"/>
        <w:rPr>
          <w:sz w:val="24"/>
          <w:szCs w:val="24"/>
        </w:rPr>
      </w:pPr>
      <w:r>
        <w:rPr>
          <w:sz w:val="24"/>
          <w:szCs w:val="24"/>
        </w:rPr>
        <w:t xml:space="preserve">Panel Discussion on </w:t>
      </w:r>
      <w:r w:rsidRPr="006A40B8">
        <w:rPr>
          <w:sz w:val="24"/>
          <w:szCs w:val="24"/>
        </w:rPr>
        <w:t xml:space="preserve">“Should the Fed Be Subject to a </w:t>
      </w:r>
      <w:r>
        <w:rPr>
          <w:sz w:val="24"/>
          <w:szCs w:val="24"/>
        </w:rPr>
        <w:t>Monetary Rule?</w:t>
      </w:r>
      <w:r w:rsidR="00632279">
        <w:rPr>
          <w:sz w:val="24"/>
          <w:szCs w:val="24"/>
        </w:rPr>
        <w:t>”</w:t>
      </w:r>
      <w:r w:rsidRPr="006A40B8">
        <w:rPr>
          <w:sz w:val="24"/>
          <w:szCs w:val="24"/>
        </w:rPr>
        <w:t xml:space="preserve"> </w:t>
      </w:r>
      <w:r w:rsidRPr="006A40B8">
        <w:rPr>
          <w:i/>
          <w:iCs/>
          <w:sz w:val="24"/>
          <w:szCs w:val="24"/>
        </w:rPr>
        <w:t xml:space="preserve">Monetary Policy 10 Years After the Crisis, </w:t>
      </w:r>
      <w:r w:rsidRPr="006A40B8">
        <w:rPr>
          <w:sz w:val="24"/>
          <w:szCs w:val="24"/>
        </w:rPr>
        <w:t>36</w:t>
      </w:r>
      <w:r w:rsidRPr="006A40B8">
        <w:rPr>
          <w:sz w:val="24"/>
          <w:szCs w:val="24"/>
          <w:vertAlign w:val="superscript"/>
        </w:rPr>
        <w:t>th</w:t>
      </w:r>
      <w:r w:rsidRPr="006A40B8">
        <w:rPr>
          <w:sz w:val="24"/>
          <w:szCs w:val="24"/>
        </w:rPr>
        <w:t xml:space="preserve"> Annual Monetary Conference, Cato Institute, November 15, 2018</w:t>
      </w:r>
      <w:r>
        <w:rPr>
          <w:sz w:val="24"/>
          <w:szCs w:val="24"/>
        </w:rPr>
        <w:br/>
      </w:r>
    </w:p>
    <w:p w:rsidR="00AF70EC" w:rsidRPr="006A40B8" w:rsidRDefault="00AF70EC" w:rsidP="00AF70EC">
      <w:pPr>
        <w:jc w:val="center"/>
        <w:rPr>
          <w:b/>
          <w:sz w:val="24"/>
          <w:szCs w:val="24"/>
        </w:rPr>
      </w:pPr>
      <w:r w:rsidRPr="006A40B8">
        <w:rPr>
          <w:b/>
          <w:sz w:val="24"/>
          <w:szCs w:val="24"/>
        </w:rPr>
        <w:t>Summary</w:t>
      </w:r>
    </w:p>
    <w:p w:rsidR="003E0D05" w:rsidRPr="006A40B8" w:rsidRDefault="00AF70EC" w:rsidP="006A40B8">
      <w:pPr>
        <w:tabs>
          <w:tab w:val="num" w:pos="720"/>
          <w:tab w:val="num" w:pos="1440"/>
          <w:tab w:val="num" w:pos="2160"/>
        </w:tabs>
        <w:spacing w:line="240" w:lineRule="auto"/>
        <w:rPr>
          <w:sz w:val="24"/>
          <w:szCs w:val="24"/>
        </w:rPr>
      </w:pPr>
      <w:r w:rsidRPr="006A40B8">
        <w:rPr>
          <w:sz w:val="24"/>
          <w:szCs w:val="24"/>
        </w:rPr>
        <w:t>Two distinct questions are of interest.  (1) To what extent should the central bank be constrained, versus being allowed full discretion?  (2) To whatever extent it is constrained by a rule, what should that rule be?  With respect to the second question, a good argument for Nominal GDP targeting is that it is robust with re</w:t>
      </w:r>
      <w:r w:rsidR="00AD7CC4">
        <w:rPr>
          <w:sz w:val="24"/>
          <w:szCs w:val="24"/>
        </w:rPr>
        <w:t xml:space="preserve">spect to supply shocks, </w:t>
      </w:r>
      <w:r w:rsidR="00632279" w:rsidRPr="006A40B8">
        <w:rPr>
          <w:sz w:val="24"/>
          <w:szCs w:val="24"/>
        </w:rPr>
        <w:t>whereas CPI</w:t>
      </w:r>
      <w:r w:rsidRPr="006A40B8">
        <w:rPr>
          <w:sz w:val="24"/>
          <w:szCs w:val="24"/>
        </w:rPr>
        <w:t xml:space="preserve"> targets, for example, are vulnerable to them.  But with respect to the first question, I am increasingly convinced that the constraint – </w:t>
      </w:r>
      <w:r w:rsidR="00AD7CC4">
        <w:rPr>
          <w:sz w:val="24"/>
          <w:szCs w:val="24"/>
        </w:rPr>
        <w:t xml:space="preserve">whether </w:t>
      </w:r>
      <w:r w:rsidRPr="006A40B8">
        <w:rPr>
          <w:sz w:val="24"/>
          <w:szCs w:val="24"/>
        </w:rPr>
        <w:t>a NGDP target</w:t>
      </w:r>
      <w:r w:rsidR="00AD7CC4">
        <w:rPr>
          <w:sz w:val="24"/>
          <w:szCs w:val="24"/>
        </w:rPr>
        <w:t xml:space="preserve"> or something else</w:t>
      </w:r>
      <w:r w:rsidRPr="006A40B8">
        <w:rPr>
          <w:sz w:val="24"/>
          <w:szCs w:val="24"/>
        </w:rPr>
        <w:t xml:space="preserve"> – must be very loose.  </w:t>
      </w:r>
      <w:r w:rsidR="00AD7CC4">
        <w:rPr>
          <w:sz w:val="24"/>
          <w:szCs w:val="24"/>
        </w:rPr>
        <w:t xml:space="preserve">Even the most sincere of central bankers will often fail to hit their targets, due to unforeseen shocks.  </w:t>
      </w:r>
      <w:r w:rsidRPr="006A40B8">
        <w:rPr>
          <w:sz w:val="24"/>
          <w:szCs w:val="24"/>
        </w:rPr>
        <w:t xml:space="preserve">I </w:t>
      </w:r>
      <w:r w:rsidR="00AD7CC4">
        <w:rPr>
          <w:sz w:val="24"/>
          <w:szCs w:val="24"/>
        </w:rPr>
        <w:t xml:space="preserve">therefore </w:t>
      </w:r>
      <w:r w:rsidRPr="006A40B8">
        <w:rPr>
          <w:sz w:val="24"/>
          <w:szCs w:val="24"/>
        </w:rPr>
        <w:t xml:space="preserve">propose </w:t>
      </w:r>
      <w:r w:rsidR="00AD7CC4">
        <w:rPr>
          <w:sz w:val="24"/>
          <w:szCs w:val="24"/>
        </w:rPr>
        <w:t>only a mild</w:t>
      </w:r>
      <w:r w:rsidRPr="006A40B8">
        <w:rPr>
          <w:sz w:val="24"/>
          <w:szCs w:val="24"/>
        </w:rPr>
        <w:t xml:space="preserve"> innovation</w:t>
      </w:r>
      <w:r w:rsidR="00AD7CC4">
        <w:rPr>
          <w:sz w:val="24"/>
          <w:szCs w:val="24"/>
        </w:rPr>
        <w:t>:</w:t>
      </w:r>
      <w:r w:rsidR="00AD7CC4" w:rsidRPr="006A40B8">
        <w:rPr>
          <w:sz w:val="24"/>
          <w:szCs w:val="24"/>
        </w:rPr>
        <w:t xml:space="preserve"> the F</w:t>
      </w:r>
      <w:r w:rsidR="00AD7CC4">
        <w:rPr>
          <w:sz w:val="24"/>
          <w:szCs w:val="24"/>
        </w:rPr>
        <w:t>OMC</w:t>
      </w:r>
      <w:r w:rsidR="00CA1C0E">
        <w:rPr>
          <w:sz w:val="24"/>
          <w:szCs w:val="24"/>
        </w:rPr>
        <w:t xml:space="preserve"> could</w:t>
      </w:r>
      <w:r w:rsidR="00AD7CC4" w:rsidRPr="006A40B8">
        <w:rPr>
          <w:sz w:val="24"/>
          <w:szCs w:val="24"/>
        </w:rPr>
        <w:t xml:space="preserve"> </w:t>
      </w:r>
      <w:r w:rsidR="00AD7CC4">
        <w:rPr>
          <w:sz w:val="24"/>
          <w:szCs w:val="24"/>
        </w:rPr>
        <w:t xml:space="preserve">include </w:t>
      </w:r>
      <w:r w:rsidRPr="006A40B8">
        <w:rPr>
          <w:sz w:val="24"/>
          <w:szCs w:val="24"/>
        </w:rPr>
        <w:t>nominal GDP in its Su</w:t>
      </w:r>
      <w:r w:rsidR="005B0F6B">
        <w:rPr>
          <w:sz w:val="24"/>
          <w:szCs w:val="24"/>
        </w:rPr>
        <w:t xml:space="preserve">mmary of Economic Projections. </w:t>
      </w:r>
      <w:r w:rsidRPr="006A40B8">
        <w:rPr>
          <w:sz w:val="24"/>
          <w:szCs w:val="24"/>
        </w:rPr>
        <w:t xml:space="preserve"> </w:t>
      </w:r>
      <w:r w:rsidR="00AD7CC4">
        <w:rPr>
          <w:sz w:val="24"/>
          <w:szCs w:val="24"/>
        </w:rPr>
        <w:t>I also offer a</w:t>
      </w:r>
      <w:r w:rsidRPr="006A40B8">
        <w:rPr>
          <w:sz w:val="24"/>
          <w:szCs w:val="24"/>
        </w:rPr>
        <w:t xml:space="preserve"> final thought regarding a different kind of constraint:  if Fed independence </w:t>
      </w:r>
      <w:r w:rsidR="00AD7CC4">
        <w:rPr>
          <w:sz w:val="24"/>
          <w:szCs w:val="24"/>
        </w:rPr>
        <w:t xml:space="preserve">from political influence </w:t>
      </w:r>
      <w:r w:rsidRPr="006A40B8">
        <w:rPr>
          <w:sz w:val="24"/>
          <w:szCs w:val="24"/>
        </w:rPr>
        <w:t>is compromised, monetary policy will likely become more pro-cyclical.</w:t>
      </w:r>
    </w:p>
    <w:p w:rsidR="00AF70EC" w:rsidRDefault="00AF70EC" w:rsidP="00AF70EC">
      <w:pPr>
        <w:rPr>
          <w:sz w:val="24"/>
          <w:szCs w:val="24"/>
        </w:rPr>
      </w:pPr>
    </w:p>
    <w:p w:rsidR="008332F3" w:rsidRPr="006A40B8" w:rsidRDefault="008332F3" w:rsidP="00AF70EC">
      <w:pPr>
        <w:rPr>
          <w:sz w:val="24"/>
          <w:szCs w:val="24"/>
        </w:rPr>
      </w:pPr>
    </w:p>
    <w:p w:rsidR="008C7C67" w:rsidRPr="006A40B8" w:rsidRDefault="000561AF" w:rsidP="006A40B8">
      <w:pPr>
        <w:spacing w:line="360" w:lineRule="auto"/>
        <w:ind w:firstLine="720"/>
        <w:rPr>
          <w:sz w:val="24"/>
          <w:szCs w:val="24"/>
        </w:rPr>
      </w:pPr>
      <w:r w:rsidRPr="006A40B8">
        <w:rPr>
          <w:sz w:val="24"/>
          <w:szCs w:val="24"/>
        </w:rPr>
        <w:t>To what extent should the central bank be constrained,</w:t>
      </w:r>
      <w:r w:rsidR="00A761E1">
        <w:rPr>
          <w:sz w:val="24"/>
          <w:szCs w:val="24"/>
        </w:rPr>
        <w:t xml:space="preserve"> rather than allowed </w:t>
      </w:r>
      <w:r w:rsidR="00AD7CC4">
        <w:rPr>
          <w:sz w:val="24"/>
          <w:szCs w:val="24"/>
        </w:rPr>
        <w:t xml:space="preserve">full </w:t>
      </w:r>
      <w:r w:rsidR="008C7C67" w:rsidRPr="006A40B8">
        <w:rPr>
          <w:sz w:val="24"/>
          <w:szCs w:val="24"/>
        </w:rPr>
        <w:t>discre</w:t>
      </w:r>
      <w:r w:rsidR="00AD7CC4">
        <w:rPr>
          <w:sz w:val="24"/>
          <w:szCs w:val="24"/>
        </w:rPr>
        <w:t>tion in setting monetary policy?</w:t>
      </w:r>
      <w:r w:rsidR="008C7C67" w:rsidRPr="006A40B8">
        <w:rPr>
          <w:sz w:val="24"/>
          <w:szCs w:val="24"/>
        </w:rPr>
        <w:t xml:space="preserve">  Should </w:t>
      </w:r>
      <w:r w:rsidR="00AD7CC4">
        <w:rPr>
          <w:sz w:val="24"/>
          <w:szCs w:val="24"/>
        </w:rPr>
        <w:t xml:space="preserve">the constraint </w:t>
      </w:r>
      <w:r w:rsidR="008C7C67" w:rsidRPr="006A40B8">
        <w:rPr>
          <w:sz w:val="24"/>
          <w:szCs w:val="24"/>
        </w:rPr>
        <w:t>be legislated rules telling the monetary authorities to target a nominal variable like the price of gol</w:t>
      </w:r>
      <w:r w:rsidR="005B0F6B">
        <w:rPr>
          <w:sz w:val="24"/>
          <w:szCs w:val="24"/>
        </w:rPr>
        <w:t xml:space="preserve">d, M1, of the inflation rate?  </w:t>
      </w:r>
      <w:r w:rsidR="008C7C67" w:rsidRPr="006A40B8">
        <w:rPr>
          <w:sz w:val="24"/>
          <w:szCs w:val="24"/>
        </w:rPr>
        <w:t>Or some sort of Taylor Rule that requires it to set interest rates according to a formula</w:t>
      </w:r>
      <w:r w:rsidRPr="006A40B8">
        <w:rPr>
          <w:sz w:val="24"/>
          <w:szCs w:val="24"/>
        </w:rPr>
        <w:t>?</w:t>
      </w:r>
      <w:r w:rsidR="005B0F6B">
        <w:rPr>
          <w:sz w:val="24"/>
          <w:szCs w:val="24"/>
        </w:rPr>
        <w:t xml:space="preserve">  </w:t>
      </w:r>
      <w:proofErr w:type="gramStart"/>
      <w:r w:rsidR="008C7C67" w:rsidRPr="006A40B8">
        <w:rPr>
          <w:sz w:val="24"/>
          <w:szCs w:val="24"/>
        </w:rPr>
        <w:t>Even if the Fed continues to retain its cherished independence from the rest of the government, should it constrain itself by adopting inflation targeting or a Taylor rule?</w:t>
      </w:r>
      <w:proofErr w:type="gramEnd"/>
      <w:r w:rsidR="008C7C67" w:rsidRPr="006A40B8">
        <w:rPr>
          <w:sz w:val="24"/>
          <w:szCs w:val="24"/>
        </w:rPr>
        <w:t xml:space="preserve">  </w:t>
      </w:r>
    </w:p>
    <w:p w:rsidR="008C7C67" w:rsidRPr="006A40B8" w:rsidRDefault="00AD7CC4" w:rsidP="006A40B8">
      <w:pPr>
        <w:spacing w:line="360" w:lineRule="auto"/>
        <w:ind w:firstLine="720"/>
        <w:rPr>
          <w:sz w:val="24"/>
          <w:szCs w:val="24"/>
        </w:rPr>
      </w:pPr>
      <w:r>
        <w:rPr>
          <w:sz w:val="24"/>
          <w:szCs w:val="24"/>
        </w:rPr>
        <w:t xml:space="preserve">Even forward guidance </w:t>
      </w:r>
      <w:r w:rsidR="008C7C67" w:rsidRPr="006A40B8">
        <w:rPr>
          <w:sz w:val="24"/>
          <w:szCs w:val="24"/>
        </w:rPr>
        <w:t xml:space="preserve">constitutes </w:t>
      </w:r>
      <w:r>
        <w:rPr>
          <w:sz w:val="24"/>
          <w:szCs w:val="24"/>
        </w:rPr>
        <w:t>a form of self-constraint</w:t>
      </w:r>
      <w:r w:rsidR="00632279">
        <w:rPr>
          <w:sz w:val="24"/>
          <w:szCs w:val="24"/>
        </w:rPr>
        <w:t>, t</w:t>
      </w:r>
      <w:r>
        <w:rPr>
          <w:sz w:val="24"/>
          <w:szCs w:val="24"/>
        </w:rPr>
        <w:t>hough a</w:t>
      </w:r>
      <w:r w:rsidR="008C7C67" w:rsidRPr="006A40B8">
        <w:rPr>
          <w:sz w:val="24"/>
          <w:szCs w:val="24"/>
        </w:rPr>
        <w:t>dmittedly of a we</w:t>
      </w:r>
      <w:r>
        <w:rPr>
          <w:sz w:val="24"/>
          <w:szCs w:val="24"/>
        </w:rPr>
        <w:t>ak</w:t>
      </w:r>
      <w:r w:rsidR="00CA1C0E">
        <w:rPr>
          <w:sz w:val="24"/>
          <w:szCs w:val="24"/>
        </w:rPr>
        <w:t>er</w:t>
      </w:r>
      <w:r>
        <w:rPr>
          <w:sz w:val="24"/>
          <w:szCs w:val="24"/>
        </w:rPr>
        <w:t xml:space="preserve"> sort. </w:t>
      </w:r>
      <w:r w:rsidR="008C7C67" w:rsidRPr="006A40B8">
        <w:rPr>
          <w:sz w:val="24"/>
          <w:szCs w:val="24"/>
        </w:rPr>
        <w:t xml:space="preserve"> Some make a distinction between </w:t>
      </w:r>
      <w:r>
        <w:rPr>
          <w:sz w:val="24"/>
          <w:szCs w:val="24"/>
        </w:rPr>
        <w:t>“</w:t>
      </w:r>
      <w:r w:rsidRPr="006A40B8">
        <w:rPr>
          <w:sz w:val="24"/>
          <w:szCs w:val="24"/>
        </w:rPr>
        <w:t xml:space="preserve">Odyssean </w:t>
      </w:r>
      <w:r w:rsidR="008C7C67" w:rsidRPr="006A40B8">
        <w:rPr>
          <w:sz w:val="24"/>
          <w:szCs w:val="24"/>
        </w:rPr>
        <w:t>guidance</w:t>
      </w:r>
      <w:r>
        <w:rPr>
          <w:sz w:val="24"/>
          <w:szCs w:val="24"/>
        </w:rPr>
        <w:t xml:space="preserve">” in which </w:t>
      </w:r>
      <w:r w:rsidR="008C7C67" w:rsidRPr="006A40B8">
        <w:rPr>
          <w:sz w:val="24"/>
          <w:szCs w:val="24"/>
        </w:rPr>
        <w:t xml:space="preserve">the central bank intends to “tie its hands” in the interest of moving expectations, versus </w:t>
      </w:r>
      <w:r>
        <w:rPr>
          <w:sz w:val="24"/>
          <w:szCs w:val="24"/>
        </w:rPr>
        <w:t xml:space="preserve">“Delphic </w:t>
      </w:r>
      <w:r w:rsidR="008C7C67" w:rsidRPr="006A40B8">
        <w:rPr>
          <w:sz w:val="24"/>
          <w:szCs w:val="24"/>
        </w:rPr>
        <w:t>guidance</w:t>
      </w:r>
      <w:r>
        <w:rPr>
          <w:sz w:val="24"/>
          <w:szCs w:val="24"/>
        </w:rPr>
        <w:t>”</w:t>
      </w:r>
      <w:r w:rsidR="008C7C67" w:rsidRPr="006A40B8">
        <w:rPr>
          <w:sz w:val="24"/>
          <w:szCs w:val="24"/>
        </w:rPr>
        <w:t xml:space="preserve"> that </w:t>
      </w:r>
      <w:r w:rsidR="008C7C67" w:rsidRPr="006A40B8">
        <w:rPr>
          <w:sz w:val="24"/>
          <w:szCs w:val="24"/>
        </w:rPr>
        <w:lastRenderedPageBreak/>
        <w:t>aims only to reveal its honest forecast in the interest of transparency.</w:t>
      </w:r>
      <w:r w:rsidR="00A421A0">
        <w:rPr>
          <w:rStyle w:val="FootnoteReference"/>
          <w:sz w:val="24"/>
          <w:szCs w:val="24"/>
        </w:rPr>
        <w:footnoteReference w:id="1"/>
      </w:r>
      <w:r w:rsidR="008C7C67" w:rsidRPr="006A40B8">
        <w:rPr>
          <w:sz w:val="24"/>
          <w:szCs w:val="24"/>
        </w:rPr>
        <w:t xml:space="preserve">  But </w:t>
      </w:r>
      <w:r>
        <w:rPr>
          <w:sz w:val="24"/>
          <w:szCs w:val="24"/>
        </w:rPr>
        <w:t xml:space="preserve">in </w:t>
      </w:r>
      <w:r w:rsidR="008C7C67" w:rsidRPr="006A40B8">
        <w:rPr>
          <w:sz w:val="24"/>
          <w:szCs w:val="24"/>
        </w:rPr>
        <w:t xml:space="preserve">either </w:t>
      </w:r>
      <w:r>
        <w:rPr>
          <w:sz w:val="24"/>
          <w:szCs w:val="24"/>
        </w:rPr>
        <w:t>case</w:t>
      </w:r>
      <w:r w:rsidR="008C7C67" w:rsidRPr="006A40B8">
        <w:rPr>
          <w:sz w:val="24"/>
          <w:szCs w:val="24"/>
        </w:rPr>
        <w:t xml:space="preserve">, if the economy evolves in a way that </w:t>
      </w:r>
      <w:r w:rsidR="00D72D19" w:rsidRPr="006A40B8">
        <w:rPr>
          <w:sz w:val="24"/>
          <w:szCs w:val="24"/>
        </w:rPr>
        <w:t xml:space="preserve">was not anticipated, </w:t>
      </w:r>
      <w:r w:rsidR="008C7C67" w:rsidRPr="006A40B8">
        <w:rPr>
          <w:sz w:val="24"/>
          <w:szCs w:val="24"/>
        </w:rPr>
        <w:t xml:space="preserve">the </w:t>
      </w:r>
      <w:r w:rsidR="00D72D19" w:rsidRPr="006A40B8">
        <w:rPr>
          <w:sz w:val="24"/>
          <w:szCs w:val="24"/>
        </w:rPr>
        <w:t xml:space="preserve">ex ante pronouncement may act </w:t>
      </w:r>
      <w:r>
        <w:rPr>
          <w:sz w:val="24"/>
          <w:szCs w:val="24"/>
        </w:rPr>
        <w:t xml:space="preserve">ex post as a </w:t>
      </w:r>
      <w:r w:rsidR="00D72D19" w:rsidRPr="006A40B8">
        <w:rPr>
          <w:sz w:val="24"/>
          <w:szCs w:val="24"/>
        </w:rPr>
        <w:t>constraint on policy decisions</w:t>
      </w:r>
      <w:r>
        <w:rPr>
          <w:sz w:val="24"/>
          <w:szCs w:val="24"/>
        </w:rPr>
        <w:t xml:space="preserve"> </w:t>
      </w:r>
      <w:r w:rsidR="00BE02EF">
        <w:rPr>
          <w:sz w:val="24"/>
          <w:szCs w:val="24"/>
        </w:rPr>
        <w:t xml:space="preserve">in ways </w:t>
      </w:r>
      <w:r>
        <w:rPr>
          <w:sz w:val="24"/>
          <w:szCs w:val="24"/>
        </w:rPr>
        <w:t xml:space="preserve">that intervening events </w:t>
      </w:r>
      <w:r w:rsidR="00EC7F0A">
        <w:rPr>
          <w:sz w:val="24"/>
          <w:szCs w:val="24"/>
        </w:rPr>
        <w:t xml:space="preserve">have rendered </w:t>
      </w:r>
      <w:r>
        <w:rPr>
          <w:sz w:val="24"/>
          <w:szCs w:val="24"/>
        </w:rPr>
        <w:t>unwelcome</w:t>
      </w:r>
      <w:r w:rsidR="00D72D19" w:rsidRPr="006A40B8">
        <w:rPr>
          <w:sz w:val="24"/>
          <w:szCs w:val="24"/>
        </w:rPr>
        <w:t>.</w:t>
      </w:r>
    </w:p>
    <w:p w:rsidR="003E0D05" w:rsidRPr="006A40B8" w:rsidRDefault="000561AF" w:rsidP="006A40B8">
      <w:pPr>
        <w:spacing w:line="360" w:lineRule="auto"/>
        <w:rPr>
          <w:sz w:val="24"/>
          <w:szCs w:val="24"/>
        </w:rPr>
      </w:pPr>
      <w:r w:rsidRPr="006A40B8">
        <w:rPr>
          <w:sz w:val="24"/>
          <w:szCs w:val="24"/>
        </w:rPr>
        <w:t xml:space="preserve"> </w:t>
      </w:r>
      <w:r w:rsidR="0004308F" w:rsidRPr="006A40B8">
        <w:rPr>
          <w:sz w:val="24"/>
          <w:szCs w:val="24"/>
        </w:rPr>
        <w:tab/>
      </w:r>
      <w:r w:rsidRPr="006A40B8">
        <w:rPr>
          <w:sz w:val="24"/>
          <w:szCs w:val="24"/>
        </w:rPr>
        <w:t>I am increasingly convinced that the constraint must be very loose.</w:t>
      </w:r>
      <w:r w:rsidR="000F69CA" w:rsidRPr="006A40B8">
        <w:rPr>
          <w:sz w:val="24"/>
          <w:szCs w:val="24"/>
        </w:rPr>
        <w:t xml:space="preserve">  Central bankers chronically end up unable to fulfill commitments to nominal targets, rules, or even their own forward guidance.  The reason, in most cases, is </w:t>
      </w:r>
      <w:r w:rsidR="00AD7CC4">
        <w:rPr>
          <w:sz w:val="24"/>
          <w:szCs w:val="24"/>
        </w:rPr>
        <w:t xml:space="preserve">not </w:t>
      </w:r>
      <w:r w:rsidR="000F69CA" w:rsidRPr="006A40B8">
        <w:rPr>
          <w:sz w:val="24"/>
          <w:szCs w:val="24"/>
        </w:rPr>
        <w:t>that they are insincere, but rather that unforeseen shocks come alon</w:t>
      </w:r>
      <w:r w:rsidR="00AD7CC4">
        <w:rPr>
          <w:sz w:val="24"/>
          <w:szCs w:val="24"/>
        </w:rPr>
        <w:t>g after the policy is set.  These shocks</w:t>
      </w:r>
      <w:r w:rsidR="000F69CA" w:rsidRPr="006A40B8">
        <w:rPr>
          <w:sz w:val="24"/>
          <w:szCs w:val="24"/>
        </w:rPr>
        <w:t xml:space="preserve"> can make it highly undesirable to stick with the target or, in some cases, </w:t>
      </w:r>
      <w:r w:rsidR="007F4CB3">
        <w:rPr>
          <w:sz w:val="24"/>
          <w:szCs w:val="24"/>
        </w:rPr>
        <w:t xml:space="preserve">make it </w:t>
      </w:r>
      <w:r w:rsidR="000F69CA" w:rsidRPr="006A40B8">
        <w:rPr>
          <w:sz w:val="24"/>
          <w:szCs w:val="24"/>
        </w:rPr>
        <w:t>impossible.</w:t>
      </w:r>
    </w:p>
    <w:p w:rsidR="0004308F" w:rsidRPr="006A40B8" w:rsidRDefault="0004308F" w:rsidP="006A40B8">
      <w:pPr>
        <w:spacing w:line="360" w:lineRule="auto"/>
        <w:ind w:firstLine="720"/>
        <w:rPr>
          <w:sz w:val="24"/>
          <w:szCs w:val="24"/>
        </w:rPr>
      </w:pPr>
    </w:p>
    <w:p w:rsidR="0004308F" w:rsidRPr="006A40B8" w:rsidRDefault="0067662F" w:rsidP="007E2DEB">
      <w:pPr>
        <w:spacing w:line="360" w:lineRule="auto"/>
        <w:rPr>
          <w:b/>
          <w:sz w:val="24"/>
          <w:szCs w:val="24"/>
        </w:rPr>
      </w:pPr>
      <w:r>
        <w:rPr>
          <w:b/>
          <w:sz w:val="24"/>
          <w:szCs w:val="24"/>
        </w:rPr>
        <w:t>Satisfy</w:t>
      </w:r>
      <w:r w:rsidR="007E2DEB">
        <w:rPr>
          <w:b/>
          <w:sz w:val="24"/>
          <w:szCs w:val="24"/>
        </w:rPr>
        <w:t xml:space="preserve">ing </w:t>
      </w:r>
      <w:r>
        <w:rPr>
          <w:b/>
          <w:sz w:val="24"/>
          <w:szCs w:val="24"/>
        </w:rPr>
        <w:t>c</w:t>
      </w:r>
      <w:r w:rsidR="0004308F" w:rsidRPr="006A40B8">
        <w:rPr>
          <w:b/>
          <w:sz w:val="24"/>
          <w:szCs w:val="24"/>
        </w:rPr>
        <w:t xml:space="preserve">onstraints is </w:t>
      </w:r>
      <w:r>
        <w:rPr>
          <w:b/>
          <w:sz w:val="24"/>
          <w:szCs w:val="24"/>
        </w:rPr>
        <w:t>h</w:t>
      </w:r>
      <w:r w:rsidR="0004308F" w:rsidRPr="006A40B8">
        <w:rPr>
          <w:b/>
          <w:sz w:val="24"/>
          <w:szCs w:val="24"/>
        </w:rPr>
        <w:t xml:space="preserve">arder than it </w:t>
      </w:r>
      <w:r>
        <w:rPr>
          <w:b/>
          <w:sz w:val="24"/>
          <w:szCs w:val="24"/>
        </w:rPr>
        <w:t>s</w:t>
      </w:r>
      <w:r w:rsidR="0004308F" w:rsidRPr="006A40B8">
        <w:rPr>
          <w:b/>
          <w:sz w:val="24"/>
          <w:szCs w:val="24"/>
        </w:rPr>
        <w:t>ounds</w:t>
      </w:r>
    </w:p>
    <w:p w:rsidR="0004308F" w:rsidRPr="006A40B8" w:rsidRDefault="007F10E2" w:rsidP="006A40B8">
      <w:pPr>
        <w:spacing w:line="360" w:lineRule="auto"/>
        <w:ind w:firstLine="720"/>
        <w:rPr>
          <w:sz w:val="24"/>
          <w:szCs w:val="24"/>
        </w:rPr>
      </w:pPr>
      <w:r w:rsidRPr="006A40B8">
        <w:rPr>
          <w:sz w:val="24"/>
          <w:szCs w:val="24"/>
        </w:rPr>
        <w:t>Consider</w:t>
      </w:r>
      <w:r w:rsidR="00725342" w:rsidRPr="006A40B8">
        <w:rPr>
          <w:sz w:val="24"/>
          <w:szCs w:val="24"/>
        </w:rPr>
        <w:t xml:space="preserve"> a selection of</w:t>
      </w:r>
      <w:r w:rsidRPr="006A40B8">
        <w:rPr>
          <w:sz w:val="24"/>
          <w:szCs w:val="24"/>
        </w:rPr>
        <w:t xml:space="preserve"> </w:t>
      </w:r>
      <w:r w:rsidR="00AD7CC4">
        <w:rPr>
          <w:sz w:val="24"/>
          <w:szCs w:val="24"/>
        </w:rPr>
        <w:t xml:space="preserve">possible </w:t>
      </w:r>
      <w:r w:rsidRPr="006A40B8">
        <w:rPr>
          <w:sz w:val="24"/>
          <w:szCs w:val="24"/>
        </w:rPr>
        <w:t>examples</w:t>
      </w:r>
      <w:r w:rsidR="00725342" w:rsidRPr="006A40B8">
        <w:rPr>
          <w:sz w:val="24"/>
          <w:szCs w:val="24"/>
        </w:rPr>
        <w:t>, out of many, where central banks were unable to fulfill commitments.  S</w:t>
      </w:r>
      <w:r w:rsidRPr="006A40B8">
        <w:rPr>
          <w:sz w:val="24"/>
          <w:szCs w:val="24"/>
        </w:rPr>
        <w:t xml:space="preserve">tart with nominal targets, such as fixing the price of gold, the exchange rate, the money growth rate, or the inflation rate.  </w:t>
      </w:r>
    </w:p>
    <w:p w:rsidR="000243D7" w:rsidRDefault="007F10E2" w:rsidP="006A40B8">
      <w:pPr>
        <w:spacing w:line="360" w:lineRule="auto"/>
        <w:ind w:firstLine="720"/>
        <w:rPr>
          <w:sz w:val="24"/>
          <w:szCs w:val="24"/>
        </w:rPr>
      </w:pPr>
      <w:r w:rsidRPr="006A40B8">
        <w:rPr>
          <w:sz w:val="24"/>
          <w:szCs w:val="24"/>
        </w:rPr>
        <w:t xml:space="preserve">When </w:t>
      </w:r>
      <w:r w:rsidR="0004308F" w:rsidRPr="006A40B8">
        <w:rPr>
          <w:sz w:val="24"/>
          <w:szCs w:val="24"/>
        </w:rPr>
        <w:t xml:space="preserve">Milton Friedman </w:t>
      </w:r>
      <w:r w:rsidR="003E1231">
        <w:rPr>
          <w:sz w:val="24"/>
          <w:szCs w:val="24"/>
        </w:rPr>
        <w:t xml:space="preserve">(1948) </w:t>
      </w:r>
      <w:r w:rsidRPr="006A40B8">
        <w:rPr>
          <w:sz w:val="24"/>
          <w:szCs w:val="24"/>
        </w:rPr>
        <w:t>argued for rules over discretion, the rule that he had in mind was a fixed rate of growth of th</w:t>
      </w:r>
      <w:r w:rsidR="00B21210">
        <w:rPr>
          <w:sz w:val="24"/>
          <w:szCs w:val="24"/>
        </w:rPr>
        <w:t>e money supply.  H</w:t>
      </w:r>
      <w:r w:rsidRPr="006A40B8">
        <w:rPr>
          <w:sz w:val="24"/>
          <w:szCs w:val="24"/>
        </w:rPr>
        <w:t>e temporarily won the debate</w:t>
      </w:r>
      <w:r w:rsidR="00B21210">
        <w:rPr>
          <w:sz w:val="24"/>
          <w:szCs w:val="24"/>
        </w:rPr>
        <w:t xml:space="preserve"> in 1980</w:t>
      </w:r>
      <w:r w:rsidRPr="006A40B8">
        <w:rPr>
          <w:sz w:val="24"/>
          <w:szCs w:val="24"/>
        </w:rPr>
        <w:t>.  But the Fed wa</w:t>
      </w:r>
      <w:r w:rsidR="004340E6">
        <w:rPr>
          <w:sz w:val="24"/>
          <w:szCs w:val="24"/>
        </w:rPr>
        <w:t xml:space="preserve">s forced to abandon its </w:t>
      </w:r>
      <w:r w:rsidRPr="006A40B8">
        <w:rPr>
          <w:sz w:val="24"/>
          <w:szCs w:val="24"/>
        </w:rPr>
        <w:t>experiment with monetarism</w:t>
      </w:r>
      <w:r w:rsidR="004340E6">
        <w:rPr>
          <w:sz w:val="24"/>
          <w:szCs w:val="24"/>
        </w:rPr>
        <w:t xml:space="preserve"> in 1982</w:t>
      </w:r>
      <w:r w:rsidRPr="006A40B8">
        <w:rPr>
          <w:sz w:val="24"/>
          <w:szCs w:val="24"/>
        </w:rPr>
        <w:t xml:space="preserve">, because of a big increase in the demand for money.  Velocity shocks render money targets unworkable.  </w:t>
      </w:r>
    </w:p>
    <w:p w:rsidR="007F10E2" w:rsidRPr="006A40B8" w:rsidRDefault="007F10E2" w:rsidP="006A40B8">
      <w:pPr>
        <w:spacing w:line="360" w:lineRule="auto"/>
        <w:ind w:firstLine="720"/>
        <w:rPr>
          <w:sz w:val="24"/>
          <w:szCs w:val="24"/>
        </w:rPr>
      </w:pPr>
      <w:r w:rsidRPr="006A40B8">
        <w:rPr>
          <w:sz w:val="24"/>
          <w:szCs w:val="24"/>
        </w:rPr>
        <w:t>To take an example from abroad, the Bundesbank continued to pay lip service to M1</w:t>
      </w:r>
      <w:r w:rsidR="003C6097">
        <w:rPr>
          <w:sz w:val="24"/>
          <w:szCs w:val="24"/>
        </w:rPr>
        <w:t xml:space="preserve"> targets </w:t>
      </w:r>
      <w:r w:rsidR="000243D7">
        <w:rPr>
          <w:sz w:val="24"/>
          <w:szCs w:val="24"/>
        </w:rPr>
        <w:t>until</w:t>
      </w:r>
      <w:r w:rsidR="003C6097">
        <w:rPr>
          <w:sz w:val="24"/>
          <w:szCs w:val="24"/>
        </w:rPr>
        <w:t xml:space="preserve"> the end of its life, </w:t>
      </w:r>
      <w:r w:rsidRPr="006A40B8">
        <w:rPr>
          <w:sz w:val="24"/>
          <w:szCs w:val="24"/>
        </w:rPr>
        <w:t xml:space="preserve">but usually missed its targets.  </w:t>
      </w:r>
      <w:r w:rsidR="003C6097">
        <w:rPr>
          <w:sz w:val="24"/>
          <w:szCs w:val="24"/>
        </w:rPr>
        <w:t xml:space="preserve">The same is true of </w:t>
      </w:r>
      <w:r w:rsidRPr="006A40B8">
        <w:rPr>
          <w:sz w:val="24"/>
          <w:szCs w:val="24"/>
        </w:rPr>
        <w:t>other</w:t>
      </w:r>
      <w:r w:rsidR="003C6097">
        <w:rPr>
          <w:sz w:val="24"/>
          <w:szCs w:val="24"/>
        </w:rPr>
        <w:t xml:space="preserve"> countrie</w:t>
      </w:r>
      <w:r w:rsidRPr="006A40B8">
        <w:rPr>
          <w:sz w:val="24"/>
          <w:szCs w:val="24"/>
        </w:rPr>
        <w:t>s today</w:t>
      </w:r>
      <w:r w:rsidR="00674F5A" w:rsidRPr="006A40B8">
        <w:rPr>
          <w:sz w:val="24"/>
          <w:szCs w:val="24"/>
        </w:rPr>
        <w:t xml:space="preserve"> </w:t>
      </w:r>
      <w:r w:rsidR="00632279" w:rsidRPr="006A40B8">
        <w:rPr>
          <w:sz w:val="24"/>
          <w:szCs w:val="24"/>
        </w:rPr>
        <w:t>that</w:t>
      </w:r>
      <w:r w:rsidR="00674F5A" w:rsidRPr="006A40B8">
        <w:rPr>
          <w:sz w:val="24"/>
          <w:szCs w:val="24"/>
        </w:rPr>
        <w:t xml:space="preserve"> still cite the money supply</w:t>
      </w:r>
      <w:r w:rsidR="003C6097">
        <w:rPr>
          <w:sz w:val="24"/>
          <w:szCs w:val="24"/>
        </w:rPr>
        <w:t xml:space="preserve"> when the IMF requires them to </w:t>
      </w:r>
      <w:r w:rsidR="008904FA">
        <w:rPr>
          <w:sz w:val="24"/>
          <w:szCs w:val="24"/>
        </w:rPr>
        <w:t>declare</w:t>
      </w:r>
      <w:r w:rsidR="003C6097">
        <w:rPr>
          <w:sz w:val="24"/>
          <w:szCs w:val="24"/>
        </w:rPr>
        <w:t xml:space="preserve"> </w:t>
      </w:r>
      <w:r w:rsidR="00674F5A" w:rsidRPr="006A40B8">
        <w:rPr>
          <w:sz w:val="24"/>
          <w:szCs w:val="24"/>
        </w:rPr>
        <w:t>their nominal anchor</w:t>
      </w:r>
      <w:r w:rsidRPr="006A40B8">
        <w:rPr>
          <w:sz w:val="24"/>
          <w:szCs w:val="24"/>
        </w:rPr>
        <w:t>.</w:t>
      </w:r>
      <w:r w:rsidR="0004308F" w:rsidRPr="006A40B8">
        <w:rPr>
          <w:sz w:val="24"/>
          <w:szCs w:val="24"/>
        </w:rPr>
        <w:t xml:space="preserve"> </w:t>
      </w:r>
      <w:r w:rsidRPr="006A40B8">
        <w:rPr>
          <w:sz w:val="24"/>
          <w:szCs w:val="24"/>
        </w:rPr>
        <w:t xml:space="preserve"> Late in </w:t>
      </w:r>
      <w:r w:rsidR="00BE5E20">
        <w:rPr>
          <w:sz w:val="24"/>
          <w:szCs w:val="24"/>
        </w:rPr>
        <w:t xml:space="preserve">his </w:t>
      </w:r>
      <w:r w:rsidRPr="006A40B8">
        <w:rPr>
          <w:sz w:val="24"/>
          <w:szCs w:val="24"/>
        </w:rPr>
        <w:t xml:space="preserve">life Friedman admitted that he had overestimated the stability of the money demand function.  </w:t>
      </w:r>
    </w:p>
    <w:p w:rsidR="003E0D05" w:rsidRDefault="00E71B3E" w:rsidP="006A40B8">
      <w:pPr>
        <w:spacing w:line="360" w:lineRule="auto"/>
        <w:ind w:firstLine="720"/>
        <w:rPr>
          <w:sz w:val="24"/>
          <w:szCs w:val="24"/>
        </w:rPr>
      </w:pPr>
      <w:r w:rsidRPr="006A40B8">
        <w:rPr>
          <w:sz w:val="24"/>
          <w:szCs w:val="24"/>
        </w:rPr>
        <w:lastRenderedPageBreak/>
        <w:t>Consider, second, inflation targeting (IT).</w:t>
      </w:r>
      <w:r w:rsidR="00BA725D">
        <w:rPr>
          <w:rStyle w:val="FootnoteReference"/>
          <w:sz w:val="24"/>
          <w:szCs w:val="24"/>
        </w:rPr>
        <w:footnoteReference w:id="2"/>
      </w:r>
      <w:r w:rsidRPr="006A40B8">
        <w:rPr>
          <w:sz w:val="24"/>
          <w:szCs w:val="24"/>
        </w:rPr>
        <w:t xml:space="preserve">  Inflation targeters also</w:t>
      </w:r>
      <w:r w:rsidR="00BE5E20">
        <w:rPr>
          <w:sz w:val="24"/>
          <w:szCs w:val="24"/>
        </w:rPr>
        <w:t xml:space="preserve"> chronically miss their targets.  T</w:t>
      </w:r>
      <w:r w:rsidRPr="006A40B8">
        <w:rPr>
          <w:sz w:val="24"/>
          <w:szCs w:val="24"/>
        </w:rPr>
        <w:t xml:space="preserve">raditionally </w:t>
      </w:r>
      <w:r w:rsidR="00BE5E20">
        <w:rPr>
          <w:sz w:val="24"/>
          <w:szCs w:val="24"/>
        </w:rPr>
        <w:t xml:space="preserve">they have missed </w:t>
      </w:r>
      <w:r w:rsidRPr="006A40B8">
        <w:rPr>
          <w:sz w:val="24"/>
          <w:szCs w:val="24"/>
        </w:rPr>
        <w:t>on the upside</w:t>
      </w:r>
      <w:r w:rsidR="00BE5E20">
        <w:rPr>
          <w:sz w:val="24"/>
          <w:szCs w:val="24"/>
        </w:rPr>
        <w:t>, failing to bring inflation down as much as promised</w:t>
      </w:r>
      <w:r w:rsidRPr="006A40B8">
        <w:rPr>
          <w:sz w:val="24"/>
          <w:szCs w:val="24"/>
        </w:rPr>
        <w:t xml:space="preserve">.  </w:t>
      </w:r>
      <w:r w:rsidR="00BE5E20">
        <w:rPr>
          <w:sz w:val="24"/>
          <w:szCs w:val="24"/>
        </w:rPr>
        <w:t>But s</w:t>
      </w:r>
      <w:r w:rsidRPr="006A40B8">
        <w:rPr>
          <w:sz w:val="24"/>
          <w:szCs w:val="24"/>
        </w:rPr>
        <w:t xml:space="preserve">ince the 2008 crisis, advanced countries have missed their targets on the </w:t>
      </w:r>
      <w:r w:rsidRPr="006A40B8">
        <w:rPr>
          <w:i/>
          <w:iCs/>
          <w:sz w:val="24"/>
          <w:szCs w:val="24"/>
        </w:rPr>
        <w:t>downside</w:t>
      </w:r>
      <w:r w:rsidR="004E341F" w:rsidRPr="004E341F">
        <w:rPr>
          <w:iCs/>
          <w:sz w:val="24"/>
          <w:szCs w:val="24"/>
        </w:rPr>
        <w:t>,</w:t>
      </w:r>
      <w:r w:rsidR="00BE5E20">
        <w:rPr>
          <w:iCs/>
          <w:sz w:val="24"/>
          <w:szCs w:val="24"/>
        </w:rPr>
        <w:t xml:space="preserve"> failing to bring inflation up as much as </w:t>
      </w:r>
      <w:proofErr w:type="gramStart"/>
      <w:r w:rsidR="00BE5E20">
        <w:rPr>
          <w:iCs/>
          <w:sz w:val="24"/>
          <w:szCs w:val="24"/>
        </w:rPr>
        <w:t>promised</w:t>
      </w:r>
      <w:r w:rsidRPr="006A40B8">
        <w:rPr>
          <w:sz w:val="24"/>
          <w:szCs w:val="24"/>
        </w:rPr>
        <w:t xml:space="preserve">  The</w:t>
      </w:r>
      <w:proofErr w:type="gramEnd"/>
      <w:r w:rsidRPr="006A40B8">
        <w:rPr>
          <w:sz w:val="24"/>
          <w:szCs w:val="24"/>
        </w:rPr>
        <w:t xml:space="preserve"> US undershot its inflation target for 10 years</w:t>
      </w:r>
      <w:r w:rsidR="00BE5E20">
        <w:rPr>
          <w:sz w:val="24"/>
          <w:szCs w:val="24"/>
        </w:rPr>
        <w:t xml:space="preserve"> following the great recession</w:t>
      </w:r>
      <w:r w:rsidRPr="006A40B8">
        <w:rPr>
          <w:sz w:val="24"/>
          <w:szCs w:val="24"/>
        </w:rPr>
        <w:t>, despite quadrupling the monetary base a</w:t>
      </w:r>
      <w:r w:rsidR="006A40B8" w:rsidRPr="006A40B8">
        <w:rPr>
          <w:sz w:val="24"/>
          <w:szCs w:val="24"/>
        </w:rPr>
        <w:t xml:space="preserve">nd – eventually – re-attaining </w:t>
      </w:r>
      <w:r w:rsidR="00BE5E20">
        <w:rPr>
          <w:sz w:val="24"/>
          <w:szCs w:val="24"/>
        </w:rPr>
        <w:t>full employment anyway.</w:t>
      </w:r>
      <w:r w:rsidR="00767300">
        <w:rPr>
          <w:sz w:val="24"/>
          <w:szCs w:val="24"/>
        </w:rPr>
        <w:t xml:space="preserve">  </w:t>
      </w:r>
      <w:r w:rsidR="00767300" w:rsidRPr="006A40B8">
        <w:rPr>
          <w:sz w:val="24"/>
          <w:szCs w:val="24"/>
        </w:rPr>
        <w:t xml:space="preserve">Japan made an all-out commitment in 2013 to raising </w:t>
      </w:r>
      <w:r w:rsidR="00767300">
        <w:rPr>
          <w:sz w:val="24"/>
          <w:szCs w:val="24"/>
        </w:rPr>
        <w:t>its</w:t>
      </w:r>
      <w:r w:rsidR="00767300" w:rsidRPr="006A40B8">
        <w:rPr>
          <w:sz w:val="24"/>
          <w:szCs w:val="24"/>
        </w:rPr>
        <w:t xml:space="preserve"> inflation rate to 2%.</w:t>
      </w:r>
      <w:r w:rsidR="00767300">
        <w:rPr>
          <w:sz w:val="24"/>
          <w:szCs w:val="24"/>
        </w:rPr>
        <w:t xml:space="preserve">  </w:t>
      </w:r>
      <w:r w:rsidR="00767300" w:rsidRPr="006A40B8">
        <w:rPr>
          <w:sz w:val="24"/>
          <w:szCs w:val="24"/>
        </w:rPr>
        <w:t>This was the centerpiece of Abenomics, the platform o</w:t>
      </w:r>
      <w:r w:rsidR="00767300">
        <w:rPr>
          <w:sz w:val="24"/>
          <w:szCs w:val="24"/>
        </w:rPr>
        <w:t>n which</w:t>
      </w:r>
      <w:r w:rsidR="00767300" w:rsidRPr="006A40B8">
        <w:rPr>
          <w:sz w:val="24"/>
          <w:szCs w:val="24"/>
        </w:rPr>
        <w:t xml:space="preserve"> the new government</w:t>
      </w:r>
      <w:r w:rsidR="00767300">
        <w:rPr>
          <w:sz w:val="24"/>
          <w:szCs w:val="24"/>
        </w:rPr>
        <w:t xml:space="preserve"> had come to office</w:t>
      </w:r>
      <w:r w:rsidR="00767300" w:rsidRPr="006A40B8">
        <w:rPr>
          <w:sz w:val="24"/>
          <w:szCs w:val="24"/>
        </w:rPr>
        <w:t xml:space="preserve">.  </w:t>
      </w:r>
      <w:r w:rsidR="00767300">
        <w:rPr>
          <w:sz w:val="24"/>
          <w:szCs w:val="24"/>
        </w:rPr>
        <w:t>Yet five</w:t>
      </w:r>
      <w:r w:rsidR="00767300" w:rsidRPr="006A40B8">
        <w:rPr>
          <w:sz w:val="24"/>
          <w:szCs w:val="24"/>
        </w:rPr>
        <w:t xml:space="preserve"> years later, Japan </w:t>
      </w:r>
      <w:r w:rsidR="00767300">
        <w:rPr>
          <w:sz w:val="24"/>
          <w:szCs w:val="24"/>
        </w:rPr>
        <w:t xml:space="preserve">still </w:t>
      </w:r>
      <w:r w:rsidR="00767300" w:rsidRPr="006A40B8">
        <w:rPr>
          <w:sz w:val="24"/>
          <w:szCs w:val="24"/>
        </w:rPr>
        <w:t>hasn’t even achieved 1%</w:t>
      </w:r>
      <w:r w:rsidR="00767300">
        <w:rPr>
          <w:sz w:val="24"/>
          <w:szCs w:val="24"/>
        </w:rPr>
        <w:t xml:space="preserve"> inflation, let alone 2%.</w:t>
      </w:r>
    </w:p>
    <w:p w:rsidR="00983D2E" w:rsidRDefault="003E752E" w:rsidP="006A40B8">
      <w:pPr>
        <w:spacing w:line="360" w:lineRule="auto"/>
        <w:ind w:firstLine="720"/>
        <w:rPr>
          <w:sz w:val="24"/>
          <w:szCs w:val="24"/>
        </w:rPr>
      </w:pPr>
      <w:r>
        <w:rPr>
          <w:sz w:val="24"/>
          <w:szCs w:val="24"/>
        </w:rPr>
        <w:t>P</w:t>
      </w:r>
      <w:r w:rsidRPr="006A40B8">
        <w:rPr>
          <w:sz w:val="24"/>
          <w:szCs w:val="24"/>
        </w:rPr>
        <w:t>rice level target</w:t>
      </w:r>
      <w:r w:rsidR="00B346D0">
        <w:rPr>
          <w:sz w:val="24"/>
          <w:szCs w:val="24"/>
        </w:rPr>
        <w:t xml:space="preserve">ing </w:t>
      </w:r>
      <w:r>
        <w:rPr>
          <w:sz w:val="24"/>
          <w:szCs w:val="24"/>
        </w:rPr>
        <w:t>has been proposed as an</w:t>
      </w:r>
      <w:r w:rsidRPr="006A40B8">
        <w:rPr>
          <w:sz w:val="24"/>
          <w:szCs w:val="24"/>
        </w:rPr>
        <w:t xml:space="preserve"> </w:t>
      </w:r>
      <w:r w:rsidR="00B346D0">
        <w:rPr>
          <w:sz w:val="24"/>
          <w:szCs w:val="24"/>
        </w:rPr>
        <w:t>a</w:t>
      </w:r>
      <w:r>
        <w:rPr>
          <w:sz w:val="24"/>
          <w:szCs w:val="24"/>
        </w:rPr>
        <w:t>lternative</w:t>
      </w:r>
      <w:r w:rsidR="00BE5E20">
        <w:rPr>
          <w:sz w:val="24"/>
          <w:szCs w:val="24"/>
        </w:rPr>
        <w:t xml:space="preserve"> to inflation targeting</w:t>
      </w:r>
      <w:r>
        <w:rPr>
          <w:sz w:val="24"/>
          <w:szCs w:val="24"/>
        </w:rPr>
        <w:t>,</w:t>
      </w:r>
      <w:r w:rsidR="00B346D0">
        <w:rPr>
          <w:sz w:val="24"/>
          <w:szCs w:val="24"/>
        </w:rPr>
        <w:t xml:space="preserve"> </w:t>
      </w:r>
      <w:proofErr w:type="gramStart"/>
      <w:r w:rsidR="00B346D0">
        <w:rPr>
          <w:sz w:val="24"/>
          <w:szCs w:val="24"/>
        </w:rPr>
        <w:t xml:space="preserve">but </w:t>
      </w:r>
      <w:r>
        <w:rPr>
          <w:sz w:val="24"/>
          <w:szCs w:val="24"/>
        </w:rPr>
        <w:t xml:space="preserve"> </w:t>
      </w:r>
      <w:r w:rsidR="00E71B3E" w:rsidRPr="006A40B8">
        <w:rPr>
          <w:sz w:val="24"/>
          <w:szCs w:val="24"/>
        </w:rPr>
        <w:t>would</w:t>
      </w:r>
      <w:proofErr w:type="gramEnd"/>
      <w:r w:rsidR="00E71B3E" w:rsidRPr="006A40B8">
        <w:rPr>
          <w:sz w:val="24"/>
          <w:szCs w:val="24"/>
        </w:rPr>
        <w:t xml:space="preserve"> be even less credible</w:t>
      </w:r>
      <w:r w:rsidR="003E3215">
        <w:rPr>
          <w:sz w:val="24"/>
          <w:szCs w:val="24"/>
        </w:rPr>
        <w:t>, it seems to me</w:t>
      </w:r>
      <w:r w:rsidR="00E71B3E" w:rsidRPr="006A40B8">
        <w:rPr>
          <w:sz w:val="24"/>
          <w:szCs w:val="24"/>
        </w:rPr>
        <w:t>.  Yes, it</w:t>
      </w:r>
      <w:r w:rsidR="00BE5E20">
        <w:rPr>
          <w:sz w:val="24"/>
          <w:szCs w:val="24"/>
        </w:rPr>
        <w:t xml:space="preserve"> is true that in a</w:t>
      </w:r>
      <w:r w:rsidR="00E71B3E" w:rsidRPr="006A40B8">
        <w:rPr>
          <w:sz w:val="24"/>
          <w:szCs w:val="24"/>
        </w:rPr>
        <w:t xml:space="preserve"> deflationary episode</w:t>
      </w:r>
      <w:r w:rsidR="00BE5E20">
        <w:rPr>
          <w:sz w:val="24"/>
          <w:szCs w:val="24"/>
        </w:rPr>
        <w:t xml:space="preserve"> such as 2008-09, a price level target cleverly gets expectations working in a more powerful way</w:t>
      </w:r>
      <w:r w:rsidR="00FB0075">
        <w:rPr>
          <w:sz w:val="24"/>
          <w:szCs w:val="24"/>
        </w:rPr>
        <w:t>, if one assumes that the targets are believed</w:t>
      </w:r>
      <w:r w:rsidR="00983D2E">
        <w:rPr>
          <w:sz w:val="24"/>
          <w:szCs w:val="24"/>
        </w:rPr>
        <w:t xml:space="preserve">. </w:t>
      </w:r>
      <w:r w:rsidR="00BE5E20">
        <w:rPr>
          <w:sz w:val="24"/>
          <w:szCs w:val="24"/>
        </w:rPr>
        <w:t>[</w:t>
      </w:r>
      <w:r w:rsidR="00983D2E">
        <w:rPr>
          <w:sz w:val="24"/>
          <w:szCs w:val="24"/>
        </w:rPr>
        <w:t>T</w:t>
      </w:r>
      <w:r w:rsidR="00BE5E20">
        <w:rPr>
          <w:sz w:val="24"/>
          <w:szCs w:val="24"/>
        </w:rPr>
        <w:t xml:space="preserve">he </w:t>
      </w:r>
      <w:r w:rsidR="00983D2E">
        <w:rPr>
          <w:sz w:val="24"/>
          <w:szCs w:val="24"/>
        </w:rPr>
        <w:t xml:space="preserve">price level </w:t>
      </w:r>
      <w:r w:rsidR="00BE5E20">
        <w:rPr>
          <w:sz w:val="24"/>
          <w:szCs w:val="24"/>
        </w:rPr>
        <w:t xml:space="preserve">target </w:t>
      </w:r>
      <w:r w:rsidR="00983D2E">
        <w:rPr>
          <w:sz w:val="24"/>
          <w:szCs w:val="24"/>
        </w:rPr>
        <w:t>requires that the central bank makes up for misses, while</w:t>
      </w:r>
      <w:r w:rsidR="00BE5E20">
        <w:rPr>
          <w:sz w:val="24"/>
          <w:szCs w:val="24"/>
        </w:rPr>
        <w:t xml:space="preserve"> </w:t>
      </w:r>
      <w:r w:rsidR="00632279">
        <w:rPr>
          <w:sz w:val="24"/>
          <w:szCs w:val="24"/>
        </w:rPr>
        <w:t>an inflation</w:t>
      </w:r>
      <w:r w:rsidR="00BE5E20">
        <w:rPr>
          <w:sz w:val="24"/>
          <w:szCs w:val="24"/>
        </w:rPr>
        <w:t xml:space="preserve"> target </w:t>
      </w:r>
      <w:r w:rsidR="00983D2E">
        <w:rPr>
          <w:sz w:val="24"/>
          <w:szCs w:val="24"/>
        </w:rPr>
        <w:t>lets bygones be bygones</w:t>
      </w:r>
      <w:r w:rsidR="00FB0075">
        <w:rPr>
          <w:sz w:val="24"/>
          <w:szCs w:val="24"/>
        </w:rPr>
        <w:t>.]</w:t>
      </w:r>
      <w:r w:rsidR="00BE5E20">
        <w:rPr>
          <w:sz w:val="24"/>
          <w:szCs w:val="24"/>
        </w:rPr>
        <w:t xml:space="preserve">  But why should such the public believe such a target?</w:t>
      </w:r>
    </w:p>
    <w:p w:rsidR="003E0D05" w:rsidRDefault="00BE5E20" w:rsidP="006A40B8">
      <w:pPr>
        <w:spacing w:line="360" w:lineRule="auto"/>
        <w:ind w:firstLine="720"/>
        <w:rPr>
          <w:sz w:val="24"/>
          <w:szCs w:val="24"/>
        </w:rPr>
      </w:pPr>
      <w:r>
        <w:rPr>
          <w:sz w:val="24"/>
          <w:szCs w:val="24"/>
        </w:rPr>
        <w:t xml:space="preserve">The same is true for proposals to set </w:t>
      </w:r>
      <w:r w:rsidR="0026031D">
        <w:rPr>
          <w:sz w:val="24"/>
          <w:szCs w:val="24"/>
        </w:rPr>
        <w:t>an inflation target of 4% rather than 2</w:t>
      </w:r>
      <w:r w:rsidR="00632279">
        <w:rPr>
          <w:sz w:val="24"/>
          <w:szCs w:val="24"/>
        </w:rPr>
        <w:t>%.</w:t>
      </w:r>
      <w:r w:rsidR="003E3215">
        <w:rPr>
          <w:rStyle w:val="FootnoteReference"/>
          <w:sz w:val="24"/>
          <w:szCs w:val="24"/>
        </w:rPr>
        <w:footnoteReference w:id="3"/>
      </w:r>
      <w:r w:rsidR="0026031D">
        <w:rPr>
          <w:sz w:val="24"/>
          <w:szCs w:val="24"/>
        </w:rPr>
        <w:t xml:space="preserve">  Following a period when central banks have been unable to achieve modest targets like 2% inflation, why should the public find the proclamation of a more aggressive target credible?  </w:t>
      </w:r>
    </w:p>
    <w:p w:rsidR="00E84C8E" w:rsidRDefault="0026031D" w:rsidP="00853CF0">
      <w:pPr>
        <w:spacing w:line="360" w:lineRule="auto"/>
        <w:ind w:firstLine="720"/>
        <w:rPr>
          <w:sz w:val="24"/>
          <w:szCs w:val="24"/>
        </w:rPr>
      </w:pPr>
      <w:r>
        <w:rPr>
          <w:sz w:val="24"/>
          <w:szCs w:val="24"/>
        </w:rPr>
        <w:t xml:space="preserve">One is reminded of a diet plan that targets losing 1 pound the first week, 2 pounds the second week, </w:t>
      </w:r>
      <w:r w:rsidR="00632279">
        <w:rPr>
          <w:sz w:val="24"/>
          <w:szCs w:val="24"/>
        </w:rPr>
        <w:t>etc.</w:t>
      </w:r>
      <w:r>
        <w:rPr>
          <w:sz w:val="24"/>
          <w:szCs w:val="24"/>
        </w:rPr>
        <w:t>, with a stipulation that if the participant fails to</w:t>
      </w:r>
      <w:r w:rsidR="00E06C27">
        <w:rPr>
          <w:sz w:val="24"/>
          <w:szCs w:val="24"/>
        </w:rPr>
        <w:t xml:space="preserve"> lo</w:t>
      </w:r>
      <w:r w:rsidR="00983D2E">
        <w:rPr>
          <w:sz w:val="24"/>
          <w:szCs w:val="24"/>
        </w:rPr>
        <w:t xml:space="preserve">se weight the first week, then </w:t>
      </w:r>
      <w:r w:rsidR="00E06C27">
        <w:rPr>
          <w:sz w:val="24"/>
          <w:szCs w:val="24"/>
        </w:rPr>
        <w:t>he</w:t>
      </w:r>
      <w:r w:rsidR="00983D2E">
        <w:rPr>
          <w:sz w:val="24"/>
          <w:szCs w:val="24"/>
        </w:rPr>
        <w:t xml:space="preserve"> is </w:t>
      </w:r>
      <w:r w:rsidR="00E06C27">
        <w:rPr>
          <w:sz w:val="24"/>
          <w:szCs w:val="24"/>
        </w:rPr>
        <w:t>supposed to lo</w:t>
      </w:r>
      <w:r w:rsidR="00983D2E">
        <w:rPr>
          <w:sz w:val="24"/>
          <w:szCs w:val="24"/>
        </w:rPr>
        <w:t>se</w:t>
      </w:r>
      <w:r w:rsidR="00E06C27">
        <w:rPr>
          <w:sz w:val="24"/>
          <w:szCs w:val="24"/>
        </w:rPr>
        <w:t xml:space="preserve"> 3 pounds the second week</w:t>
      </w:r>
      <w:r w:rsidR="00C73CA6">
        <w:rPr>
          <w:sz w:val="24"/>
          <w:szCs w:val="24"/>
        </w:rPr>
        <w:t xml:space="preserve"> instead of 2</w:t>
      </w:r>
      <w:r w:rsidR="00E06C27">
        <w:rPr>
          <w:sz w:val="24"/>
          <w:szCs w:val="24"/>
        </w:rPr>
        <w:t xml:space="preserve">, and if </w:t>
      </w:r>
      <w:r w:rsidR="00983D2E">
        <w:rPr>
          <w:sz w:val="24"/>
          <w:szCs w:val="24"/>
        </w:rPr>
        <w:t xml:space="preserve">he </w:t>
      </w:r>
      <w:r w:rsidR="00E06C27">
        <w:rPr>
          <w:sz w:val="24"/>
          <w:szCs w:val="24"/>
        </w:rPr>
        <w:t>fail</w:t>
      </w:r>
      <w:r w:rsidR="00983D2E">
        <w:rPr>
          <w:sz w:val="24"/>
          <w:szCs w:val="24"/>
        </w:rPr>
        <w:t>s</w:t>
      </w:r>
      <w:r w:rsidR="00E06C27">
        <w:rPr>
          <w:sz w:val="24"/>
          <w:szCs w:val="24"/>
        </w:rPr>
        <w:t xml:space="preserve"> that, then 4 pounds the third week, </w:t>
      </w:r>
      <w:r w:rsidR="005B0F6B">
        <w:rPr>
          <w:sz w:val="24"/>
          <w:szCs w:val="24"/>
        </w:rPr>
        <w:t xml:space="preserve">etc.  Not a credible penalty.  </w:t>
      </w:r>
      <w:r w:rsidR="00840BA5">
        <w:rPr>
          <w:sz w:val="24"/>
          <w:szCs w:val="24"/>
        </w:rPr>
        <w:t xml:space="preserve">Another analogy is </w:t>
      </w:r>
      <w:r w:rsidR="00E06C27">
        <w:rPr>
          <w:sz w:val="24"/>
          <w:szCs w:val="24"/>
        </w:rPr>
        <w:t xml:space="preserve">proposed penalties in international agreements to cut emissions of greenhouse gases (if </w:t>
      </w:r>
      <w:r w:rsidR="00983D2E">
        <w:rPr>
          <w:sz w:val="24"/>
          <w:szCs w:val="24"/>
        </w:rPr>
        <w:t>a country</w:t>
      </w:r>
      <w:r w:rsidR="00E06C27">
        <w:rPr>
          <w:sz w:val="24"/>
          <w:szCs w:val="24"/>
        </w:rPr>
        <w:t xml:space="preserve"> miss</w:t>
      </w:r>
      <w:r w:rsidR="00983D2E">
        <w:rPr>
          <w:sz w:val="24"/>
          <w:szCs w:val="24"/>
        </w:rPr>
        <w:t xml:space="preserve">es its </w:t>
      </w:r>
      <w:r w:rsidR="00E06C27">
        <w:rPr>
          <w:sz w:val="24"/>
          <w:szCs w:val="24"/>
        </w:rPr>
        <w:t xml:space="preserve">target, </w:t>
      </w:r>
      <w:r w:rsidR="00983D2E">
        <w:rPr>
          <w:sz w:val="24"/>
          <w:szCs w:val="24"/>
        </w:rPr>
        <w:t xml:space="preserve">it has </w:t>
      </w:r>
      <w:r w:rsidR="00E06C27">
        <w:rPr>
          <w:sz w:val="24"/>
          <w:szCs w:val="24"/>
        </w:rPr>
        <w:t>to cut that much more the next period)</w:t>
      </w:r>
      <w:r w:rsidR="00840BA5">
        <w:rPr>
          <w:sz w:val="24"/>
          <w:szCs w:val="24"/>
        </w:rPr>
        <w:t xml:space="preserve">.  A third analogy is </w:t>
      </w:r>
      <w:r w:rsidR="00E06C27">
        <w:rPr>
          <w:sz w:val="24"/>
          <w:szCs w:val="24"/>
        </w:rPr>
        <w:t>the penalties that are supposedly part of Europe’s Stabil</w:t>
      </w:r>
      <w:r w:rsidR="00983D2E">
        <w:rPr>
          <w:sz w:val="24"/>
          <w:szCs w:val="24"/>
        </w:rPr>
        <w:t>it</w:t>
      </w:r>
      <w:r w:rsidR="00E06C27">
        <w:rPr>
          <w:sz w:val="24"/>
          <w:szCs w:val="24"/>
        </w:rPr>
        <w:t xml:space="preserve">y and Growth Pact (if Italy wantonly misses its budget </w:t>
      </w:r>
      <w:r w:rsidR="00E06C27">
        <w:rPr>
          <w:sz w:val="24"/>
          <w:szCs w:val="24"/>
        </w:rPr>
        <w:lastRenderedPageBreak/>
        <w:t xml:space="preserve">target, it is to pay a penalty the next period, making it even harder to achieve </w:t>
      </w:r>
      <w:r w:rsidR="00983D2E">
        <w:rPr>
          <w:sz w:val="24"/>
          <w:szCs w:val="24"/>
        </w:rPr>
        <w:t xml:space="preserve">the required budget </w:t>
      </w:r>
      <w:r w:rsidR="00E06C27">
        <w:rPr>
          <w:sz w:val="24"/>
          <w:szCs w:val="24"/>
        </w:rPr>
        <w:t>target).</w:t>
      </w:r>
    </w:p>
    <w:p w:rsidR="003E0D05" w:rsidRPr="00E84C8E" w:rsidRDefault="00A8715A" w:rsidP="00E84C8E">
      <w:pPr>
        <w:spacing w:line="360" w:lineRule="auto"/>
        <w:ind w:firstLine="720"/>
        <w:rPr>
          <w:sz w:val="24"/>
          <w:szCs w:val="24"/>
        </w:rPr>
      </w:pPr>
      <w:r>
        <w:rPr>
          <w:sz w:val="24"/>
          <w:szCs w:val="24"/>
        </w:rPr>
        <w:t xml:space="preserve">History has also shown it difficult to comply with </w:t>
      </w:r>
      <w:r w:rsidR="00E84C8E" w:rsidRPr="00E84C8E">
        <w:rPr>
          <w:sz w:val="24"/>
          <w:szCs w:val="24"/>
        </w:rPr>
        <w:t>rules</w:t>
      </w:r>
      <w:r w:rsidR="00E84C8E">
        <w:rPr>
          <w:sz w:val="24"/>
          <w:szCs w:val="24"/>
        </w:rPr>
        <w:t xml:space="preserve"> </w:t>
      </w:r>
      <w:r w:rsidR="00853CF0">
        <w:rPr>
          <w:sz w:val="24"/>
          <w:szCs w:val="24"/>
        </w:rPr>
        <w:t>that specify a multi-variable reaction function for the central bank.</w:t>
      </w:r>
      <w:r w:rsidR="00E84C8E" w:rsidRPr="00E84C8E">
        <w:rPr>
          <w:sz w:val="24"/>
          <w:szCs w:val="24"/>
        </w:rPr>
        <w:t xml:space="preserve"> </w:t>
      </w:r>
      <w:r w:rsidR="00853CF0">
        <w:rPr>
          <w:sz w:val="24"/>
          <w:szCs w:val="24"/>
        </w:rPr>
        <w:t xml:space="preserve"> T</w:t>
      </w:r>
      <w:r w:rsidR="00F75057">
        <w:rPr>
          <w:sz w:val="24"/>
          <w:szCs w:val="24"/>
        </w:rPr>
        <w:t>he Taylor R</w:t>
      </w:r>
      <w:r w:rsidR="00E84C8E" w:rsidRPr="00E84C8E">
        <w:rPr>
          <w:sz w:val="24"/>
          <w:szCs w:val="24"/>
        </w:rPr>
        <w:t>ule</w:t>
      </w:r>
      <w:r w:rsidR="00853CF0">
        <w:rPr>
          <w:sz w:val="24"/>
          <w:szCs w:val="24"/>
        </w:rPr>
        <w:t xml:space="preserve"> </w:t>
      </w:r>
      <w:r w:rsidR="00F75057">
        <w:rPr>
          <w:sz w:val="24"/>
          <w:szCs w:val="24"/>
        </w:rPr>
        <w:t xml:space="preserve">(1993) </w:t>
      </w:r>
      <w:r w:rsidR="00E84C8E">
        <w:rPr>
          <w:sz w:val="24"/>
          <w:szCs w:val="24"/>
        </w:rPr>
        <w:t xml:space="preserve">of course </w:t>
      </w:r>
      <w:r w:rsidR="00E84C8E" w:rsidRPr="00E84C8E">
        <w:rPr>
          <w:sz w:val="24"/>
          <w:szCs w:val="24"/>
        </w:rPr>
        <w:t xml:space="preserve">became inoperable when </w:t>
      </w:r>
      <w:r w:rsidR="00E84C8E">
        <w:rPr>
          <w:sz w:val="24"/>
          <w:szCs w:val="24"/>
        </w:rPr>
        <w:t>interest rates unexpectedly hit the</w:t>
      </w:r>
      <w:r w:rsidR="00E84C8E" w:rsidRPr="00E84C8E">
        <w:rPr>
          <w:sz w:val="24"/>
          <w:szCs w:val="24"/>
        </w:rPr>
        <w:t xml:space="preserve"> Z</w:t>
      </w:r>
      <w:r>
        <w:rPr>
          <w:sz w:val="24"/>
          <w:szCs w:val="24"/>
        </w:rPr>
        <w:t>ero Lower Bound</w:t>
      </w:r>
      <w:r w:rsidR="00E84C8E" w:rsidRPr="00E84C8E">
        <w:rPr>
          <w:sz w:val="24"/>
          <w:szCs w:val="24"/>
        </w:rPr>
        <w:t xml:space="preserve"> in 2008.</w:t>
      </w:r>
      <w:r w:rsidR="00E84C8E">
        <w:rPr>
          <w:sz w:val="24"/>
          <w:szCs w:val="24"/>
        </w:rPr>
        <w:t xml:space="preserve">  What would the Fed have done if </w:t>
      </w:r>
      <w:r w:rsidR="00F27345">
        <w:rPr>
          <w:sz w:val="24"/>
          <w:szCs w:val="24"/>
        </w:rPr>
        <w:t xml:space="preserve">the Taylor Rule had </w:t>
      </w:r>
      <w:r>
        <w:rPr>
          <w:sz w:val="24"/>
          <w:szCs w:val="24"/>
        </w:rPr>
        <w:t xml:space="preserve">previously been </w:t>
      </w:r>
      <w:r w:rsidR="00853CF0">
        <w:rPr>
          <w:sz w:val="24"/>
          <w:szCs w:val="24"/>
        </w:rPr>
        <w:t xml:space="preserve">legislated and </w:t>
      </w:r>
      <w:r>
        <w:rPr>
          <w:sz w:val="24"/>
          <w:szCs w:val="24"/>
        </w:rPr>
        <w:t xml:space="preserve">in 2008 </w:t>
      </w:r>
      <w:r w:rsidR="00853CF0">
        <w:rPr>
          <w:sz w:val="24"/>
          <w:szCs w:val="24"/>
        </w:rPr>
        <w:t xml:space="preserve">turned out to have </w:t>
      </w:r>
      <w:r w:rsidR="00E84C8E">
        <w:rPr>
          <w:sz w:val="24"/>
          <w:szCs w:val="24"/>
        </w:rPr>
        <w:t>the unintended effect of requiri</w:t>
      </w:r>
      <w:r w:rsidR="00853CF0">
        <w:rPr>
          <w:sz w:val="24"/>
          <w:szCs w:val="24"/>
        </w:rPr>
        <w:t xml:space="preserve">ng </w:t>
      </w:r>
      <w:r>
        <w:rPr>
          <w:sz w:val="24"/>
          <w:szCs w:val="24"/>
        </w:rPr>
        <w:t xml:space="preserve">an interest rate of </w:t>
      </w:r>
      <w:r w:rsidR="00E84C8E">
        <w:rPr>
          <w:sz w:val="24"/>
          <w:szCs w:val="24"/>
        </w:rPr>
        <w:t>minus 3 per cent?</w:t>
      </w:r>
    </w:p>
    <w:p w:rsidR="003E0D05" w:rsidRPr="00E84C8E" w:rsidRDefault="00E84C8E" w:rsidP="00E84C8E">
      <w:pPr>
        <w:spacing w:line="360" w:lineRule="auto"/>
        <w:ind w:firstLine="720"/>
        <w:rPr>
          <w:sz w:val="24"/>
          <w:szCs w:val="24"/>
        </w:rPr>
      </w:pPr>
      <w:r>
        <w:rPr>
          <w:sz w:val="24"/>
          <w:szCs w:val="24"/>
        </w:rPr>
        <w:t>S</w:t>
      </w:r>
      <w:r w:rsidR="00327A5F">
        <w:rPr>
          <w:sz w:val="24"/>
          <w:szCs w:val="24"/>
        </w:rPr>
        <w:t xml:space="preserve">uch </w:t>
      </w:r>
      <w:r w:rsidR="00A8715A">
        <w:rPr>
          <w:sz w:val="24"/>
          <w:szCs w:val="24"/>
        </w:rPr>
        <w:t>stories</w:t>
      </w:r>
      <w:r w:rsidR="00327A5F">
        <w:rPr>
          <w:sz w:val="24"/>
          <w:szCs w:val="24"/>
        </w:rPr>
        <w:t xml:space="preserve"> </w:t>
      </w:r>
      <w:r>
        <w:rPr>
          <w:sz w:val="24"/>
          <w:szCs w:val="24"/>
        </w:rPr>
        <w:t xml:space="preserve">apply to forward guidance as well.  The </w:t>
      </w:r>
      <w:r w:rsidRPr="00E84C8E">
        <w:rPr>
          <w:sz w:val="24"/>
          <w:szCs w:val="24"/>
        </w:rPr>
        <w:t xml:space="preserve">Fed repeatedly postponed its </w:t>
      </w:r>
      <w:r>
        <w:rPr>
          <w:sz w:val="24"/>
          <w:szCs w:val="24"/>
        </w:rPr>
        <w:t xml:space="preserve">own predictions of the </w:t>
      </w:r>
      <w:r w:rsidRPr="00E84C8E">
        <w:rPr>
          <w:sz w:val="24"/>
          <w:szCs w:val="24"/>
        </w:rPr>
        <w:t xml:space="preserve">dates </w:t>
      </w:r>
      <w:r>
        <w:rPr>
          <w:sz w:val="24"/>
          <w:szCs w:val="24"/>
        </w:rPr>
        <w:t xml:space="preserve">at which it </w:t>
      </w:r>
      <w:r w:rsidR="00327A5F">
        <w:rPr>
          <w:sz w:val="24"/>
          <w:szCs w:val="24"/>
        </w:rPr>
        <w:t xml:space="preserve">was </w:t>
      </w:r>
      <w:r>
        <w:rPr>
          <w:sz w:val="24"/>
          <w:szCs w:val="24"/>
        </w:rPr>
        <w:t>expected to raise interest rates</w:t>
      </w:r>
      <w:r w:rsidR="006D0B3E">
        <w:rPr>
          <w:sz w:val="24"/>
          <w:szCs w:val="24"/>
        </w:rPr>
        <w:t xml:space="preserve"> i</w:t>
      </w:r>
      <w:r>
        <w:rPr>
          <w:sz w:val="24"/>
          <w:szCs w:val="24"/>
        </w:rPr>
        <w:t>n 2015-16</w:t>
      </w:r>
      <w:r w:rsidR="006D0B3E">
        <w:rPr>
          <w:sz w:val="24"/>
          <w:szCs w:val="24"/>
        </w:rPr>
        <w:t>.  T</w:t>
      </w:r>
      <w:r>
        <w:rPr>
          <w:sz w:val="24"/>
          <w:szCs w:val="24"/>
        </w:rPr>
        <w:t xml:space="preserve">he postponements were attributable to a </w:t>
      </w:r>
      <w:r w:rsidR="006D0B3E">
        <w:rPr>
          <w:sz w:val="24"/>
          <w:szCs w:val="24"/>
        </w:rPr>
        <w:t xml:space="preserve">slight </w:t>
      </w:r>
      <w:r>
        <w:rPr>
          <w:sz w:val="24"/>
          <w:szCs w:val="24"/>
        </w:rPr>
        <w:t>slowing in the economic growth rate</w:t>
      </w:r>
      <w:r w:rsidR="00327A5F">
        <w:rPr>
          <w:sz w:val="24"/>
          <w:szCs w:val="24"/>
        </w:rPr>
        <w:t xml:space="preserve"> and th</w:t>
      </w:r>
      <w:r>
        <w:rPr>
          <w:sz w:val="24"/>
          <w:szCs w:val="24"/>
        </w:rPr>
        <w:t xml:space="preserve">us were appropriate.  </w:t>
      </w:r>
      <w:r w:rsidR="00025829">
        <w:rPr>
          <w:sz w:val="24"/>
          <w:szCs w:val="24"/>
        </w:rPr>
        <w:t>To be sure,</w:t>
      </w:r>
      <w:r>
        <w:rPr>
          <w:sz w:val="24"/>
          <w:szCs w:val="24"/>
        </w:rPr>
        <w:t xml:space="preserve"> the Fed had repeated endlessly that </w:t>
      </w:r>
      <w:r w:rsidR="00A04F46">
        <w:rPr>
          <w:sz w:val="24"/>
          <w:szCs w:val="24"/>
        </w:rPr>
        <w:t xml:space="preserve">its dot plots and other forward guidance </w:t>
      </w:r>
      <w:r>
        <w:rPr>
          <w:sz w:val="24"/>
          <w:szCs w:val="24"/>
        </w:rPr>
        <w:t xml:space="preserve">were only </w:t>
      </w:r>
      <w:r w:rsidR="00327A5F">
        <w:rPr>
          <w:sz w:val="24"/>
          <w:szCs w:val="24"/>
        </w:rPr>
        <w:t xml:space="preserve">best-guess </w:t>
      </w:r>
      <w:r>
        <w:rPr>
          <w:sz w:val="24"/>
          <w:szCs w:val="24"/>
        </w:rPr>
        <w:t>forecasts and that ultimate decisions would be data-driven.  But one suspects that the Fed found the repeated postponements somewhat embarrassing nonetheless.</w:t>
      </w:r>
    </w:p>
    <w:p w:rsidR="00A04F46" w:rsidRDefault="00E84C8E" w:rsidP="007A3A7A">
      <w:pPr>
        <w:spacing w:line="360" w:lineRule="auto"/>
        <w:ind w:firstLine="720"/>
        <w:rPr>
          <w:sz w:val="24"/>
          <w:szCs w:val="24"/>
        </w:rPr>
      </w:pPr>
      <w:r w:rsidRPr="00E84C8E">
        <w:rPr>
          <w:sz w:val="24"/>
          <w:szCs w:val="24"/>
        </w:rPr>
        <w:t xml:space="preserve">Even </w:t>
      </w:r>
      <w:r>
        <w:rPr>
          <w:sz w:val="24"/>
          <w:szCs w:val="24"/>
        </w:rPr>
        <w:t xml:space="preserve">guidance in the minimal form of </w:t>
      </w:r>
      <w:r w:rsidRPr="00E84C8E">
        <w:rPr>
          <w:sz w:val="24"/>
          <w:szCs w:val="24"/>
        </w:rPr>
        <w:t>thresholds ha</w:t>
      </w:r>
      <w:r w:rsidR="00327A5F">
        <w:rPr>
          <w:sz w:val="24"/>
          <w:szCs w:val="24"/>
        </w:rPr>
        <w:t>sn’t worked.</w:t>
      </w:r>
      <w:r>
        <w:rPr>
          <w:sz w:val="24"/>
          <w:szCs w:val="24"/>
        </w:rPr>
        <w:t xml:space="preserve"> </w:t>
      </w:r>
      <w:r w:rsidRPr="00E84C8E">
        <w:rPr>
          <w:sz w:val="24"/>
          <w:szCs w:val="24"/>
        </w:rPr>
        <w:t>In Dec</w:t>
      </w:r>
      <w:r w:rsidR="00327A5F">
        <w:rPr>
          <w:sz w:val="24"/>
          <w:szCs w:val="24"/>
        </w:rPr>
        <w:t>ember</w:t>
      </w:r>
      <w:r w:rsidRPr="00E84C8E">
        <w:rPr>
          <w:sz w:val="24"/>
          <w:szCs w:val="24"/>
        </w:rPr>
        <w:t xml:space="preserve"> 2012, the FOMC said it would keep interest rates at </w:t>
      </w:r>
      <w:r w:rsidR="00515B0B">
        <w:rPr>
          <w:sz w:val="24"/>
          <w:szCs w:val="24"/>
        </w:rPr>
        <w:t>zero</w:t>
      </w:r>
      <w:r>
        <w:rPr>
          <w:sz w:val="24"/>
          <w:szCs w:val="24"/>
        </w:rPr>
        <w:t xml:space="preserve"> </w:t>
      </w:r>
      <w:r w:rsidRPr="00AB5B1D">
        <w:rPr>
          <w:i/>
          <w:sz w:val="24"/>
          <w:szCs w:val="24"/>
        </w:rPr>
        <w:t>“</w:t>
      </w:r>
      <w:r w:rsidRPr="00E84C8E">
        <w:rPr>
          <w:i/>
          <w:iCs/>
          <w:sz w:val="24"/>
          <w:szCs w:val="24"/>
        </w:rPr>
        <w:t>at least as long as the unemployment rate remains above 6 ½ %.</w:t>
      </w:r>
      <w:r w:rsidRPr="00AB5B1D">
        <w:rPr>
          <w:i/>
          <w:sz w:val="24"/>
          <w:szCs w:val="24"/>
        </w:rPr>
        <w:t>”</w:t>
      </w:r>
      <w:r>
        <w:rPr>
          <w:sz w:val="24"/>
          <w:szCs w:val="24"/>
        </w:rPr>
        <w:t xml:space="preserve">  </w:t>
      </w:r>
      <w:r w:rsidR="00A04F46">
        <w:rPr>
          <w:sz w:val="24"/>
          <w:szCs w:val="24"/>
        </w:rPr>
        <w:t xml:space="preserve">As it </w:t>
      </w:r>
      <w:r w:rsidRPr="00E84C8E">
        <w:rPr>
          <w:sz w:val="24"/>
          <w:szCs w:val="24"/>
        </w:rPr>
        <w:t>happened</w:t>
      </w:r>
      <w:r w:rsidR="00A04F46">
        <w:rPr>
          <w:sz w:val="24"/>
          <w:szCs w:val="24"/>
        </w:rPr>
        <w:t>, that threshold was reached</w:t>
      </w:r>
      <w:r w:rsidRPr="00E84C8E">
        <w:rPr>
          <w:sz w:val="24"/>
          <w:szCs w:val="24"/>
        </w:rPr>
        <w:t xml:space="preserve"> in April 2014</w:t>
      </w:r>
      <w:r w:rsidR="007A3A7A">
        <w:rPr>
          <w:sz w:val="24"/>
          <w:szCs w:val="24"/>
        </w:rPr>
        <w:t xml:space="preserve">, not because the economy had grown unexpectedly fast but because the </w:t>
      </w:r>
      <w:r w:rsidRPr="00E84C8E">
        <w:rPr>
          <w:sz w:val="24"/>
          <w:szCs w:val="24"/>
        </w:rPr>
        <w:t>L</w:t>
      </w:r>
      <w:r w:rsidR="007A3A7A">
        <w:rPr>
          <w:sz w:val="24"/>
          <w:szCs w:val="24"/>
        </w:rPr>
        <w:t>abor Force Participation Rate had d</w:t>
      </w:r>
      <w:r w:rsidRPr="00E84C8E">
        <w:rPr>
          <w:sz w:val="24"/>
          <w:szCs w:val="24"/>
        </w:rPr>
        <w:t>ecline</w:t>
      </w:r>
      <w:r w:rsidR="007A3A7A">
        <w:rPr>
          <w:sz w:val="24"/>
          <w:szCs w:val="24"/>
        </w:rPr>
        <w:t>d</w:t>
      </w:r>
      <w:r w:rsidRPr="00E84C8E">
        <w:rPr>
          <w:sz w:val="24"/>
          <w:szCs w:val="24"/>
        </w:rPr>
        <w:t xml:space="preserve">. </w:t>
      </w:r>
      <w:r w:rsidR="007A3A7A">
        <w:rPr>
          <w:sz w:val="24"/>
          <w:szCs w:val="24"/>
        </w:rPr>
        <w:t xml:space="preserve"> The Fed was not ready to signal an increase in interest rates.</w:t>
      </w:r>
      <w:r w:rsidRPr="00E84C8E">
        <w:rPr>
          <w:sz w:val="24"/>
          <w:szCs w:val="24"/>
        </w:rPr>
        <w:t xml:space="preserve"> </w:t>
      </w:r>
      <w:r>
        <w:rPr>
          <w:sz w:val="24"/>
          <w:szCs w:val="24"/>
        </w:rPr>
        <w:t xml:space="preserve"> The g</w:t>
      </w:r>
      <w:r w:rsidRPr="00E84C8E">
        <w:rPr>
          <w:sz w:val="24"/>
          <w:szCs w:val="24"/>
        </w:rPr>
        <w:t xml:space="preserve">uidance </w:t>
      </w:r>
      <w:r>
        <w:rPr>
          <w:sz w:val="24"/>
          <w:szCs w:val="24"/>
        </w:rPr>
        <w:t xml:space="preserve">was </w:t>
      </w:r>
      <w:r w:rsidR="007A3A7A">
        <w:rPr>
          <w:sz w:val="24"/>
          <w:szCs w:val="24"/>
        </w:rPr>
        <w:t>abandoned</w:t>
      </w:r>
      <w:r>
        <w:rPr>
          <w:sz w:val="24"/>
          <w:szCs w:val="24"/>
        </w:rPr>
        <w:t>.</w:t>
      </w:r>
      <w:r>
        <w:rPr>
          <w:rStyle w:val="FootnoteReference"/>
          <w:sz w:val="24"/>
          <w:szCs w:val="24"/>
        </w:rPr>
        <w:footnoteReference w:id="4"/>
      </w:r>
      <w:r w:rsidR="007A3A7A">
        <w:rPr>
          <w:sz w:val="24"/>
          <w:szCs w:val="24"/>
        </w:rPr>
        <w:t xml:space="preserve">  </w:t>
      </w:r>
    </w:p>
    <w:p w:rsidR="003E0D05" w:rsidRDefault="00327A5F" w:rsidP="007A3A7A">
      <w:pPr>
        <w:spacing w:line="360" w:lineRule="auto"/>
        <w:ind w:firstLine="720"/>
        <w:rPr>
          <w:sz w:val="24"/>
          <w:szCs w:val="24"/>
        </w:rPr>
      </w:pPr>
      <w:r>
        <w:rPr>
          <w:sz w:val="24"/>
          <w:szCs w:val="24"/>
        </w:rPr>
        <w:t>Similarly, i</w:t>
      </w:r>
      <w:r w:rsidR="00E84C8E" w:rsidRPr="00E84C8E">
        <w:rPr>
          <w:sz w:val="24"/>
          <w:szCs w:val="24"/>
        </w:rPr>
        <w:t>n Aug</w:t>
      </w:r>
      <w:r w:rsidR="007A3A7A">
        <w:rPr>
          <w:sz w:val="24"/>
          <w:szCs w:val="24"/>
        </w:rPr>
        <w:t>ust</w:t>
      </w:r>
      <w:r w:rsidR="00E84C8E" w:rsidRPr="00E84C8E">
        <w:rPr>
          <w:sz w:val="24"/>
          <w:szCs w:val="24"/>
        </w:rPr>
        <w:t xml:space="preserve"> 2013 the Bank of England said it would not consider raising rates until UK unemployment fell to 7.0 %.  That </w:t>
      </w:r>
      <w:r w:rsidR="00A04F46">
        <w:rPr>
          <w:sz w:val="24"/>
          <w:szCs w:val="24"/>
        </w:rPr>
        <w:t xml:space="preserve">threshold was reached </w:t>
      </w:r>
      <w:r w:rsidR="00E84C8E" w:rsidRPr="00E84C8E">
        <w:rPr>
          <w:sz w:val="24"/>
          <w:szCs w:val="24"/>
        </w:rPr>
        <w:t>within 6 months (</w:t>
      </w:r>
      <w:r w:rsidR="007A3A7A">
        <w:rPr>
          <w:sz w:val="24"/>
          <w:szCs w:val="24"/>
        </w:rPr>
        <w:t xml:space="preserve">here the unexpected development was </w:t>
      </w:r>
      <w:r>
        <w:rPr>
          <w:sz w:val="24"/>
          <w:szCs w:val="24"/>
        </w:rPr>
        <w:t xml:space="preserve">evidently </w:t>
      </w:r>
      <w:r w:rsidR="007A3A7A">
        <w:rPr>
          <w:sz w:val="24"/>
          <w:szCs w:val="24"/>
        </w:rPr>
        <w:t xml:space="preserve">a productivity shock), </w:t>
      </w:r>
      <w:r w:rsidR="00E84C8E" w:rsidRPr="00E84C8E">
        <w:rPr>
          <w:sz w:val="24"/>
          <w:szCs w:val="24"/>
        </w:rPr>
        <w:t>long before the Bank w</w:t>
      </w:r>
      <w:r w:rsidR="007A3A7A">
        <w:rPr>
          <w:sz w:val="24"/>
          <w:szCs w:val="24"/>
        </w:rPr>
        <w:t xml:space="preserve">as ready </w:t>
      </w:r>
      <w:r w:rsidR="007A3A7A">
        <w:rPr>
          <w:sz w:val="24"/>
          <w:szCs w:val="24"/>
        </w:rPr>
        <w:lastRenderedPageBreak/>
        <w:t>to consider tightening.</w:t>
      </w:r>
      <w:r w:rsidR="00E84C8E" w:rsidRPr="00E84C8E">
        <w:rPr>
          <w:sz w:val="24"/>
          <w:szCs w:val="24"/>
        </w:rPr>
        <w:t xml:space="preserve">  </w:t>
      </w:r>
      <w:r w:rsidR="007A3A7A">
        <w:rPr>
          <w:sz w:val="24"/>
          <w:szCs w:val="24"/>
        </w:rPr>
        <w:t>The g</w:t>
      </w:r>
      <w:r w:rsidR="00E84C8E" w:rsidRPr="00E84C8E">
        <w:rPr>
          <w:sz w:val="24"/>
          <w:szCs w:val="24"/>
        </w:rPr>
        <w:t xml:space="preserve">uidance </w:t>
      </w:r>
      <w:r w:rsidR="007A3A7A">
        <w:rPr>
          <w:sz w:val="24"/>
          <w:szCs w:val="24"/>
        </w:rPr>
        <w:t xml:space="preserve">was </w:t>
      </w:r>
      <w:r w:rsidR="00E84C8E" w:rsidRPr="00E84C8E">
        <w:rPr>
          <w:sz w:val="24"/>
          <w:szCs w:val="24"/>
        </w:rPr>
        <w:t>abandoned</w:t>
      </w:r>
      <w:r w:rsidR="00686622">
        <w:rPr>
          <w:sz w:val="24"/>
          <w:szCs w:val="24"/>
        </w:rPr>
        <w:t>.  Th</w:t>
      </w:r>
      <w:r w:rsidR="00A04F46">
        <w:rPr>
          <w:sz w:val="24"/>
          <w:szCs w:val="24"/>
        </w:rPr>
        <w:t>ese</w:t>
      </w:r>
      <w:r>
        <w:rPr>
          <w:sz w:val="24"/>
          <w:szCs w:val="24"/>
        </w:rPr>
        <w:t xml:space="preserve"> </w:t>
      </w:r>
      <w:r w:rsidR="00A26ECE">
        <w:rPr>
          <w:sz w:val="24"/>
          <w:szCs w:val="24"/>
        </w:rPr>
        <w:t>difficultie</w:t>
      </w:r>
      <w:r>
        <w:rPr>
          <w:sz w:val="24"/>
          <w:szCs w:val="24"/>
        </w:rPr>
        <w:t>s w</w:t>
      </w:r>
      <w:r w:rsidR="00A04F46">
        <w:rPr>
          <w:sz w:val="24"/>
          <w:szCs w:val="24"/>
        </w:rPr>
        <w:t>ere</w:t>
      </w:r>
      <w:r>
        <w:rPr>
          <w:sz w:val="24"/>
          <w:szCs w:val="24"/>
        </w:rPr>
        <w:t xml:space="preserve"> the</w:t>
      </w:r>
      <w:r w:rsidR="00686622">
        <w:rPr>
          <w:sz w:val="24"/>
          <w:szCs w:val="24"/>
        </w:rPr>
        <w:t xml:space="preserve"> </w:t>
      </w:r>
      <w:r>
        <w:rPr>
          <w:sz w:val="24"/>
          <w:szCs w:val="24"/>
        </w:rPr>
        <w:t xml:space="preserve">consequence of statements that seemed reasonable at the time but were </w:t>
      </w:r>
      <w:r w:rsidR="00A26ECE">
        <w:rPr>
          <w:sz w:val="24"/>
          <w:szCs w:val="24"/>
        </w:rPr>
        <w:t xml:space="preserve">highly </w:t>
      </w:r>
      <w:r>
        <w:rPr>
          <w:sz w:val="24"/>
          <w:szCs w:val="24"/>
        </w:rPr>
        <w:t>vulnerable to future shocks</w:t>
      </w:r>
      <w:r w:rsidR="00686622">
        <w:rPr>
          <w:sz w:val="24"/>
          <w:szCs w:val="24"/>
        </w:rPr>
        <w:t>.</w:t>
      </w:r>
      <w:r w:rsidR="00686622">
        <w:rPr>
          <w:rStyle w:val="FootnoteReference"/>
          <w:sz w:val="24"/>
          <w:szCs w:val="24"/>
        </w:rPr>
        <w:footnoteReference w:id="5"/>
      </w:r>
    </w:p>
    <w:p w:rsidR="007E2DEB" w:rsidRPr="007E2DEB" w:rsidRDefault="0067662F" w:rsidP="007E2DEB">
      <w:pPr>
        <w:spacing w:line="360" w:lineRule="auto"/>
        <w:rPr>
          <w:b/>
          <w:sz w:val="24"/>
          <w:szCs w:val="24"/>
        </w:rPr>
      </w:pPr>
      <w:r>
        <w:rPr>
          <w:b/>
          <w:sz w:val="24"/>
          <w:szCs w:val="24"/>
        </w:rPr>
        <w:t>The c</w:t>
      </w:r>
      <w:r w:rsidR="007E2DEB" w:rsidRPr="007E2DEB">
        <w:rPr>
          <w:b/>
          <w:sz w:val="24"/>
          <w:szCs w:val="24"/>
        </w:rPr>
        <w:t>ase for Nominal GDP</w:t>
      </w:r>
    </w:p>
    <w:p w:rsidR="00FD7F6F" w:rsidRDefault="00AF5697" w:rsidP="00987113">
      <w:pPr>
        <w:spacing w:line="360" w:lineRule="auto"/>
        <w:ind w:firstLine="720"/>
        <w:rPr>
          <w:sz w:val="24"/>
          <w:szCs w:val="24"/>
        </w:rPr>
      </w:pPr>
      <w:r w:rsidRPr="007E2DEB">
        <w:rPr>
          <w:sz w:val="24"/>
          <w:szCs w:val="24"/>
        </w:rPr>
        <w:t xml:space="preserve"> Now to the question</w:t>
      </w:r>
      <w:r w:rsidR="00A26ECE">
        <w:rPr>
          <w:sz w:val="24"/>
          <w:szCs w:val="24"/>
        </w:rPr>
        <w:t>,</w:t>
      </w:r>
      <w:r w:rsidRPr="007E2DEB">
        <w:rPr>
          <w:sz w:val="24"/>
          <w:szCs w:val="24"/>
        </w:rPr>
        <w:t xml:space="preserve"> to whatever extent </w:t>
      </w:r>
      <w:r w:rsidR="00952E11">
        <w:rPr>
          <w:sz w:val="24"/>
          <w:szCs w:val="24"/>
        </w:rPr>
        <w:t>the central bank</w:t>
      </w:r>
      <w:r w:rsidRPr="007E2DEB">
        <w:rPr>
          <w:sz w:val="24"/>
          <w:szCs w:val="24"/>
        </w:rPr>
        <w:t xml:space="preserve"> is </w:t>
      </w:r>
      <w:r w:rsidR="00952E11">
        <w:rPr>
          <w:sz w:val="24"/>
          <w:szCs w:val="24"/>
        </w:rPr>
        <w:t xml:space="preserve">to be </w:t>
      </w:r>
      <w:r w:rsidRPr="007E2DEB">
        <w:rPr>
          <w:sz w:val="24"/>
          <w:szCs w:val="24"/>
        </w:rPr>
        <w:t xml:space="preserve">constrained by a rule, even if only weakly, what should that rule be?  I am one of those who </w:t>
      </w:r>
      <w:r w:rsidR="00632279" w:rsidRPr="007E2DEB">
        <w:rPr>
          <w:sz w:val="24"/>
          <w:szCs w:val="24"/>
        </w:rPr>
        <w:t>have</w:t>
      </w:r>
      <w:r w:rsidRPr="007E2DEB">
        <w:rPr>
          <w:sz w:val="24"/>
          <w:szCs w:val="24"/>
        </w:rPr>
        <w:t xml:space="preserve"> argued for Nominal GDP targeting in the past.</w:t>
      </w:r>
      <w:r w:rsidRPr="007E2DEB">
        <w:rPr>
          <w:rStyle w:val="FootnoteReference"/>
          <w:sz w:val="24"/>
          <w:szCs w:val="24"/>
        </w:rPr>
        <w:footnoteReference w:id="6"/>
      </w:r>
      <w:r w:rsidRPr="007E2DEB">
        <w:rPr>
          <w:sz w:val="24"/>
          <w:szCs w:val="24"/>
        </w:rPr>
        <w:t xml:space="preserve">  </w:t>
      </w:r>
      <w:r w:rsidR="00632279">
        <w:rPr>
          <w:sz w:val="24"/>
          <w:szCs w:val="24"/>
        </w:rPr>
        <w:t>The</w:t>
      </w:r>
      <w:r w:rsidR="00632279" w:rsidRPr="007E2DEB">
        <w:rPr>
          <w:sz w:val="24"/>
          <w:szCs w:val="24"/>
        </w:rPr>
        <w:t xml:space="preserve"> reason is that it is more robust with respect to shocks than the leading alternatives</w:t>
      </w:r>
      <w:r w:rsidR="0051559A">
        <w:rPr>
          <w:sz w:val="24"/>
          <w:szCs w:val="24"/>
        </w:rPr>
        <w:t xml:space="preserve">: </w:t>
      </w:r>
      <w:r w:rsidR="00632279">
        <w:rPr>
          <w:sz w:val="24"/>
          <w:szCs w:val="24"/>
        </w:rPr>
        <w:t xml:space="preserve">it is less likely </w:t>
      </w:r>
      <w:r w:rsidR="00632279" w:rsidRPr="007E2DEB">
        <w:rPr>
          <w:sz w:val="24"/>
          <w:szCs w:val="24"/>
        </w:rPr>
        <w:t xml:space="preserve">one will </w:t>
      </w:r>
      <w:r w:rsidR="005B0F6B">
        <w:rPr>
          <w:sz w:val="24"/>
          <w:szCs w:val="24"/>
        </w:rPr>
        <w:t xml:space="preserve">regret having committed to it. </w:t>
      </w:r>
      <w:r w:rsidR="00632279" w:rsidRPr="007E2DEB">
        <w:rPr>
          <w:sz w:val="24"/>
          <w:szCs w:val="24"/>
        </w:rPr>
        <w:t xml:space="preserve"> </w:t>
      </w:r>
      <w:r w:rsidR="0051559A">
        <w:rPr>
          <w:sz w:val="24"/>
          <w:szCs w:val="24"/>
        </w:rPr>
        <w:t>In the hey-day of monetarism</w:t>
      </w:r>
      <w:r w:rsidRPr="007E2DEB">
        <w:rPr>
          <w:sz w:val="24"/>
          <w:szCs w:val="24"/>
        </w:rPr>
        <w:t xml:space="preserve"> when the leading candidate for nominal anchor was M1, the argument for nominal GDP targeting was that it was (by definition) immune from the velocity shocks that plagued M1 targeting.</w:t>
      </w:r>
      <w:r w:rsidR="00FD7F6F">
        <w:rPr>
          <w:rStyle w:val="FootnoteReference"/>
          <w:sz w:val="24"/>
          <w:szCs w:val="24"/>
        </w:rPr>
        <w:footnoteReference w:id="7"/>
      </w:r>
      <w:r w:rsidRPr="007E2DEB">
        <w:rPr>
          <w:sz w:val="24"/>
          <w:szCs w:val="24"/>
        </w:rPr>
        <w:t xml:space="preserve">  </w:t>
      </w:r>
    </w:p>
    <w:p w:rsidR="00FD7F6F" w:rsidRPr="00FD7F6F" w:rsidRDefault="0051559A" w:rsidP="00EA77D9">
      <w:pPr>
        <w:spacing w:line="360" w:lineRule="auto"/>
        <w:ind w:firstLine="720"/>
        <w:rPr>
          <w:sz w:val="24"/>
          <w:szCs w:val="24"/>
        </w:rPr>
      </w:pPr>
      <w:proofErr w:type="gramStart"/>
      <w:r>
        <w:rPr>
          <w:sz w:val="24"/>
          <w:szCs w:val="24"/>
        </w:rPr>
        <w:t xml:space="preserve">Interest in </w:t>
      </w:r>
      <w:r w:rsidR="00FD7F6F" w:rsidRPr="00FD7F6F">
        <w:rPr>
          <w:sz w:val="24"/>
          <w:szCs w:val="24"/>
        </w:rPr>
        <w:t>NGDP</w:t>
      </w:r>
      <w:r w:rsidR="00FD7F6F">
        <w:rPr>
          <w:sz w:val="24"/>
          <w:szCs w:val="24"/>
        </w:rPr>
        <w:t xml:space="preserve"> targeting</w:t>
      </w:r>
      <w:r w:rsidR="00FD7F6F" w:rsidRPr="00FD7F6F">
        <w:rPr>
          <w:sz w:val="24"/>
          <w:szCs w:val="24"/>
        </w:rPr>
        <w:t xml:space="preserve"> reviv</w:t>
      </w:r>
      <w:r>
        <w:rPr>
          <w:sz w:val="24"/>
          <w:szCs w:val="24"/>
        </w:rPr>
        <w:t>ed</w:t>
      </w:r>
      <w:r w:rsidR="00FD7F6F" w:rsidRPr="00FD7F6F">
        <w:rPr>
          <w:sz w:val="24"/>
          <w:szCs w:val="24"/>
        </w:rPr>
        <w:t xml:space="preserve"> around 2011-12</w:t>
      </w:r>
      <w:r w:rsidR="005B0F6B">
        <w:rPr>
          <w:sz w:val="24"/>
          <w:szCs w:val="24"/>
        </w:rPr>
        <w:t>.</w:t>
      </w:r>
      <w:proofErr w:type="gramEnd"/>
      <w:r w:rsidR="005B0F6B">
        <w:rPr>
          <w:sz w:val="24"/>
          <w:szCs w:val="24"/>
        </w:rPr>
        <w:t xml:space="preserve"> </w:t>
      </w:r>
      <w:r w:rsidR="00510F7B">
        <w:rPr>
          <w:sz w:val="24"/>
          <w:szCs w:val="24"/>
        </w:rPr>
        <w:t>P</w:t>
      </w:r>
      <w:r w:rsidR="00FD7F6F" w:rsidRPr="00FD7F6F">
        <w:rPr>
          <w:rFonts w:cs="Arial"/>
          <w:color w:val="000000"/>
          <w:sz w:val="24"/>
          <w:szCs w:val="24"/>
          <w:shd w:val="clear" w:color="auto" w:fill="FFFFFF"/>
        </w:rPr>
        <w:t xml:space="preserve">roponents </w:t>
      </w:r>
      <w:r w:rsidR="00510F7B">
        <w:rPr>
          <w:rFonts w:cs="Arial"/>
          <w:color w:val="000000"/>
          <w:sz w:val="24"/>
          <w:szCs w:val="24"/>
          <w:shd w:val="clear" w:color="auto" w:fill="FFFFFF"/>
        </w:rPr>
        <w:t xml:space="preserve">this time </w:t>
      </w:r>
      <w:r>
        <w:rPr>
          <w:rFonts w:cs="Arial"/>
          <w:color w:val="000000"/>
          <w:sz w:val="24"/>
          <w:szCs w:val="24"/>
          <w:shd w:val="clear" w:color="auto" w:fill="FFFFFF"/>
        </w:rPr>
        <w:t xml:space="preserve">include </w:t>
      </w:r>
      <w:r w:rsidR="00FD7F6F" w:rsidRPr="00FD7F6F">
        <w:rPr>
          <w:rFonts w:cs="Arial"/>
          <w:color w:val="000000"/>
          <w:sz w:val="24"/>
          <w:szCs w:val="24"/>
          <w:shd w:val="clear" w:color="auto" w:fill="FFFFFF"/>
        </w:rPr>
        <w:t>Romer (2011)</w:t>
      </w:r>
      <w:r>
        <w:rPr>
          <w:rFonts w:cs="Arial"/>
          <w:color w:val="000000"/>
          <w:sz w:val="24"/>
          <w:szCs w:val="24"/>
          <w:shd w:val="clear" w:color="auto" w:fill="FFFFFF"/>
        </w:rPr>
        <w:t xml:space="preserve">, </w:t>
      </w:r>
      <w:r w:rsidR="00BD38B0">
        <w:rPr>
          <w:rFonts w:cs="Arial"/>
          <w:color w:val="000000"/>
          <w:sz w:val="24"/>
          <w:szCs w:val="24"/>
          <w:shd w:val="clear" w:color="auto" w:fill="FFFFFF"/>
        </w:rPr>
        <w:t>Hatzius (2011),</w:t>
      </w:r>
      <w:r w:rsidR="00FD7F6F" w:rsidRPr="00FD7F6F">
        <w:rPr>
          <w:rFonts w:cs="Arial"/>
          <w:color w:val="000000"/>
          <w:sz w:val="24"/>
          <w:szCs w:val="24"/>
          <w:shd w:val="clear" w:color="auto" w:fill="FFFFFF"/>
        </w:rPr>
        <w:t xml:space="preserve"> Woodford (2012</w:t>
      </w:r>
      <w:r w:rsidR="00FD7F6F">
        <w:rPr>
          <w:rFonts w:cs="Arial"/>
          <w:color w:val="000000"/>
          <w:sz w:val="24"/>
          <w:szCs w:val="24"/>
          <w:shd w:val="clear" w:color="auto" w:fill="FFFFFF"/>
        </w:rPr>
        <w:t>)</w:t>
      </w:r>
      <w:r w:rsidR="009D3DE3">
        <w:rPr>
          <w:rFonts w:cs="Arial"/>
          <w:color w:val="000000"/>
          <w:sz w:val="24"/>
          <w:szCs w:val="24"/>
          <w:shd w:val="clear" w:color="auto" w:fill="FFFFFF"/>
        </w:rPr>
        <w:t xml:space="preserve">, </w:t>
      </w:r>
      <w:r w:rsidR="00BD38B0">
        <w:rPr>
          <w:rFonts w:cs="Arial"/>
          <w:color w:val="000000"/>
          <w:sz w:val="24"/>
          <w:szCs w:val="24"/>
          <w:shd w:val="clear" w:color="auto" w:fill="FFFFFF"/>
        </w:rPr>
        <w:t>Sumner (2014)</w:t>
      </w:r>
      <w:r w:rsidR="009D3DE3">
        <w:rPr>
          <w:rFonts w:cs="Arial"/>
          <w:color w:val="000000"/>
          <w:sz w:val="24"/>
          <w:szCs w:val="24"/>
          <w:shd w:val="clear" w:color="auto" w:fill="FFFFFF"/>
        </w:rPr>
        <w:t xml:space="preserve"> and </w:t>
      </w:r>
      <w:r w:rsidR="009D3DE3" w:rsidRPr="009D3DE3">
        <w:rPr>
          <w:sz w:val="24"/>
          <w:szCs w:val="24"/>
        </w:rPr>
        <w:t>Beckworth and Hendrickson (2016)</w:t>
      </w:r>
      <w:r w:rsidR="00FD7F6F" w:rsidRPr="009D3DE3">
        <w:rPr>
          <w:rFonts w:cs="Arial"/>
          <w:color w:val="000000"/>
          <w:sz w:val="24"/>
          <w:szCs w:val="24"/>
          <w:shd w:val="clear" w:color="auto" w:fill="FFFFFF"/>
        </w:rPr>
        <w:t>.</w:t>
      </w:r>
      <w:r w:rsidR="00FD7F6F">
        <w:rPr>
          <w:rFonts w:cs="Arial"/>
          <w:color w:val="000000"/>
          <w:sz w:val="24"/>
          <w:szCs w:val="24"/>
          <w:shd w:val="clear" w:color="auto" w:fill="FFFFFF"/>
        </w:rPr>
        <w:t xml:space="preserve"> </w:t>
      </w:r>
      <w:r>
        <w:rPr>
          <w:rFonts w:cs="Arial"/>
          <w:color w:val="000000"/>
          <w:sz w:val="24"/>
          <w:szCs w:val="24"/>
          <w:shd w:val="clear" w:color="auto" w:fill="FFFFFF"/>
        </w:rPr>
        <w:t>The proposal</w:t>
      </w:r>
      <w:r w:rsidR="00B559E5">
        <w:rPr>
          <w:rFonts w:cs="Arial"/>
          <w:color w:val="000000"/>
          <w:sz w:val="24"/>
          <w:szCs w:val="24"/>
          <w:shd w:val="clear" w:color="auto" w:fill="FFFFFF"/>
        </w:rPr>
        <w:t xml:space="preserve"> has particularly flourished on the internet.</w:t>
      </w:r>
      <w:r w:rsidR="00B559E5">
        <w:rPr>
          <w:rStyle w:val="FootnoteReference"/>
          <w:rFonts w:cs="Arial"/>
          <w:color w:val="000000"/>
          <w:sz w:val="24"/>
          <w:szCs w:val="24"/>
          <w:shd w:val="clear" w:color="auto" w:fill="FFFFFF"/>
        </w:rPr>
        <w:footnoteReference w:id="8"/>
      </w:r>
    </w:p>
    <w:p w:rsidR="000554FD" w:rsidRDefault="00FD7F6F" w:rsidP="00EA77D9">
      <w:pPr>
        <w:spacing w:line="360" w:lineRule="auto"/>
        <w:ind w:firstLine="720"/>
        <w:rPr>
          <w:sz w:val="24"/>
          <w:szCs w:val="24"/>
        </w:rPr>
      </w:pPr>
      <w:r w:rsidRPr="00FD7F6F">
        <w:rPr>
          <w:sz w:val="24"/>
          <w:szCs w:val="24"/>
        </w:rPr>
        <w:t xml:space="preserve">The alternative to beat is no longer an M1 target, which crashed-and-burned </w:t>
      </w:r>
      <w:r w:rsidR="00510F7B">
        <w:rPr>
          <w:sz w:val="24"/>
          <w:szCs w:val="24"/>
        </w:rPr>
        <w:t xml:space="preserve">in </w:t>
      </w:r>
      <w:r w:rsidRPr="00FD7F6F">
        <w:rPr>
          <w:sz w:val="24"/>
          <w:szCs w:val="24"/>
        </w:rPr>
        <w:t>the 1980s, but an inflation target (</w:t>
      </w:r>
      <w:r w:rsidR="00AF5697" w:rsidRPr="00FD7F6F">
        <w:rPr>
          <w:sz w:val="24"/>
          <w:szCs w:val="24"/>
        </w:rPr>
        <w:t>IT</w:t>
      </w:r>
      <w:r w:rsidRPr="00FD7F6F">
        <w:rPr>
          <w:sz w:val="24"/>
          <w:szCs w:val="24"/>
        </w:rPr>
        <w:t>)</w:t>
      </w:r>
      <w:r w:rsidR="00AF5697" w:rsidRPr="00FD7F6F">
        <w:rPr>
          <w:sz w:val="24"/>
          <w:szCs w:val="24"/>
        </w:rPr>
        <w:t xml:space="preserve">.  </w:t>
      </w:r>
      <w:r w:rsidRPr="00FD7F6F">
        <w:rPr>
          <w:sz w:val="24"/>
          <w:szCs w:val="24"/>
        </w:rPr>
        <w:t xml:space="preserve">The case in favor of a </w:t>
      </w:r>
      <w:r w:rsidRPr="00FD7F6F">
        <w:rPr>
          <w:rFonts w:cs="Arial"/>
          <w:color w:val="000000"/>
          <w:sz w:val="24"/>
          <w:szCs w:val="24"/>
          <w:shd w:val="clear" w:color="auto" w:fill="FFFFFF"/>
        </w:rPr>
        <w:t>nominal GDP target</w:t>
      </w:r>
      <w:r w:rsidRPr="00FD7F6F">
        <w:rPr>
          <w:sz w:val="24"/>
          <w:szCs w:val="24"/>
        </w:rPr>
        <w:t xml:space="preserve"> is still its robustness with respect to shocks</w:t>
      </w:r>
      <w:r w:rsidRPr="00FD7F6F">
        <w:rPr>
          <w:rFonts w:cs="Arial"/>
          <w:color w:val="000000"/>
          <w:sz w:val="24"/>
          <w:szCs w:val="24"/>
          <w:shd w:val="clear" w:color="auto" w:fill="FFFFFF"/>
        </w:rPr>
        <w:t>.  But relative to a</w:t>
      </w:r>
      <w:r w:rsidR="00EA77D9">
        <w:rPr>
          <w:rFonts w:cs="Arial"/>
          <w:color w:val="000000"/>
          <w:sz w:val="24"/>
          <w:szCs w:val="24"/>
          <w:shd w:val="clear" w:color="auto" w:fill="FFFFFF"/>
        </w:rPr>
        <w:t xml:space="preserve">n </w:t>
      </w:r>
      <w:r w:rsidRPr="00FD7F6F">
        <w:rPr>
          <w:rFonts w:cs="Arial"/>
          <w:color w:val="000000"/>
          <w:sz w:val="24"/>
          <w:szCs w:val="24"/>
          <w:shd w:val="clear" w:color="auto" w:fill="FFFFFF"/>
        </w:rPr>
        <w:t xml:space="preserve">inflation target, the advantage of nominal GDP targeting is robustness with respect to </w:t>
      </w:r>
      <w:r w:rsidR="00565349">
        <w:rPr>
          <w:rFonts w:cs="Arial"/>
          <w:color w:val="000000"/>
          <w:sz w:val="24"/>
          <w:szCs w:val="24"/>
          <w:shd w:val="clear" w:color="auto" w:fill="FFFFFF"/>
        </w:rPr>
        <w:t>s</w:t>
      </w:r>
      <w:r w:rsidRPr="00FD7F6F">
        <w:rPr>
          <w:rFonts w:cs="Arial"/>
          <w:color w:val="000000"/>
          <w:sz w:val="24"/>
          <w:szCs w:val="24"/>
          <w:shd w:val="clear" w:color="auto" w:fill="FFFFFF"/>
        </w:rPr>
        <w:t>upply shocks</w:t>
      </w:r>
      <w:r w:rsidR="00510F7B">
        <w:rPr>
          <w:rFonts w:cs="Arial"/>
          <w:color w:val="000000"/>
          <w:sz w:val="24"/>
          <w:szCs w:val="24"/>
          <w:shd w:val="clear" w:color="auto" w:fill="FFFFFF"/>
        </w:rPr>
        <w:t xml:space="preserve">. These include </w:t>
      </w:r>
      <w:r w:rsidRPr="00565349">
        <w:rPr>
          <w:rFonts w:cs="Arial"/>
          <w:color w:val="000000"/>
          <w:sz w:val="24"/>
          <w:szCs w:val="24"/>
          <w:shd w:val="clear" w:color="auto" w:fill="FFFFFF"/>
        </w:rPr>
        <w:t xml:space="preserve">productivity shocks </w:t>
      </w:r>
      <w:r w:rsidR="00510F7B">
        <w:rPr>
          <w:rFonts w:cs="Arial"/>
          <w:color w:val="000000"/>
          <w:sz w:val="24"/>
          <w:szCs w:val="24"/>
          <w:shd w:val="clear" w:color="auto" w:fill="FFFFFF"/>
        </w:rPr>
        <w:t>and</w:t>
      </w:r>
      <w:r w:rsidRPr="00565349">
        <w:rPr>
          <w:rFonts w:cs="Arial"/>
          <w:color w:val="000000"/>
          <w:sz w:val="24"/>
          <w:szCs w:val="24"/>
          <w:shd w:val="clear" w:color="auto" w:fill="FFFFFF"/>
        </w:rPr>
        <w:t xml:space="preserve"> commodity shocks</w:t>
      </w:r>
      <w:r w:rsidR="00565349">
        <w:rPr>
          <w:rFonts w:cs="Arial"/>
          <w:color w:val="000000"/>
          <w:sz w:val="24"/>
          <w:szCs w:val="24"/>
          <w:shd w:val="clear" w:color="auto" w:fill="FFFFFF"/>
        </w:rPr>
        <w:t>.</w:t>
      </w:r>
      <w:r w:rsidR="00565349">
        <w:rPr>
          <w:rStyle w:val="FootnoteReference"/>
          <w:rFonts w:cs="Arial"/>
          <w:color w:val="000000"/>
          <w:sz w:val="24"/>
          <w:szCs w:val="24"/>
          <w:shd w:val="clear" w:color="auto" w:fill="FFFFFF"/>
        </w:rPr>
        <w:footnoteReference w:id="9"/>
      </w:r>
      <w:r w:rsidR="00565349">
        <w:rPr>
          <w:rFonts w:cs="Arial"/>
          <w:color w:val="000000"/>
          <w:sz w:val="24"/>
          <w:szCs w:val="24"/>
          <w:shd w:val="clear" w:color="auto" w:fill="FFFFFF"/>
        </w:rPr>
        <w:t xml:space="preserve"> </w:t>
      </w:r>
      <w:r w:rsidRPr="00565349">
        <w:rPr>
          <w:rFonts w:cs="Arial"/>
          <w:color w:val="000000"/>
          <w:sz w:val="24"/>
          <w:szCs w:val="24"/>
          <w:shd w:val="clear" w:color="auto" w:fill="FFFFFF"/>
        </w:rPr>
        <w:t xml:space="preserve"> </w:t>
      </w:r>
      <w:r w:rsidRPr="00565349">
        <w:rPr>
          <w:sz w:val="24"/>
          <w:szCs w:val="24"/>
        </w:rPr>
        <w:t xml:space="preserve">In the presence of an adverse supply shock, an inflation target implies </w:t>
      </w:r>
      <w:r w:rsidRPr="00565349">
        <w:rPr>
          <w:sz w:val="24"/>
          <w:szCs w:val="24"/>
        </w:rPr>
        <w:lastRenderedPageBreak/>
        <w:t>a needlessly tight monetary policy and a needlessly large recession.</w:t>
      </w:r>
      <w:r w:rsidR="0051559A" w:rsidRPr="0051559A">
        <w:rPr>
          <w:rStyle w:val="FootnoteReference"/>
          <w:sz w:val="24"/>
          <w:szCs w:val="24"/>
        </w:rPr>
        <w:t xml:space="preserve"> </w:t>
      </w:r>
      <w:r w:rsidR="0051559A">
        <w:rPr>
          <w:rStyle w:val="FootnoteReference"/>
          <w:sz w:val="24"/>
          <w:szCs w:val="24"/>
        </w:rPr>
        <w:footnoteReference w:id="10"/>
      </w:r>
      <w:r w:rsidR="0051559A">
        <w:rPr>
          <w:sz w:val="24"/>
          <w:szCs w:val="24"/>
        </w:rPr>
        <w:t xml:space="preserve"> </w:t>
      </w:r>
      <w:r w:rsidR="00565349" w:rsidRPr="00565349">
        <w:rPr>
          <w:sz w:val="24"/>
          <w:szCs w:val="24"/>
        </w:rPr>
        <w:t xml:space="preserve"> </w:t>
      </w:r>
      <w:r w:rsidR="00565349">
        <w:rPr>
          <w:sz w:val="24"/>
          <w:szCs w:val="24"/>
        </w:rPr>
        <w:t>W</w:t>
      </w:r>
      <w:r w:rsidR="0051559A">
        <w:rPr>
          <w:sz w:val="24"/>
          <w:szCs w:val="24"/>
        </w:rPr>
        <w:t>here</w:t>
      </w:r>
      <w:r w:rsidR="00565349" w:rsidRPr="00FD7F6F">
        <w:rPr>
          <w:sz w:val="24"/>
          <w:szCs w:val="24"/>
        </w:rPr>
        <w:t xml:space="preserve"> an inflation target can push the authorities to tighten in the face of an adverse shock</w:t>
      </w:r>
      <w:r w:rsidR="00565349">
        <w:rPr>
          <w:sz w:val="24"/>
          <w:szCs w:val="24"/>
        </w:rPr>
        <w:t xml:space="preserve">, </w:t>
      </w:r>
      <w:r w:rsidRPr="00565349">
        <w:rPr>
          <w:sz w:val="24"/>
          <w:szCs w:val="24"/>
        </w:rPr>
        <w:t>NGDP targeting allows the impact of the shift to be automatically divided between some loss of price stability and s</w:t>
      </w:r>
      <w:r w:rsidR="00565349">
        <w:rPr>
          <w:sz w:val="24"/>
          <w:szCs w:val="24"/>
        </w:rPr>
        <w:t>ome loss in the output objective</w:t>
      </w:r>
      <w:r w:rsidRPr="00FD7F6F">
        <w:rPr>
          <w:sz w:val="24"/>
          <w:szCs w:val="24"/>
        </w:rPr>
        <w:t>.</w:t>
      </w:r>
      <w:r w:rsidR="0051559A">
        <w:rPr>
          <w:sz w:val="24"/>
          <w:szCs w:val="24"/>
        </w:rPr>
        <w:t xml:space="preserve">  That is roughly speaking what one would want to do anyway, even if one had dis</w:t>
      </w:r>
      <w:r w:rsidR="00BA725D">
        <w:rPr>
          <w:sz w:val="24"/>
          <w:szCs w:val="24"/>
        </w:rPr>
        <w:t>cre</w:t>
      </w:r>
      <w:r w:rsidR="0051559A">
        <w:rPr>
          <w:sz w:val="24"/>
          <w:szCs w:val="24"/>
        </w:rPr>
        <w:t>tion.</w:t>
      </w:r>
      <w:r w:rsidRPr="00FD7F6F">
        <w:rPr>
          <w:sz w:val="24"/>
          <w:szCs w:val="24"/>
        </w:rPr>
        <w:t xml:space="preserve">  </w:t>
      </w:r>
      <w:r w:rsidR="00EA77D9">
        <w:rPr>
          <w:sz w:val="24"/>
          <w:szCs w:val="24"/>
        </w:rPr>
        <w:t>[</w:t>
      </w:r>
      <w:r w:rsidRPr="00FD7F6F">
        <w:rPr>
          <w:sz w:val="24"/>
          <w:szCs w:val="24"/>
        </w:rPr>
        <w:t>See graph.</w:t>
      </w:r>
      <w:r w:rsidR="00EA77D9">
        <w:rPr>
          <w:sz w:val="24"/>
          <w:szCs w:val="24"/>
        </w:rPr>
        <w:t>]</w:t>
      </w:r>
    </w:p>
    <w:p w:rsidR="00EA77D9" w:rsidRDefault="00EA77D9" w:rsidP="00EA77D9">
      <w:pPr>
        <w:spacing w:line="360" w:lineRule="auto"/>
        <w:ind w:firstLine="720"/>
        <w:rPr>
          <w:sz w:val="24"/>
          <w:szCs w:val="24"/>
        </w:rPr>
      </w:pPr>
    </w:p>
    <w:p w:rsidR="00EA77D9" w:rsidRPr="007E2DEB" w:rsidRDefault="00EA77D9" w:rsidP="00565349">
      <w:pPr>
        <w:spacing w:line="240" w:lineRule="auto"/>
        <w:ind w:firstLine="720"/>
        <w:rPr>
          <w:sz w:val="24"/>
          <w:szCs w:val="24"/>
        </w:rPr>
      </w:pPr>
      <w:r w:rsidRPr="008A7B58">
        <w:rPr>
          <w:rFonts w:cs="Arial"/>
          <w:noProof/>
          <w:color w:val="000000"/>
          <w:sz w:val="26"/>
          <w:szCs w:val="26"/>
          <w:u w:val="single"/>
          <w:shd w:val="clear" w:color="auto" w:fill="FFFFFF"/>
        </w:rPr>
        <w:drawing>
          <wp:inline distT="0" distB="0" distL="0" distR="0" wp14:anchorId="5FEE165E" wp14:editId="4BDCF34F">
            <wp:extent cx="4749800" cy="3562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743500" cy="3557625"/>
                    </a:xfrm>
                    <a:prstGeom prst="rect">
                      <a:avLst/>
                    </a:prstGeom>
                  </pic:spPr>
                </pic:pic>
              </a:graphicData>
            </a:graphic>
          </wp:inline>
        </w:drawing>
      </w:r>
    </w:p>
    <w:p w:rsidR="004353A6" w:rsidRDefault="004353A6" w:rsidP="004353A6">
      <w:pPr>
        <w:spacing w:line="360" w:lineRule="auto"/>
        <w:rPr>
          <w:sz w:val="24"/>
          <w:szCs w:val="24"/>
        </w:rPr>
      </w:pPr>
    </w:p>
    <w:p w:rsidR="00FB78F5" w:rsidRDefault="00FD7F6F" w:rsidP="004353A6">
      <w:pPr>
        <w:spacing w:line="360" w:lineRule="auto"/>
        <w:ind w:firstLine="720"/>
        <w:rPr>
          <w:sz w:val="24"/>
          <w:szCs w:val="24"/>
        </w:rPr>
      </w:pPr>
      <w:r>
        <w:rPr>
          <w:sz w:val="24"/>
          <w:szCs w:val="24"/>
        </w:rPr>
        <w:t>I</w:t>
      </w:r>
      <w:r w:rsidR="004353A6">
        <w:rPr>
          <w:sz w:val="24"/>
          <w:szCs w:val="24"/>
        </w:rPr>
        <w:t>nflation Targeting</w:t>
      </w:r>
      <w:r>
        <w:rPr>
          <w:sz w:val="24"/>
          <w:szCs w:val="24"/>
        </w:rPr>
        <w:t>, especially Flexible Inflation Targeting, has many passionate defenders.</w:t>
      </w:r>
      <w:r w:rsidR="00D40681">
        <w:rPr>
          <w:rStyle w:val="FootnoteReference"/>
          <w:sz w:val="24"/>
          <w:szCs w:val="24"/>
        </w:rPr>
        <w:footnoteReference w:id="11"/>
      </w:r>
      <w:r>
        <w:rPr>
          <w:sz w:val="24"/>
          <w:szCs w:val="24"/>
        </w:rPr>
        <w:t xml:space="preserve">  </w:t>
      </w:r>
      <w:r w:rsidR="00987113" w:rsidRPr="007E2DEB">
        <w:rPr>
          <w:sz w:val="24"/>
          <w:szCs w:val="24"/>
        </w:rPr>
        <w:t xml:space="preserve">I hasten to make clear that I approve of the central bank being transparent about what it sees as the long-run inflation rate (along with the long-run growth rate and unemployment rate).  If this is all that is meant by Flexible Inflation Targeting, then fine.  But if </w:t>
      </w:r>
      <w:r w:rsidR="00987113" w:rsidRPr="007E2DEB">
        <w:rPr>
          <w:sz w:val="24"/>
          <w:szCs w:val="24"/>
        </w:rPr>
        <w:lastRenderedPageBreak/>
        <w:t>we are talking about some degree of commitment at a 1</w:t>
      </w:r>
      <w:r w:rsidR="00FB78F5">
        <w:rPr>
          <w:sz w:val="24"/>
          <w:szCs w:val="24"/>
        </w:rPr>
        <w:t xml:space="preserve">- or 2-year horizon, then I still see </w:t>
      </w:r>
      <w:r w:rsidR="00987113" w:rsidRPr="007E2DEB">
        <w:rPr>
          <w:sz w:val="24"/>
          <w:szCs w:val="24"/>
        </w:rPr>
        <w:t>problems</w:t>
      </w:r>
      <w:r w:rsidR="00EA77D9">
        <w:rPr>
          <w:sz w:val="24"/>
          <w:szCs w:val="24"/>
        </w:rPr>
        <w:t xml:space="preserve"> from supply shocks</w:t>
      </w:r>
      <w:r>
        <w:rPr>
          <w:sz w:val="24"/>
          <w:szCs w:val="24"/>
        </w:rPr>
        <w:t>.</w:t>
      </w:r>
    </w:p>
    <w:p w:rsidR="00CC5731" w:rsidRPr="004353A6" w:rsidRDefault="004353A6" w:rsidP="004353A6">
      <w:pPr>
        <w:spacing w:line="360" w:lineRule="auto"/>
        <w:ind w:firstLine="720"/>
        <w:rPr>
          <w:sz w:val="24"/>
          <w:szCs w:val="24"/>
        </w:rPr>
      </w:pPr>
      <w:r w:rsidRPr="004353A6">
        <w:rPr>
          <w:sz w:val="24"/>
          <w:szCs w:val="24"/>
        </w:rPr>
        <w:t xml:space="preserve">NGDPT proponents </w:t>
      </w:r>
      <w:r w:rsidR="00FB78F5" w:rsidRPr="004353A6">
        <w:rPr>
          <w:sz w:val="24"/>
          <w:szCs w:val="24"/>
        </w:rPr>
        <w:t>have also come up with a relatively new argument, concerning financial stability and inspired by the global financial crisis:  Via counter-cyclical inflation, NGDPT improves the distribution of risk between debtors and creditors.</w:t>
      </w:r>
      <w:r w:rsidR="00CC5731" w:rsidRPr="004353A6">
        <w:rPr>
          <w:rStyle w:val="FootnoteReference"/>
          <w:sz w:val="24"/>
          <w:szCs w:val="24"/>
        </w:rPr>
        <w:footnoteReference w:id="12"/>
      </w:r>
    </w:p>
    <w:p w:rsidR="00CC5731" w:rsidRDefault="00CC5731" w:rsidP="00CC5731">
      <w:pPr>
        <w:spacing w:line="360" w:lineRule="auto"/>
        <w:ind w:left="720"/>
        <w:rPr>
          <w:sz w:val="26"/>
          <w:szCs w:val="26"/>
        </w:rPr>
      </w:pPr>
    </w:p>
    <w:p w:rsidR="00FB78F5" w:rsidRPr="008A7B58" w:rsidRDefault="00FB78F5" w:rsidP="00CC5731">
      <w:pPr>
        <w:spacing w:line="360" w:lineRule="auto"/>
        <w:rPr>
          <w:sz w:val="16"/>
          <w:szCs w:val="16"/>
        </w:rPr>
      </w:pPr>
      <w:r w:rsidRPr="008A7B58">
        <w:rPr>
          <w:b/>
          <w:sz w:val="26"/>
          <w:szCs w:val="26"/>
        </w:rPr>
        <w:t>What are the drawbacks of NGDPT?</w:t>
      </w:r>
    </w:p>
    <w:p w:rsidR="00CC5731" w:rsidRPr="00664E65" w:rsidRDefault="00FB78F5" w:rsidP="00664E65">
      <w:pPr>
        <w:spacing w:line="360" w:lineRule="auto"/>
        <w:ind w:firstLine="720"/>
        <w:rPr>
          <w:sz w:val="26"/>
          <w:szCs w:val="26"/>
        </w:rPr>
      </w:pPr>
      <w:r w:rsidRPr="00664E65">
        <w:rPr>
          <w:sz w:val="26"/>
          <w:szCs w:val="26"/>
        </w:rPr>
        <w:t>One common argument against Nominal GDP targets is that the</w:t>
      </w:r>
      <w:r w:rsidR="00CC5731" w:rsidRPr="00664E65">
        <w:rPr>
          <w:sz w:val="26"/>
          <w:szCs w:val="26"/>
        </w:rPr>
        <w:t xml:space="preserve"> authority cannot hit them, though the same point applies to </w:t>
      </w:r>
      <w:r w:rsidRPr="00664E65">
        <w:rPr>
          <w:sz w:val="26"/>
          <w:szCs w:val="26"/>
        </w:rPr>
        <w:t>inflation targets.  Either way, nobody proposes to stake all credibility on hitting the target.</w:t>
      </w:r>
    </w:p>
    <w:p w:rsidR="00FB78F5" w:rsidRPr="00664E65" w:rsidRDefault="00FB78F5" w:rsidP="00664E65">
      <w:pPr>
        <w:spacing w:line="360" w:lineRule="auto"/>
        <w:ind w:firstLine="720"/>
        <w:rPr>
          <w:sz w:val="26"/>
          <w:szCs w:val="26"/>
        </w:rPr>
      </w:pPr>
      <w:r w:rsidRPr="00664E65">
        <w:rPr>
          <w:sz w:val="26"/>
          <w:szCs w:val="26"/>
        </w:rPr>
        <w:t xml:space="preserve">A second common argument is that the person in the street does not understand what nominal GDP is, or how it breaks down into real GDP versus the price level.  Central bankers fear the public would hold them responsible for hitting a real GDP target which might be rendered impossible by an adverse </w:t>
      </w:r>
      <w:r w:rsidR="004B1A5F">
        <w:rPr>
          <w:sz w:val="26"/>
          <w:szCs w:val="26"/>
        </w:rPr>
        <w:t>productivity</w:t>
      </w:r>
      <w:r w:rsidRPr="00664E65">
        <w:rPr>
          <w:sz w:val="26"/>
          <w:szCs w:val="26"/>
        </w:rPr>
        <w:t xml:space="preserve"> shock. This could well be true.  </w:t>
      </w:r>
      <w:r w:rsidR="00CC5731" w:rsidRPr="00664E65">
        <w:rPr>
          <w:sz w:val="26"/>
          <w:szCs w:val="26"/>
        </w:rPr>
        <w:t>But it is a</w:t>
      </w:r>
      <w:r w:rsidRPr="00664E65">
        <w:rPr>
          <w:sz w:val="26"/>
          <w:szCs w:val="26"/>
        </w:rPr>
        <w:t>ll the more reason to avoid choosing an ex ante target like inflation that in the event of an adverse supply shock must be abandoned ex post amid feeble explana</w:t>
      </w:r>
      <w:r w:rsidR="00FB6E03">
        <w:rPr>
          <w:sz w:val="26"/>
          <w:szCs w:val="26"/>
        </w:rPr>
        <w:t>tions about the unforeseen development.</w:t>
      </w:r>
      <w:r w:rsidR="00CC5731" w:rsidRPr="00664E65">
        <w:rPr>
          <w:sz w:val="26"/>
          <w:szCs w:val="26"/>
        </w:rPr>
        <w:t xml:space="preserve"> If a central bank adopted nominal GDP targeting, it would implicitly and explicitly make the point that it has no control over productivity shocks or commodity shocks.  </w:t>
      </w:r>
      <w:r w:rsidR="00F815DE" w:rsidRPr="00664E65">
        <w:rPr>
          <w:sz w:val="26"/>
          <w:szCs w:val="26"/>
        </w:rPr>
        <w:t>It is b</w:t>
      </w:r>
      <w:r w:rsidR="00CC5731" w:rsidRPr="00664E65">
        <w:rPr>
          <w:sz w:val="26"/>
          <w:szCs w:val="26"/>
        </w:rPr>
        <w:t>etter to make that point ex ante than ex post.</w:t>
      </w:r>
    </w:p>
    <w:p w:rsidR="00664E65" w:rsidRPr="00664E65" w:rsidRDefault="00CC5731" w:rsidP="00664E65">
      <w:pPr>
        <w:spacing w:line="360" w:lineRule="auto"/>
        <w:ind w:firstLine="720"/>
        <w:rPr>
          <w:sz w:val="26"/>
          <w:szCs w:val="26"/>
        </w:rPr>
      </w:pPr>
      <w:r w:rsidRPr="00664E65">
        <w:rPr>
          <w:sz w:val="26"/>
          <w:szCs w:val="26"/>
        </w:rPr>
        <w:t>Third, n</w:t>
      </w:r>
      <w:r w:rsidR="00FB78F5" w:rsidRPr="00664E65">
        <w:rPr>
          <w:sz w:val="26"/>
          <w:szCs w:val="26"/>
        </w:rPr>
        <w:t>ominal</w:t>
      </w:r>
      <w:r w:rsidRPr="00664E65">
        <w:rPr>
          <w:sz w:val="26"/>
          <w:szCs w:val="26"/>
        </w:rPr>
        <w:t xml:space="preserve"> GDP numbers are revised over time by the statistical agencies</w:t>
      </w:r>
      <w:r w:rsidR="00FB78F5" w:rsidRPr="00664E65">
        <w:rPr>
          <w:sz w:val="26"/>
          <w:szCs w:val="26"/>
        </w:rPr>
        <w:t xml:space="preserve">.  This does </w:t>
      </w:r>
      <w:r w:rsidRPr="00664E65">
        <w:rPr>
          <w:sz w:val="26"/>
          <w:szCs w:val="26"/>
        </w:rPr>
        <w:t xml:space="preserve">indeed seem </w:t>
      </w:r>
      <w:r w:rsidR="00FB78F5" w:rsidRPr="00664E65">
        <w:rPr>
          <w:sz w:val="26"/>
          <w:szCs w:val="26"/>
        </w:rPr>
        <w:t>a drawback of NGDPT, but not a fatal one</w:t>
      </w:r>
      <w:r w:rsidR="00F815DE" w:rsidRPr="00664E65">
        <w:rPr>
          <w:sz w:val="26"/>
          <w:szCs w:val="26"/>
        </w:rPr>
        <w:t>,</w:t>
      </w:r>
      <w:r w:rsidRPr="00664E65">
        <w:rPr>
          <w:sz w:val="26"/>
          <w:szCs w:val="26"/>
        </w:rPr>
        <w:t xml:space="preserve"> especially if the commitment is to be loose anyway.</w:t>
      </w:r>
    </w:p>
    <w:p w:rsidR="00565349" w:rsidRPr="00664E65" w:rsidRDefault="00565349" w:rsidP="00664E65">
      <w:pPr>
        <w:spacing w:line="360" w:lineRule="auto"/>
        <w:rPr>
          <w:b/>
          <w:sz w:val="24"/>
          <w:szCs w:val="24"/>
        </w:rPr>
      </w:pPr>
      <w:r w:rsidRPr="00664E65">
        <w:rPr>
          <w:b/>
          <w:sz w:val="24"/>
          <w:szCs w:val="24"/>
        </w:rPr>
        <w:lastRenderedPageBreak/>
        <w:t xml:space="preserve">If </w:t>
      </w:r>
      <w:r w:rsidR="00CC5731" w:rsidRPr="00664E65">
        <w:rPr>
          <w:b/>
          <w:sz w:val="24"/>
          <w:szCs w:val="24"/>
        </w:rPr>
        <w:t>the t</w:t>
      </w:r>
      <w:r w:rsidRPr="00664E65">
        <w:rPr>
          <w:b/>
          <w:sz w:val="24"/>
          <w:szCs w:val="24"/>
        </w:rPr>
        <w:t xml:space="preserve">arget is to be NGDP, </w:t>
      </w:r>
      <w:r w:rsidR="00CC5731" w:rsidRPr="00664E65">
        <w:rPr>
          <w:b/>
          <w:sz w:val="24"/>
          <w:szCs w:val="24"/>
        </w:rPr>
        <w:t>h</w:t>
      </w:r>
      <w:r w:rsidRPr="00664E65">
        <w:rPr>
          <w:b/>
          <w:sz w:val="24"/>
          <w:szCs w:val="24"/>
        </w:rPr>
        <w:t xml:space="preserve">ow </w:t>
      </w:r>
      <w:r w:rsidR="00CC5731" w:rsidRPr="00664E65">
        <w:rPr>
          <w:b/>
          <w:sz w:val="24"/>
          <w:szCs w:val="24"/>
        </w:rPr>
        <w:t>s</w:t>
      </w:r>
      <w:r w:rsidRPr="00664E65">
        <w:rPr>
          <w:b/>
          <w:sz w:val="24"/>
          <w:szCs w:val="24"/>
        </w:rPr>
        <w:t xml:space="preserve">trong </w:t>
      </w:r>
      <w:r w:rsidR="00CC5731" w:rsidRPr="00664E65">
        <w:rPr>
          <w:b/>
          <w:sz w:val="24"/>
          <w:szCs w:val="24"/>
        </w:rPr>
        <w:t>s</w:t>
      </w:r>
      <w:r w:rsidRPr="00664E65">
        <w:rPr>
          <w:b/>
          <w:sz w:val="24"/>
          <w:szCs w:val="24"/>
        </w:rPr>
        <w:t xml:space="preserve">hould the </w:t>
      </w:r>
      <w:r w:rsidR="00CC5731" w:rsidRPr="00664E65">
        <w:rPr>
          <w:b/>
          <w:sz w:val="24"/>
          <w:szCs w:val="24"/>
        </w:rPr>
        <w:t>c</w:t>
      </w:r>
      <w:r w:rsidR="0067662F" w:rsidRPr="00664E65">
        <w:rPr>
          <w:b/>
          <w:sz w:val="24"/>
          <w:szCs w:val="24"/>
        </w:rPr>
        <w:t>ommitment b</w:t>
      </w:r>
      <w:r w:rsidRPr="00664E65">
        <w:rPr>
          <w:b/>
          <w:sz w:val="24"/>
          <w:szCs w:val="24"/>
        </w:rPr>
        <w:t>e?</w:t>
      </w:r>
    </w:p>
    <w:p w:rsidR="00565349" w:rsidRPr="0059365F" w:rsidRDefault="006122BB" w:rsidP="00664E65">
      <w:pPr>
        <w:spacing w:line="360" w:lineRule="auto"/>
        <w:ind w:firstLine="720"/>
        <w:rPr>
          <w:sz w:val="24"/>
          <w:szCs w:val="24"/>
        </w:rPr>
      </w:pPr>
      <w:r w:rsidRPr="0059365F">
        <w:rPr>
          <w:sz w:val="24"/>
          <w:szCs w:val="24"/>
        </w:rPr>
        <w:t>I once thought</w:t>
      </w:r>
      <w:r w:rsidR="00087E86" w:rsidRPr="0059365F">
        <w:rPr>
          <w:sz w:val="24"/>
          <w:szCs w:val="24"/>
        </w:rPr>
        <w:t xml:space="preserve"> that it would be easier to hit a two-year target for nominal GDP growth within a given range (say plus or minus 1%) than to hit a corresponding target for inflation.  </w:t>
      </w:r>
      <w:r w:rsidR="007E2DEB" w:rsidRPr="0059365F">
        <w:rPr>
          <w:sz w:val="24"/>
          <w:szCs w:val="24"/>
        </w:rPr>
        <w:t>The logic was that</w:t>
      </w:r>
      <w:r w:rsidR="00087E86" w:rsidRPr="0059365F">
        <w:rPr>
          <w:sz w:val="24"/>
          <w:szCs w:val="24"/>
        </w:rPr>
        <w:t xml:space="preserve"> monetary policy largely has to pass through nominal GDP </w:t>
      </w:r>
      <w:r w:rsidR="00565349" w:rsidRPr="0059365F">
        <w:rPr>
          <w:sz w:val="24"/>
          <w:szCs w:val="24"/>
        </w:rPr>
        <w:t xml:space="preserve">anyway, </w:t>
      </w:r>
      <w:r w:rsidR="00087E86" w:rsidRPr="0059365F">
        <w:rPr>
          <w:sz w:val="24"/>
          <w:szCs w:val="24"/>
        </w:rPr>
        <w:t>to get to inflation</w:t>
      </w:r>
      <w:r w:rsidR="007E2DEB" w:rsidRPr="0059365F">
        <w:rPr>
          <w:sz w:val="24"/>
          <w:szCs w:val="24"/>
        </w:rPr>
        <w:t>:</w:t>
      </w:r>
      <w:r w:rsidR="007066B5" w:rsidRPr="0059365F">
        <w:rPr>
          <w:sz w:val="24"/>
          <w:szCs w:val="24"/>
        </w:rPr>
        <w:t xml:space="preserve">  Inflation can be deflected from its target by both supply and demand shocks, while nominal GDP can only be deflected by demand shocks.  But I no longer </w:t>
      </w:r>
      <w:r w:rsidR="007E2DEB" w:rsidRPr="0059365F">
        <w:rPr>
          <w:sz w:val="24"/>
          <w:szCs w:val="24"/>
        </w:rPr>
        <w:t xml:space="preserve">am so sure of that.  I still think nominal GDP targets would be better than inflation targets if they could be achieved, but I am no longer </w:t>
      </w:r>
      <w:r w:rsidR="00F815DE" w:rsidRPr="0059365F">
        <w:rPr>
          <w:sz w:val="24"/>
          <w:szCs w:val="24"/>
        </w:rPr>
        <w:t>so</w:t>
      </w:r>
      <w:r w:rsidR="007E2DEB" w:rsidRPr="0059365F">
        <w:rPr>
          <w:sz w:val="24"/>
          <w:szCs w:val="24"/>
        </w:rPr>
        <w:t xml:space="preserve"> confident that they can be achieved.</w:t>
      </w:r>
      <w:r w:rsidR="007066B5" w:rsidRPr="0059365F">
        <w:rPr>
          <w:sz w:val="24"/>
          <w:szCs w:val="24"/>
        </w:rPr>
        <w:t xml:space="preserve"> </w:t>
      </w:r>
    </w:p>
    <w:p w:rsidR="00087E86" w:rsidRPr="0059365F" w:rsidRDefault="007E2DEB" w:rsidP="00664E65">
      <w:pPr>
        <w:spacing w:line="360" w:lineRule="auto"/>
        <w:ind w:firstLine="720"/>
        <w:rPr>
          <w:sz w:val="24"/>
          <w:szCs w:val="24"/>
        </w:rPr>
      </w:pPr>
      <w:r w:rsidRPr="0059365F">
        <w:rPr>
          <w:sz w:val="24"/>
          <w:szCs w:val="24"/>
        </w:rPr>
        <w:t xml:space="preserve">For this reason, one should not stake </w:t>
      </w:r>
      <w:r w:rsidR="00087E86" w:rsidRPr="0059365F">
        <w:rPr>
          <w:sz w:val="24"/>
          <w:szCs w:val="24"/>
        </w:rPr>
        <w:t>a lot of credibility on a particular target for nominal GDP growth</w:t>
      </w:r>
      <w:r w:rsidRPr="0059365F">
        <w:rPr>
          <w:sz w:val="24"/>
          <w:szCs w:val="24"/>
        </w:rPr>
        <w:t>, even with a target range</w:t>
      </w:r>
      <w:r w:rsidR="0069407C" w:rsidRPr="0059365F">
        <w:rPr>
          <w:sz w:val="24"/>
          <w:szCs w:val="24"/>
        </w:rPr>
        <w:t xml:space="preserve"> (</w:t>
      </w:r>
      <w:r w:rsidR="00087E86" w:rsidRPr="0059365F">
        <w:rPr>
          <w:sz w:val="24"/>
          <w:szCs w:val="24"/>
        </w:rPr>
        <w:t xml:space="preserve">just as the Fed </w:t>
      </w:r>
      <w:r w:rsidR="00565349" w:rsidRPr="0059365F">
        <w:rPr>
          <w:sz w:val="24"/>
          <w:szCs w:val="24"/>
        </w:rPr>
        <w:t>do</w:t>
      </w:r>
      <w:r w:rsidR="0069407C" w:rsidRPr="0059365F">
        <w:rPr>
          <w:sz w:val="24"/>
          <w:szCs w:val="24"/>
        </w:rPr>
        <w:t>es</w:t>
      </w:r>
      <w:r w:rsidR="00565349" w:rsidRPr="0059365F">
        <w:rPr>
          <w:sz w:val="24"/>
          <w:szCs w:val="24"/>
        </w:rPr>
        <w:t xml:space="preserve"> </w:t>
      </w:r>
      <w:r w:rsidR="00087E86" w:rsidRPr="0059365F">
        <w:rPr>
          <w:sz w:val="24"/>
          <w:szCs w:val="24"/>
        </w:rPr>
        <w:t xml:space="preserve">not currently stake a lot of credibility on hitting </w:t>
      </w:r>
      <w:r w:rsidR="0069407C" w:rsidRPr="0059365F">
        <w:rPr>
          <w:sz w:val="24"/>
          <w:szCs w:val="24"/>
        </w:rPr>
        <w:t>its</w:t>
      </w:r>
      <w:r w:rsidR="00E91F4C">
        <w:rPr>
          <w:sz w:val="24"/>
          <w:szCs w:val="24"/>
        </w:rPr>
        <w:t xml:space="preserve"> </w:t>
      </w:r>
      <w:r w:rsidR="00087E86" w:rsidRPr="0059365F">
        <w:rPr>
          <w:sz w:val="24"/>
          <w:szCs w:val="24"/>
        </w:rPr>
        <w:t>inflation target</w:t>
      </w:r>
      <w:r w:rsidR="0069407C" w:rsidRPr="0059365F">
        <w:rPr>
          <w:sz w:val="24"/>
          <w:szCs w:val="24"/>
        </w:rPr>
        <w:t xml:space="preserve"> precisely</w:t>
      </w:r>
      <w:r w:rsidR="00087E86" w:rsidRPr="0059365F">
        <w:rPr>
          <w:sz w:val="24"/>
          <w:szCs w:val="24"/>
        </w:rPr>
        <w:t xml:space="preserve"> in the short term</w:t>
      </w:r>
      <w:r w:rsidR="0069407C" w:rsidRPr="0059365F">
        <w:rPr>
          <w:sz w:val="24"/>
          <w:szCs w:val="24"/>
        </w:rPr>
        <w:t>)</w:t>
      </w:r>
      <w:r w:rsidR="00087E86" w:rsidRPr="0059365F">
        <w:rPr>
          <w:sz w:val="24"/>
          <w:szCs w:val="24"/>
        </w:rPr>
        <w:t>.</w:t>
      </w:r>
    </w:p>
    <w:p w:rsidR="00087E86" w:rsidRPr="0059365F" w:rsidRDefault="00087E86" w:rsidP="00664E65">
      <w:pPr>
        <w:spacing w:line="360" w:lineRule="auto"/>
        <w:ind w:firstLine="720"/>
        <w:rPr>
          <w:sz w:val="24"/>
          <w:szCs w:val="24"/>
        </w:rPr>
      </w:pPr>
      <w:r w:rsidRPr="0059365F">
        <w:rPr>
          <w:sz w:val="24"/>
          <w:szCs w:val="24"/>
        </w:rPr>
        <w:t xml:space="preserve">I come </w:t>
      </w:r>
      <w:r w:rsidR="0059365F" w:rsidRPr="0059365F">
        <w:rPr>
          <w:sz w:val="24"/>
          <w:szCs w:val="24"/>
        </w:rPr>
        <w:t xml:space="preserve">out with a very modest proposal.  </w:t>
      </w:r>
      <w:r w:rsidRPr="0059365F">
        <w:rPr>
          <w:sz w:val="24"/>
          <w:szCs w:val="24"/>
        </w:rPr>
        <w:t>The Fed should add a row for Nominal GDP to the FOMC’s</w:t>
      </w:r>
      <w:r w:rsidR="002847E3" w:rsidRPr="0059365F">
        <w:rPr>
          <w:sz w:val="24"/>
          <w:szCs w:val="24"/>
        </w:rPr>
        <w:t xml:space="preserve"> </w:t>
      </w:r>
      <w:hyperlink r:id="rId10" w:history="1">
        <w:r w:rsidRPr="0059365F">
          <w:rPr>
            <w:rStyle w:val="Hyperlink"/>
            <w:sz w:val="24"/>
            <w:szCs w:val="24"/>
          </w:rPr>
          <w:t>Summary of Economic Projections</w:t>
        </w:r>
      </w:hyperlink>
      <w:r w:rsidR="00664E65" w:rsidRPr="0059365F">
        <w:rPr>
          <w:sz w:val="24"/>
          <w:szCs w:val="24"/>
        </w:rPr>
        <w:t>.</w:t>
      </w:r>
      <w:r w:rsidRPr="0059365F">
        <w:rPr>
          <w:sz w:val="24"/>
          <w:szCs w:val="24"/>
        </w:rPr>
        <w:t xml:space="preserve">  </w:t>
      </w:r>
      <w:r w:rsidR="00664E65" w:rsidRPr="0059365F">
        <w:rPr>
          <w:sz w:val="24"/>
          <w:szCs w:val="24"/>
        </w:rPr>
        <w:t xml:space="preserve">This seems a useful idea </w:t>
      </w:r>
      <w:r w:rsidRPr="0059365F">
        <w:rPr>
          <w:sz w:val="24"/>
          <w:szCs w:val="24"/>
        </w:rPr>
        <w:t>even if the Governors and district presidents who fill out the SEP table simply got their projected NGDP growth numbers by taking the sum of the real growth row and the inflation rate row of table (though inflation in the SEP table is currently the PCE deflator, not the GDP deflator).</w:t>
      </w:r>
    </w:p>
    <w:p w:rsidR="006A40B8" w:rsidRPr="0059365F" w:rsidRDefault="00087E86" w:rsidP="00664E65">
      <w:pPr>
        <w:spacing w:line="360" w:lineRule="auto"/>
        <w:ind w:firstLine="720"/>
        <w:rPr>
          <w:sz w:val="24"/>
          <w:szCs w:val="24"/>
        </w:rPr>
      </w:pPr>
      <w:r w:rsidRPr="0059365F">
        <w:rPr>
          <w:sz w:val="24"/>
          <w:szCs w:val="24"/>
        </w:rPr>
        <w:t xml:space="preserve"> I would prefer that NGDP be reported in the first row of the SEP table</w:t>
      </w:r>
      <w:r w:rsidR="00C30ED7" w:rsidRPr="0059365F">
        <w:rPr>
          <w:sz w:val="24"/>
          <w:szCs w:val="24"/>
        </w:rPr>
        <w:t xml:space="preserve">, above </w:t>
      </w:r>
      <w:r w:rsidRPr="0059365F">
        <w:rPr>
          <w:sz w:val="24"/>
          <w:szCs w:val="24"/>
        </w:rPr>
        <w:t>the rows for real growth, unemployment, inflation, and the fed funds rate, and that the public be allowed to infer that the Fed was now paying some attention to Nominal GDP.</w:t>
      </w:r>
    </w:p>
    <w:p w:rsidR="00CC5731" w:rsidRDefault="00CC5731" w:rsidP="00565349">
      <w:pPr>
        <w:spacing w:line="240" w:lineRule="auto"/>
        <w:ind w:firstLine="720"/>
        <w:rPr>
          <w:sz w:val="26"/>
          <w:szCs w:val="26"/>
        </w:rPr>
      </w:pPr>
      <w:r w:rsidRPr="00CC5731">
        <w:rPr>
          <w:noProof/>
          <w:sz w:val="26"/>
          <w:szCs w:val="26"/>
        </w:rPr>
        <w:lastRenderedPageBreak/>
        <w:drawing>
          <wp:inline distT="0" distB="0" distL="0" distR="0" wp14:anchorId="084529F2" wp14:editId="6066D7E4">
            <wp:extent cx="5092698" cy="381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093410" cy="3820059"/>
                    </a:xfrm>
                    <a:prstGeom prst="rect">
                      <a:avLst/>
                    </a:prstGeom>
                  </pic:spPr>
                </pic:pic>
              </a:graphicData>
            </a:graphic>
          </wp:inline>
        </w:drawing>
      </w:r>
    </w:p>
    <w:p w:rsidR="007D41CD" w:rsidRDefault="007D41CD" w:rsidP="00664E65">
      <w:pPr>
        <w:spacing w:line="360" w:lineRule="auto"/>
        <w:rPr>
          <w:sz w:val="26"/>
          <w:szCs w:val="26"/>
        </w:rPr>
      </w:pPr>
    </w:p>
    <w:p w:rsidR="007D41CD" w:rsidRPr="007D41CD" w:rsidRDefault="007D41CD" w:rsidP="00664E65">
      <w:pPr>
        <w:spacing w:line="360" w:lineRule="auto"/>
        <w:rPr>
          <w:b/>
          <w:sz w:val="24"/>
          <w:szCs w:val="24"/>
        </w:rPr>
      </w:pPr>
      <w:r w:rsidRPr="007D41CD">
        <w:rPr>
          <w:b/>
          <w:sz w:val="24"/>
          <w:szCs w:val="24"/>
        </w:rPr>
        <w:t xml:space="preserve">Should politicians </w:t>
      </w:r>
      <w:r>
        <w:rPr>
          <w:b/>
          <w:sz w:val="24"/>
          <w:szCs w:val="24"/>
        </w:rPr>
        <w:t>constrain</w:t>
      </w:r>
      <w:r w:rsidR="003A7FD3">
        <w:rPr>
          <w:b/>
          <w:sz w:val="24"/>
          <w:szCs w:val="24"/>
        </w:rPr>
        <w:t xml:space="preserve"> </w:t>
      </w:r>
      <w:r w:rsidRPr="007D41CD">
        <w:rPr>
          <w:b/>
          <w:sz w:val="24"/>
          <w:szCs w:val="24"/>
        </w:rPr>
        <w:t xml:space="preserve">the Fed? </w:t>
      </w:r>
    </w:p>
    <w:p w:rsidR="000554FD" w:rsidRPr="0059365F" w:rsidRDefault="003A7FD3" w:rsidP="00664E65">
      <w:pPr>
        <w:spacing w:line="360" w:lineRule="auto"/>
        <w:ind w:firstLine="720"/>
        <w:rPr>
          <w:sz w:val="24"/>
          <w:szCs w:val="24"/>
        </w:rPr>
      </w:pPr>
      <w:r>
        <w:rPr>
          <w:sz w:val="24"/>
          <w:szCs w:val="24"/>
        </w:rPr>
        <w:t xml:space="preserve">One kind of constraint on the central bank’s discretion is rules; but another kind is control by the rest of the government.  In recent years, </w:t>
      </w:r>
      <w:r w:rsidR="00194053" w:rsidRPr="0059365F">
        <w:rPr>
          <w:sz w:val="24"/>
          <w:szCs w:val="24"/>
        </w:rPr>
        <w:t>Congress</w:t>
      </w:r>
      <w:r w:rsidR="00862CA7" w:rsidRPr="0059365F">
        <w:rPr>
          <w:sz w:val="24"/>
          <w:szCs w:val="24"/>
        </w:rPr>
        <w:t xml:space="preserve">men and </w:t>
      </w:r>
      <w:r w:rsidR="00194053" w:rsidRPr="0059365F">
        <w:rPr>
          <w:sz w:val="24"/>
          <w:szCs w:val="24"/>
        </w:rPr>
        <w:t xml:space="preserve">the White House </w:t>
      </w:r>
      <w:r w:rsidR="00862CA7" w:rsidRPr="0059365F">
        <w:rPr>
          <w:sz w:val="24"/>
          <w:szCs w:val="24"/>
        </w:rPr>
        <w:t xml:space="preserve">have made </w:t>
      </w:r>
      <w:r w:rsidR="002847E3" w:rsidRPr="0059365F">
        <w:rPr>
          <w:sz w:val="24"/>
          <w:szCs w:val="24"/>
        </w:rPr>
        <w:t>attempts to rei</w:t>
      </w:r>
      <w:r w:rsidR="00862CA7" w:rsidRPr="0059365F">
        <w:rPr>
          <w:sz w:val="24"/>
          <w:szCs w:val="24"/>
        </w:rPr>
        <w:t xml:space="preserve">n the Fed in.  If they were </w:t>
      </w:r>
      <w:r w:rsidR="002847E3" w:rsidRPr="0059365F">
        <w:rPr>
          <w:sz w:val="24"/>
          <w:szCs w:val="24"/>
        </w:rPr>
        <w:t>to succeed</w:t>
      </w:r>
      <w:r w:rsidR="007D41CD">
        <w:rPr>
          <w:sz w:val="24"/>
          <w:szCs w:val="24"/>
        </w:rPr>
        <w:t xml:space="preserve"> in puncturing the Fed’</w:t>
      </w:r>
      <w:r>
        <w:rPr>
          <w:sz w:val="24"/>
          <w:szCs w:val="24"/>
        </w:rPr>
        <w:t>s vaunt</w:t>
      </w:r>
      <w:r w:rsidR="007D41CD">
        <w:rPr>
          <w:sz w:val="24"/>
          <w:szCs w:val="24"/>
        </w:rPr>
        <w:t>ed independence</w:t>
      </w:r>
      <w:r w:rsidR="002847E3" w:rsidRPr="0059365F">
        <w:rPr>
          <w:sz w:val="24"/>
          <w:szCs w:val="24"/>
        </w:rPr>
        <w:t>, t</w:t>
      </w:r>
      <w:r w:rsidR="00F543C8">
        <w:rPr>
          <w:sz w:val="24"/>
          <w:szCs w:val="24"/>
        </w:rPr>
        <w:t xml:space="preserve">here is </w:t>
      </w:r>
      <w:r w:rsidR="00862CA7" w:rsidRPr="0059365F">
        <w:rPr>
          <w:sz w:val="24"/>
          <w:szCs w:val="24"/>
        </w:rPr>
        <w:t xml:space="preserve">reason to think that the effect would be to </w:t>
      </w:r>
      <w:r w:rsidR="00632279" w:rsidRPr="0059365F">
        <w:rPr>
          <w:sz w:val="24"/>
          <w:szCs w:val="24"/>
        </w:rPr>
        <w:t>make monetary</w:t>
      </w:r>
      <w:r w:rsidR="00194053" w:rsidRPr="0059365F">
        <w:rPr>
          <w:sz w:val="24"/>
          <w:szCs w:val="24"/>
        </w:rPr>
        <w:t xml:space="preserve"> policy pro-cyclical.  </w:t>
      </w:r>
    </w:p>
    <w:p w:rsidR="000554FD" w:rsidRPr="0059365F" w:rsidRDefault="00194053" w:rsidP="00664E65">
      <w:pPr>
        <w:spacing w:line="360" w:lineRule="auto"/>
        <w:ind w:firstLine="720"/>
        <w:rPr>
          <w:sz w:val="24"/>
          <w:szCs w:val="24"/>
        </w:rPr>
      </w:pPr>
      <w:r w:rsidRPr="0059365F">
        <w:rPr>
          <w:sz w:val="24"/>
          <w:szCs w:val="24"/>
        </w:rPr>
        <w:t xml:space="preserve">Consider </w:t>
      </w:r>
      <w:r w:rsidR="00862CA7" w:rsidRPr="0059365F">
        <w:rPr>
          <w:sz w:val="24"/>
          <w:szCs w:val="24"/>
        </w:rPr>
        <w:t xml:space="preserve">a few </w:t>
      </w:r>
      <w:r w:rsidRPr="0059365F">
        <w:rPr>
          <w:sz w:val="24"/>
          <w:szCs w:val="24"/>
        </w:rPr>
        <w:t>quotes</w:t>
      </w:r>
      <w:r w:rsidR="00664E65" w:rsidRPr="0059365F">
        <w:rPr>
          <w:sz w:val="24"/>
          <w:szCs w:val="24"/>
        </w:rPr>
        <w:t>,</w:t>
      </w:r>
      <w:r w:rsidR="00862CA7" w:rsidRPr="0059365F">
        <w:rPr>
          <w:sz w:val="24"/>
          <w:szCs w:val="24"/>
        </w:rPr>
        <w:t xml:space="preserve"> out of many that one could equally well have chosen:</w:t>
      </w:r>
    </w:p>
    <w:p w:rsidR="000554FD" w:rsidRPr="0059365F" w:rsidRDefault="00862CA7" w:rsidP="00664E65">
      <w:pPr>
        <w:numPr>
          <w:ilvl w:val="0"/>
          <w:numId w:val="9"/>
        </w:numPr>
        <w:tabs>
          <w:tab w:val="clear" w:pos="720"/>
          <w:tab w:val="num" w:pos="0"/>
        </w:tabs>
        <w:spacing w:line="240" w:lineRule="auto"/>
        <w:ind w:left="360"/>
        <w:rPr>
          <w:sz w:val="24"/>
          <w:szCs w:val="24"/>
        </w:rPr>
      </w:pPr>
      <w:r w:rsidRPr="0059365F">
        <w:rPr>
          <w:sz w:val="24"/>
          <w:szCs w:val="24"/>
        </w:rPr>
        <w:t xml:space="preserve">On </w:t>
      </w:r>
      <w:r w:rsidR="00194053" w:rsidRPr="0059365F">
        <w:rPr>
          <w:sz w:val="24"/>
          <w:szCs w:val="24"/>
        </w:rPr>
        <w:t>Nov</w:t>
      </w:r>
      <w:r w:rsidRPr="0059365F">
        <w:rPr>
          <w:sz w:val="24"/>
          <w:szCs w:val="24"/>
        </w:rPr>
        <w:t>ember</w:t>
      </w:r>
      <w:r w:rsidR="00194053" w:rsidRPr="0059365F">
        <w:rPr>
          <w:sz w:val="24"/>
          <w:szCs w:val="24"/>
        </w:rPr>
        <w:t xml:space="preserve"> 15, 2010</w:t>
      </w:r>
      <w:r w:rsidRPr="0059365F">
        <w:rPr>
          <w:sz w:val="24"/>
          <w:szCs w:val="24"/>
        </w:rPr>
        <w:t>,</w:t>
      </w:r>
      <w:r w:rsidR="00194053" w:rsidRPr="0059365F">
        <w:rPr>
          <w:sz w:val="24"/>
          <w:szCs w:val="24"/>
        </w:rPr>
        <w:t xml:space="preserve"> 23 conservative economic and financial leaders </w:t>
      </w:r>
      <w:r w:rsidRPr="0059365F">
        <w:rPr>
          <w:sz w:val="24"/>
          <w:szCs w:val="24"/>
        </w:rPr>
        <w:t xml:space="preserve">wrote a letter to the </w:t>
      </w:r>
      <w:r w:rsidRPr="0059365F">
        <w:rPr>
          <w:i/>
          <w:sz w:val="24"/>
          <w:szCs w:val="24"/>
        </w:rPr>
        <w:t>Wall Street Journal</w:t>
      </w:r>
      <w:r w:rsidRPr="0059365F">
        <w:rPr>
          <w:sz w:val="24"/>
          <w:szCs w:val="24"/>
        </w:rPr>
        <w:t xml:space="preserve"> protesting</w:t>
      </w:r>
      <w:r w:rsidR="00194053" w:rsidRPr="0059365F">
        <w:rPr>
          <w:sz w:val="24"/>
          <w:szCs w:val="24"/>
        </w:rPr>
        <w:t xml:space="preserve"> the Fed’s monetary easing</w:t>
      </w:r>
      <w:r w:rsidR="00664E65" w:rsidRPr="0059365F">
        <w:rPr>
          <w:sz w:val="24"/>
          <w:szCs w:val="24"/>
        </w:rPr>
        <w:t xml:space="preserve"> and</w:t>
      </w:r>
      <w:r w:rsidR="00194053" w:rsidRPr="0059365F">
        <w:rPr>
          <w:sz w:val="24"/>
          <w:szCs w:val="24"/>
        </w:rPr>
        <w:t xml:space="preserve"> </w:t>
      </w:r>
      <w:r w:rsidR="009B0ADA" w:rsidRPr="0059365F">
        <w:rPr>
          <w:sz w:val="24"/>
          <w:szCs w:val="24"/>
        </w:rPr>
        <w:t xml:space="preserve">warning of </w:t>
      </w:r>
      <w:r w:rsidR="00194053" w:rsidRPr="0059365F">
        <w:rPr>
          <w:sz w:val="24"/>
          <w:szCs w:val="24"/>
        </w:rPr>
        <w:t>“</w:t>
      </w:r>
      <w:r w:rsidR="00194053" w:rsidRPr="0059365F">
        <w:rPr>
          <w:bCs/>
          <w:sz w:val="24"/>
          <w:szCs w:val="24"/>
        </w:rPr>
        <w:t>currency debasement and inflation.</w:t>
      </w:r>
      <w:r w:rsidR="00194053" w:rsidRPr="0059365F">
        <w:rPr>
          <w:sz w:val="24"/>
          <w:szCs w:val="24"/>
        </w:rPr>
        <w:t>”</w:t>
      </w:r>
      <w:r w:rsidR="00664E65" w:rsidRPr="0059365F">
        <w:rPr>
          <w:sz w:val="24"/>
          <w:szCs w:val="24"/>
        </w:rPr>
        <w:t xml:space="preserve"> </w:t>
      </w:r>
      <w:r w:rsidRPr="0059365F">
        <w:rPr>
          <w:sz w:val="24"/>
          <w:szCs w:val="24"/>
        </w:rPr>
        <w:t>At the time the unemployment rate was 9.8%.</w:t>
      </w:r>
      <w:r w:rsidR="00ED60BA" w:rsidRPr="0059365F">
        <w:rPr>
          <w:rStyle w:val="FootnoteReference"/>
          <w:sz w:val="24"/>
          <w:szCs w:val="24"/>
        </w:rPr>
        <w:footnoteReference w:id="13"/>
      </w:r>
    </w:p>
    <w:p w:rsidR="000554FD" w:rsidRPr="0059365F" w:rsidRDefault="00862CA7" w:rsidP="00664E65">
      <w:pPr>
        <w:numPr>
          <w:ilvl w:val="0"/>
          <w:numId w:val="9"/>
        </w:numPr>
        <w:tabs>
          <w:tab w:val="clear" w:pos="720"/>
          <w:tab w:val="num" w:pos="360"/>
        </w:tabs>
        <w:spacing w:line="240" w:lineRule="auto"/>
        <w:ind w:left="360"/>
        <w:rPr>
          <w:sz w:val="24"/>
          <w:szCs w:val="24"/>
        </w:rPr>
      </w:pPr>
      <w:r w:rsidRPr="0059365F">
        <w:rPr>
          <w:sz w:val="24"/>
          <w:szCs w:val="24"/>
        </w:rPr>
        <w:lastRenderedPageBreak/>
        <w:t xml:space="preserve">On </w:t>
      </w:r>
      <w:r w:rsidR="00194053" w:rsidRPr="0059365F">
        <w:rPr>
          <w:sz w:val="24"/>
          <w:szCs w:val="24"/>
        </w:rPr>
        <w:t>Sept</w:t>
      </w:r>
      <w:r w:rsidRPr="0059365F">
        <w:rPr>
          <w:sz w:val="24"/>
          <w:szCs w:val="24"/>
        </w:rPr>
        <w:t>ember</w:t>
      </w:r>
      <w:r w:rsidR="00194053" w:rsidRPr="0059365F">
        <w:rPr>
          <w:sz w:val="24"/>
          <w:szCs w:val="24"/>
        </w:rPr>
        <w:t xml:space="preserve"> 29, 2011</w:t>
      </w:r>
      <w:r w:rsidRPr="0059365F">
        <w:rPr>
          <w:sz w:val="24"/>
          <w:szCs w:val="24"/>
        </w:rPr>
        <w:t>,</w:t>
      </w:r>
      <w:r w:rsidR="00194053" w:rsidRPr="0059365F">
        <w:rPr>
          <w:sz w:val="24"/>
          <w:szCs w:val="24"/>
        </w:rPr>
        <w:t xml:space="preserve"> Donald Trump</w:t>
      </w:r>
      <w:r w:rsidRPr="0059365F">
        <w:rPr>
          <w:sz w:val="24"/>
          <w:szCs w:val="24"/>
        </w:rPr>
        <w:t xml:space="preserve"> </w:t>
      </w:r>
      <w:r w:rsidR="00BB6836" w:rsidRPr="0059365F">
        <w:rPr>
          <w:sz w:val="24"/>
          <w:szCs w:val="24"/>
        </w:rPr>
        <w:t>tweeted</w:t>
      </w:r>
      <w:r w:rsidR="00194053" w:rsidRPr="0059365F">
        <w:rPr>
          <w:sz w:val="24"/>
          <w:szCs w:val="24"/>
        </w:rPr>
        <w:t xml:space="preserve">: “The Fed's reckless policies of low interest and flooding the market with dollars needs to be stopped or we will face record inflation.” </w:t>
      </w:r>
      <w:r w:rsidRPr="0059365F">
        <w:rPr>
          <w:sz w:val="24"/>
          <w:szCs w:val="24"/>
        </w:rPr>
        <w:t xml:space="preserve">Unemployment was </w:t>
      </w:r>
      <w:r w:rsidR="00632279" w:rsidRPr="0059365F">
        <w:rPr>
          <w:sz w:val="24"/>
          <w:szCs w:val="24"/>
        </w:rPr>
        <w:t>still 9.0</w:t>
      </w:r>
      <w:r w:rsidRPr="0059365F">
        <w:rPr>
          <w:sz w:val="24"/>
          <w:szCs w:val="24"/>
        </w:rPr>
        <w:t>%</w:t>
      </w:r>
      <w:r w:rsidR="00632279" w:rsidRPr="0059365F">
        <w:rPr>
          <w:sz w:val="24"/>
          <w:szCs w:val="24"/>
        </w:rPr>
        <w:t>.</w:t>
      </w:r>
    </w:p>
    <w:p w:rsidR="000554FD" w:rsidRPr="0059365F" w:rsidRDefault="00862CA7" w:rsidP="00664E65">
      <w:pPr>
        <w:numPr>
          <w:ilvl w:val="0"/>
          <w:numId w:val="9"/>
        </w:numPr>
        <w:spacing w:line="240" w:lineRule="auto"/>
        <w:ind w:left="360"/>
        <w:rPr>
          <w:sz w:val="24"/>
          <w:szCs w:val="24"/>
        </w:rPr>
      </w:pPr>
      <w:r w:rsidRPr="0059365F">
        <w:rPr>
          <w:sz w:val="24"/>
          <w:szCs w:val="24"/>
        </w:rPr>
        <w:t xml:space="preserve">On July 19, </w:t>
      </w:r>
      <w:r w:rsidR="00BB6836" w:rsidRPr="0059365F">
        <w:rPr>
          <w:sz w:val="24"/>
          <w:szCs w:val="24"/>
        </w:rPr>
        <w:t xml:space="preserve">2018, </w:t>
      </w:r>
      <w:r w:rsidRPr="0059365F">
        <w:rPr>
          <w:sz w:val="24"/>
          <w:szCs w:val="24"/>
        </w:rPr>
        <w:t xml:space="preserve">President Trump said: “I am not happy about [interest-rate increases]”.  And on </w:t>
      </w:r>
      <w:r w:rsidR="00194053" w:rsidRPr="0059365F">
        <w:rPr>
          <w:sz w:val="24"/>
          <w:szCs w:val="24"/>
        </w:rPr>
        <w:t>Oct</w:t>
      </w:r>
      <w:r w:rsidR="00BB6836" w:rsidRPr="0059365F">
        <w:rPr>
          <w:sz w:val="24"/>
          <w:szCs w:val="24"/>
        </w:rPr>
        <w:t>ober 11</w:t>
      </w:r>
      <w:r w:rsidR="00557C74" w:rsidRPr="0059365F">
        <w:rPr>
          <w:sz w:val="24"/>
          <w:szCs w:val="24"/>
        </w:rPr>
        <w:t xml:space="preserve">: </w:t>
      </w:r>
      <w:r w:rsidR="00194053" w:rsidRPr="0059365F">
        <w:rPr>
          <w:sz w:val="24"/>
          <w:szCs w:val="24"/>
        </w:rPr>
        <w:t xml:space="preserve">“the Fed is </w:t>
      </w:r>
      <w:r w:rsidR="00BB6836" w:rsidRPr="0059365F">
        <w:rPr>
          <w:sz w:val="24"/>
          <w:szCs w:val="24"/>
        </w:rPr>
        <w:t xml:space="preserve">out of control.” </w:t>
      </w:r>
      <w:r w:rsidRPr="0059365F">
        <w:rPr>
          <w:sz w:val="24"/>
          <w:szCs w:val="24"/>
        </w:rPr>
        <w:t xml:space="preserve">The unemployment rate had </w:t>
      </w:r>
      <w:r w:rsidR="0034226C" w:rsidRPr="0059365F">
        <w:rPr>
          <w:sz w:val="24"/>
          <w:szCs w:val="24"/>
        </w:rPr>
        <w:t xml:space="preserve">by then fallen to </w:t>
      </w:r>
      <w:r w:rsidRPr="0059365F">
        <w:rPr>
          <w:sz w:val="24"/>
          <w:szCs w:val="24"/>
        </w:rPr>
        <w:t>3.7%</w:t>
      </w:r>
      <w:r w:rsidR="0034226C" w:rsidRPr="0059365F">
        <w:rPr>
          <w:sz w:val="24"/>
          <w:szCs w:val="24"/>
        </w:rPr>
        <w:t>.</w:t>
      </w:r>
    </w:p>
    <w:p w:rsidR="004E2516" w:rsidRPr="0059365F" w:rsidRDefault="00194053" w:rsidP="0059365F">
      <w:pPr>
        <w:spacing w:line="360" w:lineRule="auto"/>
        <w:ind w:firstLine="720"/>
        <w:rPr>
          <w:sz w:val="24"/>
          <w:szCs w:val="24"/>
        </w:rPr>
      </w:pPr>
      <w:r w:rsidRPr="0059365F">
        <w:rPr>
          <w:sz w:val="24"/>
          <w:szCs w:val="24"/>
        </w:rPr>
        <w:t>This and other historical evidence</w:t>
      </w:r>
      <w:r w:rsidR="00233A41" w:rsidRPr="0059365F">
        <w:rPr>
          <w:rStyle w:val="FootnoteReference"/>
          <w:sz w:val="24"/>
          <w:szCs w:val="24"/>
        </w:rPr>
        <w:footnoteReference w:id="14"/>
      </w:r>
      <w:r w:rsidR="00F61E3B" w:rsidRPr="0059365F">
        <w:rPr>
          <w:sz w:val="24"/>
          <w:szCs w:val="24"/>
        </w:rPr>
        <w:t xml:space="preserve"> </w:t>
      </w:r>
      <w:r w:rsidRPr="0059365F">
        <w:rPr>
          <w:sz w:val="24"/>
          <w:szCs w:val="24"/>
        </w:rPr>
        <w:t xml:space="preserve">suggests that if the politicians who want to bring the Fed under control got their way, they </w:t>
      </w:r>
      <w:r w:rsidR="007D41CD">
        <w:rPr>
          <w:sz w:val="24"/>
          <w:szCs w:val="24"/>
        </w:rPr>
        <w:t xml:space="preserve">might act pro-cyclically instead of counter-cyclically.  They </w:t>
      </w:r>
      <w:r w:rsidRPr="0059365F">
        <w:rPr>
          <w:sz w:val="24"/>
          <w:szCs w:val="24"/>
        </w:rPr>
        <w:t>would be tightening monetary policy when unemployment exceeded 9 % and loosening when it was lower than 4 %</w:t>
      </w:r>
      <w:r w:rsidR="004E2516" w:rsidRPr="0059365F">
        <w:rPr>
          <w:sz w:val="24"/>
          <w:szCs w:val="24"/>
        </w:rPr>
        <w:t>.  Needless to say, such a pattern would work to exacerbate the swings in the business cycle.</w:t>
      </w:r>
    </w:p>
    <w:p w:rsidR="000554FD" w:rsidRPr="0059365F" w:rsidRDefault="004E2516" w:rsidP="0059365F">
      <w:pPr>
        <w:spacing w:line="360" w:lineRule="auto"/>
        <w:ind w:firstLine="720"/>
        <w:rPr>
          <w:sz w:val="24"/>
          <w:szCs w:val="24"/>
        </w:rPr>
      </w:pPr>
      <w:r w:rsidRPr="0059365F">
        <w:rPr>
          <w:sz w:val="24"/>
          <w:szCs w:val="24"/>
        </w:rPr>
        <w:t>Let the Fed do its job.</w:t>
      </w:r>
      <w:r w:rsidR="00194053" w:rsidRPr="0059365F">
        <w:rPr>
          <w:sz w:val="24"/>
          <w:szCs w:val="24"/>
        </w:rPr>
        <w:t xml:space="preserve"> </w:t>
      </w:r>
    </w:p>
    <w:p w:rsidR="00194053" w:rsidRDefault="00194053" w:rsidP="004E2516">
      <w:pPr>
        <w:spacing w:line="240" w:lineRule="auto"/>
        <w:rPr>
          <w:sz w:val="26"/>
          <w:szCs w:val="26"/>
        </w:rPr>
      </w:pPr>
    </w:p>
    <w:p w:rsidR="002847E3" w:rsidRDefault="002847E3" w:rsidP="004E2516">
      <w:pPr>
        <w:spacing w:line="240" w:lineRule="auto"/>
        <w:rPr>
          <w:sz w:val="26"/>
          <w:szCs w:val="26"/>
        </w:rPr>
      </w:pPr>
    </w:p>
    <w:p w:rsidR="00ED60CC" w:rsidRDefault="00ED60CC" w:rsidP="003E3215">
      <w:pPr>
        <w:spacing w:line="240" w:lineRule="auto"/>
        <w:ind w:firstLine="720"/>
        <w:jc w:val="center"/>
        <w:rPr>
          <w:sz w:val="26"/>
          <w:szCs w:val="26"/>
        </w:rPr>
      </w:pPr>
      <w:r w:rsidRPr="003E3215">
        <w:rPr>
          <w:b/>
          <w:sz w:val="26"/>
          <w:szCs w:val="26"/>
        </w:rPr>
        <w:t>References</w:t>
      </w:r>
      <w:r w:rsidR="003E3215">
        <w:rPr>
          <w:sz w:val="26"/>
          <w:szCs w:val="26"/>
        </w:rPr>
        <w:t xml:space="preserve"> </w:t>
      </w:r>
    </w:p>
    <w:p w:rsidR="000F0313" w:rsidRPr="000F0313" w:rsidRDefault="00BE274B" w:rsidP="000F0313">
      <w:pPr>
        <w:pStyle w:val="Heading1"/>
        <w:spacing w:before="0" w:after="120" w:line="240" w:lineRule="atLeast"/>
        <w:textAlignment w:val="baseline"/>
        <w:rPr>
          <w:rFonts w:asciiTheme="minorHAnsi" w:hAnsiTheme="minorHAnsi"/>
          <w:b w:val="0"/>
          <w:color w:val="auto"/>
          <w:sz w:val="22"/>
          <w:szCs w:val="22"/>
        </w:rPr>
      </w:pPr>
      <w:r w:rsidRPr="003E3215">
        <w:rPr>
          <w:rFonts w:asciiTheme="minorHAnsi" w:hAnsiTheme="minorHAnsi"/>
          <w:b w:val="0"/>
          <w:color w:val="auto"/>
          <w:sz w:val="22"/>
          <w:szCs w:val="22"/>
        </w:rPr>
        <w:t>Abrams, Burton</w:t>
      </w:r>
      <w:r w:rsidR="000F0313">
        <w:rPr>
          <w:rFonts w:asciiTheme="minorHAnsi" w:hAnsiTheme="minorHAnsi"/>
          <w:b w:val="0"/>
          <w:color w:val="auto"/>
          <w:sz w:val="22"/>
          <w:szCs w:val="22"/>
        </w:rPr>
        <w:t>, 2006,</w:t>
      </w:r>
      <w:r w:rsidRPr="003E3215">
        <w:rPr>
          <w:rFonts w:asciiTheme="minorHAnsi" w:hAnsiTheme="minorHAnsi"/>
          <w:b w:val="0"/>
          <w:color w:val="auto"/>
          <w:sz w:val="22"/>
          <w:szCs w:val="22"/>
        </w:rPr>
        <w:t xml:space="preserve"> “How Richard Nixon Pressured Arthur Burns: Evidence from the Nixon Tapes,” </w:t>
      </w:r>
      <w:r w:rsidRPr="002409BE">
        <w:rPr>
          <w:rFonts w:asciiTheme="minorHAnsi" w:hAnsiTheme="minorHAnsi"/>
          <w:b w:val="0"/>
          <w:i/>
          <w:color w:val="auto"/>
          <w:sz w:val="22"/>
          <w:szCs w:val="22"/>
        </w:rPr>
        <w:t>Journal of Economic Perspectives</w:t>
      </w:r>
      <w:r w:rsidRPr="003E3215">
        <w:rPr>
          <w:rFonts w:asciiTheme="minorHAnsi" w:hAnsiTheme="minorHAnsi"/>
          <w:b w:val="0"/>
          <w:color w:val="auto"/>
          <w:sz w:val="22"/>
          <w:szCs w:val="22"/>
        </w:rPr>
        <w:t xml:space="preserve">, 20, no. 4, </w:t>
      </w:r>
      <w:proofErr w:type="gramStart"/>
      <w:r w:rsidRPr="003E3215">
        <w:rPr>
          <w:rFonts w:asciiTheme="minorHAnsi" w:hAnsiTheme="minorHAnsi"/>
          <w:b w:val="0"/>
          <w:color w:val="auto"/>
          <w:sz w:val="22"/>
          <w:szCs w:val="22"/>
        </w:rPr>
        <w:t>Fall</w:t>
      </w:r>
      <w:proofErr w:type="gramEnd"/>
      <w:r w:rsidRPr="003E3215">
        <w:rPr>
          <w:rFonts w:asciiTheme="minorHAnsi" w:hAnsiTheme="minorHAnsi"/>
          <w:b w:val="0"/>
          <w:color w:val="auto"/>
          <w:sz w:val="22"/>
          <w:szCs w:val="22"/>
        </w:rPr>
        <w:t>, 177-188.</w:t>
      </w:r>
      <w:r w:rsidR="000F0313">
        <w:rPr>
          <w:rFonts w:asciiTheme="minorHAnsi" w:hAnsiTheme="minorHAnsi"/>
          <w:b w:val="0"/>
          <w:color w:val="auto"/>
          <w:sz w:val="22"/>
          <w:szCs w:val="22"/>
        </w:rPr>
        <w:br/>
      </w:r>
    </w:p>
    <w:p w:rsidR="00F75057" w:rsidRPr="00F75057" w:rsidRDefault="000F0313" w:rsidP="00F75057">
      <w:proofErr w:type="gramStart"/>
      <w:r>
        <w:t>Beckworth, David, and Joshua R. Hendrickson, 2016, “Nominal GDP Targeting and the Taylor Rule on an Even Playing Field.”</w:t>
      </w:r>
      <w:proofErr w:type="gramEnd"/>
      <w:r>
        <w:t xml:space="preserve"> </w:t>
      </w:r>
      <w:proofErr w:type="spellStart"/>
      <w:proofErr w:type="gramStart"/>
      <w:r w:rsidRPr="000F0313">
        <w:rPr>
          <w:i/>
        </w:rPr>
        <w:t>Mercatus</w:t>
      </w:r>
      <w:proofErr w:type="spellEnd"/>
      <w:r w:rsidRPr="000F0313">
        <w:rPr>
          <w:i/>
        </w:rPr>
        <w:t xml:space="preserve"> Working Paper</w:t>
      </w:r>
      <w:r>
        <w:t xml:space="preserve">, </w:t>
      </w:r>
      <w:proofErr w:type="spellStart"/>
      <w:r>
        <w:t>Mercatus</w:t>
      </w:r>
      <w:proofErr w:type="spellEnd"/>
      <w:r>
        <w:t xml:space="preserve"> Center at George Mason University, Arlington, VA, October.</w:t>
      </w:r>
      <w:proofErr w:type="gramEnd"/>
      <w:r>
        <w:br/>
      </w:r>
      <w:r w:rsidR="00F75057">
        <w:br/>
      </w:r>
      <w:proofErr w:type="gramStart"/>
      <w:r w:rsidR="00F75057" w:rsidRPr="00F75057">
        <w:t xml:space="preserve">Bhandari, Pranjul, and Jeffrey Frankel, 2017, </w:t>
      </w:r>
      <w:r w:rsidR="00F75057" w:rsidRPr="00F75057">
        <w:rPr>
          <w:rFonts w:cs="Helvetica"/>
          <w:color w:val="1E1E1E"/>
          <w:shd w:val="clear" w:color="auto" w:fill="FFFFFF"/>
        </w:rPr>
        <w:t>“</w:t>
      </w:r>
      <w:hyperlink r:id="rId12" w:history="1">
        <w:r w:rsidR="00F75057" w:rsidRPr="00F75057">
          <w:rPr>
            <w:rStyle w:val="Hyperlink"/>
            <w:rFonts w:cs="Helvetica"/>
            <w:color w:val="215990"/>
            <w:shd w:val="clear" w:color="auto" w:fill="FFFFFF"/>
          </w:rPr>
          <w:t>Nominal GDP Targeting for Developing Countries</w:t>
        </w:r>
      </w:hyperlink>
      <w:r w:rsidR="00F75057" w:rsidRPr="00F75057">
        <w:rPr>
          <w:rFonts w:cs="Helvetica"/>
          <w:color w:val="1E1E1E"/>
          <w:shd w:val="clear" w:color="auto" w:fill="FFFFFF"/>
        </w:rPr>
        <w:t>,”</w:t>
      </w:r>
      <w:r w:rsidR="00F75057" w:rsidRPr="00F75057">
        <w:rPr>
          <w:rStyle w:val="Emphasis"/>
          <w:rFonts w:cs="Helvetica"/>
          <w:color w:val="1E1E1E"/>
          <w:shd w:val="clear" w:color="auto" w:fill="FFFFFF"/>
        </w:rPr>
        <w:t xml:space="preserve"> Research in Economics</w:t>
      </w:r>
      <w:r w:rsidR="002409BE">
        <w:rPr>
          <w:rStyle w:val="Emphasis"/>
          <w:rFonts w:cs="Helvetica"/>
          <w:color w:val="1E1E1E"/>
          <w:shd w:val="clear" w:color="auto" w:fill="FFFFFF"/>
        </w:rPr>
        <w:t xml:space="preserve"> </w:t>
      </w:r>
      <w:r w:rsidR="00F75057" w:rsidRPr="00F75057">
        <w:rPr>
          <w:rFonts w:cs="Helvetica"/>
          <w:color w:val="1E1E1E"/>
          <w:shd w:val="clear" w:color="auto" w:fill="FFFFFF"/>
        </w:rPr>
        <w:t>(</w:t>
      </w:r>
      <w:hyperlink r:id="rId13" w:tooltip="published in Research in Economics" w:history="1">
        <w:r w:rsidR="00F75057" w:rsidRPr="002409BE">
          <w:rPr>
            <w:rStyle w:val="Hyperlink"/>
            <w:rFonts w:cs="Helvetica"/>
            <w:color w:val="auto"/>
            <w:shd w:val="clear" w:color="auto" w:fill="FFFFFF"/>
          </w:rPr>
          <w:t>Elsevier</w:t>
        </w:r>
      </w:hyperlink>
      <w:r w:rsidR="00F75057" w:rsidRPr="00F75057">
        <w:rPr>
          <w:rFonts w:cs="Helvetica"/>
          <w:color w:val="1E1E1E"/>
          <w:shd w:val="clear" w:color="auto" w:fill="FFFFFF"/>
        </w:rPr>
        <w:t>), vol.71, issue 3, September, pp. 491-506.</w:t>
      </w:r>
      <w:proofErr w:type="gramEnd"/>
    </w:p>
    <w:p w:rsidR="003E3215" w:rsidRPr="003E3215" w:rsidRDefault="003E3215" w:rsidP="003E3215">
      <w:r w:rsidRPr="003E3215">
        <w:rPr>
          <w:rFonts w:cs="Arial"/>
          <w:color w:val="000000"/>
          <w:shd w:val="clear" w:color="auto" w:fill="FFFFFF"/>
        </w:rPr>
        <w:t xml:space="preserve">Blanchard, O., G. </w:t>
      </w:r>
      <w:proofErr w:type="spellStart"/>
      <w:r w:rsidRPr="003E3215">
        <w:rPr>
          <w:rFonts w:cs="Arial"/>
          <w:color w:val="000000"/>
          <w:shd w:val="clear" w:color="auto" w:fill="FFFFFF"/>
        </w:rPr>
        <w:t>Dell’Ariccia</w:t>
      </w:r>
      <w:proofErr w:type="spellEnd"/>
      <w:r w:rsidRPr="003E3215">
        <w:rPr>
          <w:rFonts w:cs="Arial"/>
          <w:color w:val="000000"/>
          <w:shd w:val="clear" w:color="auto" w:fill="FFFFFF"/>
        </w:rPr>
        <w:t xml:space="preserve"> and P. Mauro (2010), “</w:t>
      </w:r>
      <w:hyperlink r:id="rId14" w:tgtFrame="_blank" w:history="1">
        <w:r w:rsidRPr="003E3215">
          <w:rPr>
            <w:rStyle w:val="Hyperlink"/>
            <w:rFonts w:cs="Arial"/>
            <w:color w:val="085A92"/>
            <w:bdr w:val="none" w:sz="0" w:space="0" w:color="auto" w:frame="1"/>
            <w:shd w:val="clear" w:color="auto" w:fill="FFFFFF"/>
          </w:rPr>
          <w:t>Rethinking Macroeconomic Policy</w:t>
        </w:r>
      </w:hyperlink>
      <w:r w:rsidRPr="003E3215">
        <w:rPr>
          <w:rFonts w:cs="Arial"/>
          <w:color w:val="000000"/>
          <w:shd w:val="clear" w:color="auto" w:fill="FFFFFF"/>
        </w:rPr>
        <w:t>”, IMF Staff Position Note, 12 February.</w:t>
      </w:r>
    </w:p>
    <w:p w:rsidR="00A421A0" w:rsidRDefault="00A421A0" w:rsidP="006C4EBC">
      <w:pPr>
        <w:spacing w:line="240" w:lineRule="auto"/>
        <w:contextualSpacing/>
        <w:jc w:val="both"/>
      </w:pPr>
      <w:r>
        <w:t xml:space="preserve">Campbell, J, C Evans, J Fisher and A </w:t>
      </w:r>
      <w:proofErr w:type="spellStart"/>
      <w:r>
        <w:t>Justiniano</w:t>
      </w:r>
      <w:proofErr w:type="spellEnd"/>
      <w:r>
        <w:t xml:space="preserve"> (2012), “Macroeconomic Effects of Federal Reserve Forward Guidance”, </w:t>
      </w:r>
      <w:r w:rsidRPr="00A421A0">
        <w:rPr>
          <w:i/>
        </w:rPr>
        <w:t>Brookings Papers on Economic Activity</w:t>
      </w:r>
      <w:r>
        <w:t xml:space="preserve">, </w:t>
      </w:r>
      <w:proofErr w:type="gramStart"/>
      <w:r>
        <w:t>Spring</w:t>
      </w:r>
      <w:proofErr w:type="gramEnd"/>
      <w:r>
        <w:t>.</w:t>
      </w:r>
    </w:p>
    <w:p w:rsidR="0098408D" w:rsidRDefault="006C4EBC" w:rsidP="006C4EBC">
      <w:pPr>
        <w:pStyle w:val="ListParagraph"/>
        <w:spacing w:line="240" w:lineRule="auto"/>
        <w:ind w:left="0"/>
        <w:jc w:val="both"/>
        <w:rPr>
          <w:color w:val="000000"/>
        </w:rPr>
      </w:pPr>
      <w:r w:rsidRPr="00790466">
        <w:rPr>
          <w:color w:val="000000"/>
        </w:rPr>
        <w:lastRenderedPageBreak/>
        <w:t>Frankel, Jeffrey, 1995</w:t>
      </w:r>
      <w:proofErr w:type="gramStart"/>
      <w:r w:rsidR="00861CD1">
        <w:rPr>
          <w:color w:val="000000"/>
        </w:rPr>
        <w:t>,</w:t>
      </w:r>
      <w:r w:rsidRPr="00790466">
        <w:rPr>
          <w:color w:val="000000"/>
        </w:rPr>
        <w:t>“</w:t>
      </w:r>
      <w:proofErr w:type="gramEnd"/>
      <w:r w:rsidRPr="00790466">
        <w:rPr>
          <w:color w:val="000000"/>
        </w:rPr>
        <w:t xml:space="preserve">The Stabilizing Properties of a Nominal GNP Rule”, </w:t>
      </w:r>
      <w:r w:rsidRPr="00790466">
        <w:rPr>
          <w:i/>
          <w:color w:val="000000"/>
        </w:rPr>
        <w:t>Journal of Money, Credit and Banking</w:t>
      </w:r>
      <w:r w:rsidRPr="00790466">
        <w:rPr>
          <w:color w:val="000000"/>
        </w:rPr>
        <w:t>, Vol. 27, No. 2, May.</w:t>
      </w:r>
    </w:p>
    <w:p w:rsidR="00FC1295" w:rsidRDefault="00FC1295" w:rsidP="006C4EBC">
      <w:pPr>
        <w:pStyle w:val="ListParagraph"/>
        <w:spacing w:line="240" w:lineRule="auto"/>
        <w:ind w:left="0"/>
        <w:jc w:val="both"/>
        <w:rPr>
          <w:color w:val="000000"/>
        </w:rPr>
      </w:pPr>
    </w:p>
    <w:p w:rsidR="00FC1295" w:rsidRDefault="00FC1295" w:rsidP="006C4EBC">
      <w:pPr>
        <w:pStyle w:val="ListParagraph"/>
        <w:spacing w:line="240" w:lineRule="auto"/>
        <w:ind w:left="0"/>
        <w:jc w:val="both"/>
      </w:pPr>
      <w:proofErr w:type="gramStart"/>
      <w:r>
        <w:rPr>
          <w:color w:val="000000"/>
        </w:rPr>
        <w:t>---  2007</w:t>
      </w:r>
      <w:proofErr w:type="gramEnd"/>
      <w:r>
        <w:rPr>
          <w:color w:val="000000"/>
        </w:rPr>
        <w:t xml:space="preserve">, </w:t>
      </w:r>
      <w:r>
        <w:rPr>
          <w:color w:val="1E1E1E"/>
          <w:shd w:val="clear" w:color="auto" w:fill="FFFFFF"/>
        </w:rPr>
        <w:t>“</w:t>
      </w:r>
      <w:hyperlink r:id="rId15" w:tgtFrame="_blank" w:history="1">
        <w:r>
          <w:rPr>
            <w:rStyle w:val="Hyperlink"/>
            <w:color w:val="00828D"/>
            <w:shd w:val="clear" w:color="auto" w:fill="FFFFFF"/>
          </w:rPr>
          <w:t>Responding to Crises</w:t>
        </w:r>
      </w:hyperlink>
      <w:r>
        <w:rPr>
          <w:color w:val="1E1E1E"/>
          <w:shd w:val="clear" w:color="auto" w:fill="FFFFFF"/>
        </w:rPr>
        <w:t xml:space="preserve">,” </w:t>
      </w:r>
      <w:r>
        <w:rPr>
          <w:rStyle w:val="Emphasis"/>
          <w:color w:val="1E1E1E"/>
          <w:shd w:val="clear" w:color="auto" w:fill="FFFFFF"/>
        </w:rPr>
        <w:t>Cato Journal</w:t>
      </w:r>
      <w:r w:rsidR="0052734E">
        <w:rPr>
          <w:color w:val="1E1E1E"/>
          <w:shd w:val="clear" w:color="auto" w:fill="FFFFFF"/>
        </w:rPr>
        <w:t>,</w:t>
      </w:r>
      <w:r w:rsidR="0052734E">
        <w:t xml:space="preserve"> 27, no. 2, Spring/Summer.</w:t>
      </w:r>
    </w:p>
    <w:p w:rsidR="00C2110A" w:rsidRPr="003B3D11" w:rsidRDefault="003B3D11" w:rsidP="003B3D11">
      <w:pPr>
        <w:pStyle w:val="NormalWeb"/>
        <w:spacing w:before="240" w:beforeAutospacing="0" w:after="240" w:afterAutospacing="0" w:line="312" w:lineRule="atLeast"/>
        <w:textAlignment w:val="baseline"/>
        <w:outlineLvl w:val="1"/>
        <w:rPr>
          <w:rFonts w:ascii="Tahoma" w:hAnsi="Tahoma" w:cs="Tahoma"/>
          <w:b/>
          <w:bCs/>
          <w:color w:val="01548A"/>
          <w:kern w:val="36"/>
          <w:sz w:val="41"/>
          <w:szCs w:val="41"/>
        </w:rPr>
      </w:pPr>
      <w:r>
        <w:t>---</w:t>
      </w:r>
      <w:r w:rsidRPr="003B3D11">
        <w:rPr>
          <w:rFonts w:asciiTheme="minorHAnsi" w:hAnsiTheme="minorHAnsi"/>
          <w:sz w:val="22"/>
          <w:szCs w:val="22"/>
        </w:rPr>
        <w:t xml:space="preserve"> 2012</w:t>
      </w:r>
      <w:r>
        <w:rPr>
          <w:rFonts w:asciiTheme="minorHAnsi" w:hAnsiTheme="minorHAnsi"/>
          <w:sz w:val="22"/>
          <w:szCs w:val="22"/>
        </w:rPr>
        <w:t>,</w:t>
      </w:r>
      <w:r>
        <w:t xml:space="preserve"> “</w:t>
      </w:r>
      <w:hyperlink r:id="rId16" w:history="1">
        <w:r w:rsidRPr="003B3D11">
          <w:rPr>
            <w:rStyle w:val="Hyperlink"/>
            <w:rFonts w:asciiTheme="minorHAnsi" w:hAnsiTheme="minorHAnsi" w:cs="Tahoma"/>
            <w:bCs/>
            <w:kern w:val="36"/>
            <w:sz w:val="22"/>
            <w:szCs w:val="22"/>
          </w:rPr>
          <w:t>Central banks can phase in nominal GDP targets without damaging the inflation anchor</w:t>
        </w:r>
      </w:hyperlink>
      <w:r w:rsidRPr="003B3D11">
        <w:rPr>
          <w:rFonts w:asciiTheme="minorHAnsi" w:hAnsiTheme="minorHAnsi" w:cs="Tahoma"/>
          <w:bCs/>
          <w:kern w:val="36"/>
          <w:sz w:val="22"/>
          <w:szCs w:val="22"/>
        </w:rPr>
        <w:t xml:space="preserve">, </w:t>
      </w:r>
      <w:proofErr w:type="gramStart"/>
      <w:r>
        <w:rPr>
          <w:rFonts w:asciiTheme="minorHAnsi" w:hAnsiTheme="minorHAnsi" w:cs="Tahoma"/>
          <w:bCs/>
          <w:kern w:val="36"/>
          <w:sz w:val="22"/>
          <w:szCs w:val="22"/>
        </w:rPr>
        <w:t xml:space="preserve">“ </w:t>
      </w:r>
      <w:r w:rsidRPr="002409BE">
        <w:rPr>
          <w:rFonts w:asciiTheme="minorHAnsi" w:hAnsiTheme="minorHAnsi" w:cs="Tahoma"/>
          <w:bCs/>
          <w:i/>
          <w:kern w:val="36"/>
          <w:sz w:val="22"/>
          <w:szCs w:val="22"/>
        </w:rPr>
        <w:t>VoxEU</w:t>
      </w:r>
      <w:proofErr w:type="gramEnd"/>
      <w:r w:rsidRPr="003B3D11">
        <w:rPr>
          <w:rFonts w:asciiTheme="minorHAnsi" w:hAnsiTheme="minorHAnsi" w:cs="Tahoma"/>
          <w:bCs/>
          <w:kern w:val="36"/>
          <w:sz w:val="22"/>
          <w:szCs w:val="22"/>
        </w:rPr>
        <w:t>, Dec. 19</w:t>
      </w:r>
      <w:r>
        <w:rPr>
          <w:rFonts w:asciiTheme="minorHAnsi" w:hAnsiTheme="minorHAnsi" w:cs="Tahoma"/>
          <w:bCs/>
          <w:color w:val="01548A"/>
          <w:kern w:val="36"/>
          <w:sz w:val="22"/>
          <w:szCs w:val="22"/>
        </w:rPr>
        <w:t>.</w:t>
      </w:r>
    </w:p>
    <w:p w:rsidR="00725E08" w:rsidRDefault="00725E08" w:rsidP="006C4EBC">
      <w:pPr>
        <w:pStyle w:val="ListParagraph"/>
        <w:spacing w:line="240" w:lineRule="auto"/>
        <w:ind w:left="0"/>
        <w:jc w:val="both"/>
        <w:rPr>
          <w:color w:val="000000"/>
        </w:rPr>
      </w:pPr>
      <w:r w:rsidRPr="00790466">
        <w:rPr>
          <w:color w:val="000000"/>
          <w:shd w:val="clear" w:color="auto" w:fill="FFFFFF"/>
        </w:rPr>
        <w:t xml:space="preserve">--- </w:t>
      </w:r>
      <w:r w:rsidRPr="00790466">
        <w:rPr>
          <w:color w:val="000000"/>
        </w:rPr>
        <w:t>2013</w:t>
      </w:r>
      <w:r w:rsidR="00861CD1">
        <w:rPr>
          <w:color w:val="000000"/>
        </w:rPr>
        <w:t>,</w:t>
      </w:r>
      <w:r w:rsidRPr="00790466">
        <w:rPr>
          <w:color w:val="000000"/>
        </w:rPr>
        <w:t xml:space="preserve"> "Nominal-GDP Targets, Without Losing the Inflation Anchor," </w:t>
      </w:r>
      <w:hyperlink r:id="rId17" w:history="1">
        <w:r w:rsidRPr="00F0621A">
          <w:rPr>
            <w:rStyle w:val="Hyperlink"/>
          </w:rPr>
          <w:t>in </w:t>
        </w:r>
        <w:r w:rsidRPr="00F0621A">
          <w:rPr>
            <w:rStyle w:val="Hyperlink"/>
            <w:i/>
            <w:iCs/>
          </w:rPr>
          <w:t>Is Inflation Targeting Dead: Central Banking After the Crisis</w:t>
        </w:r>
      </w:hyperlink>
      <w:r w:rsidRPr="00F0621A">
        <w:rPr>
          <w:i/>
          <w:iCs/>
          <w:color w:val="000000"/>
        </w:rPr>
        <w:t>,</w:t>
      </w:r>
      <w:r w:rsidRPr="00790466">
        <w:rPr>
          <w:color w:val="000000"/>
        </w:rPr>
        <w:t xml:space="preserve"> Lucrezia Reichlin and Richard Baldwin, eds. (CEPR: London), pp. 90-94.</w:t>
      </w:r>
    </w:p>
    <w:p w:rsidR="003E1231" w:rsidRPr="003E1231" w:rsidRDefault="00F0621A" w:rsidP="003E1231">
      <w:pPr>
        <w:pStyle w:val="Heading1"/>
        <w:shd w:val="clear" w:color="auto" w:fill="FFFFFF"/>
        <w:spacing w:before="0"/>
        <w:textAlignment w:val="baseline"/>
        <w:rPr>
          <w:rFonts w:asciiTheme="minorHAnsi" w:hAnsiTheme="minorHAnsi" w:cs="Helvetica"/>
          <w:b w:val="0"/>
          <w:bCs w:val="0"/>
          <w:color w:val="444444"/>
          <w:sz w:val="22"/>
          <w:szCs w:val="22"/>
        </w:rPr>
      </w:pPr>
      <w:r w:rsidRPr="00F0621A">
        <w:rPr>
          <w:rFonts w:asciiTheme="minorHAnsi" w:hAnsiTheme="minorHAnsi" w:cs="Helvetica"/>
          <w:b w:val="0"/>
          <w:bCs w:val="0"/>
          <w:color w:val="444444"/>
          <w:sz w:val="22"/>
          <w:szCs w:val="22"/>
        </w:rPr>
        <w:t xml:space="preserve">--- 2014, </w:t>
      </w:r>
      <w:r>
        <w:rPr>
          <w:rFonts w:asciiTheme="minorHAnsi" w:hAnsiTheme="minorHAnsi" w:cs="Helvetica"/>
          <w:b w:val="0"/>
          <w:bCs w:val="0"/>
          <w:color w:val="444444"/>
          <w:sz w:val="22"/>
          <w:szCs w:val="22"/>
        </w:rPr>
        <w:t>“</w:t>
      </w:r>
      <w:hyperlink r:id="rId18" w:history="1">
        <w:r w:rsidRPr="00F0621A">
          <w:rPr>
            <w:rStyle w:val="Hyperlink"/>
            <w:rFonts w:asciiTheme="minorHAnsi" w:hAnsiTheme="minorHAnsi" w:cs="Helvetica"/>
            <w:b w:val="0"/>
            <w:bCs w:val="0"/>
            <w:sz w:val="22"/>
            <w:szCs w:val="22"/>
          </w:rPr>
          <w:t>Recent ‘U-turns’ in Central Banks’ Forward Guidance Were Avoidable</w:t>
        </w:r>
      </w:hyperlink>
      <w:r w:rsidRPr="00C2110A">
        <w:rPr>
          <w:rFonts w:asciiTheme="minorHAnsi" w:hAnsiTheme="minorHAnsi" w:cs="Helvetica"/>
          <w:b w:val="0"/>
          <w:bCs w:val="0"/>
          <w:i/>
          <w:color w:val="444444"/>
          <w:sz w:val="22"/>
          <w:szCs w:val="22"/>
        </w:rPr>
        <w:t>,” Views on the Economy and the World</w:t>
      </w:r>
      <w:r>
        <w:rPr>
          <w:rFonts w:asciiTheme="minorHAnsi" w:hAnsiTheme="minorHAnsi" w:cs="Helvetica"/>
          <w:b w:val="0"/>
          <w:bCs w:val="0"/>
          <w:color w:val="444444"/>
          <w:sz w:val="22"/>
          <w:szCs w:val="22"/>
        </w:rPr>
        <w:t xml:space="preserve"> blog.</w:t>
      </w:r>
      <w:r w:rsidR="003E1231">
        <w:rPr>
          <w:rFonts w:asciiTheme="minorHAnsi" w:hAnsiTheme="minorHAnsi" w:cs="Helvetica"/>
          <w:b w:val="0"/>
          <w:bCs w:val="0"/>
          <w:color w:val="444444"/>
          <w:sz w:val="22"/>
          <w:szCs w:val="22"/>
        </w:rPr>
        <w:br/>
      </w:r>
    </w:p>
    <w:p w:rsidR="003E1231" w:rsidRPr="003E1231" w:rsidRDefault="003E1231" w:rsidP="003E1231">
      <w:pPr>
        <w:pStyle w:val="Heading1"/>
        <w:shd w:val="clear" w:color="auto" w:fill="FCFCFC"/>
        <w:spacing w:before="0" w:after="120"/>
        <w:rPr>
          <w:rFonts w:asciiTheme="minorHAnsi" w:hAnsiTheme="minorHAnsi"/>
          <w:b w:val="0"/>
          <w:bCs w:val="0"/>
          <w:color w:val="auto"/>
          <w:spacing w:val="2"/>
          <w:sz w:val="22"/>
          <w:szCs w:val="22"/>
          <w:lang w:val="en"/>
        </w:rPr>
      </w:pPr>
      <w:r w:rsidRPr="003E1231">
        <w:rPr>
          <w:rFonts w:asciiTheme="minorHAnsi" w:hAnsiTheme="minorHAnsi"/>
          <w:b w:val="0"/>
          <w:color w:val="auto"/>
          <w:sz w:val="22"/>
          <w:szCs w:val="22"/>
        </w:rPr>
        <w:t>Friedman, Milton, 1948, “</w:t>
      </w:r>
      <w:r w:rsidRPr="003E1231">
        <w:rPr>
          <w:rFonts w:asciiTheme="minorHAnsi" w:hAnsiTheme="minorHAnsi"/>
          <w:b w:val="0"/>
          <w:bCs w:val="0"/>
          <w:color w:val="auto"/>
          <w:spacing w:val="2"/>
          <w:sz w:val="22"/>
          <w:szCs w:val="22"/>
          <w:lang w:val="en"/>
        </w:rPr>
        <w:t>A Monetary and Fiscal Framework for Economic Stability</w:t>
      </w:r>
      <w:proofErr w:type="gramStart"/>
      <w:r w:rsidRPr="003E1231">
        <w:rPr>
          <w:rFonts w:asciiTheme="minorHAnsi" w:hAnsiTheme="minorHAnsi"/>
          <w:b w:val="0"/>
          <w:color w:val="auto"/>
          <w:sz w:val="22"/>
          <w:szCs w:val="22"/>
        </w:rPr>
        <w:t>,“</w:t>
      </w:r>
      <w:proofErr w:type="gramEnd"/>
      <w:r w:rsidRPr="003E1231">
        <w:rPr>
          <w:rFonts w:asciiTheme="minorHAnsi" w:hAnsiTheme="minorHAnsi"/>
          <w:b w:val="0"/>
          <w:color w:val="auto"/>
          <w:sz w:val="22"/>
          <w:szCs w:val="22"/>
        </w:rPr>
        <w:t xml:space="preserve"> </w:t>
      </w:r>
      <w:r w:rsidRPr="003E1231">
        <w:rPr>
          <w:rStyle w:val="Emphasis"/>
          <w:rFonts w:asciiTheme="minorHAnsi" w:hAnsiTheme="minorHAnsi"/>
          <w:b w:val="0"/>
          <w:color w:val="auto"/>
          <w:spacing w:val="2"/>
          <w:sz w:val="22"/>
          <w:szCs w:val="22"/>
          <w:shd w:val="clear" w:color="auto" w:fill="FCFCFC"/>
        </w:rPr>
        <w:t>American Economic Review</w:t>
      </w:r>
      <w:r w:rsidRPr="003E1231">
        <w:rPr>
          <w:rFonts w:asciiTheme="minorHAnsi" w:hAnsiTheme="minorHAnsi"/>
          <w:b w:val="0"/>
          <w:color w:val="auto"/>
          <w:spacing w:val="2"/>
          <w:sz w:val="22"/>
          <w:szCs w:val="22"/>
          <w:shd w:val="clear" w:color="auto" w:fill="FCFCFC"/>
        </w:rPr>
        <w:t>, Vol. 38, No. 3, June, pp. 245–64.</w:t>
      </w:r>
      <w:r w:rsidRPr="003E1231">
        <w:rPr>
          <w:rFonts w:asciiTheme="minorHAnsi" w:hAnsiTheme="minorHAnsi"/>
          <w:b w:val="0"/>
          <w:color w:val="auto"/>
          <w:sz w:val="22"/>
          <w:szCs w:val="22"/>
        </w:rPr>
        <w:t>”</w:t>
      </w:r>
    </w:p>
    <w:p w:rsidR="0098408D" w:rsidRDefault="0098408D" w:rsidP="0098408D">
      <w:pPr>
        <w:spacing w:before="225" w:after="450" w:line="240" w:lineRule="auto"/>
        <w:contextualSpacing/>
        <w:outlineLvl w:val="1"/>
        <w:rPr>
          <w:color w:val="000000"/>
        </w:rPr>
      </w:pPr>
      <w:r w:rsidRPr="00790466">
        <w:rPr>
          <w:color w:val="000000"/>
        </w:rPr>
        <w:t>Hatzius, Jan, 2011: “The Case for a Nominal GDP Level Target”, US Economics Analyst, Goldman Sachs Global ECS Research, October.</w:t>
      </w:r>
      <w:r w:rsidR="00A206FF">
        <w:rPr>
          <w:color w:val="000000"/>
        </w:rPr>
        <w:br/>
      </w:r>
    </w:p>
    <w:p w:rsidR="00A206FF" w:rsidRDefault="00597938" w:rsidP="0098408D">
      <w:pPr>
        <w:spacing w:before="225" w:after="450" w:line="240" w:lineRule="auto"/>
        <w:contextualSpacing/>
        <w:outlineLvl w:val="1"/>
        <w:rPr>
          <w:rFonts w:eastAsia="+mn-ea" w:cs="+mn-cs"/>
          <w:bCs/>
          <w:kern w:val="24"/>
        </w:rPr>
      </w:pPr>
      <w:hyperlink r:id="rId19" w:history="1">
        <w:r w:rsidR="00A206FF" w:rsidRPr="00790466">
          <w:rPr>
            <w:rFonts w:eastAsia="+mn-ea" w:cs="+mn-cs"/>
            <w:kern w:val="24"/>
          </w:rPr>
          <w:t>Klemm</w:t>
        </w:r>
      </w:hyperlink>
      <w:r w:rsidR="00A206FF" w:rsidRPr="00790466">
        <w:rPr>
          <w:rFonts w:eastAsia="+mn-ea" w:cs="+mn-cs"/>
          <w:kern w:val="24"/>
        </w:rPr>
        <w:t>, </w:t>
      </w:r>
      <w:hyperlink r:id="rId20" w:history="1">
        <w:r w:rsidR="00A206FF" w:rsidRPr="00790466">
          <w:rPr>
            <w:rFonts w:eastAsia="+mn-ea" w:cs="+mn-cs"/>
            <w:kern w:val="24"/>
          </w:rPr>
          <w:t>Meier</w:t>
        </w:r>
      </w:hyperlink>
      <w:r w:rsidR="00A206FF" w:rsidRPr="00790466">
        <w:rPr>
          <w:rFonts w:eastAsia="+mn-ea" w:cs="+mn-cs"/>
          <w:kern w:val="24"/>
        </w:rPr>
        <w:t xml:space="preserve"> and</w:t>
      </w:r>
      <w:hyperlink r:id="rId21" w:history="1">
        <w:r w:rsidR="00A206FF" w:rsidRPr="00790466">
          <w:rPr>
            <w:rFonts w:eastAsia="+mn-ea" w:cs="+mn-cs"/>
            <w:kern w:val="24"/>
          </w:rPr>
          <w:t xml:space="preserve"> Sebastian Sosa</w:t>
        </w:r>
      </w:hyperlink>
      <w:r w:rsidR="00A206FF" w:rsidRPr="00790466">
        <w:t>,</w:t>
      </w:r>
      <w:r w:rsidR="00A206FF" w:rsidRPr="00790466">
        <w:rPr>
          <w:rFonts w:eastAsia="+mn-ea" w:cs="+mn-cs"/>
          <w:kern w:val="24"/>
        </w:rPr>
        <w:t xml:space="preserve"> 2014, “</w:t>
      </w:r>
      <w:hyperlink r:id="rId22" w:history="1">
        <w:r w:rsidR="00A206FF" w:rsidRPr="00790466">
          <w:rPr>
            <w:rFonts w:eastAsia="+mn-ea" w:cs="+mn-cs"/>
            <w:bCs/>
            <w:kern w:val="24"/>
          </w:rPr>
          <w:t>Taper Tantrum or Tedium: How U.S. Interest Rates Affect Financial Markets in Emerging Economies</w:t>
        </w:r>
      </w:hyperlink>
      <w:r w:rsidR="00A206FF" w:rsidRPr="00790466">
        <w:rPr>
          <w:rFonts w:eastAsia="+mn-ea" w:cs="+mn-cs"/>
          <w:bCs/>
          <w:kern w:val="24"/>
        </w:rPr>
        <w:t xml:space="preserve">,” May 22 </w:t>
      </w:r>
      <w:r w:rsidR="00A206FF" w:rsidRPr="00790466">
        <w:rPr>
          <w:color w:val="000000"/>
        </w:rPr>
        <w:t xml:space="preserve">(Washington, DC: </w:t>
      </w:r>
      <w:r w:rsidR="00A206FF" w:rsidRPr="00790466">
        <w:rPr>
          <w:rFonts w:cs="Arial"/>
          <w:color w:val="222222"/>
          <w:shd w:val="clear" w:color="auto" w:fill="FFFFFF"/>
        </w:rPr>
        <w:t>International Monetary Fund</w:t>
      </w:r>
      <w:r w:rsidR="00A206FF" w:rsidRPr="00790466">
        <w:rPr>
          <w:color w:val="000000"/>
        </w:rPr>
        <w:t>).</w:t>
      </w:r>
    </w:p>
    <w:p w:rsidR="003E3215" w:rsidRPr="003E3215" w:rsidRDefault="003E3215" w:rsidP="003E3215">
      <w:pPr>
        <w:pStyle w:val="NormalWeb"/>
        <w:shd w:val="clear" w:color="auto" w:fill="FFFFFF"/>
        <w:spacing w:before="0" w:beforeAutospacing="0" w:after="0" w:afterAutospacing="0"/>
        <w:textAlignment w:val="baseline"/>
        <w:rPr>
          <w:rFonts w:asciiTheme="minorHAnsi" w:hAnsiTheme="minorHAnsi" w:cs="Arial"/>
          <w:color w:val="000000"/>
          <w:sz w:val="22"/>
          <w:szCs w:val="22"/>
        </w:rPr>
      </w:pPr>
      <w:r w:rsidRPr="003E3215">
        <w:rPr>
          <w:rFonts w:asciiTheme="minorHAnsi" w:hAnsiTheme="minorHAnsi" w:cs="Arial"/>
          <w:color w:val="000000"/>
          <w:sz w:val="22"/>
          <w:szCs w:val="22"/>
        </w:rPr>
        <w:t>Meade, J</w:t>
      </w:r>
      <w:r w:rsidR="00BD38B0">
        <w:rPr>
          <w:rFonts w:asciiTheme="minorHAnsi" w:hAnsiTheme="minorHAnsi" w:cs="Arial"/>
          <w:color w:val="000000"/>
          <w:sz w:val="22"/>
          <w:szCs w:val="22"/>
        </w:rPr>
        <w:t>ames, 1978</w:t>
      </w:r>
      <w:r w:rsidRPr="003E3215">
        <w:rPr>
          <w:rFonts w:asciiTheme="minorHAnsi" w:hAnsiTheme="minorHAnsi" w:cs="Arial"/>
          <w:color w:val="000000"/>
          <w:sz w:val="22"/>
          <w:szCs w:val="22"/>
        </w:rPr>
        <w:t>, “The Meaning of Internal Balance”, </w:t>
      </w:r>
      <w:proofErr w:type="gramStart"/>
      <w:r w:rsidRPr="003E3215">
        <w:rPr>
          <w:rStyle w:val="Emphasis"/>
          <w:rFonts w:asciiTheme="minorHAnsi" w:eastAsiaTheme="majorEastAsia" w:hAnsiTheme="minorHAnsi" w:cs="Arial"/>
          <w:color w:val="000000"/>
          <w:sz w:val="22"/>
          <w:szCs w:val="22"/>
          <w:bdr w:val="none" w:sz="0" w:space="0" w:color="auto" w:frame="1"/>
        </w:rPr>
        <w:t>The</w:t>
      </w:r>
      <w:proofErr w:type="gramEnd"/>
      <w:r w:rsidRPr="003E3215">
        <w:rPr>
          <w:rStyle w:val="Emphasis"/>
          <w:rFonts w:asciiTheme="minorHAnsi" w:eastAsiaTheme="majorEastAsia" w:hAnsiTheme="minorHAnsi" w:cs="Arial"/>
          <w:color w:val="000000"/>
          <w:sz w:val="22"/>
          <w:szCs w:val="22"/>
          <w:bdr w:val="none" w:sz="0" w:space="0" w:color="auto" w:frame="1"/>
        </w:rPr>
        <w:t xml:space="preserve"> Economic Journal</w:t>
      </w:r>
      <w:r w:rsidRPr="003E3215">
        <w:rPr>
          <w:rFonts w:asciiTheme="minorHAnsi" w:hAnsiTheme="minorHAnsi" w:cs="Arial"/>
          <w:color w:val="000000"/>
          <w:sz w:val="22"/>
          <w:szCs w:val="22"/>
        </w:rPr>
        <w:t>, 88, 423-435.</w:t>
      </w:r>
      <w:r w:rsidRPr="003E3215">
        <w:rPr>
          <w:rFonts w:asciiTheme="minorHAnsi" w:hAnsiTheme="minorHAnsi" w:cs="Arial"/>
          <w:color w:val="000000"/>
          <w:sz w:val="22"/>
          <w:szCs w:val="22"/>
        </w:rPr>
        <w:br/>
      </w:r>
    </w:p>
    <w:p w:rsidR="003E3215" w:rsidRDefault="003E3215" w:rsidP="003E3215">
      <w:pPr>
        <w:pStyle w:val="NormalWeb"/>
        <w:shd w:val="clear" w:color="auto" w:fill="FFFFFF"/>
        <w:spacing w:before="0" w:beforeAutospacing="0" w:after="0" w:afterAutospacing="0"/>
        <w:textAlignment w:val="baseline"/>
        <w:rPr>
          <w:rFonts w:asciiTheme="minorHAnsi" w:hAnsiTheme="minorHAnsi" w:cs="Arial"/>
          <w:color w:val="000000"/>
          <w:sz w:val="22"/>
          <w:szCs w:val="22"/>
        </w:rPr>
      </w:pPr>
      <w:r w:rsidRPr="003E3215">
        <w:rPr>
          <w:rFonts w:asciiTheme="minorHAnsi" w:hAnsiTheme="minorHAnsi" w:cs="Arial"/>
          <w:color w:val="000000"/>
          <w:sz w:val="22"/>
          <w:szCs w:val="22"/>
        </w:rPr>
        <w:t>Romer, C</w:t>
      </w:r>
      <w:r w:rsidR="00BE2478">
        <w:rPr>
          <w:rFonts w:asciiTheme="minorHAnsi" w:hAnsiTheme="minorHAnsi" w:cs="Arial"/>
          <w:color w:val="000000"/>
          <w:sz w:val="22"/>
          <w:szCs w:val="22"/>
        </w:rPr>
        <w:t>hristina</w:t>
      </w:r>
      <w:r w:rsidR="00BD38B0">
        <w:rPr>
          <w:rFonts w:asciiTheme="minorHAnsi" w:hAnsiTheme="minorHAnsi" w:cs="Arial"/>
          <w:color w:val="000000"/>
          <w:sz w:val="22"/>
          <w:szCs w:val="22"/>
        </w:rPr>
        <w:t>, 2011</w:t>
      </w:r>
      <w:r w:rsidRPr="003E3215">
        <w:rPr>
          <w:rFonts w:asciiTheme="minorHAnsi" w:hAnsiTheme="minorHAnsi" w:cs="Arial"/>
          <w:color w:val="000000"/>
          <w:sz w:val="22"/>
          <w:szCs w:val="22"/>
        </w:rPr>
        <w:t>, “</w:t>
      </w:r>
      <w:hyperlink r:id="rId23" w:tgtFrame="_blank" w:history="1">
        <w:r w:rsidRPr="003E3215">
          <w:rPr>
            <w:rStyle w:val="Hyperlink"/>
            <w:rFonts w:asciiTheme="minorHAnsi" w:eastAsiaTheme="majorEastAsia" w:hAnsiTheme="minorHAnsi" w:cs="Arial"/>
            <w:color w:val="085A92"/>
            <w:sz w:val="22"/>
            <w:szCs w:val="22"/>
            <w:bdr w:val="none" w:sz="0" w:space="0" w:color="auto" w:frame="1"/>
          </w:rPr>
          <w:t>Dear Ben: It’s Time for Your Volcker Moment</w:t>
        </w:r>
      </w:hyperlink>
      <w:r w:rsidRPr="003E3215">
        <w:rPr>
          <w:rFonts w:asciiTheme="minorHAnsi" w:hAnsiTheme="minorHAnsi" w:cs="Arial"/>
          <w:color w:val="000000"/>
          <w:sz w:val="22"/>
          <w:szCs w:val="22"/>
        </w:rPr>
        <w:t>,” </w:t>
      </w:r>
      <w:r w:rsidRPr="003E3215">
        <w:rPr>
          <w:rStyle w:val="Emphasis"/>
          <w:rFonts w:asciiTheme="minorHAnsi" w:eastAsiaTheme="majorEastAsia" w:hAnsiTheme="minorHAnsi" w:cs="Arial"/>
          <w:color w:val="000000"/>
          <w:sz w:val="22"/>
          <w:szCs w:val="22"/>
          <w:bdr w:val="none" w:sz="0" w:space="0" w:color="auto" w:frame="1"/>
        </w:rPr>
        <w:t>The New York Times</w:t>
      </w:r>
      <w:r w:rsidRPr="003E3215">
        <w:rPr>
          <w:rFonts w:asciiTheme="minorHAnsi" w:hAnsiTheme="minorHAnsi" w:cs="Arial"/>
          <w:color w:val="000000"/>
          <w:sz w:val="22"/>
          <w:szCs w:val="22"/>
        </w:rPr>
        <w:t>, 29 October.</w:t>
      </w:r>
    </w:p>
    <w:p w:rsidR="00BD38B0" w:rsidRDefault="00BD38B0" w:rsidP="00BD38B0">
      <w:pPr>
        <w:pStyle w:val="Heading3"/>
        <w:shd w:val="clear" w:color="auto" w:fill="FFFFFF"/>
        <w:spacing w:before="0" w:after="30" w:line="285" w:lineRule="atLeast"/>
        <w:ind w:right="1500"/>
        <w:textAlignment w:val="top"/>
        <w:rPr>
          <w:rFonts w:ascii="Arial" w:hAnsi="Arial" w:cs="Arial"/>
          <w:b w:val="0"/>
          <w:bCs w:val="0"/>
          <w:color w:val="222222"/>
          <w:sz w:val="26"/>
          <w:szCs w:val="26"/>
        </w:rPr>
      </w:pPr>
    </w:p>
    <w:p w:rsidR="00BD38B0" w:rsidRDefault="00BD38B0" w:rsidP="00BD38B0">
      <w:pPr>
        <w:pStyle w:val="Heading3"/>
        <w:shd w:val="clear" w:color="auto" w:fill="FFFFFF"/>
        <w:spacing w:before="0" w:after="30" w:line="285" w:lineRule="atLeast"/>
        <w:textAlignment w:val="top"/>
        <w:rPr>
          <w:rFonts w:asciiTheme="minorHAnsi" w:hAnsiTheme="minorHAnsi" w:cs="Arial"/>
          <w:b w:val="0"/>
          <w:bCs w:val="0"/>
          <w:color w:val="auto"/>
        </w:rPr>
      </w:pPr>
      <w:r w:rsidRPr="00BD38B0">
        <w:rPr>
          <w:rFonts w:asciiTheme="minorHAnsi" w:hAnsiTheme="minorHAnsi" w:cs="Arial"/>
          <w:b w:val="0"/>
          <w:bCs w:val="0"/>
          <w:color w:val="222222"/>
        </w:rPr>
        <w:t>Sumner, Scott, 2014 “</w:t>
      </w:r>
      <w:hyperlink r:id="rId24" w:history="1">
        <w:r w:rsidRPr="00BD38B0">
          <w:rPr>
            <w:rStyle w:val="Hyperlink"/>
            <w:rFonts w:asciiTheme="minorHAnsi" w:hAnsiTheme="minorHAnsi" w:cs="Arial"/>
            <w:b w:val="0"/>
            <w:color w:val="0070C0"/>
            <w:u w:val="none"/>
          </w:rPr>
          <w:t>Nominal GDP targeting</w:t>
        </w:r>
        <w:r w:rsidRPr="00BD38B0">
          <w:rPr>
            <w:rStyle w:val="Hyperlink"/>
            <w:rFonts w:asciiTheme="minorHAnsi" w:hAnsiTheme="minorHAnsi" w:cs="Arial"/>
            <w:b w:val="0"/>
            <w:bCs w:val="0"/>
            <w:color w:val="0070C0"/>
            <w:u w:val="none"/>
          </w:rPr>
          <w:t>: a simple rule to improve Fed performance</w:t>
        </w:r>
      </w:hyperlink>
      <w:r w:rsidRPr="00BD38B0">
        <w:rPr>
          <w:rFonts w:asciiTheme="minorHAnsi" w:hAnsiTheme="minorHAnsi" w:cs="Arial"/>
          <w:b w:val="0"/>
          <w:bCs w:val="0"/>
          <w:color w:val="auto"/>
        </w:rPr>
        <w:t xml:space="preserve">,” </w:t>
      </w:r>
      <w:r w:rsidRPr="00BD38B0">
        <w:rPr>
          <w:rFonts w:asciiTheme="minorHAnsi" w:hAnsiTheme="minorHAnsi" w:cs="Arial"/>
          <w:b w:val="0"/>
          <w:bCs w:val="0"/>
          <w:i/>
          <w:color w:val="auto"/>
        </w:rPr>
        <w:t xml:space="preserve">Cato Journal </w:t>
      </w:r>
      <w:r w:rsidRPr="00BD38B0">
        <w:rPr>
          <w:rFonts w:asciiTheme="minorHAnsi" w:hAnsiTheme="minorHAnsi" w:cs="Arial"/>
          <w:b w:val="0"/>
          <w:bCs w:val="0"/>
          <w:color w:val="auto"/>
        </w:rPr>
        <w:t>34, no.2, Spring/Summer.</w:t>
      </w:r>
      <w:r w:rsidR="00BA725D">
        <w:rPr>
          <w:rFonts w:asciiTheme="minorHAnsi" w:hAnsiTheme="minorHAnsi" w:cs="Arial"/>
          <w:b w:val="0"/>
          <w:bCs w:val="0"/>
          <w:color w:val="auto"/>
        </w:rPr>
        <w:br/>
      </w:r>
    </w:p>
    <w:p w:rsidR="00BA725D" w:rsidRPr="00BA725D" w:rsidRDefault="00BA725D" w:rsidP="00BA725D">
      <w:pPr>
        <w:pStyle w:val="Heading2"/>
        <w:spacing w:before="0" w:line="240" w:lineRule="auto"/>
        <w:rPr>
          <w:rFonts w:asciiTheme="minorHAnsi" w:hAnsiTheme="minorHAnsi" w:cs="Arial"/>
          <w:b w:val="0"/>
          <w:bCs w:val="0"/>
          <w:color w:val="auto"/>
          <w:sz w:val="22"/>
          <w:szCs w:val="22"/>
        </w:rPr>
      </w:pPr>
      <w:r w:rsidRPr="00BA725D">
        <w:rPr>
          <w:rFonts w:asciiTheme="minorHAnsi" w:hAnsiTheme="minorHAnsi"/>
          <w:b w:val="0"/>
          <w:color w:val="auto"/>
          <w:sz w:val="22"/>
          <w:szCs w:val="22"/>
        </w:rPr>
        <w:t>Svensson, Lars</w:t>
      </w:r>
      <w:proofErr w:type="gramStart"/>
      <w:r w:rsidRPr="00BA725D">
        <w:rPr>
          <w:rFonts w:asciiTheme="minorHAnsi" w:hAnsiTheme="minorHAnsi"/>
          <w:b w:val="0"/>
          <w:color w:val="auto"/>
          <w:sz w:val="22"/>
          <w:szCs w:val="22"/>
        </w:rPr>
        <w:t xml:space="preserve">,  </w:t>
      </w:r>
      <w:r>
        <w:rPr>
          <w:rFonts w:asciiTheme="minorHAnsi" w:hAnsiTheme="minorHAnsi"/>
          <w:b w:val="0"/>
          <w:color w:val="auto"/>
          <w:sz w:val="22"/>
          <w:szCs w:val="22"/>
        </w:rPr>
        <w:t>1999</w:t>
      </w:r>
      <w:proofErr w:type="gramEnd"/>
      <w:r>
        <w:rPr>
          <w:rFonts w:asciiTheme="minorHAnsi" w:hAnsiTheme="minorHAnsi"/>
          <w:b w:val="0"/>
          <w:color w:val="auto"/>
          <w:sz w:val="22"/>
          <w:szCs w:val="22"/>
        </w:rPr>
        <w:t>,</w:t>
      </w:r>
      <w:r w:rsidRPr="00BA725D">
        <w:rPr>
          <w:rFonts w:asciiTheme="minorHAnsi" w:hAnsiTheme="minorHAnsi"/>
          <w:b w:val="0"/>
          <w:color w:val="auto"/>
          <w:sz w:val="22"/>
          <w:szCs w:val="22"/>
        </w:rPr>
        <w:t xml:space="preserve"> “</w:t>
      </w:r>
      <w:hyperlink r:id="rId25" w:history="1">
        <w:r w:rsidRPr="00BA725D">
          <w:rPr>
            <w:rStyle w:val="Hyperlink"/>
            <w:rFonts w:asciiTheme="minorHAnsi" w:hAnsiTheme="minorHAnsi" w:cs="Arial"/>
            <w:b w:val="0"/>
            <w:color w:val="4F81BD" w:themeColor="accent1"/>
            <w:sz w:val="22"/>
            <w:szCs w:val="22"/>
          </w:rPr>
          <w:t>Inflation targeting </w:t>
        </w:r>
        <w:r w:rsidRPr="00BA725D">
          <w:rPr>
            <w:rStyle w:val="Hyperlink"/>
            <w:rFonts w:asciiTheme="minorHAnsi" w:hAnsiTheme="minorHAnsi" w:cs="Arial"/>
            <w:b w:val="0"/>
            <w:bCs w:val="0"/>
            <w:color w:val="4F81BD" w:themeColor="accent1"/>
            <w:sz w:val="22"/>
            <w:szCs w:val="22"/>
          </w:rPr>
          <w:t>as a monetary policy rule</w:t>
        </w:r>
      </w:hyperlink>
      <w:r w:rsidRPr="00BA725D">
        <w:rPr>
          <w:rFonts w:asciiTheme="minorHAnsi" w:hAnsiTheme="minorHAnsi" w:cs="Arial"/>
          <w:b w:val="0"/>
          <w:bCs w:val="0"/>
          <w:color w:val="auto"/>
          <w:sz w:val="22"/>
          <w:szCs w:val="22"/>
        </w:rPr>
        <w:t xml:space="preserve">,” </w:t>
      </w:r>
      <w:hyperlink r:id="rId26" w:tooltip="Go to Journal of Monetary Economics on ScienceDirect" w:history="1">
        <w:r w:rsidRPr="00BA725D">
          <w:rPr>
            <w:rStyle w:val="Hyperlink"/>
            <w:rFonts w:asciiTheme="minorHAnsi" w:hAnsiTheme="minorHAnsi" w:cs="Arial"/>
            <w:b w:val="0"/>
            <w:bCs w:val="0"/>
            <w:i/>
            <w:color w:val="auto"/>
            <w:sz w:val="22"/>
            <w:szCs w:val="22"/>
            <w:u w:val="none"/>
          </w:rPr>
          <w:t>Journal of Monetary Economics</w:t>
        </w:r>
      </w:hyperlink>
      <w:r w:rsidRPr="00BA725D">
        <w:rPr>
          <w:rFonts w:asciiTheme="minorHAnsi" w:hAnsiTheme="minorHAnsi" w:cs="Arial"/>
          <w:b w:val="0"/>
          <w:bCs w:val="0"/>
          <w:i/>
          <w:color w:val="auto"/>
          <w:sz w:val="22"/>
          <w:szCs w:val="22"/>
        </w:rPr>
        <w:t xml:space="preserve"> </w:t>
      </w:r>
      <w:r>
        <w:rPr>
          <w:rFonts w:asciiTheme="minorHAnsi" w:hAnsiTheme="minorHAnsi" w:cs="Arial"/>
          <w:b w:val="0"/>
          <w:bCs w:val="0"/>
          <w:i/>
          <w:color w:val="auto"/>
          <w:sz w:val="22"/>
          <w:szCs w:val="22"/>
        </w:rPr>
        <w:t xml:space="preserve">, </w:t>
      </w:r>
      <w:hyperlink r:id="rId27" w:tooltip="Go to table of contents for this volume/issue" w:history="1">
        <w:r w:rsidRPr="00BA725D">
          <w:rPr>
            <w:rStyle w:val="Hyperlink"/>
            <w:rFonts w:asciiTheme="minorHAnsi" w:hAnsiTheme="minorHAnsi" w:cs="Arial"/>
            <w:b w:val="0"/>
            <w:color w:val="auto"/>
            <w:sz w:val="22"/>
            <w:szCs w:val="22"/>
            <w:u w:val="none"/>
          </w:rPr>
          <w:t>Volume 43, Issue 3</w:t>
        </w:r>
      </w:hyperlink>
      <w:r>
        <w:rPr>
          <w:rFonts w:asciiTheme="minorHAnsi" w:hAnsiTheme="minorHAnsi" w:cs="Arial"/>
          <w:b w:val="0"/>
          <w:color w:val="auto"/>
          <w:sz w:val="22"/>
          <w:szCs w:val="22"/>
        </w:rPr>
        <w:t>, June</w:t>
      </w:r>
      <w:r w:rsidRPr="00BA725D">
        <w:rPr>
          <w:rFonts w:asciiTheme="minorHAnsi" w:hAnsiTheme="minorHAnsi" w:cs="Arial"/>
          <w:b w:val="0"/>
          <w:color w:val="auto"/>
          <w:sz w:val="22"/>
          <w:szCs w:val="22"/>
        </w:rPr>
        <w:t>, Pages 607-654</w:t>
      </w:r>
      <w:r>
        <w:rPr>
          <w:rFonts w:asciiTheme="minorHAnsi" w:hAnsiTheme="minorHAnsi" w:cs="Arial"/>
          <w:b w:val="0"/>
          <w:color w:val="auto"/>
          <w:sz w:val="22"/>
          <w:szCs w:val="22"/>
        </w:rPr>
        <w:br/>
      </w:r>
    </w:p>
    <w:p w:rsidR="00F0621A" w:rsidRDefault="00BA725D" w:rsidP="003E3215">
      <w:pPr>
        <w:pStyle w:val="NormalWeb"/>
        <w:shd w:val="clear" w:color="auto" w:fill="FFFFFF"/>
        <w:spacing w:before="0" w:beforeAutospacing="0" w:after="0" w:afterAutospacing="0"/>
        <w:textAlignment w:val="baseline"/>
        <w:rPr>
          <w:rFonts w:asciiTheme="minorHAnsi" w:hAnsiTheme="minorHAnsi"/>
          <w:sz w:val="22"/>
          <w:szCs w:val="22"/>
        </w:rPr>
      </w:pPr>
      <w:r>
        <w:rPr>
          <w:rFonts w:asciiTheme="minorHAnsi" w:hAnsiTheme="minorHAnsi"/>
          <w:sz w:val="22"/>
          <w:szCs w:val="22"/>
        </w:rPr>
        <w:t>---2009</w:t>
      </w:r>
      <w:r w:rsidR="00F0621A" w:rsidRPr="00F0621A">
        <w:rPr>
          <w:rFonts w:asciiTheme="minorHAnsi" w:hAnsiTheme="minorHAnsi"/>
          <w:sz w:val="22"/>
          <w:szCs w:val="22"/>
        </w:rPr>
        <w:t>, “</w:t>
      </w:r>
      <w:hyperlink r:id="rId28" w:history="1">
        <w:r w:rsidR="00F0621A" w:rsidRPr="00BA725D">
          <w:rPr>
            <w:rStyle w:val="Hyperlink"/>
            <w:rFonts w:asciiTheme="minorHAnsi" w:hAnsiTheme="minorHAnsi"/>
            <w:sz w:val="22"/>
            <w:szCs w:val="22"/>
          </w:rPr>
          <w:t>Flexible inflation targeting – lessons from the financial crisis</w:t>
        </w:r>
      </w:hyperlink>
      <w:r w:rsidR="00F0621A" w:rsidRPr="00F0621A">
        <w:rPr>
          <w:rFonts w:asciiTheme="minorHAnsi" w:hAnsiTheme="minorHAnsi"/>
          <w:sz w:val="22"/>
          <w:szCs w:val="22"/>
        </w:rPr>
        <w:t>”, speech at B</w:t>
      </w:r>
      <w:r>
        <w:rPr>
          <w:rFonts w:asciiTheme="minorHAnsi" w:hAnsiTheme="minorHAnsi"/>
          <w:sz w:val="22"/>
          <w:szCs w:val="22"/>
        </w:rPr>
        <w:t>ank for International Settlements</w:t>
      </w:r>
      <w:r w:rsidR="00F0621A" w:rsidRPr="00F0621A">
        <w:rPr>
          <w:rFonts w:asciiTheme="minorHAnsi" w:hAnsiTheme="minorHAnsi"/>
          <w:sz w:val="22"/>
          <w:szCs w:val="22"/>
        </w:rPr>
        <w:t>.</w:t>
      </w:r>
    </w:p>
    <w:p w:rsidR="00F75057" w:rsidRDefault="00F75057" w:rsidP="003E3215">
      <w:pPr>
        <w:pStyle w:val="NormalWeb"/>
        <w:shd w:val="clear" w:color="auto" w:fill="FFFFFF"/>
        <w:spacing w:before="0" w:beforeAutospacing="0" w:after="0" w:afterAutospacing="0"/>
        <w:textAlignment w:val="baseline"/>
        <w:rPr>
          <w:rFonts w:asciiTheme="minorHAnsi" w:hAnsiTheme="minorHAnsi"/>
          <w:sz w:val="22"/>
          <w:szCs w:val="22"/>
        </w:rPr>
      </w:pPr>
    </w:p>
    <w:p w:rsidR="00F75057" w:rsidRPr="00F75057" w:rsidRDefault="00F75057" w:rsidP="003E3215">
      <w:pPr>
        <w:pStyle w:val="NormalWeb"/>
        <w:shd w:val="clear" w:color="auto" w:fill="FFFFFF"/>
        <w:spacing w:before="0" w:beforeAutospacing="0" w:after="0" w:afterAutospacing="0"/>
        <w:textAlignment w:val="baseline"/>
        <w:rPr>
          <w:rFonts w:asciiTheme="minorHAnsi" w:hAnsiTheme="minorHAnsi" w:cs="Arial"/>
          <w:color w:val="000000"/>
          <w:sz w:val="22"/>
          <w:szCs w:val="22"/>
        </w:rPr>
      </w:pPr>
      <w:r w:rsidRPr="00F75057">
        <w:rPr>
          <w:rFonts w:asciiTheme="minorHAnsi" w:hAnsiTheme="minorHAnsi" w:cs="Arial"/>
          <w:color w:val="222222"/>
          <w:sz w:val="22"/>
          <w:szCs w:val="22"/>
          <w:shd w:val="clear" w:color="auto" w:fill="EAF3FF"/>
        </w:rPr>
        <w:t>Taylor, John B., 1993, </w:t>
      </w:r>
      <w:hyperlink r:id="rId29" w:history="1">
        <w:r w:rsidRPr="00F75057">
          <w:rPr>
            <w:rStyle w:val="Hyperlink"/>
            <w:rFonts w:asciiTheme="minorHAnsi" w:eastAsiaTheme="majorEastAsia" w:hAnsiTheme="minorHAnsi" w:cs="Arial"/>
            <w:color w:val="1F497D" w:themeColor="text2"/>
            <w:sz w:val="22"/>
            <w:szCs w:val="22"/>
            <w:shd w:val="clear" w:color="auto" w:fill="EAF3FF"/>
          </w:rPr>
          <w:t>"Discretion versus Policy Rules in Practice,"</w:t>
        </w:r>
      </w:hyperlink>
      <w:r w:rsidRPr="00F75057">
        <w:rPr>
          <w:rFonts w:asciiTheme="minorHAnsi" w:hAnsiTheme="minorHAnsi" w:cs="Arial"/>
          <w:color w:val="222222"/>
          <w:sz w:val="22"/>
          <w:szCs w:val="22"/>
          <w:shd w:val="clear" w:color="auto" w:fill="EAF3FF"/>
        </w:rPr>
        <w:t> </w:t>
      </w:r>
      <w:r w:rsidRPr="00F75057">
        <w:rPr>
          <w:rFonts w:asciiTheme="minorHAnsi" w:hAnsiTheme="minorHAnsi" w:cs="Arial"/>
          <w:i/>
          <w:iCs/>
          <w:color w:val="222222"/>
          <w:sz w:val="22"/>
          <w:szCs w:val="22"/>
          <w:shd w:val="clear" w:color="auto" w:fill="EAF3FF"/>
        </w:rPr>
        <w:t>Carnegie-Rochester Conference Series on Public Policy</w:t>
      </w:r>
      <w:r w:rsidRPr="00F75057">
        <w:rPr>
          <w:rFonts w:asciiTheme="minorHAnsi" w:hAnsiTheme="minorHAnsi" w:cs="Arial"/>
          <w:color w:val="222222"/>
          <w:sz w:val="22"/>
          <w:szCs w:val="22"/>
          <w:shd w:val="clear" w:color="auto" w:fill="EAF3FF"/>
        </w:rPr>
        <w:t>. </w:t>
      </w:r>
      <w:r w:rsidRPr="00F75057">
        <w:rPr>
          <w:rFonts w:asciiTheme="minorHAnsi" w:hAnsiTheme="minorHAnsi" w:cs="Arial"/>
          <w:bCs/>
          <w:color w:val="222222"/>
          <w:sz w:val="22"/>
          <w:szCs w:val="22"/>
          <w:shd w:val="clear" w:color="auto" w:fill="EAF3FF"/>
        </w:rPr>
        <w:t>39</w:t>
      </w:r>
      <w:r w:rsidRPr="00F75057">
        <w:rPr>
          <w:rFonts w:asciiTheme="minorHAnsi" w:hAnsiTheme="minorHAnsi" w:cs="Arial"/>
          <w:color w:val="222222"/>
          <w:sz w:val="22"/>
          <w:szCs w:val="22"/>
          <w:shd w:val="clear" w:color="auto" w:fill="EAF3FF"/>
        </w:rPr>
        <w:t>: 195–214.</w:t>
      </w:r>
    </w:p>
    <w:p w:rsidR="00861CD1" w:rsidRDefault="003E3215" w:rsidP="00861CD1">
      <w:pPr>
        <w:tabs>
          <w:tab w:val="left" w:pos="-1440"/>
        </w:tabs>
        <w:spacing w:line="240" w:lineRule="auto"/>
        <w:jc w:val="both"/>
        <w:rPr>
          <w:rFonts w:eastAsia="Times New Roman"/>
          <w:snapToGrid w:val="0"/>
        </w:rPr>
      </w:pPr>
      <w:r>
        <w:rPr>
          <w:rFonts w:eastAsia="Times New Roman"/>
          <w:snapToGrid w:val="0"/>
        </w:rPr>
        <w:br/>
      </w:r>
      <w:r w:rsidR="00861CD1" w:rsidRPr="00790466">
        <w:rPr>
          <w:rFonts w:eastAsia="Times New Roman"/>
          <w:snapToGrid w:val="0"/>
        </w:rPr>
        <w:t xml:space="preserve">Tobin, James, 1980, “Stabilization Policy Ten Years After,” </w:t>
      </w:r>
      <w:r w:rsidR="00861CD1" w:rsidRPr="00790466">
        <w:rPr>
          <w:rFonts w:eastAsia="Times New Roman"/>
          <w:i/>
          <w:snapToGrid w:val="0"/>
        </w:rPr>
        <w:t>Brookings Papers on Economic Activity,</w:t>
      </w:r>
      <w:r w:rsidR="00861CD1" w:rsidRPr="00790466">
        <w:rPr>
          <w:rFonts w:eastAsia="Times New Roman"/>
          <w:snapToGrid w:val="0"/>
        </w:rPr>
        <w:t xml:space="preserve"> no.1, pp. 19-72.</w:t>
      </w:r>
    </w:p>
    <w:p w:rsidR="00861CD1" w:rsidRDefault="00861CD1" w:rsidP="00861CD1">
      <w:pPr>
        <w:pStyle w:val="ListParagraph"/>
        <w:spacing w:line="240" w:lineRule="auto"/>
        <w:ind w:left="0"/>
        <w:jc w:val="both"/>
        <w:rPr>
          <w:color w:val="000000"/>
        </w:rPr>
      </w:pPr>
      <w:r w:rsidRPr="00790466">
        <w:rPr>
          <w:color w:val="000000"/>
        </w:rPr>
        <w:t>Woodford, Michael, 2012: “</w:t>
      </w:r>
      <w:r w:rsidR="003E3215" w:rsidRPr="003E3215">
        <w:rPr>
          <w:rFonts w:cs="Arial"/>
          <w:color w:val="000000"/>
        </w:rPr>
        <w:t>Methods of Policy Accommodation at the Interest-Rate Lower Bound</w:t>
      </w:r>
      <w:r w:rsidRPr="00790466">
        <w:t>”,</w:t>
      </w:r>
      <w:r w:rsidRPr="00790466">
        <w:rPr>
          <w:color w:val="000000"/>
        </w:rPr>
        <w:t xml:space="preserve"> presented at the Jackson Hole Symposium (Federal Reserve Bank of Kansas City), August.</w:t>
      </w:r>
    </w:p>
    <w:p w:rsidR="00BE274B" w:rsidRPr="003B3D11" w:rsidRDefault="00F61E3B" w:rsidP="003B3D11">
      <w:pPr>
        <w:tabs>
          <w:tab w:val="left" w:pos="-1440"/>
        </w:tabs>
        <w:spacing w:line="240" w:lineRule="auto"/>
        <w:jc w:val="both"/>
        <w:rPr>
          <w:rFonts w:eastAsia="Times New Roman"/>
          <w:snapToGrid w:val="0"/>
        </w:rPr>
      </w:pPr>
      <w:r>
        <w:t>Woodward, Bob</w:t>
      </w:r>
      <w:r w:rsidR="00BE274B">
        <w:t xml:space="preserve"> (2000) Maestro: Greenspan’s Fed and American Boom. New York: Simon and Schuster.</w:t>
      </w:r>
    </w:p>
    <w:p w:rsidR="00ED60CC" w:rsidRPr="00ED60CC" w:rsidRDefault="00ED60CC" w:rsidP="00ED60CC">
      <w:pPr>
        <w:pStyle w:val="Heading1"/>
        <w:spacing w:before="0" w:after="120" w:line="240" w:lineRule="atLeast"/>
        <w:textAlignment w:val="baseline"/>
        <w:rPr>
          <w:rFonts w:asciiTheme="minorHAnsi" w:hAnsiTheme="minorHAnsi"/>
          <w:b w:val="0"/>
          <w:color w:val="333333"/>
          <w:sz w:val="20"/>
          <w:szCs w:val="20"/>
        </w:rPr>
      </w:pPr>
      <w:proofErr w:type="gramStart"/>
      <w:r w:rsidRPr="00194053">
        <w:rPr>
          <w:rFonts w:asciiTheme="minorHAnsi" w:hAnsiTheme="minorHAnsi"/>
          <w:b w:val="0"/>
          <w:i/>
          <w:color w:val="333333"/>
          <w:sz w:val="20"/>
          <w:szCs w:val="20"/>
        </w:rPr>
        <w:lastRenderedPageBreak/>
        <w:t>Wall Street Journal</w:t>
      </w:r>
      <w:r>
        <w:rPr>
          <w:rFonts w:asciiTheme="minorHAnsi" w:hAnsiTheme="minorHAnsi"/>
          <w:b w:val="0"/>
          <w:color w:val="333333"/>
          <w:sz w:val="20"/>
          <w:szCs w:val="20"/>
        </w:rPr>
        <w:t>, “</w:t>
      </w:r>
      <w:hyperlink r:id="rId30" w:history="1">
        <w:r w:rsidRPr="00194053">
          <w:rPr>
            <w:rStyle w:val="Hyperlink"/>
            <w:rFonts w:asciiTheme="minorHAnsi" w:hAnsiTheme="minorHAnsi"/>
            <w:b w:val="0"/>
            <w:sz w:val="20"/>
            <w:szCs w:val="20"/>
          </w:rPr>
          <w:t>Donald Trump Says He’s ‘Not Happy’ About Federal Reserve Interest-Rate Increases</w:t>
        </w:r>
      </w:hyperlink>
      <w:r w:rsidRPr="00ED60CC">
        <w:rPr>
          <w:rFonts w:asciiTheme="minorHAnsi" w:hAnsiTheme="minorHAnsi"/>
          <w:b w:val="0"/>
          <w:color w:val="333333"/>
          <w:sz w:val="20"/>
          <w:szCs w:val="20"/>
        </w:rPr>
        <w:t>,</w:t>
      </w:r>
      <w:r>
        <w:rPr>
          <w:rFonts w:asciiTheme="minorHAnsi" w:hAnsiTheme="minorHAnsi"/>
          <w:b w:val="0"/>
          <w:color w:val="333333"/>
          <w:sz w:val="20"/>
          <w:szCs w:val="20"/>
        </w:rPr>
        <w:t>”</w:t>
      </w:r>
      <w:r w:rsidRPr="00ED60CC">
        <w:rPr>
          <w:rFonts w:asciiTheme="minorHAnsi" w:hAnsiTheme="minorHAnsi"/>
          <w:b w:val="0"/>
          <w:color w:val="333333"/>
          <w:sz w:val="20"/>
          <w:szCs w:val="20"/>
        </w:rPr>
        <w:t xml:space="preserve"> </w:t>
      </w:r>
      <w:r w:rsidR="00194053">
        <w:rPr>
          <w:rFonts w:asciiTheme="minorHAnsi" w:hAnsiTheme="minorHAnsi"/>
          <w:b w:val="0"/>
          <w:color w:val="333333"/>
          <w:sz w:val="20"/>
          <w:szCs w:val="20"/>
        </w:rPr>
        <w:t>July 19, 2918.</w:t>
      </w:r>
      <w:proofErr w:type="gramEnd"/>
    </w:p>
    <w:p w:rsidR="00ED60CC" w:rsidRPr="00565349" w:rsidRDefault="00ED60CC" w:rsidP="00565349">
      <w:pPr>
        <w:spacing w:line="240" w:lineRule="auto"/>
        <w:ind w:firstLine="720"/>
        <w:rPr>
          <w:sz w:val="26"/>
          <w:szCs w:val="26"/>
        </w:rPr>
      </w:pPr>
    </w:p>
    <w:sectPr w:rsidR="00ED60CC" w:rsidRPr="00565349" w:rsidSect="00D55266">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C8E" w:rsidRDefault="00E84C8E" w:rsidP="00E84C8E">
      <w:pPr>
        <w:spacing w:after="0" w:line="240" w:lineRule="auto"/>
      </w:pPr>
      <w:r>
        <w:separator/>
      </w:r>
    </w:p>
  </w:endnote>
  <w:endnote w:type="continuationSeparator" w:id="0">
    <w:p w:rsidR="00E84C8E" w:rsidRDefault="00E84C8E" w:rsidP="00E84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3277554"/>
      <w:docPartObj>
        <w:docPartGallery w:val="Page Numbers (Bottom of Page)"/>
        <w:docPartUnique/>
      </w:docPartObj>
    </w:sdtPr>
    <w:sdtEndPr>
      <w:rPr>
        <w:noProof/>
      </w:rPr>
    </w:sdtEndPr>
    <w:sdtContent>
      <w:p w:rsidR="009B0ADA" w:rsidRDefault="009B0ADA">
        <w:pPr>
          <w:pStyle w:val="Footer"/>
          <w:jc w:val="right"/>
        </w:pPr>
        <w:r>
          <w:fldChar w:fldCharType="begin"/>
        </w:r>
        <w:r>
          <w:instrText xml:space="preserve"> PAGE   \* MERGEFORMAT </w:instrText>
        </w:r>
        <w:r>
          <w:fldChar w:fldCharType="separate"/>
        </w:r>
        <w:r w:rsidR="00597938">
          <w:rPr>
            <w:noProof/>
          </w:rPr>
          <w:t>1</w:t>
        </w:r>
        <w:r>
          <w:rPr>
            <w:noProof/>
          </w:rPr>
          <w:fldChar w:fldCharType="end"/>
        </w:r>
      </w:p>
    </w:sdtContent>
  </w:sdt>
  <w:p w:rsidR="009B0ADA" w:rsidRDefault="009B0A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C8E" w:rsidRDefault="00E84C8E" w:rsidP="00E84C8E">
      <w:pPr>
        <w:spacing w:after="0" w:line="240" w:lineRule="auto"/>
      </w:pPr>
      <w:r>
        <w:separator/>
      </w:r>
    </w:p>
  </w:footnote>
  <w:footnote w:type="continuationSeparator" w:id="0">
    <w:p w:rsidR="00E84C8E" w:rsidRDefault="00E84C8E" w:rsidP="00E84C8E">
      <w:pPr>
        <w:spacing w:after="0" w:line="240" w:lineRule="auto"/>
      </w:pPr>
      <w:r>
        <w:continuationSeparator/>
      </w:r>
    </w:p>
  </w:footnote>
  <w:footnote w:id="1">
    <w:p w:rsidR="00A421A0" w:rsidRDefault="00A421A0">
      <w:pPr>
        <w:pStyle w:val="FootnoteText"/>
      </w:pPr>
      <w:r>
        <w:rPr>
          <w:rStyle w:val="FootnoteReference"/>
        </w:rPr>
        <w:footnoteRef/>
      </w:r>
      <w:r>
        <w:t xml:space="preserve"> </w:t>
      </w:r>
      <w:proofErr w:type="gramStart"/>
      <w:r>
        <w:t xml:space="preserve">Campbell, Evans, Fisher and </w:t>
      </w:r>
      <w:proofErr w:type="spellStart"/>
      <w:r>
        <w:t>Justiniano</w:t>
      </w:r>
      <w:proofErr w:type="spellEnd"/>
      <w:r>
        <w:t xml:space="preserve"> (2012).</w:t>
      </w:r>
      <w:proofErr w:type="gramEnd"/>
    </w:p>
  </w:footnote>
  <w:footnote w:id="2">
    <w:p w:rsidR="00BA725D" w:rsidRPr="00BA725D" w:rsidRDefault="00BA725D">
      <w:pPr>
        <w:pStyle w:val="FootnoteText"/>
        <w:rPr>
          <w:sz w:val="22"/>
          <w:szCs w:val="22"/>
        </w:rPr>
      </w:pPr>
      <w:r w:rsidRPr="00BA725D">
        <w:rPr>
          <w:rStyle w:val="FootnoteReference"/>
          <w:sz w:val="22"/>
          <w:szCs w:val="22"/>
        </w:rPr>
        <w:footnoteRef/>
      </w:r>
      <w:r w:rsidRPr="00BA725D">
        <w:rPr>
          <w:sz w:val="22"/>
          <w:szCs w:val="22"/>
        </w:rPr>
        <w:t xml:space="preserve"> </w:t>
      </w:r>
      <w:proofErr w:type="gramStart"/>
      <w:r w:rsidRPr="00BA725D">
        <w:rPr>
          <w:sz w:val="22"/>
          <w:szCs w:val="22"/>
        </w:rPr>
        <w:t>E.g., Svensson (1999).</w:t>
      </w:r>
      <w:proofErr w:type="gramEnd"/>
    </w:p>
    <w:p w:rsidR="00BA725D" w:rsidRDefault="00BA725D">
      <w:pPr>
        <w:pStyle w:val="FootnoteText"/>
      </w:pPr>
    </w:p>
  </w:footnote>
  <w:footnote w:id="3">
    <w:p w:rsidR="003E3215" w:rsidRDefault="003E3215">
      <w:pPr>
        <w:pStyle w:val="FootnoteText"/>
      </w:pPr>
      <w:r>
        <w:rPr>
          <w:rStyle w:val="FootnoteReference"/>
        </w:rPr>
        <w:footnoteRef/>
      </w:r>
      <w:r>
        <w:t xml:space="preserve"> </w:t>
      </w:r>
      <w:r>
        <w:rPr>
          <w:rFonts w:cs="Arial"/>
          <w:color w:val="000000"/>
          <w:sz w:val="22"/>
          <w:szCs w:val="22"/>
          <w:shd w:val="clear" w:color="auto" w:fill="FFFFFF"/>
        </w:rPr>
        <w:t xml:space="preserve">Blanchard, </w:t>
      </w:r>
      <w:proofErr w:type="spellStart"/>
      <w:r>
        <w:rPr>
          <w:rFonts w:cs="Arial"/>
          <w:color w:val="000000"/>
          <w:sz w:val="22"/>
          <w:szCs w:val="22"/>
          <w:shd w:val="clear" w:color="auto" w:fill="FFFFFF"/>
        </w:rPr>
        <w:t>Dell’Ariccia</w:t>
      </w:r>
      <w:proofErr w:type="spellEnd"/>
      <w:r>
        <w:rPr>
          <w:rFonts w:cs="Arial"/>
          <w:color w:val="000000"/>
          <w:sz w:val="22"/>
          <w:szCs w:val="22"/>
          <w:shd w:val="clear" w:color="auto" w:fill="FFFFFF"/>
        </w:rPr>
        <w:t xml:space="preserve"> and </w:t>
      </w:r>
      <w:r w:rsidRPr="003E3215">
        <w:rPr>
          <w:rFonts w:cs="Arial"/>
          <w:color w:val="000000"/>
          <w:sz w:val="22"/>
          <w:szCs w:val="22"/>
          <w:shd w:val="clear" w:color="auto" w:fill="FFFFFF"/>
        </w:rPr>
        <w:t>Mauro (2010),</w:t>
      </w:r>
    </w:p>
  </w:footnote>
  <w:footnote w:id="4">
    <w:p w:rsidR="00E84C8E" w:rsidRPr="00FD7F6F" w:rsidRDefault="00E84C8E">
      <w:pPr>
        <w:pStyle w:val="FootnoteText"/>
        <w:rPr>
          <w:sz w:val="22"/>
          <w:szCs w:val="22"/>
        </w:rPr>
      </w:pPr>
      <w:r w:rsidRPr="00FD7F6F">
        <w:rPr>
          <w:rStyle w:val="FootnoteReference"/>
          <w:sz w:val="22"/>
          <w:szCs w:val="22"/>
        </w:rPr>
        <w:footnoteRef/>
      </w:r>
      <w:r w:rsidRPr="00FD7F6F">
        <w:rPr>
          <w:sz w:val="22"/>
          <w:szCs w:val="22"/>
        </w:rPr>
        <w:t xml:space="preserve"> </w:t>
      </w:r>
      <w:proofErr w:type="gramStart"/>
      <w:r w:rsidRPr="00FD7F6F">
        <w:rPr>
          <w:sz w:val="22"/>
          <w:szCs w:val="22"/>
        </w:rPr>
        <w:t xml:space="preserve">In March </w:t>
      </w:r>
      <w:r w:rsidR="007A3A7A" w:rsidRPr="00FD7F6F">
        <w:rPr>
          <w:sz w:val="22"/>
          <w:szCs w:val="22"/>
        </w:rPr>
        <w:t>[</w:t>
      </w:r>
      <w:r w:rsidRPr="00FD7F6F">
        <w:rPr>
          <w:sz w:val="22"/>
          <w:szCs w:val="22"/>
        </w:rPr>
        <w:t>www.federalreserve.gov/newsevents/pressreleases/monetary20140319a.htm.</w:t>
      </w:r>
      <w:r w:rsidR="007A3A7A" w:rsidRPr="00FD7F6F">
        <w:rPr>
          <w:sz w:val="22"/>
          <w:szCs w:val="22"/>
        </w:rPr>
        <w:t>]</w:t>
      </w:r>
      <w:proofErr w:type="gramEnd"/>
      <w:r w:rsidR="008332F3">
        <w:rPr>
          <w:sz w:val="22"/>
          <w:szCs w:val="22"/>
        </w:rPr>
        <w:br/>
      </w:r>
    </w:p>
  </w:footnote>
  <w:footnote w:id="5">
    <w:p w:rsidR="00686622" w:rsidRPr="00FD7F6F" w:rsidRDefault="00686622">
      <w:pPr>
        <w:pStyle w:val="FootnoteText"/>
        <w:rPr>
          <w:sz w:val="22"/>
          <w:szCs w:val="22"/>
        </w:rPr>
      </w:pPr>
      <w:r w:rsidRPr="00FD7F6F">
        <w:rPr>
          <w:rStyle w:val="FootnoteReference"/>
          <w:sz w:val="22"/>
          <w:szCs w:val="22"/>
        </w:rPr>
        <w:footnoteRef/>
      </w:r>
      <w:r w:rsidR="00A04F46" w:rsidRPr="00FD7F6F">
        <w:rPr>
          <w:sz w:val="22"/>
          <w:szCs w:val="22"/>
        </w:rPr>
        <w:t xml:space="preserve"> </w:t>
      </w:r>
      <w:r w:rsidR="009D1AAB">
        <w:rPr>
          <w:sz w:val="22"/>
          <w:szCs w:val="22"/>
        </w:rPr>
        <w:t>The vulnerability was</w:t>
      </w:r>
      <w:r w:rsidRPr="00FD7F6F">
        <w:rPr>
          <w:sz w:val="22"/>
          <w:szCs w:val="22"/>
        </w:rPr>
        <w:t xml:space="preserve"> predicted</w:t>
      </w:r>
      <w:r w:rsidR="00F0621A">
        <w:rPr>
          <w:sz w:val="22"/>
          <w:szCs w:val="22"/>
        </w:rPr>
        <w:t xml:space="preserve">.  </w:t>
      </w:r>
      <w:proofErr w:type="gramStart"/>
      <w:r w:rsidR="00C2110A">
        <w:rPr>
          <w:sz w:val="22"/>
          <w:szCs w:val="22"/>
        </w:rPr>
        <w:t xml:space="preserve">E.g., </w:t>
      </w:r>
      <w:r w:rsidR="00F0621A">
        <w:rPr>
          <w:sz w:val="22"/>
          <w:szCs w:val="22"/>
        </w:rPr>
        <w:t>Frankel (2012</w:t>
      </w:r>
      <w:r w:rsidR="00BD38B0">
        <w:rPr>
          <w:sz w:val="22"/>
          <w:szCs w:val="22"/>
        </w:rPr>
        <w:t xml:space="preserve"> fn3;</w:t>
      </w:r>
      <w:r w:rsidR="00F0621A">
        <w:rPr>
          <w:sz w:val="22"/>
          <w:szCs w:val="22"/>
        </w:rPr>
        <w:t xml:space="preserve"> 2014)</w:t>
      </w:r>
      <w:r w:rsidR="00C2110A">
        <w:rPr>
          <w:sz w:val="22"/>
          <w:szCs w:val="22"/>
        </w:rPr>
        <w:t>.</w:t>
      </w:r>
      <w:proofErr w:type="gramEnd"/>
      <w:r w:rsidR="008332F3">
        <w:rPr>
          <w:sz w:val="22"/>
          <w:szCs w:val="22"/>
        </w:rPr>
        <w:br/>
      </w:r>
    </w:p>
  </w:footnote>
  <w:footnote w:id="6">
    <w:p w:rsidR="00AF5697" w:rsidRPr="00FD7F6F" w:rsidRDefault="00AF5697">
      <w:pPr>
        <w:pStyle w:val="FootnoteText"/>
        <w:rPr>
          <w:sz w:val="22"/>
          <w:szCs w:val="22"/>
        </w:rPr>
      </w:pPr>
      <w:r w:rsidRPr="00FD7F6F">
        <w:rPr>
          <w:rStyle w:val="FootnoteReference"/>
          <w:sz w:val="22"/>
          <w:szCs w:val="22"/>
        </w:rPr>
        <w:footnoteRef/>
      </w:r>
      <w:r w:rsidRPr="00FD7F6F">
        <w:rPr>
          <w:sz w:val="22"/>
          <w:szCs w:val="22"/>
        </w:rPr>
        <w:t xml:space="preserve"> </w:t>
      </w:r>
      <w:proofErr w:type="gramStart"/>
      <w:r w:rsidRPr="00FD7F6F">
        <w:rPr>
          <w:sz w:val="22"/>
          <w:szCs w:val="22"/>
        </w:rPr>
        <w:t>Frankel (19</w:t>
      </w:r>
      <w:r w:rsidR="006C4EBC">
        <w:rPr>
          <w:sz w:val="22"/>
          <w:szCs w:val="22"/>
        </w:rPr>
        <w:t>95</w:t>
      </w:r>
      <w:r w:rsidR="00725E08">
        <w:rPr>
          <w:sz w:val="22"/>
          <w:szCs w:val="22"/>
        </w:rPr>
        <w:t>, 2013</w:t>
      </w:r>
      <w:r w:rsidRPr="00FD7F6F">
        <w:rPr>
          <w:sz w:val="22"/>
          <w:szCs w:val="22"/>
        </w:rPr>
        <w:t>).</w:t>
      </w:r>
      <w:proofErr w:type="gramEnd"/>
      <w:r w:rsidR="0051559A">
        <w:rPr>
          <w:sz w:val="22"/>
          <w:szCs w:val="22"/>
        </w:rPr>
        <w:br/>
      </w:r>
    </w:p>
  </w:footnote>
  <w:footnote w:id="7">
    <w:p w:rsidR="00FD7F6F" w:rsidRPr="00565349" w:rsidRDefault="00FD7F6F" w:rsidP="00565349">
      <w:pPr>
        <w:spacing w:line="240" w:lineRule="auto"/>
      </w:pPr>
      <w:r w:rsidRPr="00565349">
        <w:rPr>
          <w:rStyle w:val="FootnoteReference"/>
        </w:rPr>
        <w:footnoteRef/>
      </w:r>
      <w:r w:rsidRPr="00565349">
        <w:t xml:space="preserve"> </w:t>
      </w:r>
      <w:r w:rsidRPr="00565349">
        <w:rPr>
          <w:rFonts w:cs="Arial"/>
          <w:color w:val="000000"/>
          <w:shd w:val="clear" w:color="auto" w:fill="FFFFFF"/>
        </w:rPr>
        <w:t>The original pro</w:t>
      </w:r>
      <w:r w:rsidR="00510F7B">
        <w:rPr>
          <w:rFonts w:cs="Arial"/>
          <w:color w:val="000000"/>
          <w:shd w:val="clear" w:color="auto" w:fill="FFFFFF"/>
        </w:rPr>
        <w:t>posal was from Meade (1978) and Tobin (1980</w:t>
      </w:r>
      <w:r w:rsidRPr="00565349">
        <w:rPr>
          <w:rFonts w:cs="Arial"/>
          <w:color w:val="000000"/>
          <w:shd w:val="clear" w:color="auto" w:fill="FFFFFF"/>
        </w:rPr>
        <w:t>), followed by analysis from many others</w:t>
      </w:r>
      <w:r w:rsidRPr="00565349">
        <w:rPr>
          <w:rFonts w:cs="Tahoma"/>
          <w:color w:val="000000"/>
        </w:rPr>
        <w:t>.</w:t>
      </w:r>
    </w:p>
  </w:footnote>
  <w:footnote w:id="8">
    <w:p w:rsidR="00B559E5" w:rsidRPr="007F1DBB" w:rsidRDefault="00B559E5">
      <w:pPr>
        <w:pStyle w:val="FootnoteText"/>
        <w:rPr>
          <w:sz w:val="22"/>
          <w:szCs w:val="22"/>
        </w:rPr>
      </w:pPr>
      <w:r w:rsidRPr="007F1DBB">
        <w:rPr>
          <w:rStyle w:val="FootnoteReference"/>
          <w:sz w:val="22"/>
          <w:szCs w:val="22"/>
        </w:rPr>
        <w:footnoteRef/>
      </w:r>
      <w:r w:rsidRPr="007F1DBB">
        <w:rPr>
          <w:sz w:val="22"/>
          <w:szCs w:val="22"/>
        </w:rPr>
        <w:t xml:space="preserve"> </w:t>
      </w:r>
      <w:r w:rsidR="00632279" w:rsidRPr="007F1DBB">
        <w:rPr>
          <w:rFonts w:cs="Arial"/>
          <w:color w:val="000000"/>
          <w:sz w:val="22"/>
          <w:szCs w:val="22"/>
          <w:shd w:val="clear" w:color="auto" w:fill="FFFFFF"/>
        </w:rPr>
        <w:t>Including</w:t>
      </w:r>
      <w:r w:rsidR="007F1DBB" w:rsidRPr="007F1DBB">
        <w:rPr>
          <w:rFonts w:cs="Arial"/>
          <w:color w:val="000000"/>
          <w:sz w:val="22"/>
          <w:szCs w:val="22"/>
          <w:shd w:val="clear" w:color="auto" w:fill="FFFFFF"/>
        </w:rPr>
        <w:t xml:space="preserve"> </w:t>
      </w:r>
      <w:r w:rsidRPr="007F1DBB">
        <w:rPr>
          <w:rFonts w:cs="Arial"/>
          <w:color w:val="000000"/>
          <w:sz w:val="22"/>
          <w:szCs w:val="22"/>
          <w:shd w:val="clear" w:color="auto" w:fill="FFFFFF"/>
        </w:rPr>
        <w:t xml:space="preserve">contributions of David Beckworth (at </w:t>
      </w:r>
      <w:hyperlink r:id="rId1" w:history="1">
        <w:r w:rsidRPr="007F1DBB">
          <w:rPr>
            <w:rStyle w:val="Hyperlink"/>
            <w:rFonts w:cs="Arial"/>
            <w:sz w:val="22"/>
            <w:szCs w:val="22"/>
            <w:shd w:val="clear" w:color="auto" w:fill="FFFFFF"/>
          </w:rPr>
          <w:t>Macro Market Musings</w:t>
        </w:r>
      </w:hyperlink>
      <w:r w:rsidR="00BD38B0" w:rsidRPr="007F1DBB">
        <w:rPr>
          <w:rFonts w:cs="Arial"/>
          <w:color w:val="000000"/>
          <w:sz w:val="22"/>
          <w:szCs w:val="22"/>
          <w:shd w:val="clear" w:color="auto" w:fill="FFFFFF"/>
        </w:rPr>
        <w:t>), Scott Sumner (</w:t>
      </w:r>
      <w:r w:rsidRPr="007F1DBB">
        <w:rPr>
          <w:rFonts w:cs="Arial"/>
          <w:color w:val="000000"/>
          <w:sz w:val="22"/>
          <w:szCs w:val="22"/>
          <w:shd w:val="clear" w:color="auto" w:fill="FFFFFF"/>
        </w:rPr>
        <w:t xml:space="preserve">at </w:t>
      </w:r>
      <w:hyperlink r:id="rId2" w:history="1">
        <w:r w:rsidRPr="007F1DBB">
          <w:rPr>
            <w:rStyle w:val="Hyperlink"/>
            <w:rFonts w:cs="Arial"/>
            <w:sz w:val="22"/>
            <w:szCs w:val="22"/>
            <w:shd w:val="clear" w:color="auto" w:fill="FFFFFF"/>
          </w:rPr>
          <w:t>Money Illusion</w:t>
        </w:r>
      </w:hyperlink>
      <w:r w:rsidRPr="007F1DBB">
        <w:rPr>
          <w:rFonts w:cs="Arial"/>
          <w:color w:val="000000"/>
          <w:sz w:val="22"/>
          <w:szCs w:val="22"/>
          <w:shd w:val="clear" w:color="auto" w:fill="FFFFFF"/>
        </w:rPr>
        <w:t xml:space="preserve">), Lars Christensen (at </w:t>
      </w:r>
      <w:hyperlink r:id="rId3" w:history="1">
        <w:r w:rsidRPr="007F1DBB">
          <w:rPr>
            <w:rStyle w:val="Hyperlink"/>
            <w:rFonts w:cs="Arial"/>
            <w:sz w:val="22"/>
            <w:szCs w:val="22"/>
            <w:shd w:val="clear" w:color="auto" w:fill="FFFFFF"/>
          </w:rPr>
          <w:t>Market</w:t>
        </w:r>
      </w:hyperlink>
      <w:r w:rsidRPr="007F1DBB">
        <w:rPr>
          <w:rFonts w:cs="Arial"/>
          <w:color w:val="000000"/>
          <w:sz w:val="22"/>
          <w:szCs w:val="22"/>
          <w:shd w:val="clear" w:color="auto" w:fill="FFFFFF"/>
        </w:rPr>
        <w:t xml:space="preserve"> </w:t>
      </w:r>
      <w:hyperlink r:id="rId4" w:history="1">
        <w:r w:rsidRPr="007F1DBB">
          <w:rPr>
            <w:rStyle w:val="Hyperlink"/>
            <w:rFonts w:cs="Arial"/>
            <w:sz w:val="22"/>
            <w:szCs w:val="22"/>
            <w:shd w:val="clear" w:color="auto" w:fill="FFFFFF"/>
          </w:rPr>
          <w:t>Monetarist</w:t>
        </w:r>
      </w:hyperlink>
      <w:r w:rsidRPr="007F1DBB">
        <w:rPr>
          <w:rFonts w:cs="Arial"/>
          <w:color w:val="000000"/>
          <w:sz w:val="22"/>
          <w:szCs w:val="22"/>
          <w:shd w:val="clear" w:color="auto" w:fill="FFFFFF"/>
        </w:rPr>
        <w:t>), and Marcus Nunes (at </w:t>
      </w:r>
      <w:hyperlink r:id="rId5" w:history="1">
        <w:r w:rsidRPr="007F1DBB">
          <w:rPr>
            <w:rStyle w:val="Hyperlink"/>
            <w:rFonts w:cs="Arial"/>
            <w:color w:val="085A92"/>
            <w:sz w:val="22"/>
            <w:szCs w:val="22"/>
            <w:bdr w:val="none" w:sz="0" w:space="0" w:color="auto" w:frame="1"/>
            <w:shd w:val="clear" w:color="auto" w:fill="FFFFFF"/>
          </w:rPr>
          <w:t>Historinhas</w:t>
        </w:r>
      </w:hyperlink>
      <w:r w:rsidRPr="007F1DBB">
        <w:rPr>
          <w:rFonts w:cs="Arial"/>
          <w:color w:val="000000"/>
          <w:sz w:val="22"/>
          <w:szCs w:val="22"/>
          <w:shd w:val="clear" w:color="auto" w:fill="FFFFFF"/>
        </w:rPr>
        <w:t>).</w:t>
      </w:r>
      <w:r w:rsidR="00725E08" w:rsidRPr="007F1DBB">
        <w:rPr>
          <w:rFonts w:cs="Arial"/>
          <w:color w:val="000000"/>
          <w:sz w:val="22"/>
          <w:szCs w:val="22"/>
          <w:shd w:val="clear" w:color="auto" w:fill="FFFFFF"/>
        </w:rPr>
        <w:br/>
      </w:r>
    </w:p>
  </w:footnote>
  <w:footnote w:id="9">
    <w:p w:rsidR="00565349" w:rsidRPr="00565349" w:rsidRDefault="00565349">
      <w:pPr>
        <w:pStyle w:val="FootnoteText"/>
        <w:rPr>
          <w:sz w:val="22"/>
          <w:szCs w:val="22"/>
        </w:rPr>
      </w:pPr>
      <w:r w:rsidRPr="00565349">
        <w:rPr>
          <w:rStyle w:val="FootnoteReference"/>
          <w:sz w:val="22"/>
          <w:szCs w:val="22"/>
        </w:rPr>
        <w:footnoteRef/>
      </w:r>
      <w:r w:rsidRPr="00565349">
        <w:rPr>
          <w:sz w:val="22"/>
          <w:szCs w:val="22"/>
        </w:rPr>
        <w:t xml:space="preserve">  W</w:t>
      </w:r>
      <w:r w:rsidRPr="00565349">
        <w:rPr>
          <w:rFonts w:cs="Arial"/>
          <w:color w:val="000000"/>
          <w:sz w:val="22"/>
          <w:szCs w:val="22"/>
          <w:shd w:val="clear" w:color="auto" w:fill="FFFFFF"/>
        </w:rPr>
        <w:t xml:space="preserve">eather shocks, natural disasters, and terms of trade shocks, </w:t>
      </w:r>
      <w:r w:rsidR="0051559A">
        <w:rPr>
          <w:rFonts w:cs="Arial"/>
          <w:color w:val="000000"/>
          <w:sz w:val="22"/>
          <w:szCs w:val="22"/>
          <w:shd w:val="clear" w:color="auto" w:fill="FFFFFF"/>
        </w:rPr>
        <w:t>a</w:t>
      </w:r>
      <w:r w:rsidRPr="00565349">
        <w:rPr>
          <w:sz w:val="22"/>
          <w:szCs w:val="22"/>
        </w:rPr>
        <w:t xml:space="preserve">long with big productivity </w:t>
      </w:r>
      <w:r w:rsidR="00632279" w:rsidRPr="00565349">
        <w:rPr>
          <w:sz w:val="22"/>
          <w:szCs w:val="22"/>
        </w:rPr>
        <w:t>shocks</w:t>
      </w:r>
      <w:r w:rsidR="00632279" w:rsidRPr="00565349">
        <w:rPr>
          <w:rFonts w:cs="Arial"/>
          <w:color w:val="000000"/>
          <w:sz w:val="22"/>
          <w:szCs w:val="22"/>
          <w:shd w:val="clear" w:color="auto" w:fill="FFFFFF"/>
        </w:rPr>
        <w:t>,</w:t>
      </w:r>
      <w:r w:rsidRPr="00565349">
        <w:rPr>
          <w:rFonts w:cs="Arial"/>
          <w:color w:val="000000"/>
          <w:sz w:val="22"/>
          <w:szCs w:val="22"/>
          <w:shd w:val="clear" w:color="auto" w:fill="FFFFFF"/>
        </w:rPr>
        <w:t xml:space="preserve"> make NGDPT particularly relevant for developing countries: Bhandari and Frankel (2017).</w:t>
      </w:r>
      <w:r w:rsidRPr="00565349">
        <w:rPr>
          <w:rFonts w:cs="Arial"/>
          <w:color w:val="000000"/>
          <w:sz w:val="22"/>
          <w:szCs w:val="22"/>
          <w:shd w:val="clear" w:color="auto" w:fill="FFFFFF"/>
        </w:rPr>
        <w:br/>
      </w:r>
    </w:p>
  </w:footnote>
  <w:footnote w:id="10">
    <w:p w:rsidR="0051559A" w:rsidRDefault="0051559A" w:rsidP="0051559A">
      <w:pPr>
        <w:pStyle w:val="FootnoteText"/>
      </w:pPr>
      <w:r w:rsidRPr="00565349">
        <w:rPr>
          <w:rStyle w:val="FootnoteReference"/>
          <w:sz w:val="22"/>
          <w:szCs w:val="22"/>
        </w:rPr>
        <w:footnoteRef/>
      </w:r>
      <w:r w:rsidRPr="00565349">
        <w:rPr>
          <w:sz w:val="22"/>
          <w:szCs w:val="22"/>
        </w:rPr>
        <w:t xml:space="preserve"> For example the ECB in July 2008 decided to raise interest rates just as the world was sliding into the </w:t>
      </w:r>
      <w:r>
        <w:rPr>
          <w:sz w:val="22"/>
          <w:szCs w:val="22"/>
        </w:rPr>
        <w:t>G</w:t>
      </w:r>
      <w:r w:rsidRPr="00565349">
        <w:rPr>
          <w:sz w:val="22"/>
          <w:szCs w:val="22"/>
        </w:rPr>
        <w:t>reat</w:t>
      </w:r>
      <w:r>
        <w:rPr>
          <w:sz w:val="22"/>
          <w:szCs w:val="22"/>
        </w:rPr>
        <w:t xml:space="preserve"> R</w:t>
      </w:r>
      <w:r w:rsidRPr="00565349">
        <w:rPr>
          <w:sz w:val="22"/>
          <w:szCs w:val="22"/>
        </w:rPr>
        <w:t>ecession. That move was hard to explain</w:t>
      </w:r>
      <w:r>
        <w:rPr>
          <w:sz w:val="22"/>
          <w:szCs w:val="22"/>
        </w:rPr>
        <w:t xml:space="preserve"> </w:t>
      </w:r>
      <w:r w:rsidRPr="00565349">
        <w:rPr>
          <w:sz w:val="22"/>
          <w:szCs w:val="22"/>
        </w:rPr>
        <w:t>other than as an IT-induced reaction to spiking oil prices.</w:t>
      </w:r>
      <w:r w:rsidRPr="00FD7F6F">
        <w:rPr>
          <w:sz w:val="24"/>
          <w:szCs w:val="24"/>
        </w:rPr>
        <w:t xml:space="preserve">  </w:t>
      </w:r>
      <w:r w:rsidR="00510F7B">
        <w:rPr>
          <w:sz w:val="24"/>
          <w:szCs w:val="24"/>
        </w:rPr>
        <w:br/>
      </w:r>
    </w:p>
  </w:footnote>
  <w:footnote w:id="11">
    <w:p w:rsidR="00D40681" w:rsidRPr="00510F7B" w:rsidRDefault="00D40681">
      <w:pPr>
        <w:pStyle w:val="FootnoteText"/>
        <w:rPr>
          <w:sz w:val="22"/>
          <w:szCs w:val="22"/>
        </w:rPr>
      </w:pPr>
      <w:r w:rsidRPr="00510F7B">
        <w:rPr>
          <w:rStyle w:val="FootnoteReference"/>
          <w:sz w:val="22"/>
          <w:szCs w:val="22"/>
        </w:rPr>
        <w:footnoteRef/>
      </w:r>
      <w:r w:rsidRPr="00510F7B">
        <w:rPr>
          <w:sz w:val="22"/>
          <w:szCs w:val="22"/>
        </w:rPr>
        <w:t xml:space="preserve"> </w:t>
      </w:r>
      <w:proofErr w:type="gramStart"/>
      <w:r w:rsidRPr="00510F7B">
        <w:rPr>
          <w:sz w:val="22"/>
          <w:szCs w:val="22"/>
        </w:rPr>
        <w:t>E.g., Svensson (2009).</w:t>
      </w:r>
      <w:proofErr w:type="gramEnd"/>
    </w:p>
  </w:footnote>
  <w:footnote w:id="12">
    <w:p w:rsidR="00CC5731" w:rsidRPr="00FB78F5" w:rsidRDefault="00CC5731" w:rsidP="00CC5731">
      <w:pPr>
        <w:pStyle w:val="FootnoteText"/>
        <w:rPr>
          <w:sz w:val="22"/>
          <w:szCs w:val="22"/>
        </w:rPr>
      </w:pPr>
      <w:r w:rsidRPr="00FB78F5">
        <w:rPr>
          <w:rStyle w:val="FootnoteReference"/>
          <w:sz w:val="22"/>
          <w:szCs w:val="22"/>
        </w:rPr>
        <w:footnoteRef/>
      </w:r>
      <w:r w:rsidRPr="00FB78F5">
        <w:rPr>
          <w:sz w:val="22"/>
          <w:szCs w:val="22"/>
        </w:rPr>
        <w:t xml:space="preserve"> </w:t>
      </w:r>
      <w:hyperlink r:id="rId6" w:tgtFrame="_blank" w:history="1">
        <w:proofErr w:type="gramStart"/>
        <w:r w:rsidRPr="00FB78F5">
          <w:rPr>
            <w:rStyle w:val="Hyperlink"/>
            <w:rFonts w:ascii="Calibri" w:hAnsi="Calibri"/>
            <w:color w:val="1155CC"/>
            <w:sz w:val="22"/>
            <w:szCs w:val="22"/>
            <w:shd w:val="clear" w:color="auto" w:fill="FFFFFF"/>
          </w:rPr>
          <w:t>Koenig (2013)</w:t>
        </w:r>
      </w:hyperlink>
      <w:r w:rsidRPr="00FB78F5">
        <w:rPr>
          <w:rFonts w:ascii="Calibri" w:hAnsi="Calibri"/>
          <w:color w:val="222222"/>
          <w:sz w:val="22"/>
          <w:szCs w:val="22"/>
          <w:shd w:val="clear" w:color="auto" w:fill="FFFFFF"/>
        </w:rPr>
        <w:t>, </w:t>
      </w:r>
      <w:hyperlink r:id="rId7" w:tgtFrame="_blank" w:history="1">
        <w:r w:rsidRPr="00FB78F5">
          <w:rPr>
            <w:rStyle w:val="Hyperlink"/>
            <w:rFonts w:ascii="Calibri" w:hAnsi="Calibri"/>
            <w:color w:val="1155CC"/>
            <w:sz w:val="22"/>
            <w:szCs w:val="22"/>
            <w:shd w:val="clear" w:color="auto" w:fill="FFFFFF"/>
          </w:rPr>
          <w:t>Sheedy (2014)</w:t>
        </w:r>
      </w:hyperlink>
      <w:r w:rsidRPr="00FB78F5">
        <w:rPr>
          <w:rFonts w:ascii="Calibri" w:hAnsi="Calibri"/>
          <w:color w:val="222222"/>
          <w:sz w:val="22"/>
          <w:szCs w:val="22"/>
          <w:shd w:val="clear" w:color="auto" w:fill="FFFFFF"/>
        </w:rPr>
        <w:t>, and </w:t>
      </w:r>
      <w:hyperlink r:id="rId8" w:tgtFrame="_blank" w:history="1">
        <w:r w:rsidRPr="00FB78F5">
          <w:rPr>
            <w:rStyle w:val="Hyperlink"/>
            <w:rFonts w:ascii="Calibri" w:hAnsi="Calibri"/>
            <w:color w:val="1155CC"/>
            <w:sz w:val="22"/>
            <w:szCs w:val="22"/>
            <w:shd w:val="clear" w:color="auto" w:fill="FFFFFF"/>
          </w:rPr>
          <w:t>Bullard et al. (2015).</w:t>
        </w:r>
        <w:proofErr w:type="gramEnd"/>
      </w:hyperlink>
    </w:p>
  </w:footnote>
  <w:footnote w:id="13">
    <w:p w:rsidR="00ED60BA" w:rsidRPr="00ED60BA" w:rsidRDefault="00ED60BA">
      <w:pPr>
        <w:pStyle w:val="FootnoteText"/>
        <w:rPr>
          <w:sz w:val="22"/>
          <w:szCs w:val="22"/>
        </w:rPr>
      </w:pPr>
      <w:r w:rsidRPr="00ED60BA">
        <w:rPr>
          <w:rStyle w:val="FootnoteReference"/>
          <w:sz w:val="22"/>
          <w:szCs w:val="22"/>
        </w:rPr>
        <w:footnoteRef/>
      </w:r>
      <w:r w:rsidR="00557C74">
        <w:rPr>
          <w:sz w:val="22"/>
          <w:szCs w:val="22"/>
        </w:rPr>
        <w:t xml:space="preserve"> </w:t>
      </w:r>
      <w:r w:rsidRPr="00ED60BA">
        <w:rPr>
          <w:sz w:val="22"/>
          <w:szCs w:val="22"/>
        </w:rPr>
        <w:t xml:space="preserve">Signers included </w:t>
      </w:r>
      <w:r w:rsidRPr="00ED60BA">
        <w:rPr>
          <w:rFonts w:eastAsia="Times New Roman" w:cs="Times New Roman"/>
          <w:color w:val="333333"/>
          <w:sz w:val="22"/>
          <w:szCs w:val="22"/>
        </w:rPr>
        <w:t>Micha</w:t>
      </w:r>
      <w:r>
        <w:rPr>
          <w:rFonts w:eastAsia="Times New Roman" w:cs="Times New Roman"/>
          <w:color w:val="333333"/>
          <w:sz w:val="22"/>
          <w:szCs w:val="22"/>
        </w:rPr>
        <w:t xml:space="preserve">el </w:t>
      </w:r>
      <w:proofErr w:type="spellStart"/>
      <w:r w:rsidRPr="00ED60BA">
        <w:rPr>
          <w:rFonts w:eastAsia="Times New Roman" w:cs="Times New Roman"/>
          <w:color w:val="333333"/>
          <w:sz w:val="22"/>
          <w:szCs w:val="22"/>
        </w:rPr>
        <w:t>Boskin</w:t>
      </w:r>
      <w:proofErr w:type="spellEnd"/>
      <w:r w:rsidRPr="00ED60BA">
        <w:rPr>
          <w:rFonts w:eastAsia="Times New Roman" w:cs="Times New Roman"/>
          <w:color w:val="333333"/>
          <w:sz w:val="22"/>
          <w:szCs w:val="22"/>
        </w:rPr>
        <w:t>, Charles Calomiris, Niall Ferguson, Kevin Hassett, Douglas Holtz-</w:t>
      </w:r>
      <w:proofErr w:type="spellStart"/>
      <w:r w:rsidRPr="00ED60BA">
        <w:rPr>
          <w:rFonts w:eastAsia="Times New Roman" w:cs="Times New Roman"/>
          <w:color w:val="333333"/>
          <w:sz w:val="22"/>
          <w:szCs w:val="22"/>
        </w:rPr>
        <w:t>Eakin</w:t>
      </w:r>
      <w:proofErr w:type="spellEnd"/>
      <w:r w:rsidRPr="00ED60BA">
        <w:rPr>
          <w:rFonts w:eastAsia="Times New Roman" w:cs="Times New Roman"/>
          <w:color w:val="333333"/>
          <w:sz w:val="22"/>
          <w:szCs w:val="22"/>
        </w:rPr>
        <w:t xml:space="preserve">, David </w:t>
      </w:r>
      <w:proofErr w:type="spellStart"/>
      <w:r w:rsidRPr="00ED60BA">
        <w:rPr>
          <w:rFonts w:eastAsia="Times New Roman" w:cs="Times New Roman"/>
          <w:color w:val="333333"/>
          <w:sz w:val="22"/>
          <w:szCs w:val="22"/>
        </w:rPr>
        <w:t>Malpass</w:t>
      </w:r>
      <w:proofErr w:type="spellEnd"/>
      <w:r w:rsidRPr="00ED60BA">
        <w:rPr>
          <w:rFonts w:eastAsia="Times New Roman" w:cs="Times New Roman"/>
          <w:color w:val="333333"/>
          <w:sz w:val="22"/>
          <w:szCs w:val="22"/>
        </w:rPr>
        <w:t>, Paul E. Singer, and John B. Taylor.</w:t>
      </w:r>
    </w:p>
  </w:footnote>
  <w:footnote w:id="14">
    <w:p w:rsidR="003E3215" w:rsidRPr="002B3678" w:rsidRDefault="00233A41">
      <w:pPr>
        <w:pStyle w:val="FootnoteText"/>
        <w:rPr>
          <w:sz w:val="22"/>
          <w:szCs w:val="22"/>
        </w:rPr>
      </w:pPr>
      <w:r w:rsidRPr="002B3678">
        <w:rPr>
          <w:rStyle w:val="FootnoteReference"/>
          <w:sz w:val="22"/>
          <w:szCs w:val="22"/>
        </w:rPr>
        <w:footnoteRef/>
      </w:r>
      <w:r w:rsidRPr="002B3678">
        <w:rPr>
          <w:sz w:val="22"/>
          <w:szCs w:val="22"/>
        </w:rPr>
        <w:t xml:space="preserve"> To take two more examples, Presidents Richard Nixon and Ronald Reagan both put pressure on the Fed to ease monetary policy at times when inflation and growth were </w:t>
      </w:r>
      <w:r w:rsidR="002B3678">
        <w:rPr>
          <w:sz w:val="22"/>
          <w:szCs w:val="22"/>
        </w:rPr>
        <w:t xml:space="preserve">already relatively </w:t>
      </w:r>
      <w:r w:rsidRPr="002B3678">
        <w:rPr>
          <w:sz w:val="22"/>
          <w:szCs w:val="22"/>
        </w:rPr>
        <w:t>high.</w:t>
      </w:r>
      <w:r w:rsidR="00BE274B" w:rsidRPr="002B3678">
        <w:rPr>
          <w:sz w:val="22"/>
          <w:szCs w:val="22"/>
        </w:rPr>
        <w:t xml:space="preserve">  Frankel (2007) summarizes the episodes under “Inflation Crises,” citing evidence from </w:t>
      </w:r>
      <w:r w:rsidR="002B3678" w:rsidRPr="002B3678">
        <w:rPr>
          <w:sz w:val="22"/>
          <w:szCs w:val="22"/>
        </w:rPr>
        <w:t>Abrams (2006)</w:t>
      </w:r>
      <w:r w:rsidR="002B3678" w:rsidRPr="002B3678">
        <w:rPr>
          <w:b/>
          <w:sz w:val="22"/>
          <w:szCs w:val="22"/>
        </w:rPr>
        <w:t xml:space="preserve"> </w:t>
      </w:r>
      <w:r w:rsidR="00BE274B" w:rsidRPr="002B3678">
        <w:rPr>
          <w:sz w:val="22"/>
          <w:szCs w:val="22"/>
        </w:rPr>
        <w:t>and Woodward</w:t>
      </w:r>
      <w:r w:rsidR="002B3678" w:rsidRPr="002B3678">
        <w:rPr>
          <w:sz w:val="22"/>
          <w:szCs w:val="22"/>
        </w:rPr>
        <w:t xml:space="preserve"> (2000)</w:t>
      </w:r>
      <w:r w:rsidR="00BE274B" w:rsidRPr="002B3678">
        <w:rPr>
          <w:sz w:val="22"/>
          <w:szCs w:val="22"/>
        </w:rPr>
        <w:t>, respectively.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41FB5"/>
    <w:multiLevelType w:val="multilevel"/>
    <w:tmpl w:val="2594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54196A"/>
    <w:multiLevelType w:val="hybridMultilevel"/>
    <w:tmpl w:val="35F41E04"/>
    <w:lvl w:ilvl="0" w:tplc="C630AFC0">
      <w:start w:val="1"/>
      <w:numFmt w:val="bullet"/>
      <w:lvlText w:val="–"/>
      <w:lvlJc w:val="left"/>
      <w:pPr>
        <w:tabs>
          <w:tab w:val="num" w:pos="720"/>
        </w:tabs>
        <w:ind w:left="720" w:hanging="360"/>
      </w:pPr>
      <w:rPr>
        <w:rFonts w:ascii="Arial" w:hAnsi="Arial" w:hint="default"/>
      </w:rPr>
    </w:lvl>
    <w:lvl w:ilvl="1" w:tplc="F3AE189C">
      <w:start w:val="1"/>
      <w:numFmt w:val="bullet"/>
      <w:lvlText w:val="–"/>
      <w:lvlJc w:val="left"/>
      <w:pPr>
        <w:tabs>
          <w:tab w:val="num" w:pos="1440"/>
        </w:tabs>
        <w:ind w:left="1440" w:hanging="360"/>
      </w:pPr>
      <w:rPr>
        <w:rFonts w:ascii="Arial" w:hAnsi="Arial" w:hint="default"/>
      </w:rPr>
    </w:lvl>
    <w:lvl w:ilvl="2" w:tplc="99A86876">
      <w:start w:val="1333"/>
      <w:numFmt w:val="bullet"/>
      <w:lvlText w:val="•"/>
      <w:lvlJc w:val="left"/>
      <w:pPr>
        <w:tabs>
          <w:tab w:val="num" w:pos="2160"/>
        </w:tabs>
        <w:ind w:left="2160" w:hanging="360"/>
      </w:pPr>
      <w:rPr>
        <w:rFonts w:ascii="Arial" w:hAnsi="Arial" w:hint="default"/>
      </w:rPr>
    </w:lvl>
    <w:lvl w:ilvl="3" w:tplc="06CAD804">
      <w:start w:val="1333"/>
      <w:numFmt w:val="bullet"/>
      <w:lvlText w:val="–"/>
      <w:lvlJc w:val="left"/>
      <w:pPr>
        <w:tabs>
          <w:tab w:val="num" w:pos="2880"/>
        </w:tabs>
        <w:ind w:left="2880" w:hanging="360"/>
      </w:pPr>
      <w:rPr>
        <w:rFonts w:ascii="Arial" w:hAnsi="Arial" w:hint="default"/>
      </w:rPr>
    </w:lvl>
    <w:lvl w:ilvl="4" w:tplc="AB1E44C4" w:tentative="1">
      <w:start w:val="1"/>
      <w:numFmt w:val="bullet"/>
      <w:lvlText w:val="–"/>
      <w:lvlJc w:val="left"/>
      <w:pPr>
        <w:tabs>
          <w:tab w:val="num" w:pos="3600"/>
        </w:tabs>
        <w:ind w:left="3600" w:hanging="360"/>
      </w:pPr>
      <w:rPr>
        <w:rFonts w:ascii="Arial" w:hAnsi="Arial" w:hint="default"/>
      </w:rPr>
    </w:lvl>
    <w:lvl w:ilvl="5" w:tplc="A89614E2" w:tentative="1">
      <w:start w:val="1"/>
      <w:numFmt w:val="bullet"/>
      <w:lvlText w:val="–"/>
      <w:lvlJc w:val="left"/>
      <w:pPr>
        <w:tabs>
          <w:tab w:val="num" w:pos="4320"/>
        </w:tabs>
        <w:ind w:left="4320" w:hanging="360"/>
      </w:pPr>
      <w:rPr>
        <w:rFonts w:ascii="Arial" w:hAnsi="Arial" w:hint="default"/>
      </w:rPr>
    </w:lvl>
    <w:lvl w:ilvl="6" w:tplc="8BD26862" w:tentative="1">
      <w:start w:val="1"/>
      <w:numFmt w:val="bullet"/>
      <w:lvlText w:val="–"/>
      <w:lvlJc w:val="left"/>
      <w:pPr>
        <w:tabs>
          <w:tab w:val="num" w:pos="5040"/>
        </w:tabs>
        <w:ind w:left="5040" w:hanging="360"/>
      </w:pPr>
      <w:rPr>
        <w:rFonts w:ascii="Arial" w:hAnsi="Arial" w:hint="default"/>
      </w:rPr>
    </w:lvl>
    <w:lvl w:ilvl="7" w:tplc="E7FA0FB2" w:tentative="1">
      <w:start w:val="1"/>
      <w:numFmt w:val="bullet"/>
      <w:lvlText w:val="–"/>
      <w:lvlJc w:val="left"/>
      <w:pPr>
        <w:tabs>
          <w:tab w:val="num" w:pos="5760"/>
        </w:tabs>
        <w:ind w:left="5760" w:hanging="360"/>
      </w:pPr>
      <w:rPr>
        <w:rFonts w:ascii="Arial" w:hAnsi="Arial" w:hint="default"/>
      </w:rPr>
    </w:lvl>
    <w:lvl w:ilvl="8" w:tplc="835CFE54" w:tentative="1">
      <w:start w:val="1"/>
      <w:numFmt w:val="bullet"/>
      <w:lvlText w:val="–"/>
      <w:lvlJc w:val="left"/>
      <w:pPr>
        <w:tabs>
          <w:tab w:val="num" w:pos="6480"/>
        </w:tabs>
        <w:ind w:left="6480" w:hanging="360"/>
      </w:pPr>
      <w:rPr>
        <w:rFonts w:ascii="Arial" w:hAnsi="Arial" w:hint="default"/>
      </w:rPr>
    </w:lvl>
  </w:abstractNum>
  <w:abstractNum w:abstractNumId="2">
    <w:nsid w:val="175B34E2"/>
    <w:multiLevelType w:val="hybridMultilevel"/>
    <w:tmpl w:val="E326BE34"/>
    <w:lvl w:ilvl="0" w:tplc="776CC81A">
      <w:start w:val="1"/>
      <w:numFmt w:val="bullet"/>
      <w:lvlText w:val="•"/>
      <w:lvlJc w:val="left"/>
      <w:pPr>
        <w:tabs>
          <w:tab w:val="num" w:pos="720"/>
        </w:tabs>
        <w:ind w:left="720" w:hanging="360"/>
      </w:pPr>
      <w:rPr>
        <w:rFonts w:ascii="Arial" w:hAnsi="Arial" w:hint="default"/>
      </w:rPr>
    </w:lvl>
    <w:lvl w:ilvl="1" w:tplc="0A1AD734">
      <w:start w:val="648"/>
      <w:numFmt w:val="bullet"/>
      <w:lvlText w:val="–"/>
      <w:lvlJc w:val="left"/>
      <w:pPr>
        <w:tabs>
          <w:tab w:val="num" w:pos="1440"/>
        </w:tabs>
        <w:ind w:left="1440" w:hanging="360"/>
      </w:pPr>
      <w:rPr>
        <w:rFonts w:ascii="Arial" w:hAnsi="Arial" w:hint="default"/>
      </w:rPr>
    </w:lvl>
    <w:lvl w:ilvl="2" w:tplc="8168D224">
      <w:start w:val="648"/>
      <w:numFmt w:val="bullet"/>
      <w:lvlText w:val="•"/>
      <w:lvlJc w:val="left"/>
      <w:pPr>
        <w:tabs>
          <w:tab w:val="num" w:pos="2160"/>
        </w:tabs>
        <w:ind w:left="2160" w:hanging="360"/>
      </w:pPr>
      <w:rPr>
        <w:rFonts w:ascii="Arial" w:hAnsi="Arial" w:hint="default"/>
      </w:rPr>
    </w:lvl>
    <w:lvl w:ilvl="3" w:tplc="34F29E3C" w:tentative="1">
      <w:start w:val="1"/>
      <w:numFmt w:val="bullet"/>
      <w:lvlText w:val="•"/>
      <w:lvlJc w:val="left"/>
      <w:pPr>
        <w:tabs>
          <w:tab w:val="num" w:pos="2880"/>
        </w:tabs>
        <w:ind w:left="2880" w:hanging="360"/>
      </w:pPr>
      <w:rPr>
        <w:rFonts w:ascii="Arial" w:hAnsi="Arial" w:hint="default"/>
      </w:rPr>
    </w:lvl>
    <w:lvl w:ilvl="4" w:tplc="03D8C26E" w:tentative="1">
      <w:start w:val="1"/>
      <w:numFmt w:val="bullet"/>
      <w:lvlText w:val="•"/>
      <w:lvlJc w:val="left"/>
      <w:pPr>
        <w:tabs>
          <w:tab w:val="num" w:pos="3600"/>
        </w:tabs>
        <w:ind w:left="3600" w:hanging="360"/>
      </w:pPr>
      <w:rPr>
        <w:rFonts w:ascii="Arial" w:hAnsi="Arial" w:hint="default"/>
      </w:rPr>
    </w:lvl>
    <w:lvl w:ilvl="5" w:tplc="8C0AC6C8" w:tentative="1">
      <w:start w:val="1"/>
      <w:numFmt w:val="bullet"/>
      <w:lvlText w:val="•"/>
      <w:lvlJc w:val="left"/>
      <w:pPr>
        <w:tabs>
          <w:tab w:val="num" w:pos="4320"/>
        </w:tabs>
        <w:ind w:left="4320" w:hanging="360"/>
      </w:pPr>
      <w:rPr>
        <w:rFonts w:ascii="Arial" w:hAnsi="Arial" w:hint="default"/>
      </w:rPr>
    </w:lvl>
    <w:lvl w:ilvl="6" w:tplc="58BED778" w:tentative="1">
      <w:start w:val="1"/>
      <w:numFmt w:val="bullet"/>
      <w:lvlText w:val="•"/>
      <w:lvlJc w:val="left"/>
      <w:pPr>
        <w:tabs>
          <w:tab w:val="num" w:pos="5040"/>
        </w:tabs>
        <w:ind w:left="5040" w:hanging="360"/>
      </w:pPr>
      <w:rPr>
        <w:rFonts w:ascii="Arial" w:hAnsi="Arial" w:hint="default"/>
      </w:rPr>
    </w:lvl>
    <w:lvl w:ilvl="7" w:tplc="B2F87B96" w:tentative="1">
      <w:start w:val="1"/>
      <w:numFmt w:val="bullet"/>
      <w:lvlText w:val="•"/>
      <w:lvlJc w:val="left"/>
      <w:pPr>
        <w:tabs>
          <w:tab w:val="num" w:pos="5760"/>
        </w:tabs>
        <w:ind w:left="5760" w:hanging="360"/>
      </w:pPr>
      <w:rPr>
        <w:rFonts w:ascii="Arial" w:hAnsi="Arial" w:hint="default"/>
      </w:rPr>
    </w:lvl>
    <w:lvl w:ilvl="8" w:tplc="9D8CA34C" w:tentative="1">
      <w:start w:val="1"/>
      <w:numFmt w:val="bullet"/>
      <w:lvlText w:val="•"/>
      <w:lvlJc w:val="left"/>
      <w:pPr>
        <w:tabs>
          <w:tab w:val="num" w:pos="6480"/>
        </w:tabs>
        <w:ind w:left="6480" w:hanging="360"/>
      </w:pPr>
      <w:rPr>
        <w:rFonts w:ascii="Arial" w:hAnsi="Arial" w:hint="default"/>
      </w:rPr>
    </w:lvl>
  </w:abstractNum>
  <w:abstractNum w:abstractNumId="3">
    <w:nsid w:val="17C50D79"/>
    <w:multiLevelType w:val="hybridMultilevel"/>
    <w:tmpl w:val="FB9AD7FC"/>
    <w:lvl w:ilvl="0" w:tplc="73E24892">
      <w:start w:val="1"/>
      <w:numFmt w:val="bullet"/>
      <w:lvlText w:val="•"/>
      <w:lvlJc w:val="left"/>
      <w:pPr>
        <w:tabs>
          <w:tab w:val="num" w:pos="720"/>
        </w:tabs>
        <w:ind w:left="720" w:hanging="360"/>
      </w:pPr>
      <w:rPr>
        <w:rFonts w:ascii="Arial" w:hAnsi="Arial" w:hint="default"/>
      </w:rPr>
    </w:lvl>
    <w:lvl w:ilvl="1" w:tplc="8D62634E">
      <w:start w:val="659"/>
      <w:numFmt w:val="bullet"/>
      <w:lvlText w:val="–"/>
      <w:lvlJc w:val="left"/>
      <w:pPr>
        <w:tabs>
          <w:tab w:val="num" w:pos="1440"/>
        </w:tabs>
        <w:ind w:left="1440" w:hanging="360"/>
      </w:pPr>
      <w:rPr>
        <w:rFonts w:ascii="Arial" w:hAnsi="Arial" w:hint="default"/>
      </w:rPr>
    </w:lvl>
    <w:lvl w:ilvl="2" w:tplc="31F0339A">
      <w:start w:val="659"/>
      <w:numFmt w:val="bullet"/>
      <w:lvlText w:val="•"/>
      <w:lvlJc w:val="left"/>
      <w:pPr>
        <w:tabs>
          <w:tab w:val="num" w:pos="2160"/>
        </w:tabs>
        <w:ind w:left="2160" w:hanging="360"/>
      </w:pPr>
      <w:rPr>
        <w:rFonts w:ascii="Arial" w:hAnsi="Arial" w:hint="default"/>
      </w:rPr>
    </w:lvl>
    <w:lvl w:ilvl="3" w:tplc="FDC8875C" w:tentative="1">
      <w:start w:val="1"/>
      <w:numFmt w:val="bullet"/>
      <w:lvlText w:val="•"/>
      <w:lvlJc w:val="left"/>
      <w:pPr>
        <w:tabs>
          <w:tab w:val="num" w:pos="2880"/>
        </w:tabs>
        <w:ind w:left="2880" w:hanging="360"/>
      </w:pPr>
      <w:rPr>
        <w:rFonts w:ascii="Arial" w:hAnsi="Arial" w:hint="default"/>
      </w:rPr>
    </w:lvl>
    <w:lvl w:ilvl="4" w:tplc="78140B2A" w:tentative="1">
      <w:start w:val="1"/>
      <w:numFmt w:val="bullet"/>
      <w:lvlText w:val="•"/>
      <w:lvlJc w:val="left"/>
      <w:pPr>
        <w:tabs>
          <w:tab w:val="num" w:pos="3600"/>
        </w:tabs>
        <w:ind w:left="3600" w:hanging="360"/>
      </w:pPr>
      <w:rPr>
        <w:rFonts w:ascii="Arial" w:hAnsi="Arial" w:hint="default"/>
      </w:rPr>
    </w:lvl>
    <w:lvl w:ilvl="5" w:tplc="ADA41D22" w:tentative="1">
      <w:start w:val="1"/>
      <w:numFmt w:val="bullet"/>
      <w:lvlText w:val="•"/>
      <w:lvlJc w:val="left"/>
      <w:pPr>
        <w:tabs>
          <w:tab w:val="num" w:pos="4320"/>
        </w:tabs>
        <w:ind w:left="4320" w:hanging="360"/>
      </w:pPr>
      <w:rPr>
        <w:rFonts w:ascii="Arial" w:hAnsi="Arial" w:hint="default"/>
      </w:rPr>
    </w:lvl>
    <w:lvl w:ilvl="6" w:tplc="102CC178" w:tentative="1">
      <w:start w:val="1"/>
      <w:numFmt w:val="bullet"/>
      <w:lvlText w:val="•"/>
      <w:lvlJc w:val="left"/>
      <w:pPr>
        <w:tabs>
          <w:tab w:val="num" w:pos="5040"/>
        </w:tabs>
        <w:ind w:left="5040" w:hanging="360"/>
      </w:pPr>
      <w:rPr>
        <w:rFonts w:ascii="Arial" w:hAnsi="Arial" w:hint="default"/>
      </w:rPr>
    </w:lvl>
    <w:lvl w:ilvl="7" w:tplc="C8BC5406" w:tentative="1">
      <w:start w:val="1"/>
      <w:numFmt w:val="bullet"/>
      <w:lvlText w:val="•"/>
      <w:lvlJc w:val="left"/>
      <w:pPr>
        <w:tabs>
          <w:tab w:val="num" w:pos="5760"/>
        </w:tabs>
        <w:ind w:left="5760" w:hanging="360"/>
      </w:pPr>
      <w:rPr>
        <w:rFonts w:ascii="Arial" w:hAnsi="Arial" w:hint="default"/>
      </w:rPr>
    </w:lvl>
    <w:lvl w:ilvl="8" w:tplc="C18EE44A" w:tentative="1">
      <w:start w:val="1"/>
      <w:numFmt w:val="bullet"/>
      <w:lvlText w:val="•"/>
      <w:lvlJc w:val="left"/>
      <w:pPr>
        <w:tabs>
          <w:tab w:val="num" w:pos="6480"/>
        </w:tabs>
        <w:ind w:left="6480" w:hanging="360"/>
      </w:pPr>
      <w:rPr>
        <w:rFonts w:ascii="Arial" w:hAnsi="Arial" w:hint="default"/>
      </w:rPr>
    </w:lvl>
  </w:abstractNum>
  <w:abstractNum w:abstractNumId="4">
    <w:nsid w:val="2F0058F1"/>
    <w:multiLevelType w:val="hybridMultilevel"/>
    <w:tmpl w:val="AB36B154"/>
    <w:lvl w:ilvl="0" w:tplc="76E23B00">
      <w:start w:val="1"/>
      <w:numFmt w:val="bullet"/>
      <w:lvlText w:val="•"/>
      <w:lvlJc w:val="left"/>
      <w:pPr>
        <w:tabs>
          <w:tab w:val="num" w:pos="720"/>
        </w:tabs>
        <w:ind w:left="720" w:hanging="360"/>
      </w:pPr>
      <w:rPr>
        <w:rFonts w:ascii="Arial" w:hAnsi="Arial" w:hint="default"/>
      </w:rPr>
    </w:lvl>
    <w:lvl w:ilvl="1" w:tplc="BB96F866">
      <w:start w:val="659"/>
      <w:numFmt w:val="bullet"/>
      <w:lvlText w:val="–"/>
      <w:lvlJc w:val="left"/>
      <w:pPr>
        <w:tabs>
          <w:tab w:val="num" w:pos="1440"/>
        </w:tabs>
        <w:ind w:left="1440" w:hanging="360"/>
      </w:pPr>
      <w:rPr>
        <w:rFonts w:ascii="Arial" w:hAnsi="Arial" w:hint="default"/>
      </w:rPr>
    </w:lvl>
    <w:lvl w:ilvl="2" w:tplc="F3409CB2" w:tentative="1">
      <w:start w:val="1"/>
      <w:numFmt w:val="bullet"/>
      <w:lvlText w:val="•"/>
      <w:lvlJc w:val="left"/>
      <w:pPr>
        <w:tabs>
          <w:tab w:val="num" w:pos="2160"/>
        </w:tabs>
        <w:ind w:left="2160" w:hanging="360"/>
      </w:pPr>
      <w:rPr>
        <w:rFonts w:ascii="Arial" w:hAnsi="Arial" w:hint="default"/>
      </w:rPr>
    </w:lvl>
    <w:lvl w:ilvl="3" w:tplc="EFAAFE9A" w:tentative="1">
      <w:start w:val="1"/>
      <w:numFmt w:val="bullet"/>
      <w:lvlText w:val="•"/>
      <w:lvlJc w:val="left"/>
      <w:pPr>
        <w:tabs>
          <w:tab w:val="num" w:pos="2880"/>
        </w:tabs>
        <w:ind w:left="2880" w:hanging="360"/>
      </w:pPr>
      <w:rPr>
        <w:rFonts w:ascii="Arial" w:hAnsi="Arial" w:hint="default"/>
      </w:rPr>
    </w:lvl>
    <w:lvl w:ilvl="4" w:tplc="E14EF95C" w:tentative="1">
      <w:start w:val="1"/>
      <w:numFmt w:val="bullet"/>
      <w:lvlText w:val="•"/>
      <w:lvlJc w:val="left"/>
      <w:pPr>
        <w:tabs>
          <w:tab w:val="num" w:pos="3600"/>
        </w:tabs>
        <w:ind w:left="3600" w:hanging="360"/>
      </w:pPr>
      <w:rPr>
        <w:rFonts w:ascii="Arial" w:hAnsi="Arial" w:hint="default"/>
      </w:rPr>
    </w:lvl>
    <w:lvl w:ilvl="5" w:tplc="C922B086" w:tentative="1">
      <w:start w:val="1"/>
      <w:numFmt w:val="bullet"/>
      <w:lvlText w:val="•"/>
      <w:lvlJc w:val="left"/>
      <w:pPr>
        <w:tabs>
          <w:tab w:val="num" w:pos="4320"/>
        </w:tabs>
        <w:ind w:left="4320" w:hanging="360"/>
      </w:pPr>
      <w:rPr>
        <w:rFonts w:ascii="Arial" w:hAnsi="Arial" w:hint="default"/>
      </w:rPr>
    </w:lvl>
    <w:lvl w:ilvl="6" w:tplc="AD18086A" w:tentative="1">
      <w:start w:val="1"/>
      <w:numFmt w:val="bullet"/>
      <w:lvlText w:val="•"/>
      <w:lvlJc w:val="left"/>
      <w:pPr>
        <w:tabs>
          <w:tab w:val="num" w:pos="5040"/>
        </w:tabs>
        <w:ind w:left="5040" w:hanging="360"/>
      </w:pPr>
      <w:rPr>
        <w:rFonts w:ascii="Arial" w:hAnsi="Arial" w:hint="default"/>
      </w:rPr>
    </w:lvl>
    <w:lvl w:ilvl="7" w:tplc="17BCEE3A" w:tentative="1">
      <w:start w:val="1"/>
      <w:numFmt w:val="bullet"/>
      <w:lvlText w:val="•"/>
      <w:lvlJc w:val="left"/>
      <w:pPr>
        <w:tabs>
          <w:tab w:val="num" w:pos="5760"/>
        </w:tabs>
        <w:ind w:left="5760" w:hanging="360"/>
      </w:pPr>
      <w:rPr>
        <w:rFonts w:ascii="Arial" w:hAnsi="Arial" w:hint="default"/>
      </w:rPr>
    </w:lvl>
    <w:lvl w:ilvl="8" w:tplc="A588D650" w:tentative="1">
      <w:start w:val="1"/>
      <w:numFmt w:val="bullet"/>
      <w:lvlText w:val="•"/>
      <w:lvlJc w:val="left"/>
      <w:pPr>
        <w:tabs>
          <w:tab w:val="num" w:pos="6480"/>
        </w:tabs>
        <w:ind w:left="6480" w:hanging="360"/>
      </w:pPr>
      <w:rPr>
        <w:rFonts w:ascii="Arial" w:hAnsi="Arial" w:hint="default"/>
      </w:rPr>
    </w:lvl>
  </w:abstractNum>
  <w:abstractNum w:abstractNumId="5">
    <w:nsid w:val="3E044FA6"/>
    <w:multiLevelType w:val="hybridMultilevel"/>
    <w:tmpl w:val="D396CABC"/>
    <w:lvl w:ilvl="0" w:tplc="4CCA606A">
      <w:start w:val="1"/>
      <w:numFmt w:val="bullet"/>
      <w:lvlText w:val="•"/>
      <w:lvlJc w:val="left"/>
      <w:pPr>
        <w:tabs>
          <w:tab w:val="num" w:pos="720"/>
        </w:tabs>
        <w:ind w:left="720" w:hanging="360"/>
      </w:pPr>
      <w:rPr>
        <w:rFonts w:ascii="Arial" w:hAnsi="Arial" w:hint="default"/>
      </w:rPr>
    </w:lvl>
    <w:lvl w:ilvl="1" w:tplc="35AC864E">
      <w:start w:val="1958"/>
      <w:numFmt w:val="bullet"/>
      <w:lvlText w:val="–"/>
      <w:lvlJc w:val="left"/>
      <w:pPr>
        <w:tabs>
          <w:tab w:val="num" w:pos="1440"/>
        </w:tabs>
        <w:ind w:left="1440" w:hanging="360"/>
      </w:pPr>
      <w:rPr>
        <w:rFonts w:ascii="Arial" w:hAnsi="Arial" w:hint="default"/>
      </w:rPr>
    </w:lvl>
    <w:lvl w:ilvl="2" w:tplc="C246AB84" w:tentative="1">
      <w:start w:val="1"/>
      <w:numFmt w:val="bullet"/>
      <w:lvlText w:val="•"/>
      <w:lvlJc w:val="left"/>
      <w:pPr>
        <w:tabs>
          <w:tab w:val="num" w:pos="2160"/>
        </w:tabs>
        <w:ind w:left="2160" w:hanging="360"/>
      </w:pPr>
      <w:rPr>
        <w:rFonts w:ascii="Arial" w:hAnsi="Arial" w:hint="default"/>
      </w:rPr>
    </w:lvl>
    <w:lvl w:ilvl="3" w:tplc="7288347C" w:tentative="1">
      <w:start w:val="1"/>
      <w:numFmt w:val="bullet"/>
      <w:lvlText w:val="•"/>
      <w:lvlJc w:val="left"/>
      <w:pPr>
        <w:tabs>
          <w:tab w:val="num" w:pos="2880"/>
        </w:tabs>
        <w:ind w:left="2880" w:hanging="360"/>
      </w:pPr>
      <w:rPr>
        <w:rFonts w:ascii="Arial" w:hAnsi="Arial" w:hint="default"/>
      </w:rPr>
    </w:lvl>
    <w:lvl w:ilvl="4" w:tplc="F074206A" w:tentative="1">
      <w:start w:val="1"/>
      <w:numFmt w:val="bullet"/>
      <w:lvlText w:val="•"/>
      <w:lvlJc w:val="left"/>
      <w:pPr>
        <w:tabs>
          <w:tab w:val="num" w:pos="3600"/>
        </w:tabs>
        <w:ind w:left="3600" w:hanging="360"/>
      </w:pPr>
      <w:rPr>
        <w:rFonts w:ascii="Arial" w:hAnsi="Arial" w:hint="default"/>
      </w:rPr>
    </w:lvl>
    <w:lvl w:ilvl="5" w:tplc="CE6EF484" w:tentative="1">
      <w:start w:val="1"/>
      <w:numFmt w:val="bullet"/>
      <w:lvlText w:val="•"/>
      <w:lvlJc w:val="left"/>
      <w:pPr>
        <w:tabs>
          <w:tab w:val="num" w:pos="4320"/>
        </w:tabs>
        <w:ind w:left="4320" w:hanging="360"/>
      </w:pPr>
      <w:rPr>
        <w:rFonts w:ascii="Arial" w:hAnsi="Arial" w:hint="default"/>
      </w:rPr>
    </w:lvl>
    <w:lvl w:ilvl="6" w:tplc="12B04192" w:tentative="1">
      <w:start w:val="1"/>
      <w:numFmt w:val="bullet"/>
      <w:lvlText w:val="•"/>
      <w:lvlJc w:val="left"/>
      <w:pPr>
        <w:tabs>
          <w:tab w:val="num" w:pos="5040"/>
        </w:tabs>
        <w:ind w:left="5040" w:hanging="360"/>
      </w:pPr>
      <w:rPr>
        <w:rFonts w:ascii="Arial" w:hAnsi="Arial" w:hint="default"/>
      </w:rPr>
    </w:lvl>
    <w:lvl w:ilvl="7" w:tplc="FBD0F2C0" w:tentative="1">
      <w:start w:val="1"/>
      <w:numFmt w:val="bullet"/>
      <w:lvlText w:val="•"/>
      <w:lvlJc w:val="left"/>
      <w:pPr>
        <w:tabs>
          <w:tab w:val="num" w:pos="5760"/>
        </w:tabs>
        <w:ind w:left="5760" w:hanging="360"/>
      </w:pPr>
      <w:rPr>
        <w:rFonts w:ascii="Arial" w:hAnsi="Arial" w:hint="default"/>
      </w:rPr>
    </w:lvl>
    <w:lvl w:ilvl="8" w:tplc="32962884" w:tentative="1">
      <w:start w:val="1"/>
      <w:numFmt w:val="bullet"/>
      <w:lvlText w:val="•"/>
      <w:lvlJc w:val="left"/>
      <w:pPr>
        <w:tabs>
          <w:tab w:val="num" w:pos="6480"/>
        </w:tabs>
        <w:ind w:left="6480" w:hanging="360"/>
      </w:pPr>
      <w:rPr>
        <w:rFonts w:ascii="Arial" w:hAnsi="Arial" w:hint="default"/>
      </w:rPr>
    </w:lvl>
  </w:abstractNum>
  <w:abstractNum w:abstractNumId="6">
    <w:nsid w:val="51961B93"/>
    <w:multiLevelType w:val="hybridMultilevel"/>
    <w:tmpl w:val="0FEC1DA2"/>
    <w:lvl w:ilvl="0" w:tplc="4C249396">
      <w:start w:val="1"/>
      <w:numFmt w:val="bullet"/>
      <w:lvlText w:val="•"/>
      <w:lvlJc w:val="left"/>
      <w:pPr>
        <w:tabs>
          <w:tab w:val="num" w:pos="720"/>
        </w:tabs>
        <w:ind w:left="720" w:hanging="360"/>
      </w:pPr>
      <w:rPr>
        <w:rFonts w:ascii="Arial" w:hAnsi="Arial" w:hint="default"/>
      </w:rPr>
    </w:lvl>
    <w:lvl w:ilvl="1" w:tplc="5FDE60AA">
      <w:start w:val="1274"/>
      <w:numFmt w:val="bullet"/>
      <w:lvlText w:val="–"/>
      <w:lvlJc w:val="left"/>
      <w:pPr>
        <w:tabs>
          <w:tab w:val="num" w:pos="1440"/>
        </w:tabs>
        <w:ind w:left="1440" w:hanging="360"/>
      </w:pPr>
      <w:rPr>
        <w:rFonts w:ascii="Arial" w:hAnsi="Arial" w:hint="default"/>
      </w:rPr>
    </w:lvl>
    <w:lvl w:ilvl="2" w:tplc="C5F0404A">
      <w:start w:val="1274"/>
      <w:numFmt w:val="bullet"/>
      <w:lvlText w:val="•"/>
      <w:lvlJc w:val="left"/>
      <w:pPr>
        <w:tabs>
          <w:tab w:val="num" w:pos="2160"/>
        </w:tabs>
        <w:ind w:left="2160" w:hanging="360"/>
      </w:pPr>
      <w:rPr>
        <w:rFonts w:ascii="Arial" w:hAnsi="Arial" w:hint="default"/>
      </w:rPr>
    </w:lvl>
    <w:lvl w:ilvl="3" w:tplc="BAEC6A4A" w:tentative="1">
      <w:start w:val="1"/>
      <w:numFmt w:val="bullet"/>
      <w:lvlText w:val="•"/>
      <w:lvlJc w:val="left"/>
      <w:pPr>
        <w:tabs>
          <w:tab w:val="num" w:pos="2880"/>
        </w:tabs>
        <w:ind w:left="2880" w:hanging="360"/>
      </w:pPr>
      <w:rPr>
        <w:rFonts w:ascii="Arial" w:hAnsi="Arial" w:hint="default"/>
      </w:rPr>
    </w:lvl>
    <w:lvl w:ilvl="4" w:tplc="2C9CDC78" w:tentative="1">
      <w:start w:val="1"/>
      <w:numFmt w:val="bullet"/>
      <w:lvlText w:val="•"/>
      <w:lvlJc w:val="left"/>
      <w:pPr>
        <w:tabs>
          <w:tab w:val="num" w:pos="3600"/>
        </w:tabs>
        <w:ind w:left="3600" w:hanging="360"/>
      </w:pPr>
      <w:rPr>
        <w:rFonts w:ascii="Arial" w:hAnsi="Arial" w:hint="default"/>
      </w:rPr>
    </w:lvl>
    <w:lvl w:ilvl="5" w:tplc="875687E2" w:tentative="1">
      <w:start w:val="1"/>
      <w:numFmt w:val="bullet"/>
      <w:lvlText w:val="•"/>
      <w:lvlJc w:val="left"/>
      <w:pPr>
        <w:tabs>
          <w:tab w:val="num" w:pos="4320"/>
        </w:tabs>
        <w:ind w:left="4320" w:hanging="360"/>
      </w:pPr>
      <w:rPr>
        <w:rFonts w:ascii="Arial" w:hAnsi="Arial" w:hint="default"/>
      </w:rPr>
    </w:lvl>
    <w:lvl w:ilvl="6" w:tplc="69404232" w:tentative="1">
      <w:start w:val="1"/>
      <w:numFmt w:val="bullet"/>
      <w:lvlText w:val="•"/>
      <w:lvlJc w:val="left"/>
      <w:pPr>
        <w:tabs>
          <w:tab w:val="num" w:pos="5040"/>
        </w:tabs>
        <w:ind w:left="5040" w:hanging="360"/>
      </w:pPr>
      <w:rPr>
        <w:rFonts w:ascii="Arial" w:hAnsi="Arial" w:hint="default"/>
      </w:rPr>
    </w:lvl>
    <w:lvl w:ilvl="7" w:tplc="D168FDEE" w:tentative="1">
      <w:start w:val="1"/>
      <w:numFmt w:val="bullet"/>
      <w:lvlText w:val="•"/>
      <w:lvlJc w:val="left"/>
      <w:pPr>
        <w:tabs>
          <w:tab w:val="num" w:pos="5760"/>
        </w:tabs>
        <w:ind w:left="5760" w:hanging="360"/>
      </w:pPr>
      <w:rPr>
        <w:rFonts w:ascii="Arial" w:hAnsi="Arial" w:hint="default"/>
      </w:rPr>
    </w:lvl>
    <w:lvl w:ilvl="8" w:tplc="5BE82DC2" w:tentative="1">
      <w:start w:val="1"/>
      <w:numFmt w:val="bullet"/>
      <w:lvlText w:val="•"/>
      <w:lvlJc w:val="left"/>
      <w:pPr>
        <w:tabs>
          <w:tab w:val="num" w:pos="6480"/>
        </w:tabs>
        <w:ind w:left="6480" w:hanging="360"/>
      </w:pPr>
      <w:rPr>
        <w:rFonts w:ascii="Arial" w:hAnsi="Arial" w:hint="default"/>
      </w:rPr>
    </w:lvl>
  </w:abstractNum>
  <w:abstractNum w:abstractNumId="7">
    <w:nsid w:val="525A12E3"/>
    <w:multiLevelType w:val="hybridMultilevel"/>
    <w:tmpl w:val="52981876"/>
    <w:lvl w:ilvl="0" w:tplc="DA521EDA">
      <w:start w:val="1"/>
      <w:numFmt w:val="decimal"/>
      <w:lvlText w:val="%1."/>
      <w:lvlJc w:val="left"/>
      <w:pPr>
        <w:ind w:left="360" w:hanging="360"/>
      </w:pPr>
      <w:rPr>
        <w:sz w:val="26"/>
        <w:szCs w:val="26"/>
      </w:rPr>
    </w:lvl>
    <w:lvl w:ilvl="1" w:tplc="98D4830A">
      <w:start w:val="1"/>
      <w:numFmt w:val="lowerLetter"/>
      <w:lvlText w:val="%2."/>
      <w:lvlJc w:val="left"/>
      <w:pPr>
        <w:ind w:left="1080" w:hanging="360"/>
      </w:pPr>
      <w:rPr>
        <w:sz w:val="28"/>
        <w:szCs w:val="28"/>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7616CEA"/>
    <w:multiLevelType w:val="multilevel"/>
    <w:tmpl w:val="1A48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6605B0"/>
    <w:multiLevelType w:val="hybridMultilevel"/>
    <w:tmpl w:val="E328261E"/>
    <w:lvl w:ilvl="0" w:tplc="CE24D276">
      <w:start w:val="1"/>
      <w:numFmt w:val="bullet"/>
      <w:lvlText w:val="–"/>
      <w:lvlJc w:val="left"/>
      <w:pPr>
        <w:tabs>
          <w:tab w:val="num" w:pos="720"/>
        </w:tabs>
        <w:ind w:left="720" w:hanging="360"/>
      </w:pPr>
      <w:rPr>
        <w:rFonts w:ascii="Arial" w:hAnsi="Arial" w:hint="default"/>
      </w:rPr>
    </w:lvl>
    <w:lvl w:ilvl="1" w:tplc="B92A05CA">
      <w:start w:val="1"/>
      <w:numFmt w:val="bullet"/>
      <w:lvlText w:val="–"/>
      <w:lvlJc w:val="left"/>
      <w:pPr>
        <w:tabs>
          <w:tab w:val="num" w:pos="1440"/>
        </w:tabs>
        <w:ind w:left="1440" w:hanging="360"/>
      </w:pPr>
      <w:rPr>
        <w:rFonts w:ascii="Arial" w:hAnsi="Arial" w:hint="default"/>
      </w:rPr>
    </w:lvl>
    <w:lvl w:ilvl="2" w:tplc="6E9CDB76" w:tentative="1">
      <w:start w:val="1"/>
      <w:numFmt w:val="bullet"/>
      <w:lvlText w:val="–"/>
      <w:lvlJc w:val="left"/>
      <w:pPr>
        <w:tabs>
          <w:tab w:val="num" w:pos="2160"/>
        </w:tabs>
        <w:ind w:left="2160" w:hanging="360"/>
      </w:pPr>
      <w:rPr>
        <w:rFonts w:ascii="Arial" w:hAnsi="Arial" w:hint="default"/>
      </w:rPr>
    </w:lvl>
    <w:lvl w:ilvl="3" w:tplc="CFA6BF94" w:tentative="1">
      <w:start w:val="1"/>
      <w:numFmt w:val="bullet"/>
      <w:lvlText w:val="–"/>
      <w:lvlJc w:val="left"/>
      <w:pPr>
        <w:tabs>
          <w:tab w:val="num" w:pos="2880"/>
        </w:tabs>
        <w:ind w:left="2880" w:hanging="360"/>
      </w:pPr>
      <w:rPr>
        <w:rFonts w:ascii="Arial" w:hAnsi="Arial" w:hint="default"/>
      </w:rPr>
    </w:lvl>
    <w:lvl w:ilvl="4" w:tplc="28A25250" w:tentative="1">
      <w:start w:val="1"/>
      <w:numFmt w:val="bullet"/>
      <w:lvlText w:val="–"/>
      <w:lvlJc w:val="left"/>
      <w:pPr>
        <w:tabs>
          <w:tab w:val="num" w:pos="3600"/>
        </w:tabs>
        <w:ind w:left="3600" w:hanging="360"/>
      </w:pPr>
      <w:rPr>
        <w:rFonts w:ascii="Arial" w:hAnsi="Arial" w:hint="default"/>
      </w:rPr>
    </w:lvl>
    <w:lvl w:ilvl="5" w:tplc="1B40DFE2" w:tentative="1">
      <w:start w:val="1"/>
      <w:numFmt w:val="bullet"/>
      <w:lvlText w:val="–"/>
      <w:lvlJc w:val="left"/>
      <w:pPr>
        <w:tabs>
          <w:tab w:val="num" w:pos="4320"/>
        </w:tabs>
        <w:ind w:left="4320" w:hanging="360"/>
      </w:pPr>
      <w:rPr>
        <w:rFonts w:ascii="Arial" w:hAnsi="Arial" w:hint="default"/>
      </w:rPr>
    </w:lvl>
    <w:lvl w:ilvl="6" w:tplc="969A0114" w:tentative="1">
      <w:start w:val="1"/>
      <w:numFmt w:val="bullet"/>
      <w:lvlText w:val="–"/>
      <w:lvlJc w:val="left"/>
      <w:pPr>
        <w:tabs>
          <w:tab w:val="num" w:pos="5040"/>
        </w:tabs>
        <w:ind w:left="5040" w:hanging="360"/>
      </w:pPr>
      <w:rPr>
        <w:rFonts w:ascii="Arial" w:hAnsi="Arial" w:hint="default"/>
      </w:rPr>
    </w:lvl>
    <w:lvl w:ilvl="7" w:tplc="C436061C" w:tentative="1">
      <w:start w:val="1"/>
      <w:numFmt w:val="bullet"/>
      <w:lvlText w:val="–"/>
      <w:lvlJc w:val="left"/>
      <w:pPr>
        <w:tabs>
          <w:tab w:val="num" w:pos="5760"/>
        </w:tabs>
        <w:ind w:left="5760" w:hanging="360"/>
      </w:pPr>
      <w:rPr>
        <w:rFonts w:ascii="Arial" w:hAnsi="Arial" w:hint="default"/>
      </w:rPr>
    </w:lvl>
    <w:lvl w:ilvl="8" w:tplc="B5B0A28C" w:tentative="1">
      <w:start w:val="1"/>
      <w:numFmt w:val="bullet"/>
      <w:lvlText w:val="–"/>
      <w:lvlJc w:val="left"/>
      <w:pPr>
        <w:tabs>
          <w:tab w:val="num" w:pos="6480"/>
        </w:tabs>
        <w:ind w:left="6480" w:hanging="360"/>
      </w:pPr>
      <w:rPr>
        <w:rFonts w:ascii="Arial" w:hAnsi="Arial" w:hint="default"/>
      </w:rPr>
    </w:lvl>
  </w:abstractNum>
  <w:abstractNum w:abstractNumId="10">
    <w:nsid w:val="646C5859"/>
    <w:multiLevelType w:val="hybridMultilevel"/>
    <w:tmpl w:val="3E663E7A"/>
    <w:lvl w:ilvl="0" w:tplc="3720172A">
      <w:start w:val="1"/>
      <w:numFmt w:val="bullet"/>
      <w:lvlText w:val="•"/>
      <w:lvlJc w:val="left"/>
      <w:pPr>
        <w:tabs>
          <w:tab w:val="num" w:pos="720"/>
        </w:tabs>
        <w:ind w:left="720" w:hanging="360"/>
      </w:pPr>
      <w:rPr>
        <w:rFonts w:ascii="Arial" w:hAnsi="Arial" w:hint="default"/>
      </w:rPr>
    </w:lvl>
    <w:lvl w:ilvl="1" w:tplc="FD9CE714">
      <w:start w:val="1178"/>
      <w:numFmt w:val="bullet"/>
      <w:lvlText w:val="–"/>
      <w:lvlJc w:val="left"/>
      <w:pPr>
        <w:tabs>
          <w:tab w:val="num" w:pos="1440"/>
        </w:tabs>
        <w:ind w:left="1440" w:hanging="360"/>
      </w:pPr>
      <w:rPr>
        <w:rFonts w:ascii="Arial" w:hAnsi="Arial" w:hint="default"/>
      </w:rPr>
    </w:lvl>
    <w:lvl w:ilvl="2" w:tplc="863A0724" w:tentative="1">
      <w:start w:val="1"/>
      <w:numFmt w:val="bullet"/>
      <w:lvlText w:val="•"/>
      <w:lvlJc w:val="left"/>
      <w:pPr>
        <w:tabs>
          <w:tab w:val="num" w:pos="2160"/>
        </w:tabs>
        <w:ind w:left="2160" w:hanging="360"/>
      </w:pPr>
      <w:rPr>
        <w:rFonts w:ascii="Arial" w:hAnsi="Arial" w:hint="default"/>
      </w:rPr>
    </w:lvl>
    <w:lvl w:ilvl="3" w:tplc="749C09B4" w:tentative="1">
      <w:start w:val="1"/>
      <w:numFmt w:val="bullet"/>
      <w:lvlText w:val="•"/>
      <w:lvlJc w:val="left"/>
      <w:pPr>
        <w:tabs>
          <w:tab w:val="num" w:pos="2880"/>
        </w:tabs>
        <w:ind w:left="2880" w:hanging="360"/>
      </w:pPr>
      <w:rPr>
        <w:rFonts w:ascii="Arial" w:hAnsi="Arial" w:hint="default"/>
      </w:rPr>
    </w:lvl>
    <w:lvl w:ilvl="4" w:tplc="83782C0E" w:tentative="1">
      <w:start w:val="1"/>
      <w:numFmt w:val="bullet"/>
      <w:lvlText w:val="•"/>
      <w:lvlJc w:val="left"/>
      <w:pPr>
        <w:tabs>
          <w:tab w:val="num" w:pos="3600"/>
        </w:tabs>
        <w:ind w:left="3600" w:hanging="360"/>
      </w:pPr>
      <w:rPr>
        <w:rFonts w:ascii="Arial" w:hAnsi="Arial" w:hint="default"/>
      </w:rPr>
    </w:lvl>
    <w:lvl w:ilvl="5" w:tplc="9968B8B4" w:tentative="1">
      <w:start w:val="1"/>
      <w:numFmt w:val="bullet"/>
      <w:lvlText w:val="•"/>
      <w:lvlJc w:val="left"/>
      <w:pPr>
        <w:tabs>
          <w:tab w:val="num" w:pos="4320"/>
        </w:tabs>
        <w:ind w:left="4320" w:hanging="360"/>
      </w:pPr>
      <w:rPr>
        <w:rFonts w:ascii="Arial" w:hAnsi="Arial" w:hint="default"/>
      </w:rPr>
    </w:lvl>
    <w:lvl w:ilvl="6" w:tplc="5BA8C326" w:tentative="1">
      <w:start w:val="1"/>
      <w:numFmt w:val="bullet"/>
      <w:lvlText w:val="•"/>
      <w:lvlJc w:val="left"/>
      <w:pPr>
        <w:tabs>
          <w:tab w:val="num" w:pos="5040"/>
        </w:tabs>
        <w:ind w:left="5040" w:hanging="360"/>
      </w:pPr>
      <w:rPr>
        <w:rFonts w:ascii="Arial" w:hAnsi="Arial" w:hint="default"/>
      </w:rPr>
    </w:lvl>
    <w:lvl w:ilvl="7" w:tplc="33580D74" w:tentative="1">
      <w:start w:val="1"/>
      <w:numFmt w:val="bullet"/>
      <w:lvlText w:val="•"/>
      <w:lvlJc w:val="left"/>
      <w:pPr>
        <w:tabs>
          <w:tab w:val="num" w:pos="5760"/>
        </w:tabs>
        <w:ind w:left="5760" w:hanging="360"/>
      </w:pPr>
      <w:rPr>
        <w:rFonts w:ascii="Arial" w:hAnsi="Arial" w:hint="default"/>
      </w:rPr>
    </w:lvl>
    <w:lvl w:ilvl="8" w:tplc="665AF1B0" w:tentative="1">
      <w:start w:val="1"/>
      <w:numFmt w:val="bullet"/>
      <w:lvlText w:val="•"/>
      <w:lvlJc w:val="left"/>
      <w:pPr>
        <w:tabs>
          <w:tab w:val="num" w:pos="6480"/>
        </w:tabs>
        <w:ind w:left="6480" w:hanging="360"/>
      </w:pPr>
      <w:rPr>
        <w:rFonts w:ascii="Arial" w:hAnsi="Arial" w:hint="default"/>
      </w:rPr>
    </w:lvl>
  </w:abstractNum>
  <w:abstractNum w:abstractNumId="11">
    <w:nsid w:val="68DE6CA9"/>
    <w:multiLevelType w:val="multilevel"/>
    <w:tmpl w:val="BF104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6"/>
  </w:num>
  <w:num w:numId="4">
    <w:abstractNumId w:val="1"/>
  </w:num>
  <w:num w:numId="5">
    <w:abstractNumId w:val="3"/>
  </w:num>
  <w:num w:numId="6">
    <w:abstractNumId w:val="9"/>
  </w:num>
  <w:num w:numId="7">
    <w:abstractNumId w:val="10"/>
  </w:num>
  <w:num w:numId="8">
    <w:abstractNumId w:val="7"/>
  </w:num>
  <w:num w:numId="9">
    <w:abstractNumId w:val="5"/>
  </w:num>
  <w:num w:numId="10">
    <w:abstractNumId w:val="11"/>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82593"/>
    <w:rsid w:val="000243D7"/>
    <w:rsid w:val="00025829"/>
    <w:rsid w:val="000327E2"/>
    <w:rsid w:val="0004308F"/>
    <w:rsid w:val="000554FD"/>
    <w:rsid w:val="000561AF"/>
    <w:rsid w:val="00087E86"/>
    <w:rsid w:val="00097C44"/>
    <w:rsid w:val="000F0313"/>
    <w:rsid w:val="000F69CA"/>
    <w:rsid w:val="00112A45"/>
    <w:rsid w:val="00194053"/>
    <w:rsid w:val="001E0890"/>
    <w:rsid w:val="00233A41"/>
    <w:rsid w:val="002409BE"/>
    <w:rsid w:val="0026031D"/>
    <w:rsid w:val="0028402D"/>
    <w:rsid w:val="002847E3"/>
    <w:rsid w:val="002B3678"/>
    <w:rsid w:val="002C4843"/>
    <w:rsid w:val="00327A5F"/>
    <w:rsid w:val="0034226C"/>
    <w:rsid w:val="003A7FD3"/>
    <w:rsid w:val="003B3D11"/>
    <w:rsid w:val="003B6E4F"/>
    <w:rsid w:val="003C6097"/>
    <w:rsid w:val="003E0D05"/>
    <w:rsid w:val="003E1231"/>
    <w:rsid w:val="003E3215"/>
    <w:rsid w:val="003E752E"/>
    <w:rsid w:val="00433FBE"/>
    <w:rsid w:val="004340E6"/>
    <w:rsid w:val="004353A6"/>
    <w:rsid w:val="004B1A5F"/>
    <w:rsid w:val="004E2516"/>
    <w:rsid w:val="004E341F"/>
    <w:rsid w:val="00510F7B"/>
    <w:rsid w:val="0051559A"/>
    <w:rsid w:val="00515B0B"/>
    <w:rsid w:val="0052734E"/>
    <w:rsid w:val="00557C74"/>
    <w:rsid w:val="00565349"/>
    <w:rsid w:val="00581B23"/>
    <w:rsid w:val="0059365F"/>
    <w:rsid w:val="00597938"/>
    <w:rsid w:val="005B0F6B"/>
    <w:rsid w:val="006122BB"/>
    <w:rsid w:val="00632279"/>
    <w:rsid w:val="00635C3D"/>
    <w:rsid w:val="00664E65"/>
    <w:rsid w:val="00674F5A"/>
    <w:rsid w:val="0067662F"/>
    <w:rsid w:val="00686622"/>
    <w:rsid w:val="0069407C"/>
    <w:rsid w:val="006A40B8"/>
    <w:rsid w:val="006C4EBC"/>
    <w:rsid w:val="006D0B3E"/>
    <w:rsid w:val="007066B5"/>
    <w:rsid w:val="00720B1D"/>
    <w:rsid w:val="00725342"/>
    <w:rsid w:val="00725E08"/>
    <w:rsid w:val="00766E6B"/>
    <w:rsid w:val="00767300"/>
    <w:rsid w:val="00793ACB"/>
    <w:rsid w:val="007A3A7A"/>
    <w:rsid w:val="007D41CD"/>
    <w:rsid w:val="007E2DEB"/>
    <w:rsid w:val="007F10E2"/>
    <w:rsid w:val="007F1DBB"/>
    <w:rsid w:val="007F4CB3"/>
    <w:rsid w:val="008332F3"/>
    <w:rsid w:val="00840BA5"/>
    <w:rsid w:val="00853CF0"/>
    <w:rsid w:val="00861CD1"/>
    <w:rsid w:val="00862CA7"/>
    <w:rsid w:val="008904FA"/>
    <w:rsid w:val="008A0EBE"/>
    <w:rsid w:val="008C7C67"/>
    <w:rsid w:val="00952E11"/>
    <w:rsid w:val="00983D2E"/>
    <w:rsid w:val="0098408D"/>
    <w:rsid w:val="00987113"/>
    <w:rsid w:val="009B0ADA"/>
    <w:rsid w:val="009D1AAB"/>
    <w:rsid w:val="009D3DE3"/>
    <w:rsid w:val="00A04F46"/>
    <w:rsid w:val="00A206FF"/>
    <w:rsid w:val="00A26ECE"/>
    <w:rsid w:val="00A421A0"/>
    <w:rsid w:val="00A636EE"/>
    <w:rsid w:val="00A761E1"/>
    <w:rsid w:val="00A8715A"/>
    <w:rsid w:val="00AB5B1D"/>
    <w:rsid w:val="00AD7CC4"/>
    <w:rsid w:val="00AF5697"/>
    <w:rsid w:val="00AF70EC"/>
    <w:rsid w:val="00B21210"/>
    <w:rsid w:val="00B30F89"/>
    <w:rsid w:val="00B346D0"/>
    <w:rsid w:val="00B47772"/>
    <w:rsid w:val="00B559E5"/>
    <w:rsid w:val="00B82593"/>
    <w:rsid w:val="00BA725D"/>
    <w:rsid w:val="00BB6836"/>
    <w:rsid w:val="00BD38B0"/>
    <w:rsid w:val="00BE02EF"/>
    <w:rsid w:val="00BE2478"/>
    <w:rsid w:val="00BE274B"/>
    <w:rsid w:val="00BE5E20"/>
    <w:rsid w:val="00C2110A"/>
    <w:rsid w:val="00C30ED7"/>
    <w:rsid w:val="00C73CA6"/>
    <w:rsid w:val="00CA1C0E"/>
    <w:rsid w:val="00CC5731"/>
    <w:rsid w:val="00D40681"/>
    <w:rsid w:val="00D55266"/>
    <w:rsid w:val="00D72D19"/>
    <w:rsid w:val="00E06C27"/>
    <w:rsid w:val="00E27FB7"/>
    <w:rsid w:val="00E71B3E"/>
    <w:rsid w:val="00E84C8E"/>
    <w:rsid w:val="00E91F4C"/>
    <w:rsid w:val="00EA77D9"/>
    <w:rsid w:val="00EC7F0A"/>
    <w:rsid w:val="00ED60BA"/>
    <w:rsid w:val="00ED60CC"/>
    <w:rsid w:val="00F0621A"/>
    <w:rsid w:val="00F27345"/>
    <w:rsid w:val="00F543C8"/>
    <w:rsid w:val="00F61E3B"/>
    <w:rsid w:val="00F75057"/>
    <w:rsid w:val="00F815DE"/>
    <w:rsid w:val="00FB0075"/>
    <w:rsid w:val="00FB6E03"/>
    <w:rsid w:val="00FB78F5"/>
    <w:rsid w:val="00FC1295"/>
    <w:rsid w:val="00FD7F6F"/>
    <w:rsid w:val="00FE5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C44"/>
  </w:style>
  <w:style w:type="paragraph" w:styleId="Heading1">
    <w:name w:val="heading 1"/>
    <w:basedOn w:val="Normal"/>
    <w:next w:val="Normal"/>
    <w:link w:val="Heading1Char"/>
    <w:uiPriority w:val="9"/>
    <w:qFormat/>
    <w:rsid w:val="00097C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97C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97C4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97C4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97C4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97C4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97C4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97C4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097C4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C4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97C4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97C4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97C4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97C4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97C4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97C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97C4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097C4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97C44"/>
    <w:pPr>
      <w:spacing w:line="240" w:lineRule="auto"/>
    </w:pPr>
    <w:rPr>
      <w:b/>
      <w:bCs/>
      <w:color w:val="4F81BD" w:themeColor="accent1"/>
      <w:sz w:val="18"/>
      <w:szCs w:val="18"/>
    </w:rPr>
  </w:style>
  <w:style w:type="paragraph" w:styleId="Title">
    <w:name w:val="Title"/>
    <w:basedOn w:val="Normal"/>
    <w:next w:val="Normal"/>
    <w:link w:val="TitleChar"/>
    <w:uiPriority w:val="10"/>
    <w:qFormat/>
    <w:rsid w:val="00097C4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7C4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97C4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97C4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097C44"/>
    <w:rPr>
      <w:b/>
      <w:bCs/>
    </w:rPr>
  </w:style>
  <w:style w:type="character" w:styleId="Emphasis">
    <w:name w:val="Emphasis"/>
    <w:basedOn w:val="DefaultParagraphFont"/>
    <w:uiPriority w:val="20"/>
    <w:qFormat/>
    <w:rsid w:val="00097C44"/>
    <w:rPr>
      <w:i/>
      <w:iCs/>
    </w:rPr>
  </w:style>
  <w:style w:type="paragraph" w:styleId="NoSpacing">
    <w:name w:val="No Spacing"/>
    <w:uiPriority w:val="1"/>
    <w:qFormat/>
    <w:rsid w:val="00097C44"/>
    <w:pPr>
      <w:spacing w:after="0" w:line="240" w:lineRule="auto"/>
    </w:pPr>
  </w:style>
  <w:style w:type="paragraph" w:styleId="ListParagraph">
    <w:name w:val="List Paragraph"/>
    <w:basedOn w:val="Normal"/>
    <w:uiPriority w:val="34"/>
    <w:qFormat/>
    <w:rsid w:val="00097C44"/>
    <w:pPr>
      <w:ind w:left="720"/>
      <w:contextualSpacing/>
    </w:pPr>
  </w:style>
  <w:style w:type="paragraph" w:styleId="Quote">
    <w:name w:val="Quote"/>
    <w:basedOn w:val="Normal"/>
    <w:next w:val="Normal"/>
    <w:link w:val="QuoteChar"/>
    <w:uiPriority w:val="29"/>
    <w:qFormat/>
    <w:rsid w:val="00097C44"/>
    <w:rPr>
      <w:i/>
      <w:iCs/>
      <w:color w:val="000000" w:themeColor="text1"/>
    </w:rPr>
  </w:style>
  <w:style w:type="character" w:customStyle="1" w:styleId="QuoteChar">
    <w:name w:val="Quote Char"/>
    <w:basedOn w:val="DefaultParagraphFont"/>
    <w:link w:val="Quote"/>
    <w:uiPriority w:val="29"/>
    <w:rsid w:val="00097C44"/>
    <w:rPr>
      <w:i/>
      <w:iCs/>
      <w:color w:val="000000" w:themeColor="text1"/>
    </w:rPr>
  </w:style>
  <w:style w:type="paragraph" w:styleId="IntenseQuote">
    <w:name w:val="Intense Quote"/>
    <w:basedOn w:val="Normal"/>
    <w:next w:val="Normal"/>
    <w:link w:val="IntenseQuoteChar"/>
    <w:uiPriority w:val="30"/>
    <w:qFormat/>
    <w:rsid w:val="00097C4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7C44"/>
    <w:rPr>
      <w:b/>
      <w:bCs/>
      <w:i/>
      <w:iCs/>
      <w:color w:val="4F81BD" w:themeColor="accent1"/>
    </w:rPr>
  </w:style>
  <w:style w:type="character" w:styleId="SubtleEmphasis">
    <w:name w:val="Subtle Emphasis"/>
    <w:basedOn w:val="DefaultParagraphFont"/>
    <w:uiPriority w:val="19"/>
    <w:qFormat/>
    <w:rsid w:val="00097C44"/>
    <w:rPr>
      <w:i/>
      <w:iCs/>
      <w:color w:val="808080" w:themeColor="text1" w:themeTint="7F"/>
    </w:rPr>
  </w:style>
  <w:style w:type="character" w:styleId="IntenseEmphasis">
    <w:name w:val="Intense Emphasis"/>
    <w:basedOn w:val="DefaultParagraphFont"/>
    <w:uiPriority w:val="21"/>
    <w:qFormat/>
    <w:rsid w:val="00097C44"/>
    <w:rPr>
      <w:b/>
      <w:bCs/>
      <w:i/>
      <w:iCs/>
      <w:color w:val="4F81BD" w:themeColor="accent1"/>
    </w:rPr>
  </w:style>
  <w:style w:type="character" w:styleId="SubtleReference">
    <w:name w:val="Subtle Reference"/>
    <w:basedOn w:val="DefaultParagraphFont"/>
    <w:uiPriority w:val="31"/>
    <w:qFormat/>
    <w:rsid w:val="00097C44"/>
    <w:rPr>
      <w:smallCaps/>
      <w:color w:val="C0504D" w:themeColor="accent2"/>
      <w:u w:val="single"/>
    </w:rPr>
  </w:style>
  <w:style w:type="character" w:styleId="IntenseReference">
    <w:name w:val="Intense Reference"/>
    <w:basedOn w:val="DefaultParagraphFont"/>
    <w:uiPriority w:val="32"/>
    <w:qFormat/>
    <w:rsid w:val="00097C44"/>
    <w:rPr>
      <w:b/>
      <w:bCs/>
      <w:smallCaps/>
      <w:color w:val="C0504D" w:themeColor="accent2"/>
      <w:spacing w:val="5"/>
      <w:u w:val="single"/>
    </w:rPr>
  </w:style>
  <w:style w:type="character" w:styleId="BookTitle">
    <w:name w:val="Book Title"/>
    <w:basedOn w:val="DefaultParagraphFont"/>
    <w:uiPriority w:val="33"/>
    <w:qFormat/>
    <w:rsid w:val="00097C44"/>
    <w:rPr>
      <w:b/>
      <w:bCs/>
      <w:smallCaps/>
      <w:spacing w:val="5"/>
    </w:rPr>
  </w:style>
  <w:style w:type="paragraph" w:styleId="TOCHeading">
    <w:name w:val="TOC Heading"/>
    <w:basedOn w:val="Heading1"/>
    <w:next w:val="Normal"/>
    <w:uiPriority w:val="39"/>
    <w:semiHidden/>
    <w:unhideWhenUsed/>
    <w:qFormat/>
    <w:rsid w:val="00097C44"/>
    <w:pPr>
      <w:outlineLvl w:val="9"/>
    </w:pPr>
  </w:style>
  <w:style w:type="paragraph" w:styleId="NormalWeb">
    <w:name w:val="Normal (Web)"/>
    <w:basedOn w:val="Normal"/>
    <w:uiPriority w:val="99"/>
    <w:unhideWhenUsed/>
    <w:rsid w:val="00B82593"/>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E84C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4C8E"/>
    <w:rPr>
      <w:sz w:val="20"/>
      <w:szCs w:val="20"/>
    </w:rPr>
  </w:style>
  <w:style w:type="character" w:styleId="FootnoteReference">
    <w:name w:val="footnote reference"/>
    <w:basedOn w:val="DefaultParagraphFont"/>
    <w:uiPriority w:val="99"/>
    <w:semiHidden/>
    <w:unhideWhenUsed/>
    <w:rsid w:val="00E84C8E"/>
    <w:rPr>
      <w:vertAlign w:val="superscript"/>
    </w:rPr>
  </w:style>
  <w:style w:type="character" w:styleId="Hyperlink">
    <w:name w:val="Hyperlink"/>
    <w:basedOn w:val="DefaultParagraphFont"/>
    <w:uiPriority w:val="99"/>
    <w:unhideWhenUsed/>
    <w:rsid w:val="00087E86"/>
    <w:rPr>
      <w:color w:val="0000FF" w:themeColor="hyperlink"/>
      <w:u w:val="single"/>
    </w:rPr>
  </w:style>
  <w:style w:type="paragraph" w:styleId="BalloonText">
    <w:name w:val="Balloon Text"/>
    <w:basedOn w:val="Normal"/>
    <w:link w:val="BalloonTextChar"/>
    <w:uiPriority w:val="99"/>
    <w:semiHidden/>
    <w:unhideWhenUsed/>
    <w:rsid w:val="00EA7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7D9"/>
    <w:rPr>
      <w:rFonts w:ascii="Tahoma" w:hAnsi="Tahoma" w:cs="Tahoma"/>
      <w:sz w:val="16"/>
      <w:szCs w:val="16"/>
    </w:rPr>
  </w:style>
  <w:style w:type="character" w:styleId="FollowedHyperlink">
    <w:name w:val="FollowedHyperlink"/>
    <w:basedOn w:val="DefaultParagraphFont"/>
    <w:uiPriority w:val="99"/>
    <w:semiHidden/>
    <w:unhideWhenUsed/>
    <w:rsid w:val="00BE274B"/>
    <w:rPr>
      <w:color w:val="800080" w:themeColor="followedHyperlink"/>
      <w:u w:val="single"/>
    </w:rPr>
  </w:style>
  <w:style w:type="paragraph" w:styleId="Header">
    <w:name w:val="header"/>
    <w:basedOn w:val="Normal"/>
    <w:link w:val="HeaderChar"/>
    <w:uiPriority w:val="99"/>
    <w:unhideWhenUsed/>
    <w:rsid w:val="009B0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ADA"/>
  </w:style>
  <w:style w:type="paragraph" w:styleId="Footer">
    <w:name w:val="footer"/>
    <w:basedOn w:val="Normal"/>
    <w:link w:val="FooterChar"/>
    <w:uiPriority w:val="99"/>
    <w:unhideWhenUsed/>
    <w:rsid w:val="009B0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ADA"/>
  </w:style>
  <w:style w:type="character" w:customStyle="1" w:styleId="date-display-single">
    <w:name w:val="date-display-single"/>
    <w:basedOn w:val="DefaultParagraphFont"/>
    <w:rsid w:val="003B3D11"/>
  </w:style>
  <w:style w:type="character" w:customStyle="1" w:styleId="gslbl">
    <w:name w:val="gs_lbl"/>
    <w:basedOn w:val="DefaultParagraphFont"/>
    <w:rsid w:val="00BD38B0"/>
  </w:style>
  <w:style w:type="character" w:customStyle="1" w:styleId="cs1-format">
    <w:name w:val="cs1-format"/>
    <w:basedOn w:val="DefaultParagraphFont"/>
    <w:rsid w:val="00F750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27058">
      <w:bodyDiv w:val="1"/>
      <w:marLeft w:val="0"/>
      <w:marRight w:val="0"/>
      <w:marTop w:val="0"/>
      <w:marBottom w:val="0"/>
      <w:divBdr>
        <w:top w:val="none" w:sz="0" w:space="0" w:color="auto"/>
        <w:left w:val="none" w:sz="0" w:space="0" w:color="auto"/>
        <w:bottom w:val="none" w:sz="0" w:space="0" w:color="auto"/>
        <w:right w:val="none" w:sz="0" w:space="0" w:color="auto"/>
      </w:divBdr>
    </w:div>
    <w:div w:id="254293872">
      <w:bodyDiv w:val="1"/>
      <w:marLeft w:val="0"/>
      <w:marRight w:val="0"/>
      <w:marTop w:val="0"/>
      <w:marBottom w:val="0"/>
      <w:divBdr>
        <w:top w:val="none" w:sz="0" w:space="0" w:color="auto"/>
        <w:left w:val="none" w:sz="0" w:space="0" w:color="auto"/>
        <w:bottom w:val="none" w:sz="0" w:space="0" w:color="auto"/>
        <w:right w:val="none" w:sz="0" w:space="0" w:color="auto"/>
      </w:divBdr>
      <w:divsChild>
        <w:div w:id="1524322721">
          <w:marLeft w:val="547"/>
          <w:marRight w:val="0"/>
          <w:marTop w:val="120"/>
          <w:marBottom w:val="0"/>
          <w:divBdr>
            <w:top w:val="none" w:sz="0" w:space="0" w:color="auto"/>
            <w:left w:val="none" w:sz="0" w:space="0" w:color="auto"/>
            <w:bottom w:val="none" w:sz="0" w:space="0" w:color="auto"/>
            <w:right w:val="none" w:sz="0" w:space="0" w:color="auto"/>
          </w:divBdr>
        </w:div>
        <w:div w:id="162479776">
          <w:marLeft w:val="547"/>
          <w:marRight w:val="0"/>
          <w:marTop w:val="120"/>
          <w:marBottom w:val="0"/>
          <w:divBdr>
            <w:top w:val="none" w:sz="0" w:space="0" w:color="auto"/>
            <w:left w:val="none" w:sz="0" w:space="0" w:color="auto"/>
            <w:bottom w:val="none" w:sz="0" w:space="0" w:color="auto"/>
            <w:right w:val="none" w:sz="0" w:space="0" w:color="auto"/>
          </w:divBdr>
        </w:div>
        <w:div w:id="1184631339">
          <w:marLeft w:val="1166"/>
          <w:marRight w:val="0"/>
          <w:marTop w:val="86"/>
          <w:marBottom w:val="0"/>
          <w:divBdr>
            <w:top w:val="none" w:sz="0" w:space="0" w:color="auto"/>
            <w:left w:val="none" w:sz="0" w:space="0" w:color="auto"/>
            <w:bottom w:val="none" w:sz="0" w:space="0" w:color="auto"/>
            <w:right w:val="none" w:sz="0" w:space="0" w:color="auto"/>
          </w:divBdr>
        </w:div>
        <w:div w:id="172228651">
          <w:marLeft w:val="1166"/>
          <w:marRight w:val="0"/>
          <w:marTop w:val="86"/>
          <w:marBottom w:val="0"/>
          <w:divBdr>
            <w:top w:val="none" w:sz="0" w:space="0" w:color="auto"/>
            <w:left w:val="none" w:sz="0" w:space="0" w:color="auto"/>
            <w:bottom w:val="none" w:sz="0" w:space="0" w:color="auto"/>
            <w:right w:val="none" w:sz="0" w:space="0" w:color="auto"/>
          </w:divBdr>
        </w:div>
        <w:div w:id="1511947422">
          <w:marLeft w:val="1166"/>
          <w:marRight w:val="0"/>
          <w:marTop w:val="86"/>
          <w:marBottom w:val="0"/>
          <w:divBdr>
            <w:top w:val="none" w:sz="0" w:space="0" w:color="auto"/>
            <w:left w:val="none" w:sz="0" w:space="0" w:color="auto"/>
            <w:bottom w:val="none" w:sz="0" w:space="0" w:color="auto"/>
            <w:right w:val="none" w:sz="0" w:space="0" w:color="auto"/>
          </w:divBdr>
        </w:div>
        <w:div w:id="1727408415">
          <w:marLeft w:val="547"/>
          <w:marRight w:val="0"/>
          <w:marTop w:val="96"/>
          <w:marBottom w:val="0"/>
          <w:divBdr>
            <w:top w:val="none" w:sz="0" w:space="0" w:color="auto"/>
            <w:left w:val="none" w:sz="0" w:space="0" w:color="auto"/>
            <w:bottom w:val="none" w:sz="0" w:space="0" w:color="auto"/>
            <w:right w:val="none" w:sz="0" w:space="0" w:color="auto"/>
          </w:divBdr>
        </w:div>
      </w:divsChild>
    </w:div>
    <w:div w:id="291135159">
      <w:bodyDiv w:val="1"/>
      <w:marLeft w:val="0"/>
      <w:marRight w:val="0"/>
      <w:marTop w:val="0"/>
      <w:marBottom w:val="0"/>
      <w:divBdr>
        <w:top w:val="none" w:sz="0" w:space="0" w:color="auto"/>
        <w:left w:val="none" w:sz="0" w:space="0" w:color="auto"/>
        <w:bottom w:val="none" w:sz="0" w:space="0" w:color="auto"/>
        <w:right w:val="none" w:sz="0" w:space="0" w:color="auto"/>
      </w:divBdr>
    </w:div>
    <w:div w:id="328794758">
      <w:bodyDiv w:val="1"/>
      <w:marLeft w:val="0"/>
      <w:marRight w:val="0"/>
      <w:marTop w:val="0"/>
      <w:marBottom w:val="0"/>
      <w:divBdr>
        <w:top w:val="none" w:sz="0" w:space="0" w:color="auto"/>
        <w:left w:val="none" w:sz="0" w:space="0" w:color="auto"/>
        <w:bottom w:val="none" w:sz="0" w:space="0" w:color="auto"/>
        <w:right w:val="none" w:sz="0" w:space="0" w:color="auto"/>
      </w:divBdr>
      <w:divsChild>
        <w:div w:id="4334779">
          <w:marLeft w:val="547"/>
          <w:marRight w:val="0"/>
          <w:marTop w:val="134"/>
          <w:marBottom w:val="0"/>
          <w:divBdr>
            <w:top w:val="none" w:sz="0" w:space="0" w:color="auto"/>
            <w:left w:val="none" w:sz="0" w:space="0" w:color="auto"/>
            <w:bottom w:val="none" w:sz="0" w:space="0" w:color="auto"/>
            <w:right w:val="none" w:sz="0" w:space="0" w:color="auto"/>
          </w:divBdr>
        </w:div>
        <w:div w:id="1907954642">
          <w:marLeft w:val="1166"/>
          <w:marRight w:val="0"/>
          <w:marTop w:val="106"/>
          <w:marBottom w:val="0"/>
          <w:divBdr>
            <w:top w:val="none" w:sz="0" w:space="0" w:color="auto"/>
            <w:left w:val="none" w:sz="0" w:space="0" w:color="auto"/>
            <w:bottom w:val="none" w:sz="0" w:space="0" w:color="auto"/>
            <w:right w:val="none" w:sz="0" w:space="0" w:color="auto"/>
          </w:divBdr>
        </w:div>
        <w:div w:id="1357271528">
          <w:marLeft w:val="1166"/>
          <w:marRight w:val="0"/>
          <w:marTop w:val="106"/>
          <w:marBottom w:val="0"/>
          <w:divBdr>
            <w:top w:val="none" w:sz="0" w:space="0" w:color="auto"/>
            <w:left w:val="none" w:sz="0" w:space="0" w:color="auto"/>
            <w:bottom w:val="none" w:sz="0" w:space="0" w:color="auto"/>
            <w:right w:val="none" w:sz="0" w:space="0" w:color="auto"/>
          </w:divBdr>
        </w:div>
        <w:div w:id="1257785184">
          <w:marLeft w:val="547"/>
          <w:marRight w:val="0"/>
          <w:marTop w:val="134"/>
          <w:marBottom w:val="0"/>
          <w:divBdr>
            <w:top w:val="none" w:sz="0" w:space="0" w:color="auto"/>
            <w:left w:val="none" w:sz="0" w:space="0" w:color="auto"/>
            <w:bottom w:val="none" w:sz="0" w:space="0" w:color="auto"/>
            <w:right w:val="none" w:sz="0" w:space="0" w:color="auto"/>
          </w:divBdr>
        </w:div>
        <w:div w:id="1377848622">
          <w:marLeft w:val="1166"/>
          <w:marRight w:val="0"/>
          <w:marTop w:val="106"/>
          <w:marBottom w:val="0"/>
          <w:divBdr>
            <w:top w:val="none" w:sz="0" w:space="0" w:color="auto"/>
            <w:left w:val="none" w:sz="0" w:space="0" w:color="auto"/>
            <w:bottom w:val="none" w:sz="0" w:space="0" w:color="auto"/>
            <w:right w:val="none" w:sz="0" w:space="0" w:color="auto"/>
          </w:divBdr>
        </w:div>
        <w:div w:id="1551764744">
          <w:marLeft w:val="1166"/>
          <w:marRight w:val="0"/>
          <w:marTop w:val="106"/>
          <w:marBottom w:val="0"/>
          <w:divBdr>
            <w:top w:val="none" w:sz="0" w:space="0" w:color="auto"/>
            <w:left w:val="none" w:sz="0" w:space="0" w:color="auto"/>
            <w:bottom w:val="none" w:sz="0" w:space="0" w:color="auto"/>
            <w:right w:val="none" w:sz="0" w:space="0" w:color="auto"/>
          </w:divBdr>
        </w:div>
        <w:div w:id="1568346046">
          <w:marLeft w:val="547"/>
          <w:marRight w:val="0"/>
          <w:marTop w:val="134"/>
          <w:marBottom w:val="0"/>
          <w:divBdr>
            <w:top w:val="none" w:sz="0" w:space="0" w:color="auto"/>
            <w:left w:val="none" w:sz="0" w:space="0" w:color="auto"/>
            <w:bottom w:val="none" w:sz="0" w:space="0" w:color="auto"/>
            <w:right w:val="none" w:sz="0" w:space="0" w:color="auto"/>
          </w:divBdr>
        </w:div>
        <w:div w:id="1660619947">
          <w:marLeft w:val="1166"/>
          <w:marRight w:val="0"/>
          <w:marTop w:val="106"/>
          <w:marBottom w:val="0"/>
          <w:divBdr>
            <w:top w:val="none" w:sz="0" w:space="0" w:color="auto"/>
            <w:left w:val="none" w:sz="0" w:space="0" w:color="auto"/>
            <w:bottom w:val="none" w:sz="0" w:space="0" w:color="auto"/>
            <w:right w:val="none" w:sz="0" w:space="0" w:color="auto"/>
          </w:divBdr>
        </w:div>
        <w:div w:id="1015036740">
          <w:marLeft w:val="1800"/>
          <w:marRight w:val="0"/>
          <w:marTop w:val="91"/>
          <w:marBottom w:val="0"/>
          <w:divBdr>
            <w:top w:val="none" w:sz="0" w:space="0" w:color="auto"/>
            <w:left w:val="none" w:sz="0" w:space="0" w:color="auto"/>
            <w:bottom w:val="none" w:sz="0" w:space="0" w:color="auto"/>
            <w:right w:val="none" w:sz="0" w:space="0" w:color="auto"/>
          </w:divBdr>
        </w:div>
        <w:div w:id="1399474402">
          <w:marLeft w:val="1166"/>
          <w:marRight w:val="0"/>
          <w:marTop w:val="106"/>
          <w:marBottom w:val="0"/>
          <w:divBdr>
            <w:top w:val="none" w:sz="0" w:space="0" w:color="auto"/>
            <w:left w:val="none" w:sz="0" w:space="0" w:color="auto"/>
            <w:bottom w:val="none" w:sz="0" w:space="0" w:color="auto"/>
            <w:right w:val="none" w:sz="0" w:space="0" w:color="auto"/>
          </w:divBdr>
        </w:div>
        <w:div w:id="570386003">
          <w:marLeft w:val="1800"/>
          <w:marRight w:val="0"/>
          <w:marTop w:val="91"/>
          <w:marBottom w:val="0"/>
          <w:divBdr>
            <w:top w:val="none" w:sz="0" w:space="0" w:color="auto"/>
            <w:left w:val="none" w:sz="0" w:space="0" w:color="auto"/>
            <w:bottom w:val="none" w:sz="0" w:space="0" w:color="auto"/>
            <w:right w:val="none" w:sz="0" w:space="0" w:color="auto"/>
          </w:divBdr>
        </w:div>
      </w:divsChild>
    </w:div>
    <w:div w:id="398330129">
      <w:bodyDiv w:val="1"/>
      <w:marLeft w:val="0"/>
      <w:marRight w:val="0"/>
      <w:marTop w:val="0"/>
      <w:marBottom w:val="0"/>
      <w:divBdr>
        <w:top w:val="none" w:sz="0" w:space="0" w:color="auto"/>
        <w:left w:val="none" w:sz="0" w:space="0" w:color="auto"/>
        <w:bottom w:val="none" w:sz="0" w:space="0" w:color="auto"/>
        <w:right w:val="none" w:sz="0" w:space="0" w:color="auto"/>
      </w:divBdr>
      <w:divsChild>
        <w:div w:id="197283868">
          <w:marLeft w:val="0"/>
          <w:marRight w:val="0"/>
          <w:marTop w:val="0"/>
          <w:marBottom w:val="0"/>
          <w:divBdr>
            <w:top w:val="none" w:sz="0" w:space="0" w:color="auto"/>
            <w:left w:val="none" w:sz="0" w:space="0" w:color="auto"/>
            <w:bottom w:val="none" w:sz="0" w:space="0" w:color="auto"/>
            <w:right w:val="none" w:sz="0" w:space="0" w:color="auto"/>
          </w:divBdr>
          <w:divsChild>
            <w:div w:id="1016154818">
              <w:marLeft w:val="0"/>
              <w:marRight w:val="0"/>
              <w:marTop w:val="0"/>
              <w:marBottom w:val="0"/>
              <w:divBdr>
                <w:top w:val="none" w:sz="0" w:space="0" w:color="auto"/>
                <w:left w:val="none" w:sz="0" w:space="0" w:color="auto"/>
                <w:bottom w:val="none" w:sz="0" w:space="0" w:color="auto"/>
                <w:right w:val="none" w:sz="0" w:space="0" w:color="auto"/>
              </w:divBdr>
              <w:divsChild>
                <w:div w:id="2028172011">
                  <w:marLeft w:val="840"/>
                  <w:marRight w:val="600"/>
                  <w:marTop w:val="0"/>
                  <w:marBottom w:val="0"/>
                  <w:divBdr>
                    <w:top w:val="none" w:sz="0" w:space="0" w:color="auto"/>
                    <w:left w:val="none" w:sz="0" w:space="0" w:color="auto"/>
                    <w:bottom w:val="none" w:sz="0" w:space="0" w:color="auto"/>
                    <w:right w:val="none" w:sz="0" w:space="0" w:color="auto"/>
                  </w:divBdr>
                </w:div>
              </w:divsChild>
            </w:div>
          </w:divsChild>
        </w:div>
        <w:div w:id="1432697731">
          <w:marLeft w:val="0"/>
          <w:marRight w:val="0"/>
          <w:marTop w:val="0"/>
          <w:marBottom w:val="0"/>
          <w:divBdr>
            <w:top w:val="none" w:sz="0" w:space="0" w:color="auto"/>
            <w:left w:val="none" w:sz="0" w:space="0" w:color="auto"/>
            <w:bottom w:val="none" w:sz="0" w:space="0" w:color="auto"/>
            <w:right w:val="none" w:sz="0" w:space="0" w:color="auto"/>
          </w:divBdr>
          <w:divsChild>
            <w:div w:id="22362608">
              <w:marLeft w:val="0"/>
              <w:marRight w:val="0"/>
              <w:marTop w:val="315"/>
              <w:marBottom w:val="0"/>
              <w:divBdr>
                <w:top w:val="none" w:sz="0" w:space="0" w:color="auto"/>
                <w:left w:val="none" w:sz="0" w:space="0" w:color="auto"/>
                <w:bottom w:val="none" w:sz="0" w:space="0" w:color="auto"/>
                <w:right w:val="none" w:sz="0" w:space="0" w:color="auto"/>
              </w:divBdr>
              <w:divsChild>
                <w:div w:id="840241180">
                  <w:marLeft w:val="0"/>
                  <w:marRight w:val="0"/>
                  <w:marTop w:val="0"/>
                  <w:marBottom w:val="0"/>
                  <w:divBdr>
                    <w:top w:val="none" w:sz="0" w:space="0" w:color="auto"/>
                    <w:left w:val="none" w:sz="0" w:space="0" w:color="auto"/>
                    <w:bottom w:val="none" w:sz="0" w:space="0" w:color="auto"/>
                    <w:right w:val="none" w:sz="0" w:space="0" w:color="auto"/>
                  </w:divBdr>
                  <w:divsChild>
                    <w:div w:id="238247353">
                      <w:marLeft w:val="0"/>
                      <w:marRight w:val="0"/>
                      <w:marTop w:val="315"/>
                      <w:marBottom w:val="315"/>
                      <w:divBdr>
                        <w:top w:val="none" w:sz="0" w:space="0" w:color="auto"/>
                        <w:left w:val="none" w:sz="0" w:space="0" w:color="auto"/>
                        <w:bottom w:val="none" w:sz="0" w:space="0" w:color="auto"/>
                        <w:right w:val="none" w:sz="0" w:space="0" w:color="auto"/>
                      </w:divBdr>
                      <w:divsChild>
                        <w:div w:id="109208460">
                          <w:marLeft w:val="0"/>
                          <w:marRight w:val="0"/>
                          <w:marTop w:val="0"/>
                          <w:marBottom w:val="0"/>
                          <w:divBdr>
                            <w:top w:val="none" w:sz="0" w:space="0" w:color="auto"/>
                            <w:left w:val="none" w:sz="0" w:space="0" w:color="auto"/>
                            <w:bottom w:val="none" w:sz="0" w:space="0" w:color="auto"/>
                            <w:right w:val="none" w:sz="0" w:space="0" w:color="auto"/>
                          </w:divBdr>
                          <w:divsChild>
                            <w:div w:id="170717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297786">
      <w:bodyDiv w:val="1"/>
      <w:marLeft w:val="0"/>
      <w:marRight w:val="0"/>
      <w:marTop w:val="0"/>
      <w:marBottom w:val="0"/>
      <w:divBdr>
        <w:top w:val="none" w:sz="0" w:space="0" w:color="auto"/>
        <w:left w:val="none" w:sz="0" w:space="0" w:color="auto"/>
        <w:bottom w:val="none" w:sz="0" w:space="0" w:color="auto"/>
        <w:right w:val="none" w:sz="0" w:space="0" w:color="auto"/>
      </w:divBdr>
    </w:div>
    <w:div w:id="589511485">
      <w:bodyDiv w:val="1"/>
      <w:marLeft w:val="0"/>
      <w:marRight w:val="0"/>
      <w:marTop w:val="0"/>
      <w:marBottom w:val="0"/>
      <w:divBdr>
        <w:top w:val="none" w:sz="0" w:space="0" w:color="auto"/>
        <w:left w:val="none" w:sz="0" w:space="0" w:color="auto"/>
        <w:bottom w:val="none" w:sz="0" w:space="0" w:color="auto"/>
        <w:right w:val="none" w:sz="0" w:space="0" w:color="auto"/>
      </w:divBdr>
    </w:div>
    <w:div w:id="614169961">
      <w:bodyDiv w:val="1"/>
      <w:marLeft w:val="0"/>
      <w:marRight w:val="0"/>
      <w:marTop w:val="0"/>
      <w:marBottom w:val="0"/>
      <w:divBdr>
        <w:top w:val="none" w:sz="0" w:space="0" w:color="auto"/>
        <w:left w:val="none" w:sz="0" w:space="0" w:color="auto"/>
        <w:bottom w:val="none" w:sz="0" w:space="0" w:color="auto"/>
        <w:right w:val="none" w:sz="0" w:space="0" w:color="auto"/>
      </w:divBdr>
      <w:divsChild>
        <w:div w:id="1425346550">
          <w:marLeft w:val="1166"/>
          <w:marRight w:val="0"/>
          <w:marTop w:val="134"/>
          <w:marBottom w:val="0"/>
          <w:divBdr>
            <w:top w:val="none" w:sz="0" w:space="0" w:color="auto"/>
            <w:left w:val="none" w:sz="0" w:space="0" w:color="auto"/>
            <w:bottom w:val="none" w:sz="0" w:space="0" w:color="auto"/>
            <w:right w:val="none" w:sz="0" w:space="0" w:color="auto"/>
          </w:divBdr>
        </w:div>
        <w:div w:id="815613572">
          <w:marLeft w:val="1800"/>
          <w:marRight w:val="0"/>
          <w:marTop w:val="115"/>
          <w:marBottom w:val="0"/>
          <w:divBdr>
            <w:top w:val="none" w:sz="0" w:space="0" w:color="auto"/>
            <w:left w:val="none" w:sz="0" w:space="0" w:color="auto"/>
            <w:bottom w:val="none" w:sz="0" w:space="0" w:color="auto"/>
            <w:right w:val="none" w:sz="0" w:space="0" w:color="auto"/>
          </w:divBdr>
        </w:div>
        <w:div w:id="1119492255">
          <w:marLeft w:val="2520"/>
          <w:marRight w:val="0"/>
          <w:marTop w:val="96"/>
          <w:marBottom w:val="0"/>
          <w:divBdr>
            <w:top w:val="none" w:sz="0" w:space="0" w:color="auto"/>
            <w:left w:val="none" w:sz="0" w:space="0" w:color="auto"/>
            <w:bottom w:val="none" w:sz="0" w:space="0" w:color="auto"/>
            <w:right w:val="none" w:sz="0" w:space="0" w:color="auto"/>
          </w:divBdr>
        </w:div>
        <w:div w:id="198594638">
          <w:marLeft w:val="1800"/>
          <w:marRight w:val="0"/>
          <w:marTop w:val="115"/>
          <w:marBottom w:val="0"/>
          <w:divBdr>
            <w:top w:val="none" w:sz="0" w:space="0" w:color="auto"/>
            <w:left w:val="none" w:sz="0" w:space="0" w:color="auto"/>
            <w:bottom w:val="none" w:sz="0" w:space="0" w:color="auto"/>
            <w:right w:val="none" w:sz="0" w:space="0" w:color="auto"/>
          </w:divBdr>
        </w:div>
        <w:div w:id="1827164974">
          <w:marLeft w:val="2520"/>
          <w:marRight w:val="0"/>
          <w:marTop w:val="96"/>
          <w:marBottom w:val="0"/>
          <w:divBdr>
            <w:top w:val="none" w:sz="0" w:space="0" w:color="auto"/>
            <w:left w:val="none" w:sz="0" w:space="0" w:color="auto"/>
            <w:bottom w:val="none" w:sz="0" w:space="0" w:color="auto"/>
            <w:right w:val="none" w:sz="0" w:space="0" w:color="auto"/>
          </w:divBdr>
        </w:div>
        <w:div w:id="2045863497">
          <w:marLeft w:val="2520"/>
          <w:marRight w:val="0"/>
          <w:marTop w:val="96"/>
          <w:marBottom w:val="0"/>
          <w:divBdr>
            <w:top w:val="none" w:sz="0" w:space="0" w:color="auto"/>
            <w:left w:val="none" w:sz="0" w:space="0" w:color="auto"/>
            <w:bottom w:val="none" w:sz="0" w:space="0" w:color="auto"/>
            <w:right w:val="none" w:sz="0" w:space="0" w:color="auto"/>
          </w:divBdr>
        </w:div>
        <w:div w:id="135338397">
          <w:marLeft w:val="1800"/>
          <w:marRight w:val="0"/>
          <w:marTop w:val="115"/>
          <w:marBottom w:val="0"/>
          <w:divBdr>
            <w:top w:val="none" w:sz="0" w:space="0" w:color="auto"/>
            <w:left w:val="none" w:sz="0" w:space="0" w:color="auto"/>
            <w:bottom w:val="none" w:sz="0" w:space="0" w:color="auto"/>
            <w:right w:val="none" w:sz="0" w:space="0" w:color="auto"/>
          </w:divBdr>
        </w:div>
      </w:divsChild>
    </w:div>
    <w:div w:id="668099494">
      <w:bodyDiv w:val="1"/>
      <w:marLeft w:val="0"/>
      <w:marRight w:val="0"/>
      <w:marTop w:val="0"/>
      <w:marBottom w:val="0"/>
      <w:divBdr>
        <w:top w:val="none" w:sz="0" w:space="0" w:color="auto"/>
        <w:left w:val="none" w:sz="0" w:space="0" w:color="auto"/>
        <w:bottom w:val="none" w:sz="0" w:space="0" w:color="auto"/>
        <w:right w:val="none" w:sz="0" w:space="0" w:color="auto"/>
      </w:divBdr>
    </w:div>
    <w:div w:id="710805442">
      <w:bodyDiv w:val="1"/>
      <w:marLeft w:val="0"/>
      <w:marRight w:val="0"/>
      <w:marTop w:val="0"/>
      <w:marBottom w:val="0"/>
      <w:divBdr>
        <w:top w:val="none" w:sz="0" w:space="0" w:color="auto"/>
        <w:left w:val="none" w:sz="0" w:space="0" w:color="auto"/>
        <w:bottom w:val="none" w:sz="0" w:space="0" w:color="auto"/>
        <w:right w:val="none" w:sz="0" w:space="0" w:color="auto"/>
      </w:divBdr>
    </w:div>
    <w:div w:id="903099041">
      <w:bodyDiv w:val="1"/>
      <w:marLeft w:val="0"/>
      <w:marRight w:val="0"/>
      <w:marTop w:val="0"/>
      <w:marBottom w:val="0"/>
      <w:divBdr>
        <w:top w:val="none" w:sz="0" w:space="0" w:color="auto"/>
        <w:left w:val="none" w:sz="0" w:space="0" w:color="auto"/>
        <w:bottom w:val="none" w:sz="0" w:space="0" w:color="auto"/>
        <w:right w:val="none" w:sz="0" w:space="0" w:color="auto"/>
      </w:divBdr>
    </w:div>
    <w:div w:id="1096898559">
      <w:bodyDiv w:val="1"/>
      <w:marLeft w:val="0"/>
      <w:marRight w:val="0"/>
      <w:marTop w:val="0"/>
      <w:marBottom w:val="0"/>
      <w:divBdr>
        <w:top w:val="none" w:sz="0" w:space="0" w:color="auto"/>
        <w:left w:val="none" w:sz="0" w:space="0" w:color="auto"/>
        <w:bottom w:val="none" w:sz="0" w:space="0" w:color="auto"/>
        <w:right w:val="none" w:sz="0" w:space="0" w:color="auto"/>
      </w:divBdr>
      <w:divsChild>
        <w:div w:id="646252670">
          <w:marLeft w:val="1166"/>
          <w:marRight w:val="0"/>
          <w:marTop w:val="115"/>
          <w:marBottom w:val="0"/>
          <w:divBdr>
            <w:top w:val="none" w:sz="0" w:space="0" w:color="auto"/>
            <w:left w:val="none" w:sz="0" w:space="0" w:color="auto"/>
            <w:bottom w:val="none" w:sz="0" w:space="0" w:color="auto"/>
            <w:right w:val="none" w:sz="0" w:space="0" w:color="auto"/>
          </w:divBdr>
        </w:div>
        <w:div w:id="725835524">
          <w:marLeft w:val="547"/>
          <w:marRight w:val="0"/>
          <w:marTop w:val="130"/>
          <w:marBottom w:val="0"/>
          <w:divBdr>
            <w:top w:val="none" w:sz="0" w:space="0" w:color="auto"/>
            <w:left w:val="none" w:sz="0" w:space="0" w:color="auto"/>
            <w:bottom w:val="none" w:sz="0" w:space="0" w:color="auto"/>
            <w:right w:val="none" w:sz="0" w:space="0" w:color="auto"/>
          </w:divBdr>
        </w:div>
        <w:div w:id="865947279">
          <w:marLeft w:val="1166"/>
          <w:marRight w:val="0"/>
          <w:marTop w:val="115"/>
          <w:marBottom w:val="0"/>
          <w:divBdr>
            <w:top w:val="none" w:sz="0" w:space="0" w:color="auto"/>
            <w:left w:val="none" w:sz="0" w:space="0" w:color="auto"/>
            <w:bottom w:val="none" w:sz="0" w:space="0" w:color="auto"/>
            <w:right w:val="none" w:sz="0" w:space="0" w:color="auto"/>
          </w:divBdr>
        </w:div>
        <w:div w:id="1495950952">
          <w:marLeft w:val="1166"/>
          <w:marRight w:val="0"/>
          <w:marTop w:val="115"/>
          <w:marBottom w:val="0"/>
          <w:divBdr>
            <w:top w:val="none" w:sz="0" w:space="0" w:color="auto"/>
            <w:left w:val="none" w:sz="0" w:space="0" w:color="auto"/>
            <w:bottom w:val="none" w:sz="0" w:space="0" w:color="auto"/>
            <w:right w:val="none" w:sz="0" w:space="0" w:color="auto"/>
          </w:divBdr>
        </w:div>
      </w:divsChild>
    </w:div>
    <w:div w:id="1164589913">
      <w:bodyDiv w:val="1"/>
      <w:marLeft w:val="0"/>
      <w:marRight w:val="0"/>
      <w:marTop w:val="0"/>
      <w:marBottom w:val="0"/>
      <w:divBdr>
        <w:top w:val="none" w:sz="0" w:space="0" w:color="auto"/>
        <w:left w:val="none" w:sz="0" w:space="0" w:color="auto"/>
        <w:bottom w:val="none" w:sz="0" w:space="0" w:color="auto"/>
        <w:right w:val="none" w:sz="0" w:space="0" w:color="auto"/>
      </w:divBdr>
      <w:divsChild>
        <w:div w:id="472449890">
          <w:marLeft w:val="547"/>
          <w:marRight w:val="0"/>
          <w:marTop w:val="130"/>
          <w:marBottom w:val="0"/>
          <w:divBdr>
            <w:top w:val="none" w:sz="0" w:space="0" w:color="auto"/>
            <w:left w:val="none" w:sz="0" w:space="0" w:color="auto"/>
            <w:bottom w:val="none" w:sz="0" w:space="0" w:color="auto"/>
            <w:right w:val="none" w:sz="0" w:space="0" w:color="auto"/>
          </w:divBdr>
        </w:div>
        <w:div w:id="395125339">
          <w:marLeft w:val="1166"/>
          <w:marRight w:val="0"/>
          <w:marTop w:val="115"/>
          <w:marBottom w:val="0"/>
          <w:divBdr>
            <w:top w:val="none" w:sz="0" w:space="0" w:color="auto"/>
            <w:left w:val="none" w:sz="0" w:space="0" w:color="auto"/>
            <w:bottom w:val="none" w:sz="0" w:space="0" w:color="auto"/>
            <w:right w:val="none" w:sz="0" w:space="0" w:color="auto"/>
          </w:divBdr>
        </w:div>
        <w:div w:id="541676658">
          <w:marLeft w:val="1800"/>
          <w:marRight w:val="0"/>
          <w:marTop w:val="96"/>
          <w:marBottom w:val="0"/>
          <w:divBdr>
            <w:top w:val="none" w:sz="0" w:space="0" w:color="auto"/>
            <w:left w:val="none" w:sz="0" w:space="0" w:color="auto"/>
            <w:bottom w:val="none" w:sz="0" w:space="0" w:color="auto"/>
            <w:right w:val="none" w:sz="0" w:space="0" w:color="auto"/>
          </w:divBdr>
        </w:div>
        <w:div w:id="1248729723">
          <w:marLeft w:val="1166"/>
          <w:marRight w:val="0"/>
          <w:marTop w:val="115"/>
          <w:marBottom w:val="0"/>
          <w:divBdr>
            <w:top w:val="none" w:sz="0" w:space="0" w:color="auto"/>
            <w:left w:val="none" w:sz="0" w:space="0" w:color="auto"/>
            <w:bottom w:val="none" w:sz="0" w:space="0" w:color="auto"/>
            <w:right w:val="none" w:sz="0" w:space="0" w:color="auto"/>
          </w:divBdr>
        </w:div>
        <w:div w:id="1165509854">
          <w:marLeft w:val="547"/>
          <w:marRight w:val="0"/>
          <w:marTop w:val="130"/>
          <w:marBottom w:val="0"/>
          <w:divBdr>
            <w:top w:val="none" w:sz="0" w:space="0" w:color="auto"/>
            <w:left w:val="none" w:sz="0" w:space="0" w:color="auto"/>
            <w:bottom w:val="none" w:sz="0" w:space="0" w:color="auto"/>
            <w:right w:val="none" w:sz="0" w:space="0" w:color="auto"/>
          </w:divBdr>
        </w:div>
        <w:div w:id="1718312219">
          <w:marLeft w:val="1166"/>
          <w:marRight w:val="0"/>
          <w:marTop w:val="115"/>
          <w:marBottom w:val="0"/>
          <w:divBdr>
            <w:top w:val="none" w:sz="0" w:space="0" w:color="auto"/>
            <w:left w:val="none" w:sz="0" w:space="0" w:color="auto"/>
            <w:bottom w:val="none" w:sz="0" w:space="0" w:color="auto"/>
            <w:right w:val="none" w:sz="0" w:space="0" w:color="auto"/>
          </w:divBdr>
        </w:div>
        <w:div w:id="805853032">
          <w:marLeft w:val="1166"/>
          <w:marRight w:val="0"/>
          <w:marTop w:val="115"/>
          <w:marBottom w:val="0"/>
          <w:divBdr>
            <w:top w:val="none" w:sz="0" w:space="0" w:color="auto"/>
            <w:left w:val="none" w:sz="0" w:space="0" w:color="auto"/>
            <w:bottom w:val="none" w:sz="0" w:space="0" w:color="auto"/>
            <w:right w:val="none" w:sz="0" w:space="0" w:color="auto"/>
          </w:divBdr>
        </w:div>
        <w:div w:id="1509520367">
          <w:marLeft w:val="547"/>
          <w:marRight w:val="0"/>
          <w:marTop w:val="130"/>
          <w:marBottom w:val="0"/>
          <w:divBdr>
            <w:top w:val="none" w:sz="0" w:space="0" w:color="auto"/>
            <w:left w:val="none" w:sz="0" w:space="0" w:color="auto"/>
            <w:bottom w:val="none" w:sz="0" w:space="0" w:color="auto"/>
            <w:right w:val="none" w:sz="0" w:space="0" w:color="auto"/>
          </w:divBdr>
        </w:div>
        <w:div w:id="1637486408">
          <w:marLeft w:val="547"/>
          <w:marRight w:val="0"/>
          <w:marTop w:val="130"/>
          <w:marBottom w:val="0"/>
          <w:divBdr>
            <w:top w:val="none" w:sz="0" w:space="0" w:color="auto"/>
            <w:left w:val="none" w:sz="0" w:space="0" w:color="auto"/>
            <w:bottom w:val="none" w:sz="0" w:space="0" w:color="auto"/>
            <w:right w:val="none" w:sz="0" w:space="0" w:color="auto"/>
          </w:divBdr>
        </w:div>
      </w:divsChild>
    </w:div>
    <w:div w:id="1588925112">
      <w:bodyDiv w:val="1"/>
      <w:marLeft w:val="0"/>
      <w:marRight w:val="0"/>
      <w:marTop w:val="0"/>
      <w:marBottom w:val="0"/>
      <w:divBdr>
        <w:top w:val="none" w:sz="0" w:space="0" w:color="auto"/>
        <w:left w:val="none" w:sz="0" w:space="0" w:color="auto"/>
        <w:bottom w:val="none" w:sz="0" w:space="0" w:color="auto"/>
        <w:right w:val="none" w:sz="0" w:space="0" w:color="auto"/>
      </w:divBdr>
    </w:div>
    <w:div w:id="1945334525">
      <w:bodyDiv w:val="1"/>
      <w:marLeft w:val="0"/>
      <w:marRight w:val="0"/>
      <w:marTop w:val="0"/>
      <w:marBottom w:val="0"/>
      <w:divBdr>
        <w:top w:val="none" w:sz="0" w:space="0" w:color="auto"/>
        <w:left w:val="none" w:sz="0" w:space="0" w:color="auto"/>
        <w:bottom w:val="none" w:sz="0" w:space="0" w:color="auto"/>
        <w:right w:val="none" w:sz="0" w:space="0" w:color="auto"/>
      </w:divBdr>
      <w:divsChild>
        <w:div w:id="827399835">
          <w:marLeft w:val="547"/>
          <w:marRight w:val="0"/>
          <w:marTop w:val="154"/>
          <w:marBottom w:val="0"/>
          <w:divBdr>
            <w:top w:val="none" w:sz="0" w:space="0" w:color="auto"/>
            <w:left w:val="none" w:sz="0" w:space="0" w:color="auto"/>
            <w:bottom w:val="none" w:sz="0" w:space="0" w:color="auto"/>
            <w:right w:val="none" w:sz="0" w:space="0" w:color="auto"/>
          </w:divBdr>
        </w:div>
        <w:div w:id="537595296">
          <w:marLeft w:val="1166"/>
          <w:marRight w:val="0"/>
          <w:marTop w:val="134"/>
          <w:marBottom w:val="0"/>
          <w:divBdr>
            <w:top w:val="none" w:sz="0" w:space="0" w:color="auto"/>
            <w:left w:val="none" w:sz="0" w:space="0" w:color="auto"/>
            <w:bottom w:val="none" w:sz="0" w:space="0" w:color="auto"/>
            <w:right w:val="none" w:sz="0" w:space="0" w:color="auto"/>
          </w:divBdr>
        </w:div>
        <w:div w:id="936592932">
          <w:marLeft w:val="1166"/>
          <w:marRight w:val="0"/>
          <w:marTop w:val="134"/>
          <w:marBottom w:val="0"/>
          <w:divBdr>
            <w:top w:val="none" w:sz="0" w:space="0" w:color="auto"/>
            <w:left w:val="none" w:sz="0" w:space="0" w:color="auto"/>
            <w:bottom w:val="none" w:sz="0" w:space="0" w:color="auto"/>
            <w:right w:val="none" w:sz="0" w:space="0" w:color="auto"/>
          </w:divBdr>
        </w:div>
      </w:divsChild>
    </w:div>
    <w:div w:id="2056656248">
      <w:bodyDiv w:val="1"/>
      <w:marLeft w:val="0"/>
      <w:marRight w:val="0"/>
      <w:marTop w:val="0"/>
      <w:marBottom w:val="0"/>
      <w:divBdr>
        <w:top w:val="none" w:sz="0" w:space="0" w:color="auto"/>
        <w:left w:val="none" w:sz="0" w:space="0" w:color="auto"/>
        <w:bottom w:val="none" w:sz="0" w:space="0" w:color="auto"/>
        <w:right w:val="none" w:sz="0" w:space="0" w:color="auto"/>
      </w:divBdr>
      <w:divsChild>
        <w:div w:id="2025597197">
          <w:marLeft w:val="0"/>
          <w:marRight w:val="0"/>
          <w:marTop w:val="0"/>
          <w:marBottom w:val="195"/>
          <w:divBdr>
            <w:top w:val="none" w:sz="0" w:space="0" w:color="auto"/>
            <w:left w:val="none" w:sz="0" w:space="0" w:color="auto"/>
            <w:bottom w:val="none" w:sz="0" w:space="0" w:color="auto"/>
            <w:right w:val="none" w:sz="0" w:space="0" w:color="auto"/>
          </w:divBdr>
        </w:div>
      </w:divsChild>
    </w:div>
    <w:div w:id="2069643468">
      <w:bodyDiv w:val="1"/>
      <w:marLeft w:val="0"/>
      <w:marRight w:val="0"/>
      <w:marTop w:val="0"/>
      <w:marBottom w:val="0"/>
      <w:divBdr>
        <w:top w:val="none" w:sz="0" w:space="0" w:color="auto"/>
        <w:left w:val="none" w:sz="0" w:space="0" w:color="auto"/>
        <w:bottom w:val="none" w:sz="0" w:space="0" w:color="auto"/>
        <w:right w:val="none" w:sz="0" w:space="0" w:color="auto"/>
      </w:divBdr>
      <w:divsChild>
        <w:div w:id="1725331104">
          <w:marLeft w:val="547"/>
          <w:marRight w:val="0"/>
          <w:marTop w:val="154"/>
          <w:marBottom w:val="0"/>
          <w:divBdr>
            <w:top w:val="none" w:sz="0" w:space="0" w:color="auto"/>
            <w:left w:val="none" w:sz="0" w:space="0" w:color="auto"/>
            <w:bottom w:val="none" w:sz="0" w:space="0" w:color="auto"/>
            <w:right w:val="none" w:sz="0" w:space="0" w:color="auto"/>
          </w:divBdr>
        </w:div>
        <w:div w:id="1352103417">
          <w:marLeft w:val="1166"/>
          <w:marRight w:val="0"/>
          <w:marTop w:val="134"/>
          <w:marBottom w:val="0"/>
          <w:divBdr>
            <w:top w:val="none" w:sz="0" w:space="0" w:color="auto"/>
            <w:left w:val="none" w:sz="0" w:space="0" w:color="auto"/>
            <w:bottom w:val="none" w:sz="0" w:space="0" w:color="auto"/>
            <w:right w:val="none" w:sz="0" w:space="0" w:color="auto"/>
          </w:divBdr>
        </w:div>
        <w:div w:id="1029143276">
          <w:marLeft w:val="1800"/>
          <w:marRight w:val="0"/>
          <w:marTop w:val="115"/>
          <w:marBottom w:val="0"/>
          <w:divBdr>
            <w:top w:val="none" w:sz="0" w:space="0" w:color="auto"/>
            <w:left w:val="none" w:sz="0" w:space="0" w:color="auto"/>
            <w:bottom w:val="none" w:sz="0" w:space="0" w:color="auto"/>
            <w:right w:val="none" w:sz="0" w:space="0" w:color="auto"/>
          </w:divBdr>
        </w:div>
        <w:div w:id="1291133294">
          <w:marLeft w:val="1800"/>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j.rie.2017.06.001" TargetMode="External"/><Relationship Id="rId18" Type="http://schemas.openxmlformats.org/officeDocument/2006/relationships/hyperlink" Target="http://www.jeffrey-frankel.com/2014/01/26/recent-u-turns-in-central-banks-forward-guidance-were-avoidable/" TargetMode="External"/><Relationship Id="rId26" Type="http://schemas.openxmlformats.org/officeDocument/2006/relationships/hyperlink" Target="https://www.sciencedirect.com/science/journal/03043932" TargetMode="External"/><Relationship Id="rId3" Type="http://schemas.openxmlformats.org/officeDocument/2006/relationships/styles" Target="styles.xml"/><Relationship Id="rId21" Type="http://schemas.openxmlformats.org/officeDocument/2006/relationships/hyperlink" Target="https://mail.hks.harvard.edu/owa/redir.aspx?C=8jcOEdO5cUeJP7hwVOlm9drRajtTS9EIwJ8Vn9Jr7uIUDB3d7T9reSwt06GH5tYg-fVSiLVf0-M.&amp;URL=http://blog-imfdirect.imf.org/bloggers/sebastian-sosa/" TargetMode="External"/><Relationship Id="rId7" Type="http://schemas.openxmlformats.org/officeDocument/2006/relationships/footnotes" Target="footnotes.xml"/><Relationship Id="rId12" Type="http://schemas.openxmlformats.org/officeDocument/2006/relationships/hyperlink" Target="https://scholar.harvard.edu/files/frankel/files/ngdpt-_india_researchinecon.pdf" TargetMode="External"/><Relationship Id="rId17" Type="http://schemas.openxmlformats.org/officeDocument/2006/relationships/hyperlink" Target="https://voxeu.org/sites/default/files/file/P248%20inflation%20targeting(2).pdf" TargetMode="External"/><Relationship Id="rId25" Type="http://schemas.openxmlformats.org/officeDocument/2006/relationships/hyperlink" Target="https://www.sciencedirect.com/science/article/pii/S030439329900007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oxeu.org/article/central-banks-can-phase-nominal-gdp-targets-without-damaging-inflation-anchor" TargetMode="External"/><Relationship Id="rId20" Type="http://schemas.openxmlformats.org/officeDocument/2006/relationships/hyperlink" Target="https://mail.hks.harvard.edu/owa/redir.aspx?C=8jcOEdO5cUeJP7hwVOlm9drRajtTS9EIwJ8Vn9Jr7uIUDB3d7T9reSwt06GH5tYg-fVSiLVf0-M.&amp;URL=http://blog-imfdirect.imf.org/bloggers/andre-meier/" TargetMode="External"/><Relationship Id="rId29" Type="http://schemas.openxmlformats.org/officeDocument/2006/relationships/hyperlink" Target="http://www.stanford.edu/~johntayl/Papers/Discretion.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heinonline.org/hol-cgi-bin/get_pdf.cgi?handle=hein.journals/catoj34&amp;section=26"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hks.harvard.edu/fs/jfrankel/CatoRespCrisesJun07+fn15&amp;2.pdf" TargetMode="External"/><Relationship Id="rId23" Type="http://schemas.openxmlformats.org/officeDocument/2006/relationships/hyperlink" Target="https://www.nytimes.com/2011/10/30/business/economy/ben-bernanke-needs-a-volcker-moment.html" TargetMode="External"/><Relationship Id="rId28" Type="http://schemas.openxmlformats.org/officeDocument/2006/relationships/hyperlink" Target="http://citeseerx.ist.psu.edu/viewdoc/download?doi=10.1.1.177.4177&amp;rep=rep1&amp;type=pdf" TargetMode="External"/><Relationship Id="rId10" Type="http://schemas.openxmlformats.org/officeDocument/2006/relationships/hyperlink" Target="https://www.federalreserve.gov/monetarypolicy/files/fomcprojtabl20171213.pdf" TargetMode="External"/><Relationship Id="rId19" Type="http://schemas.openxmlformats.org/officeDocument/2006/relationships/hyperlink" Target="https://mail.hks.harvard.edu/owa/redir.aspx?C=8jcOEdO5cUeJP7hwVOlm9drRajtTS9EIwJ8Vn9Jr7uIUDB3d7T9reSwt06GH5tYg-fVSiLVf0-M.&amp;URL=http://blog-imfdirect.imf.org/bloggers/alexander-klemm/"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imf.org/external/pubs/ft/spn/2010/spn1003.pdf" TargetMode="External"/><Relationship Id="rId22" Type="http://schemas.openxmlformats.org/officeDocument/2006/relationships/hyperlink" Target="https://mail.hks.harvard.edu/owa/redir.aspx?C=8jcOEdO5cUeJP7hwVOlm9drRajtTS9EIwJ8Vn9Jr7uIUDB3d7T9reSwt06GH5tYg-fVSiLVf0-M.&amp;URL=http://imfdirect.wordpress.com/?p%3d7545" TargetMode="External"/><Relationship Id="rId27" Type="http://schemas.openxmlformats.org/officeDocument/2006/relationships/hyperlink" Target="https://www.sciencedirect.com/science/journal/03043932/43/3" TargetMode="External"/><Relationship Id="rId30" Type="http://schemas.openxmlformats.org/officeDocument/2006/relationships/hyperlink" Target="https://www.wsj.com/articles/donald-trump-says-not-happy-about-federal-reserve-interest-rate-increases-1532020248"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stlouisfed.org/~/media/Files/PDFs/Bullard/papers/Optimal-QE-2015May27.pdf" TargetMode="External"/><Relationship Id="rId3" Type="http://schemas.openxmlformats.org/officeDocument/2006/relationships/hyperlink" Target="https://marketmonetarist.com/" TargetMode="External"/><Relationship Id="rId7" Type="http://schemas.openxmlformats.org/officeDocument/2006/relationships/hyperlink" Target="https://www.brookings.edu/wp-content/uploads/2014/03/2014a_Sheedy.pdf" TargetMode="External"/><Relationship Id="rId2" Type="http://schemas.openxmlformats.org/officeDocument/2006/relationships/hyperlink" Target="http://www.themoneyillusion.com/" TargetMode="External"/><Relationship Id="rId1" Type="http://schemas.openxmlformats.org/officeDocument/2006/relationships/hyperlink" Target="http://macromarketmusings.blogspot.com/" TargetMode="External"/><Relationship Id="rId6" Type="http://schemas.openxmlformats.org/officeDocument/2006/relationships/hyperlink" Target="http://citeseerx.ist.psu.edu/viewdoc/download?doi=10.1.1.362.3591&amp;rep=rep1&amp;type=pdf" TargetMode="External"/><Relationship Id="rId5" Type="http://schemas.openxmlformats.org/officeDocument/2006/relationships/hyperlink" Target="http://thefaintofheart.wordpress.com/" TargetMode="External"/><Relationship Id="rId4" Type="http://schemas.openxmlformats.org/officeDocument/2006/relationships/hyperlink" Target="https://marketmonetarist.com/tag/inflation-targ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9F07C-EE77-469A-B779-95CDCE1F0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3079</Words>
  <Characters>17556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itfsa</dc:creator>
  <cp:lastModifiedBy>itfsa</cp:lastModifiedBy>
  <cp:revision>3</cp:revision>
  <dcterms:created xsi:type="dcterms:W3CDTF">2018-10-26T03:07:00Z</dcterms:created>
  <dcterms:modified xsi:type="dcterms:W3CDTF">2018-10-26T19:09:00Z</dcterms:modified>
</cp:coreProperties>
</file>