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40F" w:rsidRPr="00D07EA0" w:rsidRDefault="00C0440F" w:rsidP="00D07EA0">
      <w:pPr>
        <w:shd w:val="clear" w:color="auto" w:fill="FEFEFE"/>
        <w:spacing w:after="0" w:line="240" w:lineRule="auto"/>
        <w:jc w:val="center"/>
        <w:rPr>
          <w:rFonts w:ascii="Helvetica" w:eastAsia="Times New Roman" w:hAnsi="Helvetica" w:cs="Helvetica"/>
          <w:color w:val="333333"/>
          <w:sz w:val="28"/>
          <w:szCs w:val="28"/>
        </w:rPr>
      </w:pPr>
      <w:r w:rsidRPr="00C0440F">
        <w:rPr>
          <w:rFonts w:ascii="Helvetica" w:eastAsia="Times New Roman" w:hAnsi="Helvetica" w:cs="Helvetica"/>
          <w:color w:val="333333"/>
          <w:sz w:val="28"/>
          <w:szCs w:val="28"/>
        </w:rPr>
        <w:t xml:space="preserve">Frankel, Jeffrey A. </w:t>
      </w:r>
      <w:r w:rsidR="00D07EA0" w:rsidRPr="00D07EA0">
        <w:rPr>
          <w:rFonts w:ascii="Helvetica" w:hAnsi="Helvetica" w:cs="Helvetica"/>
          <w:color w:val="1E1E1E"/>
          <w:sz w:val="28"/>
          <w:szCs w:val="28"/>
          <w:shd w:val="clear" w:color="auto" w:fill="FFFFFF"/>
        </w:rPr>
        <w:t>"</w:t>
      </w:r>
      <w:hyperlink r:id="rId5" w:tooltip="" w:history="1">
        <w:r w:rsidR="00D07EA0" w:rsidRPr="00D07EA0">
          <w:rPr>
            <w:rStyle w:val="Hyperlink"/>
            <w:rFonts w:ascii="Helvetica" w:hAnsi="Helvetica" w:cs="Helvetica"/>
            <w:color w:val="215990"/>
            <w:sz w:val="28"/>
            <w:szCs w:val="28"/>
            <w:shd w:val="clear" w:color="auto" w:fill="FFFFFF"/>
          </w:rPr>
          <w:t>Responding to Crises</w:t>
        </w:r>
      </w:hyperlink>
      <w:r w:rsidR="00D07EA0" w:rsidRPr="00D07EA0">
        <w:rPr>
          <w:rFonts w:ascii="Helvetica" w:hAnsi="Helvetica" w:cs="Helvetica"/>
          <w:color w:val="1E1E1E"/>
          <w:sz w:val="28"/>
          <w:szCs w:val="28"/>
          <w:shd w:val="clear" w:color="auto" w:fill="FFFFFF"/>
        </w:rPr>
        <w:t>," </w:t>
      </w:r>
      <w:r w:rsidR="00D07EA0">
        <w:rPr>
          <w:rFonts w:ascii="Helvetica" w:hAnsi="Helvetica" w:cs="Helvetica"/>
          <w:color w:val="1E1E1E"/>
          <w:sz w:val="28"/>
          <w:szCs w:val="28"/>
          <w:shd w:val="clear" w:color="auto" w:fill="FFFFFF"/>
        </w:rPr>
        <w:br/>
      </w:r>
      <w:r w:rsidR="00D07EA0" w:rsidRPr="00D07EA0">
        <w:rPr>
          <w:rFonts w:ascii="Helvetica" w:hAnsi="Helvetica" w:cs="Helvetica"/>
          <w:color w:val="1E1E1E"/>
          <w:sz w:val="28"/>
          <w:szCs w:val="28"/>
          <w:shd w:val="clear" w:color="auto" w:fill="FFFFFF"/>
        </w:rPr>
        <w:t>in </w:t>
      </w:r>
      <w:hyperlink r:id="rId6" w:history="1">
        <w:r w:rsidR="00D07EA0">
          <w:rPr>
            <w:rStyle w:val="Hyperlink"/>
            <w:rFonts w:ascii="Helvetica" w:hAnsi="Helvetica" w:cs="Helvetica"/>
            <w:i/>
            <w:iCs/>
            <w:color w:val="215990"/>
            <w:sz w:val="28"/>
            <w:szCs w:val="28"/>
            <w:shd w:val="clear" w:color="auto" w:fill="FFFFFF"/>
          </w:rPr>
          <w:t xml:space="preserve">Cato </w:t>
        </w:r>
        <w:r w:rsidR="00D07EA0" w:rsidRPr="00D07EA0">
          <w:rPr>
            <w:rStyle w:val="Hyperlink"/>
            <w:rFonts w:ascii="Helvetica" w:hAnsi="Helvetica" w:cs="Helvetica"/>
            <w:i/>
            <w:iCs/>
            <w:color w:val="215990"/>
            <w:sz w:val="28"/>
            <w:szCs w:val="28"/>
            <w:shd w:val="clear" w:color="auto" w:fill="FFFFFF"/>
          </w:rPr>
          <w:t>Journal</w:t>
        </w:r>
      </w:hyperlink>
      <w:r w:rsidR="00D07EA0" w:rsidRPr="00D07EA0">
        <w:rPr>
          <w:rStyle w:val="Emphasis"/>
          <w:rFonts w:ascii="Helvetica" w:hAnsi="Helvetica" w:cs="Helvetica"/>
          <w:color w:val="1E1E1E"/>
          <w:sz w:val="28"/>
          <w:szCs w:val="28"/>
          <w:shd w:val="clear" w:color="auto" w:fill="FFFFFF"/>
        </w:rPr>
        <w:t> </w:t>
      </w:r>
      <w:r w:rsidR="00D07EA0">
        <w:rPr>
          <w:rStyle w:val="Emphasis"/>
          <w:rFonts w:ascii="Helvetica" w:hAnsi="Helvetica" w:cs="Helvetica"/>
          <w:color w:val="1E1E1E"/>
          <w:sz w:val="28"/>
          <w:szCs w:val="28"/>
          <w:shd w:val="clear" w:color="auto" w:fill="FFFFFF"/>
        </w:rPr>
        <w:t xml:space="preserve"> </w:t>
      </w:r>
      <w:r w:rsidR="00D07EA0" w:rsidRPr="00D07EA0">
        <w:rPr>
          <w:rFonts w:ascii="Helvetica" w:hAnsi="Helvetica" w:cs="Helvetica"/>
          <w:color w:val="1E1E1E"/>
          <w:sz w:val="28"/>
          <w:szCs w:val="28"/>
          <w:shd w:val="clear" w:color="auto" w:fill="FFFFFF"/>
        </w:rPr>
        <w:t>27, </w:t>
      </w:r>
      <w:hyperlink r:id="rId7" w:history="1">
        <w:r w:rsidR="00D07EA0" w:rsidRPr="00D07EA0">
          <w:rPr>
            <w:rStyle w:val="Hyperlink"/>
            <w:rFonts w:ascii="Helvetica" w:hAnsi="Helvetica" w:cs="Helvetica"/>
            <w:color w:val="215990"/>
            <w:sz w:val="28"/>
            <w:szCs w:val="28"/>
            <w:shd w:val="clear" w:color="auto" w:fill="FFFFFF"/>
          </w:rPr>
          <w:t>no.2</w:t>
        </w:r>
      </w:hyperlink>
      <w:r w:rsidR="00D07EA0" w:rsidRPr="00D07EA0">
        <w:rPr>
          <w:rFonts w:ascii="Helvetica" w:hAnsi="Helvetica" w:cs="Helvetica"/>
          <w:color w:val="1E1E1E"/>
          <w:sz w:val="28"/>
          <w:szCs w:val="28"/>
          <w:shd w:val="clear" w:color="auto" w:fill="FFFFFF"/>
        </w:rPr>
        <w:t>, </w:t>
      </w:r>
      <w:hyperlink r:id="rId8" w:history="1">
        <w:r w:rsidR="00D07EA0" w:rsidRPr="00D07EA0">
          <w:rPr>
            <w:rStyle w:val="Hyperlink"/>
            <w:rFonts w:ascii="Helvetica" w:hAnsi="Helvetica" w:cs="Helvetica"/>
            <w:color w:val="215990"/>
            <w:sz w:val="28"/>
            <w:szCs w:val="28"/>
            <w:shd w:val="clear" w:color="auto" w:fill="FFFFFF"/>
          </w:rPr>
          <w:t>Spring/Summer 2007</w:t>
        </w:r>
      </w:hyperlink>
      <w:r w:rsidR="00D07EA0" w:rsidRPr="00D07EA0">
        <w:rPr>
          <w:rFonts w:ascii="Helvetica" w:hAnsi="Helvetica" w:cs="Helvetica"/>
          <w:color w:val="1E1E1E"/>
          <w:sz w:val="28"/>
          <w:szCs w:val="28"/>
          <w:shd w:val="clear" w:color="auto" w:fill="FFFFFF"/>
        </w:rPr>
        <w:t>, pp.165-178. </w:t>
      </w:r>
      <w:r w:rsidR="00D07EA0">
        <w:rPr>
          <w:rFonts w:ascii="Helvetica" w:hAnsi="Helvetica" w:cs="Helvetica"/>
          <w:color w:val="1E1E1E"/>
          <w:sz w:val="28"/>
          <w:szCs w:val="28"/>
          <w:shd w:val="clear" w:color="auto" w:fill="FFFFFF"/>
        </w:rPr>
        <w:br/>
      </w:r>
      <w:r w:rsidR="00D07EA0">
        <w:rPr>
          <w:rFonts w:ascii="Helvetica" w:hAnsi="Helvetica" w:cs="Helvetica"/>
          <w:color w:val="1E1E1E"/>
          <w:sz w:val="28"/>
          <w:szCs w:val="28"/>
          <w:shd w:val="clear" w:color="auto" w:fill="FFFFFF"/>
        </w:rPr>
        <w:br/>
      </w:r>
      <w:r w:rsidR="00D07EA0" w:rsidRPr="00D07EA0">
        <w:rPr>
          <w:rFonts w:ascii="Helvetica" w:hAnsi="Helvetica" w:cs="Helvetica"/>
          <w:color w:val="1E1E1E"/>
          <w:sz w:val="28"/>
          <w:szCs w:val="28"/>
          <w:shd w:val="clear" w:color="auto" w:fill="FFFFFF"/>
        </w:rPr>
        <w:t>24th Annual Monetary Conference, </w:t>
      </w:r>
      <w:hyperlink r:id="rId9" w:history="1">
        <w:r w:rsidR="00D07EA0" w:rsidRPr="00D07EA0">
          <w:rPr>
            <w:rStyle w:val="Hyperlink"/>
            <w:rFonts w:ascii="Helvetica" w:hAnsi="Helvetica" w:cs="Helvetica"/>
            <w:color w:val="215990"/>
            <w:sz w:val="28"/>
            <w:szCs w:val="28"/>
            <w:shd w:val="clear" w:color="auto" w:fill="FFFFFF"/>
          </w:rPr>
          <w:t>Cato Institute</w:t>
        </w:r>
      </w:hyperlink>
      <w:proofErr w:type="gramStart"/>
      <w:r w:rsidR="00D07EA0" w:rsidRPr="00D07EA0">
        <w:rPr>
          <w:rFonts w:ascii="Helvetica" w:hAnsi="Helvetica" w:cs="Helvetica"/>
          <w:color w:val="1E1E1E"/>
          <w:sz w:val="28"/>
          <w:szCs w:val="28"/>
          <w:shd w:val="clear" w:color="auto" w:fill="FFFFFF"/>
        </w:rPr>
        <w:t>;</w:t>
      </w:r>
      <w:proofErr w:type="gramEnd"/>
      <w:r w:rsidR="00D07EA0">
        <w:rPr>
          <w:rFonts w:ascii="Helvetica" w:hAnsi="Helvetica" w:cs="Helvetica"/>
          <w:color w:val="1E1E1E"/>
          <w:sz w:val="28"/>
          <w:szCs w:val="28"/>
          <w:shd w:val="clear" w:color="auto" w:fill="FFFFFF"/>
        </w:rPr>
        <w:br/>
      </w:r>
      <w:r w:rsidR="00D07EA0" w:rsidRPr="00D07EA0">
        <w:rPr>
          <w:rFonts w:ascii="Helvetica" w:eastAsia="Times New Roman" w:hAnsi="Helvetica" w:cs="Helvetica"/>
          <w:color w:val="333333"/>
          <w:sz w:val="28"/>
          <w:szCs w:val="28"/>
        </w:rPr>
        <w:br/>
      </w:r>
      <w:r w:rsidR="00D07EA0" w:rsidRPr="00D07EA0">
        <w:rPr>
          <w:rFonts w:ascii="Helvetica" w:eastAsia="Times New Roman" w:hAnsi="Helvetica" w:cs="Helvetica"/>
          <w:color w:val="333333"/>
          <w:sz w:val="24"/>
          <w:szCs w:val="24"/>
        </w:rPr>
        <w:t xml:space="preserve">Harvard Kennedy School </w:t>
      </w:r>
      <w:r w:rsidRPr="00C0440F">
        <w:rPr>
          <w:rFonts w:ascii="Helvetica" w:eastAsia="Times New Roman" w:hAnsi="Helvetica" w:cs="Helvetica"/>
          <w:color w:val="333333"/>
          <w:sz w:val="24"/>
          <w:szCs w:val="24"/>
        </w:rPr>
        <w:t xml:space="preserve">Faculty Research Working Paper Series </w:t>
      </w:r>
      <w:hyperlink r:id="rId10" w:tooltip="" w:history="1">
        <w:r w:rsidR="00D07EA0" w:rsidRPr="00D07EA0">
          <w:rPr>
            <w:rStyle w:val="Hyperlink"/>
            <w:rFonts w:ascii="Helvetica" w:hAnsi="Helvetica" w:cs="Helvetica"/>
            <w:color w:val="215990"/>
            <w:sz w:val="24"/>
            <w:szCs w:val="24"/>
            <w:shd w:val="clear" w:color="auto" w:fill="FFFFFF"/>
          </w:rPr>
          <w:t>HKS RWP07-010</w:t>
        </w:r>
      </w:hyperlink>
      <w:r w:rsidR="00D07EA0" w:rsidRPr="00D07EA0">
        <w:rPr>
          <w:rFonts w:ascii="Helvetica" w:hAnsi="Helvetica" w:cs="Helvetica"/>
          <w:sz w:val="24"/>
          <w:szCs w:val="24"/>
          <w:shd w:val="clear" w:color="auto" w:fill="FFFFFF"/>
        </w:rPr>
        <w:t xml:space="preserve">, </w:t>
      </w:r>
      <w:r w:rsidR="00D07EA0" w:rsidRPr="00D07EA0">
        <w:rPr>
          <w:rFonts w:ascii="Helvetica" w:eastAsia="Times New Roman" w:hAnsi="Helvetica" w:cs="Helvetica"/>
          <w:color w:val="333333"/>
          <w:sz w:val="24"/>
          <w:szCs w:val="24"/>
        </w:rPr>
        <w:t xml:space="preserve">Harvard </w:t>
      </w:r>
      <w:r w:rsidR="00D07EA0" w:rsidRPr="00D07EA0">
        <w:rPr>
          <w:rFonts w:ascii="Helvetica" w:eastAsia="Times New Roman" w:hAnsi="Helvetica" w:cs="Helvetica"/>
          <w:color w:val="333333"/>
          <w:sz w:val="24"/>
          <w:szCs w:val="24"/>
        </w:rPr>
        <w:t>University</w:t>
      </w:r>
      <w:r w:rsidR="00D07EA0" w:rsidRPr="00D07EA0">
        <w:rPr>
          <w:rFonts w:ascii="Helvetica" w:eastAsia="Times New Roman" w:hAnsi="Helvetica" w:cs="Helvetica"/>
          <w:color w:val="333333"/>
          <w:sz w:val="24"/>
          <w:szCs w:val="24"/>
        </w:rPr>
        <w:t>,</w:t>
      </w:r>
      <w:r w:rsidR="00D07EA0" w:rsidRPr="00C0440F">
        <w:rPr>
          <w:rFonts w:ascii="Helvetica" w:eastAsia="Times New Roman" w:hAnsi="Helvetica" w:cs="Helvetica"/>
          <w:color w:val="333333"/>
          <w:sz w:val="24"/>
          <w:szCs w:val="24"/>
        </w:rPr>
        <w:t xml:space="preserve"> February 2007.</w:t>
      </w:r>
      <w:r w:rsidR="00D07EA0" w:rsidRPr="00D07EA0">
        <w:rPr>
          <w:rFonts w:ascii="Helvetica" w:hAnsi="Helvetica" w:cs="Helvetica"/>
          <w:color w:val="1E1E1E"/>
          <w:sz w:val="28"/>
          <w:szCs w:val="28"/>
          <w:shd w:val="clear" w:color="auto" w:fill="FFFFFF"/>
        </w:rPr>
        <w:t>  </w:t>
      </w:r>
    </w:p>
    <w:p w:rsidR="000521AE" w:rsidRDefault="000521AE" w:rsidP="00C0440F">
      <w:pPr>
        <w:shd w:val="clear" w:color="auto" w:fill="FEFEFE"/>
        <w:spacing w:after="0" w:line="240" w:lineRule="auto"/>
        <w:rPr>
          <w:rFonts w:ascii="Helvetica" w:eastAsia="Times New Roman" w:hAnsi="Helvetica" w:cs="Helvetica"/>
          <w:color w:val="333333"/>
          <w:sz w:val="28"/>
          <w:szCs w:val="28"/>
        </w:rPr>
      </w:pPr>
    </w:p>
    <w:p w:rsidR="00D07EA0" w:rsidRPr="00C0440F" w:rsidRDefault="00D07EA0" w:rsidP="00C0440F">
      <w:pPr>
        <w:shd w:val="clear" w:color="auto" w:fill="FEFEFE"/>
        <w:spacing w:after="0" w:line="240" w:lineRule="auto"/>
        <w:rPr>
          <w:rFonts w:ascii="Helvetica" w:eastAsia="Times New Roman" w:hAnsi="Helvetica" w:cs="Helvetica"/>
          <w:color w:val="333333"/>
          <w:sz w:val="28"/>
          <w:szCs w:val="28"/>
        </w:rPr>
      </w:pPr>
      <w:bookmarkStart w:id="0" w:name="_GoBack"/>
      <w:bookmarkEnd w:id="0"/>
    </w:p>
    <w:p w:rsidR="00C0440F" w:rsidRPr="000521AE" w:rsidRDefault="00C0440F" w:rsidP="000521AE">
      <w:pPr>
        <w:shd w:val="clear" w:color="auto" w:fill="FEFEFE"/>
        <w:spacing w:before="100" w:beforeAutospacing="1" w:after="100" w:afterAutospacing="1" w:line="240" w:lineRule="auto"/>
        <w:jc w:val="center"/>
        <w:outlineLvl w:val="2"/>
        <w:rPr>
          <w:rFonts w:ascii="Helvetica" w:eastAsia="Times New Roman" w:hAnsi="Helvetica" w:cs="Helvetica"/>
          <w:b/>
          <w:bCs/>
          <w:color w:val="333333"/>
          <w:sz w:val="28"/>
          <w:szCs w:val="28"/>
        </w:rPr>
      </w:pPr>
      <w:r w:rsidRPr="00C0440F">
        <w:rPr>
          <w:rFonts w:ascii="Helvetica" w:eastAsia="Times New Roman" w:hAnsi="Helvetica" w:cs="Helvetica"/>
          <w:b/>
          <w:bCs/>
          <w:color w:val="333333"/>
          <w:sz w:val="28"/>
          <w:szCs w:val="28"/>
        </w:rPr>
        <w:t>Abstract</w:t>
      </w:r>
    </w:p>
    <w:p w:rsidR="000452A7" w:rsidRPr="000521AE" w:rsidRDefault="00C0440F">
      <w:pPr>
        <w:rPr>
          <w:sz w:val="28"/>
          <w:szCs w:val="28"/>
        </w:rPr>
      </w:pPr>
      <w:r w:rsidRPr="000521AE">
        <w:rPr>
          <w:rFonts w:ascii="Helvetica" w:hAnsi="Helvetica" w:cs="Helvetica"/>
          <w:color w:val="333333"/>
          <w:sz w:val="28"/>
          <w:szCs w:val="28"/>
          <w:shd w:val="clear" w:color="auto" w:fill="FEFEFE"/>
        </w:rPr>
        <w:t>They say “there are no atheists in foxholes.” Perhaps, then, there are also no libertarians in crises.</w:t>
      </w:r>
      <w:r w:rsidRPr="000521AE">
        <w:rPr>
          <w:rFonts w:ascii="Helvetica" w:hAnsi="Helvetica" w:cs="Helvetica"/>
          <w:color w:val="333333"/>
          <w:sz w:val="28"/>
          <w:szCs w:val="28"/>
          <w:shd w:val="clear" w:color="auto" w:fill="FEFEFE"/>
        </w:rPr>
        <w:t xml:space="preserve"> Even those in favor of </w:t>
      </w:r>
      <w:r w:rsidRPr="000521AE">
        <w:rPr>
          <w:rFonts w:ascii="Helvetica" w:hAnsi="Helvetica" w:cs="Helvetica"/>
          <w:color w:val="333333"/>
          <w:sz w:val="28"/>
          <w:szCs w:val="28"/>
          <w:shd w:val="clear" w:color="auto" w:fill="FEFEFE"/>
        </w:rPr>
        <w:t>reducing the role of t</w:t>
      </w:r>
      <w:r w:rsidRPr="000521AE">
        <w:rPr>
          <w:rFonts w:ascii="Helvetica" w:hAnsi="Helvetica" w:cs="Helvetica"/>
          <w:color w:val="333333"/>
          <w:sz w:val="28"/>
          <w:szCs w:val="28"/>
          <w:shd w:val="clear" w:color="auto" w:fill="FEFEFE"/>
        </w:rPr>
        <w:t>he government usually agree</w:t>
      </w:r>
      <w:r w:rsidRPr="000521AE">
        <w:rPr>
          <w:rFonts w:ascii="Helvetica" w:hAnsi="Helvetica" w:cs="Helvetica"/>
          <w:color w:val="333333"/>
          <w:sz w:val="28"/>
          <w:szCs w:val="28"/>
          <w:shd w:val="clear" w:color="auto" w:fill="FEFEFE"/>
        </w:rPr>
        <w:t xml:space="preserve">, for example, </w:t>
      </w:r>
      <w:r w:rsidRPr="000521AE">
        <w:rPr>
          <w:rFonts w:ascii="Helvetica" w:hAnsi="Helvetica" w:cs="Helvetica"/>
          <w:color w:val="333333"/>
          <w:sz w:val="28"/>
          <w:szCs w:val="28"/>
          <w:shd w:val="clear" w:color="auto" w:fill="FEFEFE"/>
        </w:rPr>
        <w:t xml:space="preserve">that </w:t>
      </w:r>
      <w:r w:rsidRPr="000521AE">
        <w:rPr>
          <w:rFonts w:ascii="Helvetica" w:hAnsi="Helvetica" w:cs="Helvetica"/>
          <w:color w:val="333333"/>
          <w:sz w:val="28"/>
          <w:szCs w:val="28"/>
          <w:shd w:val="clear" w:color="auto" w:fill="FEFEFE"/>
        </w:rPr>
        <w:t>there is a valid Lender of Last Resort role for the central bank in the event of banking panics or disruptions as occurred on September 11, 2001. But crises should not become an excuse for public policy that is hasty or ill-informed, or that serves primarily the interests of the policymakers themselves or of special interests. The response must be appropriate and careful. It must be informed by the longer term perspective offered in the lessons of historical precedent, particularly regarding the fallibility of well-intentioned government intervention, and by an awareness of the dangers identified in the theory of moral hazard</w:t>
      </w:r>
      <w:r w:rsidRPr="000521AE">
        <w:rPr>
          <w:rFonts w:ascii="Helvetica" w:hAnsi="Helvetica" w:cs="Helvetica"/>
          <w:color w:val="333333"/>
          <w:sz w:val="28"/>
          <w:szCs w:val="28"/>
          <w:shd w:val="clear" w:color="auto" w:fill="FEFEFE"/>
        </w:rPr>
        <w:t>. This paper details some</w:t>
      </w:r>
      <w:r w:rsidRPr="000521AE">
        <w:rPr>
          <w:rFonts w:ascii="Helvetica" w:hAnsi="Helvetica" w:cs="Helvetica"/>
          <w:color w:val="333333"/>
          <w:sz w:val="28"/>
          <w:szCs w:val="28"/>
          <w:shd w:val="clear" w:color="auto" w:fill="FEFEFE"/>
        </w:rPr>
        <w:t xml:space="preserve"> lessons from several past crises of varying nature: inflation crises, stock market crashes, bond market crashes, housing crashes, and various international crises, including the possibilities of a hard landing for the dollar, emerging market crises, oil shock, geopolitical crisis, and trade collapse. Th</w:t>
      </w:r>
      <w:r w:rsidRPr="000521AE">
        <w:rPr>
          <w:rFonts w:ascii="Helvetica" w:hAnsi="Helvetica" w:cs="Helvetica"/>
          <w:color w:val="333333"/>
          <w:sz w:val="28"/>
          <w:szCs w:val="28"/>
          <w:shd w:val="clear" w:color="auto" w:fill="FEFEFE"/>
        </w:rPr>
        <w:t>e</w:t>
      </w:r>
      <w:r w:rsidRPr="000521AE">
        <w:rPr>
          <w:rFonts w:ascii="Helvetica" w:hAnsi="Helvetica" w:cs="Helvetica"/>
          <w:color w:val="333333"/>
          <w:sz w:val="28"/>
          <w:szCs w:val="28"/>
          <w:shd w:val="clear" w:color="auto" w:fill="FEFEFE"/>
        </w:rPr>
        <w:t xml:space="preserve"> paper draws heavily on US historical examples from the last four decades.</w:t>
      </w:r>
    </w:p>
    <w:sectPr w:rsidR="000452A7" w:rsidRPr="00052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40F"/>
    <w:rsid w:val="000452A7"/>
    <w:rsid w:val="000521AE"/>
    <w:rsid w:val="00674EEE"/>
    <w:rsid w:val="00C0440F"/>
    <w:rsid w:val="00D0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paragraph" w:styleId="Heading3">
    <w:name w:val="heading 3"/>
    <w:basedOn w:val="Normal"/>
    <w:link w:val="Heading3Char"/>
    <w:uiPriority w:val="9"/>
    <w:qFormat/>
    <w:rsid w:val="00C044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440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521AE"/>
    <w:rPr>
      <w:color w:val="0000FF" w:themeColor="hyperlink"/>
      <w:u w:val="single"/>
    </w:rPr>
  </w:style>
  <w:style w:type="character" w:styleId="Emphasis">
    <w:name w:val="Emphasis"/>
    <w:basedOn w:val="DefaultParagraphFont"/>
    <w:uiPriority w:val="20"/>
    <w:qFormat/>
    <w:rsid w:val="00D07E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paragraph" w:styleId="Heading3">
    <w:name w:val="heading 3"/>
    <w:basedOn w:val="Normal"/>
    <w:link w:val="Heading3Char"/>
    <w:uiPriority w:val="9"/>
    <w:qFormat/>
    <w:rsid w:val="00C044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440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521AE"/>
    <w:rPr>
      <w:color w:val="0000FF" w:themeColor="hyperlink"/>
      <w:u w:val="single"/>
    </w:rPr>
  </w:style>
  <w:style w:type="character" w:styleId="Emphasis">
    <w:name w:val="Emphasis"/>
    <w:basedOn w:val="DefaultParagraphFont"/>
    <w:uiPriority w:val="20"/>
    <w:qFormat/>
    <w:rsid w:val="00D07E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160538">
      <w:bodyDiv w:val="1"/>
      <w:marLeft w:val="0"/>
      <w:marRight w:val="0"/>
      <w:marTop w:val="0"/>
      <w:marBottom w:val="0"/>
      <w:divBdr>
        <w:top w:val="none" w:sz="0" w:space="0" w:color="auto"/>
        <w:left w:val="none" w:sz="0" w:space="0" w:color="auto"/>
        <w:bottom w:val="none" w:sz="0" w:space="0" w:color="auto"/>
        <w:right w:val="none" w:sz="0" w:space="0" w:color="auto"/>
      </w:divBdr>
      <w:divsChild>
        <w:div w:id="220798142">
          <w:marLeft w:val="0"/>
          <w:marRight w:val="0"/>
          <w:marTop w:val="0"/>
          <w:marBottom w:val="0"/>
          <w:divBdr>
            <w:top w:val="none" w:sz="0" w:space="0" w:color="auto"/>
            <w:left w:val="none" w:sz="0" w:space="0" w:color="auto"/>
            <w:bottom w:val="none" w:sz="0" w:space="0" w:color="auto"/>
            <w:right w:val="none" w:sz="0" w:space="0" w:color="auto"/>
          </w:divBdr>
          <w:divsChild>
            <w:div w:id="1487932894">
              <w:marLeft w:val="0"/>
              <w:marRight w:val="0"/>
              <w:marTop w:val="0"/>
              <w:marBottom w:val="0"/>
              <w:divBdr>
                <w:top w:val="none" w:sz="0" w:space="0" w:color="auto"/>
                <w:left w:val="none" w:sz="0" w:space="0" w:color="auto"/>
                <w:bottom w:val="none" w:sz="0" w:space="0" w:color="auto"/>
                <w:right w:val="none" w:sz="0" w:space="0" w:color="auto"/>
              </w:divBdr>
            </w:div>
          </w:divsChild>
        </w:div>
        <w:div w:id="113451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o.org/pubs/journal/cj27n2/cj27n2-6.pdf" TargetMode="External"/><Relationship Id="rId3" Type="http://schemas.openxmlformats.org/officeDocument/2006/relationships/settings" Target="settings.xml"/><Relationship Id="rId7" Type="http://schemas.openxmlformats.org/officeDocument/2006/relationships/hyperlink" Target="http://www.cato.org/pubs/journal/cj27n2/cj27n2.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to.org/pubs/journal" TargetMode="External"/><Relationship Id="rId11" Type="http://schemas.openxmlformats.org/officeDocument/2006/relationships/fontTable" Target="fontTable.xml"/><Relationship Id="rId5" Type="http://schemas.openxmlformats.org/officeDocument/2006/relationships/hyperlink" Target="https://object.cato.org/sites/cato.org/files/serials/files/cato-journal/2007/5/cj27n2-6.pdf" TargetMode="External"/><Relationship Id="rId10" Type="http://schemas.openxmlformats.org/officeDocument/2006/relationships/hyperlink" Target="https://www.hks.harvard.edu/publications/responding-financial-crises" TargetMode="External"/><Relationship Id="rId4" Type="http://schemas.openxmlformats.org/officeDocument/2006/relationships/webSettings" Target="webSettings.xml"/><Relationship Id="rId9" Type="http://schemas.openxmlformats.org/officeDocument/2006/relationships/hyperlink" Target="http://www.cato.org/podca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2018-07-28T15:13:00Z</dcterms:created>
  <dcterms:modified xsi:type="dcterms:W3CDTF">2018-07-28T15:28:00Z</dcterms:modified>
</cp:coreProperties>
</file>