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86" w:rsidRPr="00A53506" w:rsidRDefault="00803C86" w:rsidP="00017BB4">
      <w:pPr>
        <w:jc w:val="center"/>
        <w:rPr>
          <w:b/>
        </w:rPr>
      </w:pPr>
      <w:r>
        <w:rPr>
          <w:b/>
        </w:rPr>
        <w:t xml:space="preserve">Data for </w:t>
      </w:r>
      <w:r w:rsidRPr="00A53506">
        <w:rPr>
          <w:b/>
        </w:rPr>
        <w:t>A Solution to Fiscal Procyclicality:</w:t>
      </w:r>
      <w:r>
        <w:rPr>
          <w:b/>
        </w:rPr>
        <w:t xml:space="preserve"> </w:t>
      </w:r>
    </w:p>
    <w:p w:rsidR="00803C86" w:rsidRDefault="00803C86" w:rsidP="00017BB4">
      <w:pPr>
        <w:jc w:val="center"/>
        <w:rPr>
          <w:b/>
        </w:rPr>
      </w:pPr>
      <w:r w:rsidRPr="00A53506">
        <w:rPr>
          <w:b/>
        </w:rPr>
        <w:t>The Structural Budget Institutions Pioneered by Chile</w:t>
      </w:r>
    </w:p>
    <w:p w:rsidR="00803C86" w:rsidRPr="00F15582" w:rsidRDefault="00803C86" w:rsidP="00017BB4">
      <w:pPr>
        <w:jc w:val="center"/>
        <w:rPr>
          <w:b/>
          <w:sz w:val="12"/>
          <w:szCs w:val="12"/>
        </w:rPr>
      </w:pPr>
      <w:r w:rsidRPr="001446F8">
        <w:rPr>
          <w:b/>
        </w:rPr>
        <w:t>Jeffrey Frankel, Harvard University</w:t>
      </w:r>
    </w:p>
    <w:p w:rsidR="00803C86" w:rsidRPr="00A53506" w:rsidRDefault="00803C86" w:rsidP="00017BB4">
      <w:pPr>
        <w:jc w:val="center"/>
        <w:rPr>
          <w:b/>
          <w:sz w:val="10"/>
          <w:szCs w:val="10"/>
        </w:rPr>
      </w:pPr>
    </w:p>
    <w:p w:rsidR="00803C86" w:rsidRPr="00DA1286" w:rsidRDefault="00803C86" w:rsidP="008E6A1B">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88"/>
        <w:gridCol w:w="4788"/>
      </w:tblGrid>
      <w:tr w:rsidR="00803C86" w:rsidRPr="009900AF" w:rsidTr="009900AF">
        <w:tc>
          <w:tcPr>
            <w:tcW w:w="4788" w:type="dxa"/>
          </w:tcPr>
          <w:p w:rsidR="00803C86" w:rsidRPr="009900AF" w:rsidRDefault="00803C86" w:rsidP="008E6A1B">
            <w:pPr>
              <w:rPr>
                <w:rFonts w:ascii="Times New Roman" w:hAnsi="Times New Roman"/>
              </w:rPr>
            </w:pPr>
            <w:r w:rsidRPr="009900AF">
              <w:rPr>
                <w:rFonts w:ascii="Times New Roman" w:hAnsi="Times New Roman"/>
              </w:rPr>
              <w:t>Variable name</w:t>
            </w:r>
          </w:p>
        </w:tc>
        <w:tc>
          <w:tcPr>
            <w:tcW w:w="4788" w:type="dxa"/>
          </w:tcPr>
          <w:p w:rsidR="00803C86" w:rsidRPr="009900AF" w:rsidRDefault="00803C86" w:rsidP="008E6A1B">
            <w:pPr>
              <w:rPr>
                <w:rFonts w:ascii="Times New Roman" w:hAnsi="Times New Roman"/>
              </w:rPr>
            </w:pPr>
            <w:r w:rsidRPr="009900AF">
              <w:rPr>
                <w:rFonts w:ascii="Times New Roman" w:hAnsi="Times New Roman"/>
              </w:rPr>
              <w:t>Description</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ccode</w:t>
            </w:r>
          </w:p>
        </w:tc>
        <w:tc>
          <w:tcPr>
            <w:tcW w:w="4788" w:type="dxa"/>
          </w:tcPr>
          <w:p w:rsidR="00803C86" w:rsidRPr="009900AF" w:rsidRDefault="00803C86" w:rsidP="008E6A1B">
            <w:pPr>
              <w:rPr>
                <w:rFonts w:ascii="Times New Roman" w:hAnsi="Times New Roman"/>
              </w:rPr>
            </w:pPr>
            <w:r w:rsidRPr="009900AF">
              <w:rPr>
                <w:rFonts w:ascii="Times New Roman" w:hAnsi="Times New Roman"/>
              </w:rPr>
              <w:t>Country code</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year</w:t>
            </w:r>
          </w:p>
        </w:tc>
        <w:tc>
          <w:tcPr>
            <w:tcW w:w="4788" w:type="dxa"/>
          </w:tcPr>
          <w:p w:rsidR="00803C86" w:rsidRPr="009900AF" w:rsidRDefault="00803C86" w:rsidP="008E6A1B">
            <w:pPr>
              <w:rPr>
                <w:rFonts w:ascii="Times New Roman" w:hAnsi="Times New Roman"/>
              </w:rPr>
            </w:pPr>
            <w:r w:rsidRPr="009900AF">
              <w:rPr>
                <w:rFonts w:ascii="Times New Roman" w:hAnsi="Times New Roman"/>
              </w:rPr>
              <w:t>Year</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country</w:t>
            </w:r>
          </w:p>
        </w:tc>
        <w:tc>
          <w:tcPr>
            <w:tcW w:w="4788" w:type="dxa"/>
          </w:tcPr>
          <w:p w:rsidR="00803C86" w:rsidRPr="009900AF" w:rsidRDefault="00803C86" w:rsidP="008E6A1B">
            <w:pPr>
              <w:rPr>
                <w:rFonts w:ascii="Times New Roman" w:hAnsi="Times New Roman"/>
              </w:rPr>
            </w:pPr>
            <w:r w:rsidRPr="009900AF">
              <w:rPr>
                <w:rFonts w:ascii="Times New Roman" w:hAnsi="Times New Roman"/>
              </w:rPr>
              <w:t>Country</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afbal</w:t>
            </w:r>
          </w:p>
        </w:tc>
        <w:tc>
          <w:tcPr>
            <w:tcW w:w="4788" w:type="dxa"/>
          </w:tcPr>
          <w:p w:rsidR="00803C86" w:rsidRPr="009900AF" w:rsidRDefault="00803C86" w:rsidP="008E6A1B">
            <w:pPr>
              <w:rPr>
                <w:rFonts w:ascii="Times New Roman" w:hAnsi="Times New Roman"/>
              </w:rPr>
            </w:pPr>
            <w:r w:rsidRPr="009900AF">
              <w:rPr>
                <w:rFonts w:ascii="Times New Roman" w:hAnsi="Times New Roman"/>
              </w:rPr>
              <w:t>Actual fiscal balance as a % of GDP</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fbalm2</w:t>
            </w:r>
          </w:p>
        </w:tc>
        <w:tc>
          <w:tcPr>
            <w:tcW w:w="4788" w:type="dxa"/>
          </w:tcPr>
          <w:p w:rsidR="00803C86" w:rsidRPr="009900AF" w:rsidRDefault="00803C86" w:rsidP="008E6A1B">
            <w:pPr>
              <w:rPr>
                <w:rFonts w:ascii="Times New Roman" w:hAnsi="Times New Roman"/>
              </w:rPr>
            </w:pPr>
            <w:r w:rsidRPr="009900AF">
              <w:rPr>
                <w:rFonts w:ascii="Times New Roman" w:hAnsi="Times New Roman"/>
              </w:rPr>
              <w:t>Fiscal balance as a % of GDP, t-1</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fbalm1</w:t>
            </w:r>
          </w:p>
        </w:tc>
        <w:tc>
          <w:tcPr>
            <w:tcW w:w="4788" w:type="dxa"/>
          </w:tcPr>
          <w:p w:rsidR="00803C86" w:rsidRPr="009900AF" w:rsidRDefault="00803C86" w:rsidP="008E6A1B">
            <w:pPr>
              <w:rPr>
                <w:rFonts w:ascii="Times New Roman" w:hAnsi="Times New Roman"/>
              </w:rPr>
            </w:pPr>
            <w:r w:rsidRPr="009900AF">
              <w:rPr>
                <w:rFonts w:ascii="Times New Roman" w:hAnsi="Times New Roman"/>
              </w:rPr>
              <w:t>Fiscal balance as a % of GDP, t-1</w:t>
            </w:r>
          </w:p>
        </w:tc>
      </w:tr>
      <w:tr w:rsidR="00803C86" w:rsidRPr="009900AF" w:rsidTr="009900AF">
        <w:tc>
          <w:tcPr>
            <w:tcW w:w="4788" w:type="dxa"/>
            <w:vAlign w:val="bottom"/>
          </w:tcPr>
          <w:p w:rsidR="00803C86" w:rsidRPr="009900AF" w:rsidRDefault="00803C86" w:rsidP="003D7FB2">
            <w:pPr>
              <w:rPr>
                <w:rFonts w:ascii="Times New Roman" w:hAnsi="Times New Roman"/>
              </w:rPr>
            </w:pPr>
            <w:r w:rsidRPr="009900AF">
              <w:rPr>
                <w:rFonts w:ascii="Times New Roman" w:hAnsi="Times New Roman"/>
              </w:rPr>
              <w:t>fbalt1</w:t>
            </w:r>
          </w:p>
        </w:tc>
        <w:tc>
          <w:tcPr>
            <w:tcW w:w="4788" w:type="dxa"/>
          </w:tcPr>
          <w:p w:rsidR="00803C86" w:rsidRPr="009900AF" w:rsidRDefault="00803C86" w:rsidP="008E6A1B">
            <w:pPr>
              <w:rPr>
                <w:rFonts w:ascii="Times New Roman" w:hAnsi="Times New Roman"/>
              </w:rPr>
            </w:pPr>
            <w:r w:rsidRPr="009900AF">
              <w:rPr>
                <w:rFonts w:ascii="Times New Roman" w:hAnsi="Times New Roman"/>
              </w:rPr>
              <w:t>Fiscal balance as a % of GDP, t+1</w:t>
            </w:r>
          </w:p>
        </w:tc>
      </w:tr>
      <w:tr w:rsidR="00803C86" w:rsidRPr="009900AF" w:rsidTr="009900AF">
        <w:tc>
          <w:tcPr>
            <w:tcW w:w="4788" w:type="dxa"/>
            <w:vAlign w:val="bottom"/>
          </w:tcPr>
          <w:p w:rsidR="00803C86" w:rsidRPr="009900AF" w:rsidRDefault="00803C86" w:rsidP="003D7FB2">
            <w:pPr>
              <w:rPr>
                <w:rFonts w:ascii="Times New Roman" w:hAnsi="Times New Roman"/>
              </w:rPr>
            </w:pPr>
            <w:r w:rsidRPr="009900AF">
              <w:rPr>
                <w:rFonts w:ascii="Times New Roman" w:hAnsi="Times New Roman"/>
              </w:rPr>
              <w:t>fbalt2</w:t>
            </w:r>
          </w:p>
        </w:tc>
        <w:tc>
          <w:tcPr>
            <w:tcW w:w="4788" w:type="dxa"/>
          </w:tcPr>
          <w:p w:rsidR="00803C86" w:rsidRPr="009900AF" w:rsidRDefault="00803C86" w:rsidP="003D7FB2">
            <w:pPr>
              <w:rPr>
                <w:rFonts w:ascii="Times New Roman" w:hAnsi="Times New Roman"/>
              </w:rPr>
            </w:pPr>
            <w:r w:rsidRPr="009900AF">
              <w:rPr>
                <w:rFonts w:ascii="Times New Roman" w:hAnsi="Times New Roman"/>
              </w:rPr>
              <w:t>Fiscal balance as a % of GDP, t+2</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fbalt3</w:t>
            </w:r>
          </w:p>
        </w:tc>
        <w:tc>
          <w:tcPr>
            <w:tcW w:w="4788" w:type="dxa"/>
          </w:tcPr>
          <w:p w:rsidR="00803C86" w:rsidRPr="009900AF" w:rsidRDefault="00803C86" w:rsidP="008E6A1B">
            <w:pPr>
              <w:rPr>
                <w:rFonts w:ascii="Times New Roman" w:hAnsi="Times New Roman"/>
              </w:rPr>
            </w:pPr>
            <w:r w:rsidRPr="009900AF">
              <w:rPr>
                <w:rFonts w:ascii="Times New Roman" w:hAnsi="Times New Roman"/>
              </w:rPr>
              <w:t>Fiscal balance as a % of GDP, t+3</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agdpr</w:t>
            </w:r>
          </w:p>
        </w:tc>
        <w:tc>
          <w:tcPr>
            <w:tcW w:w="4788" w:type="dxa"/>
          </w:tcPr>
          <w:p w:rsidR="00803C86" w:rsidRPr="009900AF" w:rsidRDefault="00803C86" w:rsidP="008E6A1B">
            <w:pPr>
              <w:rPr>
                <w:rFonts w:ascii="Times New Roman" w:hAnsi="Times New Roman"/>
              </w:rPr>
            </w:pPr>
            <w:r w:rsidRPr="009900AF">
              <w:rPr>
                <w:rFonts w:ascii="Times New Roman" w:hAnsi="Times New Roman"/>
              </w:rPr>
              <w:t>Actual real GDP growth</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gdprm2</w:t>
            </w:r>
          </w:p>
        </w:tc>
        <w:tc>
          <w:tcPr>
            <w:tcW w:w="4788" w:type="dxa"/>
          </w:tcPr>
          <w:p w:rsidR="00803C86" w:rsidRPr="009900AF" w:rsidRDefault="00803C86" w:rsidP="008E6A1B">
            <w:pPr>
              <w:rPr>
                <w:rFonts w:ascii="Times New Roman" w:hAnsi="Times New Roman"/>
              </w:rPr>
            </w:pPr>
            <w:r w:rsidRPr="009900AF">
              <w:rPr>
                <w:rFonts w:ascii="Times New Roman" w:hAnsi="Times New Roman"/>
              </w:rPr>
              <w:t>Real GDP growth rate, t-2</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gdprm1</w:t>
            </w:r>
          </w:p>
        </w:tc>
        <w:tc>
          <w:tcPr>
            <w:tcW w:w="4788" w:type="dxa"/>
          </w:tcPr>
          <w:p w:rsidR="00803C86" w:rsidRPr="009900AF" w:rsidRDefault="00803C86" w:rsidP="008E6A1B">
            <w:pPr>
              <w:rPr>
                <w:rFonts w:ascii="Times New Roman" w:hAnsi="Times New Roman"/>
              </w:rPr>
            </w:pPr>
            <w:r w:rsidRPr="009900AF">
              <w:rPr>
                <w:rFonts w:ascii="Times New Roman" w:hAnsi="Times New Roman"/>
              </w:rPr>
              <w:t>Real GDP growth rate, t-1</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gdprt1</w:t>
            </w:r>
          </w:p>
        </w:tc>
        <w:tc>
          <w:tcPr>
            <w:tcW w:w="4788" w:type="dxa"/>
          </w:tcPr>
          <w:p w:rsidR="00803C86" w:rsidRPr="009900AF" w:rsidRDefault="00803C86" w:rsidP="008E6A1B">
            <w:pPr>
              <w:rPr>
                <w:rFonts w:ascii="Times New Roman" w:hAnsi="Times New Roman"/>
              </w:rPr>
            </w:pPr>
            <w:r w:rsidRPr="009900AF">
              <w:rPr>
                <w:rFonts w:ascii="Times New Roman" w:hAnsi="Times New Roman"/>
              </w:rPr>
              <w:t>Real GDP growth rate, t+1</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gdprt2</w:t>
            </w:r>
          </w:p>
        </w:tc>
        <w:tc>
          <w:tcPr>
            <w:tcW w:w="4788" w:type="dxa"/>
          </w:tcPr>
          <w:p w:rsidR="00803C86" w:rsidRPr="009900AF" w:rsidRDefault="00803C86" w:rsidP="008E6A1B">
            <w:pPr>
              <w:rPr>
                <w:rFonts w:ascii="Times New Roman" w:hAnsi="Times New Roman"/>
              </w:rPr>
            </w:pPr>
            <w:r w:rsidRPr="009900AF">
              <w:rPr>
                <w:rFonts w:ascii="Times New Roman" w:hAnsi="Times New Roman"/>
              </w:rPr>
              <w:t>Real GDP growth rate, t+2</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gdprt3</w:t>
            </w:r>
          </w:p>
        </w:tc>
        <w:tc>
          <w:tcPr>
            <w:tcW w:w="4788" w:type="dxa"/>
          </w:tcPr>
          <w:p w:rsidR="00803C86" w:rsidRPr="009900AF" w:rsidRDefault="00803C86" w:rsidP="008E6A1B">
            <w:pPr>
              <w:rPr>
                <w:rFonts w:ascii="Times New Roman" w:hAnsi="Times New Roman"/>
              </w:rPr>
            </w:pPr>
            <w:r w:rsidRPr="009900AF">
              <w:rPr>
                <w:rFonts w:ascii="Times New Roman" w:hAnsi="Times New Roman"/>
              </w:rPr>
              <w:t>Real GDP growth rate, t+3</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fits</w:t>
            </w:r>
          </w:p>
        </w:tc>
        <w:tc>
          <w:tcPr>
            <w:tcW w:w="4788" w:type="dxa"/>
          </w:tcPr>
          <w:p w:rsidR="00803C86" w:rsidRPr="009900AF" w:rsidRDefault="00803C86" w:rsidP="00017BB4">
            <w:pPr>
              <w:rPr>
                <w:rFonts w:ascii="Times New Roman" w:hAnsi="Times New Roman"/>
              </w:rPr>
            </w:pPr>
            <w:r w:rsidRPr="009900AF">
              <w:rPr>
                <w:rFonts w:ascii="Times New Roman" w:hAnsi="Times New Roman"/>
              </w:rPr>
              <w:t>Fitted real GDP level (quadratic trend)</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devquadtrend</w:t>
            </w:r>
          </w:p>
        </w:tc>
        <w:tc>
          <w:tcPr>
            <w:tcW w:w="4788" w:type="dxa"/>
          </w:tcPr>
          <w:p w:rsidR="00803C86" w:rsidRPr="009900AF" w:rsidRDefault="00803C86" w:rsidP="008E6A1B">
            <w:pPr>
              <w:rPr>
                <w:rFonts w:ascii="Times New Roman" w:hAnsi="Times New Roman"/>
              </w:rPr>
            </w:pPr>
            <w:r w:rsidRPr="009900AF">
              <w:rPr>
                <w:rFonts w:ascii="Times New Roman" w:hAnsi="Times New Roman"/>
              </w:rPr>
              <w:t>Percent deviation of actual GDP level from quadratic trend</w:t>
            </w:r>
          </w:p>
        </w:tc>
      </w:tr>
      <w:tr w:rsidR="00803C86" w:rsidRPr="009900AF" w:rsidTr="009900AF">
        <w:tc>
          <w:tcPr>
            <w:tcW w:w="4788" w:type="dxa"/>
            <w:vAlign w:val="bottom"/>
          </w:tcPr>
          <w:p w:rsidR="00803C86" w:rsidRPr="009900AF" w:rsidRDefault="00803C86" w:rsidP="003D7FB2">
            <w:pPr>
              <w:rPr>
                <w:rFonts w:ascii="Times New Roman" w:hAnsi="Times New Roman"/>
              </w:rPr>
            </w:pPr>
            <w:r w:rsidRPr="009900AF">
              <w:rPr>
                <w:rFonts w:ascii="Times New Roman" w:hAnsi="Times New Roman"/>
              </w:rPr>
              <w:t>fbalt1error</w:t>
            </w:r>
          </w:p>
        </w:tc>
        <w:tc>
          <w:tcPr>
            <w:tcW w:w="4788" w:type="dxa"/>
          </w:tcPr>
          <w:p w:rsidR="00803C86" w:rsidRPr="009900AF" w:rsidRDefault="00803C86" w:rsidP="008E6A1B">
            <w:pPr>
              <w:rPr>
                <w:rFonts w:ascii="Times New Roman" w:hAnsi="Times New Roman"/>
              </w:rPr>
            </w:pPr>
            <w:r w:rsidRPr="009900AF">
              <w:rPr>
                <w:rFonts w:ascii="Times New Roman" w:hAnsi="Times New Roman"/>
              </w:rPr>
              <w:t>One year ahead budget balance forecast error</w:t>
            </w:r>
          </w:p>
        </w:tc>
      </w:tr>
      <w:tr w:rsidR="00803C86" w:rsidRPr="009900AF" w:rsidTr="009900AF">
        <w:tc>
          <w:tcPr>
            <w:tcW w:w="4788" w:type="dxa"/>
            <w:vAlign w:val="bottom"/>
          </w:tcPr>
          <w:p w:rsidR="00803C86" w:rsidRPr="009900AF" w:rsidRDefault="00803C86" w:rsidP="003D7FB2">
            <w:pPr>
              <w:rPr>
                <w:rFonts w:ascii="Times New Roman" w:hAnsi="Times New Roman"/>
              </w:rPr>
            </w:pPr>
            <w:r w:rsidRPr="009900AF">
              <w:rPr>
                <w:rFonts w:ascii="Times New Roman" w:hAnsi="Times New Roman"/>
              </w:rPr>
              <w:t>fbalt2error</w:t>
            </w:r>
          </w:p>
        </w:tc>
        <w:tc>
          <w:tcPr>
            <w:tcW w:w="4788" w:type="dxa"/>
          </w:tcPr>
          <w:p w:rsidR="00803C86" w:rsidRPr="009900AF" w:rsidRDefault="00803C86" w:rsidP="008E6A1B">
            <w:pPr>
              <w:rPr>
                <w:rFonts w:ascii="Times New Roman" w:hAnsi="Times New Roman"/>
              </w:rPr>
            </w:pPr>
            <w:r w:rsidRPr="009900AF">
              <w:rPr>
                <w:rFonts w:ascii="Times New Roman" w:hAnsi="Times New Roman"/>
              </w:rPr>
              <w:t>Two years ahead budget balance forecast error</w:t>
            </w:r>
          </w:p>
        </w:tc>
      </w:tr>
      <w:tr w:rsidR="00803C86" w:rsidRPr="009900AF" w:rsidTr="009900AF">
        <w:tc>
          <w:tcPr>
            <w:tcW w:w="4788" w:type="dxa"/>
            <w:vAlign w:val="bottom"/>
          </w:tcPr>
          <w:p w:rsidR="00803C86" w:rsidRPr="009900AF" w:rsidRDefault="00803C86" w:rsidP="003D7FB2">
            <w:pPr>
              <w:rPr>
                <w:rFonts w:ascii="Times New Roman" w:hAnsi="Times New Roman"/>
              </w:rPr>
            </w:pPr>
            <w:r w:rsidRPr="009900AF">
              <w:rPr>
                <w:rFonts w:ascii="Times New Roman" w:hAnsi="Times New Roman"/>
              </w:rPr>
              <w:t>fbalt3error</w:t>
            </w:r>
          </w:p>
        </w:tc>
        <w:tc>
          <w:tcPr>
            <w:tcW w:w="4788" w:type="dxa"/>
          </w:tcPr>
          <w:p w:rsidR="00803C86" w:rsidRPr="009900AF" w:rsidRDefault="00803C86" w:rsidP="008E6A1B">
            <w:pPr>
              <w:rPr>
                <w:rFonts w:ascii="Times New Roman" w:hAnsi="Times New Roman"/>
              </w:rPr>
            </w:pPr>
            <w:r w:rsidRPr="009900AF">
              <w:rPr>
                <w:rFonts w:ascii="Times New Roman" w:hAnsi="Times New Roman"/>
              </w:rPr>
              <w:t>Three years ahead budget balance forecast error</w:t>
            </w:r>
          </w:p>
        </w:tc>
      </w:tr>
      <w:tr w:rsidR="00803C86" w:rsidRPr="009900AF" w:rsidTr="009900AF">
        <w:tc>
          <w:tcPr>
            <w:tcW w:w="4788" w:type="dxa"/>
            <w:vAlign w:val="bottom"/>
          </w:tcPr>
          <w:p w:rsidR="00803C86" w:rsidRPr="009900AF" w:rsidRDefault="00803C86" w:rsidP="003D7FB2">
            <w:pPr>
              <w:rPr>
                <w:rFonts w:ascii="Times New Roman" w:hAnsi="Times New Roman"/>
              </w:rPr>
            </w:pPr>
            <w:r w:rsidRPr="009900AF">
              <w:rPr>
                <w:rFonts w:ascii="Times New Roman" w:hAnsi="Times New Roman"/>
              </w:rPr>
              <w:t>gdprt1error</w:t>
            </w:r>
          </w:p>
        </w:tc>
        <w:tc>
          <w:tcPr>
            <w:tcW w:w="4788" w:type="dxa"/>
          </w:tcPr>
          <w:p w:rsidR="00803C86" w:rsidRPr="009900AF" w:rsidRDefault="00803C86" w:rsidP="008E6A1B">
            <w:pPr>
              <w:rPr>
                <w:rFonts w:ascii="Times New Roman" w:hAnsi="Times New Roman"/>
              </w:rPr>
            </w:pPr>
            <w:r w:rsidRPr="009900AF">
              <w:rPr>
                <w:rFonts w:ascii="Times New Roman" w:hAnsi="Times New Roman"/>
              </w:rPr>
              <w:t>One year ahead GDP forecast error</w:t>
            </w:r>
          </w:p>
        </w:tc>
      </w:tr>
      <w:tr w:rsidR="00803C86" w:rsidRPr="009900AF" w:rsidTr="009900AF">
        <w:tc>
          <w:tcPr>
            <w:tcW w:w="4788" w:type="dxa"/>
            <w:vAlign w:val="bottom"/>
          </w:tcPr>
          <w:p w:rsidR="00803C86" w:rsidRPr="009900AF" w:rsidRDefault="00803C86" w:rsidP="003D7FB2">
            <w:pPr>
              <w:rPr>
                <w:rFonts w:ascii="Times New Roman" w:hAnsi="Times New Roman"/>
              </w:rPr>
            </w:pPr>
            <w:r w:rsidRPr="009900AF">
              <w:rPr>
                <w:rFonts w:ascii="Times New Roman" w:hAnsi="Times New Roman"/>
              </w:rPr>
              <w:t>gdprt2error</w:t>
            </w:r>
          </w:p>
        </w:tc>
        <w:tc>
          <w:tcPr>
            <w:tcW w:w="4788" w:type="dxa"/>
          </w:tcPr>
          <w:p w:rsidR="00803C86" w:rsidRPr="009900AF" w:rsidRDefault="00803C86" w:rsidP="008E6A1B">
            <w:pPr>
              <w:rPr>
                <w:rFonts w:ascii="Times New Roman" w:hAnsi="Times New Roman"/>
              </w:rPr>
            </w:pPr>
            <w:r w:rsidRPr="009900AF">
              <w:rPr>
                <w:rFonts w:ascii="Times New Roman" w:hAnsi="Times New Roman"/>
              </w:rPr>
              <w:t>Two years ahead GDP forecast error</w:t>
            </w:r>
          </w:p>
        </w:tc>
      </w:tr>
      <w:tr w:rsidR="00803C86" w:rsidRPr="009900AF" w:rsidTr="009900AF">
        <w:tc>
          <w:tcPr>
            <w:tcW w:w="4788" w:type="dxa"/>
            <w:vAlign w:val="bottom"/>
          </w:tcPr>
          <w:p w:rsidR="00803C86" w:rsidRPr="009900AF" w:rsidRDefault="00803C86" w:rsidP="003D7FB2">
            <w:pPr>
              <w:rPr>
                <w:rFonts w:ascii="Times New Roman" w:hAnsi="Times New Roman"/>
              </w:rPr>
            </w:pPr>
            <w:r w:rsidRPr="009900AF">
              <w:rPr>
                <w:rFonts w:ascii="Times New Roman" w:hAnsi="Times New Roman"/>
              </w:rPr>
              <w:t>gdprt3error</w:t>
            </w:r>
          </w:p>
        </w:tc>
        <w:tc>
          <w:tcPr>
            <w:tcW w:w="4788" w:type="dxa"/>
          </w:tcPr>
          <w:p w:rsidR="00803C86" w:rsidRPr="009900AF" w:rsidRDefault="00803C86" w:rsidP="008E6A1B">
            <w:pPr>
              <w:rPr>
                <w:rFonts w:ascii="Times New Roman" w:hAnsi="Times New Roman"/>
              </w:rPr>
            </w:pPr>
            <w:r w:rsidRPr="009900AF">
              <w:rPr>
                <w:rFonts w:ascii="Times New Roman" w:hAnsi="Times New Roman"/>
              </w:rPr>
              <w:t>Three years ahead GDP forecast error</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sgp5yr</w:t>
            </w:r>
          </w:p>
        </w:tc>
        <w:tc>
          <w:tcPr>
            <w:tcW w:w="4788" w:type="dxa"/>
          </w:tcPr>
          <w:p w:rsidR="00803C86" w:rsidRPr="009900AF" w:rsidRDefault="00803C86" w:rsidP="008E6A1B">
            <w:pPr>
              <w:rPr>
                <w:rFonts w:ascii="Times New Roman" w:hAnsi="Times New Roman"/>
              </w:rPr>
            </w:pPr>
            <w:r w:rsidRPr="009900AF">
              <w:rPr>
                <w:rFonts w:ascii="Times New Roman" w:hAnsi="Times New Roman"/>
              </w:rPr>
              <w:t>Dummy for 5 years prior to joining euro area</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sgpdummy</w:t>
            </w:r>
          </w:p>
        </w:tc>
        <w:tc>
          <w:tcPr>
            <w:tcW w:w="4788" w:type="dxa"/>
          </w:tcPr>
          <w:p w:rsidR="00803C86" w:rsidRPr="009900AF" w:rsidRDefault="00803C86" w:rsidP="008E6A1B">
            <w:pPr>
              <w:rPr>
                <w:rFonts w:ascii="Times New Roman" w:hAnsi="Times New Roman"/>
              </w:rPr>
            </w:pPr>
            <w:r w:rsidRPr="009900AF">
              <w:rPr>
                <w:rFonts w:ascii="Times New Roman" w:hAnsi="Times New Roman"/>
              </w:rPr>
              <w:t>Dummy for euro area</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europedummy</w:t>
            </w:r>
          </w:p>
        </w:tc>
        <w:tc>
          <w:tcPr>
            <w:tcW w:w="4788" w:type="dxa"/>
          </w:tcPr>
          <w:p w:rsidR="00803C86" w:rsidRPr="009900AF" w:rsidRDefault="00803C86" w:rsidP="008E6A1B">
            <w:pPr>
              <w:rPr>
                <w:rFonts w:ascii="Times New Roman" w:hAnsi="Times New Roman"/>
              </w:rPr>
            </w:pPr>
            <w:r w:rsidRPr="009900AF">
              <w:rPr>
                <w:rFonts w:ascii="Times New Roman" w:hAnsi="Times New Roman"/>
              </w:rPr>
              <w:t>Dummy for European country</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weuropedummy</w:t>
            </w:r>
          </w:p>
        </w:tc>
        <w:tc>
          <w:tcPr>
            <w:tcW w:w="4788" w:type="dxa"/>
          </w:tcPr>
          <w:p w:rsidR="00803C86" w:rsidRPr="009900AF" w:rsidRDefault="00803C86" w:rsidP="009942F3">
            <w:pPr>
              <w:rPr>
                <w:rFonts w:ascii="Times New Roman" w:hAnsi="Times New Roman"/>
              </w:rPr>
            </w:pPr>
            <w:r w:rsidRPr="009900AF">
              <w:rPr>
                <w:rFonts w:ascii="Times New Roman" w:hAnsi="Times New Roman"/>
              </w:rPr>
              <w:t>Dummy for Western European country</w:t>
            </w:r>
          </w:p>
        </w:tc>
      </w:tr>
      <w:tr w:rsidR="00803C86" w:rsidRPr="009900AF" w:rsidTr="009900AF">
        <w:tc>
          <w:tcPr>
            <w:tcW w:w="4788" w:type="dxa"/>
            <w:vAlign w:val="bottom"/>
          </w:tcPr>
          <w:p w:rsidR="00803C86" w:rsidRPr="009900AF" w:rsidRDefault="00803C86">
            <w:pPr>
              <w:rPr>
                <w:rFonts w:ascii="Times New Roman" w:hAnsi="Times New Roman"/>
              </w:rPr>
            </w:pPr>
            <w:r w:rsidRPr="009900AF">
              <w:rPr>
                <w:rFonts w:ascii="Times New Roman" w:hAnsi="Times New Roman"/>
              </w:rPr>
              <w:t>commdummy</w:t>
            </w:r>
          </w:p>
        </w:tc>
        <w:tc>
          <w:tcPr>
            <w:tcW w:w="4788" w:type="dxa"/>
          </w:tcPr>
          <w:p w:rsidR="00803C86" w:rsidRPr="009900AF" w:rsidRDefault="00803C86" w:rsidP="008E6A1B">
            <w:pPr>
              <w:rPr>
                <w:rFonts w:ascii="Times New Roman" w:hAnsi="Times New Roman"/>
              </w:rPr>
            </w:pPr>
            <w:r w:rsidRPr="009900AF">
              <w:rPr>
                <w:rFonts w:ascii="Times New Roman" w:hAnsi="Times New Roman"/>
              </w:rPr>
              <w:t>Dummy for commodity exporter</w:t>
            </w:r>
          </w:p>
        </w:tc>
      </w:tr>
    </w:tbl>
    <w:p w:rsidR="00803C86" w:rsidRDefault="00803C86" w:rsidP="003D7FB2">
      <w:pPr>
        <w:rPr>
          <w:rFonts w:ascii="Times New Roman" w:hAnsi="Times New Roman"/>
        </w:rPr>
      </w:pPr>
    </w:p>
    <w:p w:rsidR="00803C86" w:rsidRDefault="00803C86" w:rsidP="008E6A1B">
      <w:pPr>
        <w:rPr>
          <w:rFonts w:ascii="Times New Roman" w:hAnsi="Times New Roman"/>
        </w:rPr>
      </w:pPr>
      <w:r>
        <w:rPr>
          <w:rFonts w:ascii="Times New Roman" w:hAnsi="Times New Roman"/>
        </w:rPr>
        <w:t xml:space="preserve">The suffixes t1, t2, and t3 indicate that the variable is forecast for the next fiscal year, two years ahead, and three years ahead respectively.  For example, an observation of fbalt2 for 1997 is the forecast of the fiscal balance for fiscal year 1997 that was made at the start of the 1996 fiscal year.  </w:t>
      </w:r>
    </w:p>
    <w:p w:rsidR="00803C86" w:rsidRDefault="00803C86" w:rsidP="008E6A1B">
      <w:pPr>
        <w:rPr>
          <w:rFonts w:ascii="Times New Roman" w:hAnsi="Times New Roman"/>
        </w:rPr>
      </w:pPr>
    </w:p>
    <w:p w:rsidR="00803C86" w:rsidRDefault="00803C86" w:rsidP="008E6A1B">
      <w:pPr>
        <w:rPr>
          <w:rFonts w:ascii="Times New Roman" w:hAnsi="Times New Roman"/>
        </w:rPr>
      </w:pPr>
      <w:r>
        <w:rPr>
          <w:rFonts w:ascii="Times New Roman" w:hAnsi="Times New Roman"/>
        </w:rPr>
        <w:t>The fbal (fiscal balance) and gdpr (growth rate) error terms indicate the actual forecast error for the forecast made one, two or three years in advance (t1, t2, and t3 respectively).  The fiscal balance forecast error is defined as forecast balance as % of GDP – actual balance as a % of GDP.  The GDP forecast error is defined as the forecast growth rate of real GDP – actual growth rate of real GDP.</w:t>
      </w:r>
    </w:p>
    <w:p w:rsidR="00803C86" w:rsidRDefault="00803C86" w:rsidP="008E6A1B">
      <w:pPr>
        <w:rPr>
          <w:rFonts w:ascii="Times New Roman" w:hAnsi="Times New Roman"/>
        </w:rPr>
      </w:pPr>
    </w:p>
    <w:p w:rsidR="00803C86" w:rsidRDefault="00803C86" w:rsidP="008E6A1B">
      <w:pPr>
        <w:rPr>
          <w:rFonts w:ascii="Times New Roman" w:hAnsi="Times New Roman"/>
        </w:rPr>
      </w:pPr>
      <w:r>
        <w:rPr>
          <w:rFonts w:ascii="Times New Roman" w:hAnsi="Times New Roman"/>
        </w:rPr>
        <w:t xml:space="preserve">The countries classified as commodity exporters are </w:t>
      </w:r>
      <w:r w:rsidRPr="00CF4620">
        <w:rPr>
          <w:rFonts w:ascii="Times New Roman" w:hAnsi="Times New Roman"/>
        </w:rPr>
        <w:t>Canada, Australia, New Zealand, Chile, Mexico and South Africa.</w:t>
      </w:r>
    </w:p>
    <w:p w:rsidR="00803C86" w:rsidRDefault="00803C86" w:rsidP="008E6A1B">
      <w:pPr>
        <w:rPr>
          <w:rFonts w:ascii="Times New Roman" w:hAnsi="Times New Roman"/>
        </w:rPr>
      </w:pPr>
    </w:p>
    <w:p w:rsidR="00803C86" w:rsidRDefault="00803C86" w:rsidP="003D7FB2">
      <w:pPr>
        <w:rPr>
          <w:rFonts w:ascii="Times New Roman" w:hAnsi="Times New Roman"/>
        </w:rPr>
      </w:pPr>
      <w:r>
        <w:rPr>
          <w:rFonts w:ascii="Times New Roman" w:hAnsi="Times New Roman"/>
        </w:rPr>
        <w:t xml:space="preserve">The countries classified as European are </w:t>
      </w:r>
      <w:r w:rsidRPr="003D7FB2">
        <w:rPr>
          <w:rFonts w:ascii="Times New Roman" w:hAnsi="Times New Roman"/>
        </w:rPr>
        <w:t xml:space="preserve">Austria, Belgium, Cyprus, Czech Republic, Denmark, Estonia, Finland, France, Germany, Greece, Hungary, Ireland, Italy, Latvia, Lithuania, Luxemburg, Malta, Netherlands, Poland, Portugal, Slovakia, Slovenia, Spain, Sweden, Switzerland and </w:t>
      </w:r>
      <w:r>
        <w:rPr>
          <w:rFonts w:ascii="Times New Roman" w:hAnsi="Times New Roman"/>
        </w:rPr>
        <w:t xml:space="preserve">the </w:t>
      </w:r>
      <w:r w:rsidRPr="003D7FB2">
        <w:rPr>
          <w:rFonts w:ascii="Times New Roman" w:hAnsi="Times New Roman"/>
        </w:rPr>
        <w:t>United Kingdom.</w:t>
      </w:r>
    </w:p>
    <w:p w:rsidR="00803C86" w:rsidRDefault="00803C86" w:rsidP="003D7FB2">
      <w:pPr>
        <w:rPr>
          <w:rFonts w:ascii="Times New Roman" w:hAnsi="Times New Roman"/>
        </w:rPr>
      </w:pPr>
    </w:p>
    <w:p w:rsidR="00803C86" w:rsidRPr="003D7FB2" w:rsidRDefault="00803C86" w:rsidP="003D7FB2">
      <w:pPr>
        <w:rPr>
          <w:rFonts w:ascii="Times New Roman" w:hAnsi="Times New Roman"/>
        </w:rPr>
      </w:pPr>
      <w:r>
        <w:rPr>
          <w:rFonts w:ascii="Times New Roman" w:hAnsi="Times New Roman"/>
        </w:rPr>
        <w:t xml:space="preserve">The countries classified as Western European are </w:t>
      </w:r>
      <w:r w:rsidRPr="003D7FB2">
        <w:rPr>
          <w:rFonts w:ascii="Times New Roman" w:hAnsi="Times New Roman"/>
        </w:rPr>
        <w:t xml:space="preserve">Austria, Belgium, country, Denmark, Finland, France, Germany, Greece, Ireland, Italy, Luxemburg, Netherlands, Portugal, Spain, Sweden, Switzerland, and </w:t>
      </w:r>
      <w:r>
        <w:rPr>
          <w:rFonts w:ascii="Times New Roman" w:hAnsi="Times New Roman"/>
        </w:rPr>
        <w:t xml:space="preserve">the </w:t>
      </w:r>
      <w:r w:rsidRPr="003D7FB2">
        <w:rPr>
          <w:rFonts w:ascii="Times New Roman" w:hAnsi="Times New Roman"/>
        </w:rPr>
        <w:t>United Kingdom.</w:t>
      </w:r>
    </w:p>
    <w:p w:rsidR="00803C86" w:rsidRDefault="00803C86" w:rsidP="008E6A1B">
      <w:pPr>
        <w:rPr>
          <w:rFonts w:ascii="Times New Roman" w:hAnsi="Times New Roman"/>
        </w:rPr>
      </w:pPr>
    </w:p>
    <w:p w:rsidR="00803C86" w:rsidRPr="00E94FEF" w:rsidRDefault="00803C86" w:rsidP="00017BB4">
      <w:pPr>
        <w:jc w:val="center"/>
        <w:rPr>
          <w:b/>
          <w:sz w:val="28"/>
          <w:szCs w:val="28"/>
        </w:rPr>
      </w:pPr>
      <w:r>
        <w:rPr>
          <w:b/>
          <w:sz w:val="32"/>
          <w:szCs w:val="32"/>
        </w:rPr>
        <w:br w:type="page"/>
      </w:r>
      <w:r w:rsidRPr="00CF4620">
        <w:rPr>
          <w:b/>
          <w:sz w:val="32"/>
          <w:szCs w:val="32"/>
        </w:rPr>
        <w:t>Data Appendix</w:t>
      </w:r>
      <w:r>
        <w:rPr>
          <w:b/>
          <w:sz w:val="32"/>
          <w:szCs w:val="32"/>
        </w:rPr>
        <w:t xml:space="preserve">: </w:t>
      </w:r>
      <w:r>
        <w:rPr>
          <w:b/>
          <w:sz w:val="28"/>
          <w:szCs w:val="28"/>
        </w:rPr>
        <w:t>Budget Balance and Growth Data</w:t>
      </w:r>
    </w:p>
    <w:p w:rsidR="00803C86" w:rsidRPr="00017BB4" w:rsidRDefault="00803C86" w:rsidP="00017BB4">
      <w:pPr>
        <w:rPr>
          <w:rFonts w:ascii="Times New Roman" w:hAnsi="Times New Roman"/>
          <w:sz w:val="22"/>
          <w:szCs w:val="18"/>
        </w:rPr>
      </w:pPr>
      <w:r w:rsidRPr="00017BB4">
        <w:rPr>
          <w:rFonts w:ascii="Times New Roman" w:hAnsi="Times New Roman"/>
          <w:sz w:val="22"/>
          <w:szCs w:val="18"/>
          <w:lang w:val="de-DE"/>
        </w:rPr>
        <w:t xml:space="preserve">Australia:  1985-2005 from Mühleisen et al (2005).  </w:t>
      </w:r>
      <w:r w:rsidRPr="00017BB4">
        <w:rPr>
          <w:rFonts w:ascii="Times New Roman" w:hAnsi="Times New Roman"/>
          <w:sz w:val="22"/>
          <w:szCs w:val="18"/>
        </w:rPr>
        <w:t>2006-2010 updated with government documents available at http://www.budget.gov.au/</w:t>
      </w:r>
    </w:p>
    <w:p w:rsidR="00803C86" w:rsidRPr="00017BB4" w:rsidRDefault="00803C86" w:rsidP="00017BB4">
      <w:pPr>
        <w:rPr>
          <w:rFonts w:ascii="Times New Roman" w:hAnsi="Times New Roman"/>
          <w:sz w:val="22"/>
          <w:szCs w:val="18"/>
        </w:rPr>
      </w:pPr>
      <w:r w:rsidRPr="00017BB4">
        <w:rPr>
          <w:rFonts w:ascii="Times New Roman" w:hAnsi="Times New Roman"/>
          <w:sz w:val="22"/>
          <w:szCs w:val="18"/>
          <w:lang w:val="de-DE"/>
        </w:rPr>
        <w:t xml:space="preserve">Canada: 1985-2005 from Mühleisen et al (2005).  </w:t>
      </w:r>
      <w:r w:rsidRPr="00017BB4">
        <w:rPr>
          <w:rFonts w:ascii="Times New Roman" w:hAnsi="Times New Roman"/>
          <w:sz w:val="22"/>
          <w:szCs w:val="18"/>
        </w:rPr>
        <w:t xml:space="preserve">2006-2009 updated with government documents available at http://www.budget.gc.ca. </w:t>
      </w:r>
    </w:p>
    <w:p w:rsidR="00803C86" w:rsidRPr="00017BB4" w:rsidRDefault="00803C86" w:rsidP="00017BB4">
      <w:pPr>
        <w:rPr>
          <w:rFonts w:ascii="Times New Roman" w:hAnsi="Times New Roman"/>
          <w:sz w:val="22"/>
          <w:szCs w:val="18"/>
        </w:rPr>
      </w:pPr>
      <w:r w:rsidRPr="00017BB4">
        <w:rPr>
          <w:rFonts w:ascii="Times New Roman" w:hAnsi="Times New Roman"/>
          <w:sz w:val="22"/>
          <w:szCs w:val="18"/>
        </w:rPr>
        <w:t xml:space="preserve">Chile:  Data provided by the </w:t>
      </w:r>
      <w:hyperlink r:id="rId5" w:history="1">
        <w:r w:rsidRPr="00017BB4">
          <w:rPr>
            <w:rFonts w:ascii="Times New Roman" w:hAnsi="Times New Roman"/>
            <w:sz w:val="22"/>
            <w:szCs w:val="18"/>
          </w:rPr>
          <w:t xml:space="preserve">Banco </w:t>
        </w:r>
        <w:r w:rsidRPr="00017BB4">
          <w:rPr>
            <w:rFonts w:ascii="Times New Roman" w:hAnsi="Times New Roman"/>
            <w:bCs/>
            <w:sz w:val="22"/>
            <w:szCs w:val="18"/>
          </w:rPr>
          <w:t>Central</w:t>
        </w:r>
        <w:r w:rsidRPr="00017BB4">
          <w:rPr>
            <w:rFonts w:ascii="Times New Roman" w:hAnsi="Times New Roman"/>
            <w:sz w:val="22"/>
            <w:szCs w:val="18"/>
          </w:rPr>
          <w:t xml:space="preserve"> de </w:t>
        </w:r>
        <w:r w:rsidRPr="00017BB4">
          <w:rPr>
            <w:rFonts w:ascii="Times New Roman" w:hAnsi="Times New Roman"/>
            <w:bCs/>
            <w:sz w:val="22"/>
            <w:szCs w:val="18"/>
          </w:rPr>
          <w:t>Chile</w:t>
        </w:r>
      </w:hyperlink>
      <w:r w:rsidRPr="00017BB4">
        <w:rPr>
          <w:rFonts w:ascii="Times New Roman" w:hAnsi="Times New Roman"/>
          <w:sz w:val="22"/>
          <w:szCs w:val="18"/>
        </w:rPr>
        <w:t>.</w:t>
      </w:r>
    </w:p>
    <w:p w:rsidR="00803C86" w:rsidRPr="00017BB4" w:rsidRDefault="00803C86" w:rsidP="00017BB4">
      <w:pPr>
        <w:rPr>
          <w:rFonts w:ascii="Times New Roman" w:hAnsi="Times New Roman"/>
          <w:sz w:val="22"/>
          <w:szCs w:val="18"/>
        </w:rPr>
      </w:pPr>
      <w:r w:rsidRPr="00017BB4">
        <w:rPr>
          <w:rFonts w:ascii="Times New Roman" w:hAnsi="Times New Roman"/>
          <w:sz w:val="22"/>
          <w:szCs w:val="18"/>
        </w:rPr>
        <w:t>France: 1996-1998 from Mühleisen et al (2005). 1999-2007 from Beetsma et al (2009).  2008-2010 updated using SGP convergence program.</w:t>
      </w:r>
    </w:p>
    <w:p w:rsidR="00803C86" w:rsidRPr="00017BB4" w:rsidRDefault="00803C86" w:rsidP="00017BB4">
      <w:pPr>
        <w:rPr>
          <w:rFonts w:ascii="Times New Roman" w:hAnsi="Times New Roman"/>
          <w:sz w:val="22"/>
          <w:szCs w:val="18"/>
        </w:rPr>
      </w:pPr>
      <w:r w:rsidRPr="00017BB4">
        <w:rPr>
          <w:rFonts w:ascii="Times New Roman" w:hAnsi="Times New Roman"/>
          <w:sz w:val="22"/>
          <w:szCs w:val="18"/>
          <w:lang w:val="de-DE"/>
        </w:rPr>
        <w:t xml:space="preserve">Germany:  1991-1998 from Mühleisen et al (2005).  </w:t>
      </w:r>
      <w:r w:rsidRPr="00017BB4">
        <w:rPr>
          <w:rFonts w:ascii="Times New Roman" w:hAnsi="Times New Roman"/>
          <w:sz w:val="22"/>
          <w:szCs w:val="18"/>
        </w:rPr>
        <w:t>1999-2007 from Beetsma et al (2009).  2008-2010 updated using SGP convergence program.</w:t>
      </w:r>
    </w:p>
    <w:p w:rsidR="00803C86" w:rsidRPr="00017BB4" w:rsidRDefault="00803C86" w:rsidP="00017BB4">
      <w:pPr>
        <w:rPr>
          <w:rFonts w:ascii="Times New Roman" w:hAnsi="Times New Roman"/>
          <w:sz w:val="22"/>
          <w:szCs w:val="18"/>
        </w:rPr>
      </w:pPr>
      <w:r w:rsidRPr="00017BB4">
        <w:rPr>
          <w:rFonts w:ascii="Times New Roman" w:hAnsi="Times New Roman"/>
          <w:sz w:val="22"/>
          <w:szCs w:val="18"/>
          <w:lang w:val="de-DE"/>
        </w:rPr>
        <w:t xml:space="preserve">Italy:  1990-1998 from Mühleisen et al (2005).  </w:t>
      </w:r>
      <w:r w:rsidRPr="00017BB4">
        <w:rPr>
          <w:rFonts w:ascii="Times New Roman" w:hAnsi="Times New Roman"/>
          <w:sz w:val="22"/>
          <w:szCs w:val="18"/>
        </w:rPr>
        <w:t>1999-2007 from Beetsma et al (2009).  2008-2010 updated using SGP convergence program.</w:t>
      </w:r>
    </w:p>
    <w:p w:rsidR="00803C86" w:rsidRPr="00017BB4" w:rsidRDefault="00803C86" w:rsidP="00017BB4">
      <w:pPr>
        <w:rPr>
          <w:rFonts w:ascii="Times New Roman" w:hAnsi="Times New Roman"/>
          <w:sz w:val="22"/>
          <w:szCs w:val="18"/>
        </w:rPr>
      </w:pPr>
      <w:r w:rsidRPr="00017BB4">
        <w:rPr>
          <w:rFonts w:ascii="Times New Roman" w:hAnsi="Times New Roman"/>
          <w:sz w:val="22"/>
          <w:szCs w:val="18"/>
        </w:rPr>
        <w:t>Mexico:  Data from the Ministry of Finance.</w:t>
      </w:r>
    </w:p>
    <w:p w:rsidR="00803C86" w:rsidRPr="00017BB4" w:rsidRDefault="00803C86" w:rsidP="00017BB4">
      <w:pPr>
        <w:rPr>
          <w:rFonts w:ascii="Times New Roman" w:hAnsi="Times New Roman"/>
          <w:sz w:val="22"/>
          <w:szCs w:val="18"/>
        </w:rPr>
      </w:pPr>
      <w:r w:rsidRPr="00017BB4">
        <w:rPr>
          <w:rFonts w:ascii="Times New Roman" w:hAnsi="Times New Roman"/>
          <w:sz w:val="22"/>
          <w:szCs w:val="18"/>
          <w:lang w:val="de-DE"/>
        </w:rPr>
        <w:t xml:space="preserve">Netherlands :  1995-1998 from Mühleisen et al (2005).  </w:t>
      </w:r>
      <w:r w:rsidRPr="00017BB4">
        <w:rPr>
          <w:rFonts w:ascii="Times New Roman" w:hAnsi="Times New Roman"/>
          <w:sz w:val="22"/>
          <w:szCs w:val="18"/>
        </w:rPr>
        <w:t>1999-2007 from Beetsma et al (2009).  2008-2010 updated using SGP convergence program.</w:t>
      </w:r>
    </w:p>
    <w:p w:rsidR="00803C86" w:rsidRPr="00017BB4" w:rsidRDefault="00803C86" w:rsidP="00017BB4">
      <w:pPr>
        <w:rPr>
          <w:rFonts w:ascii="Times New Roman" w:hAnsi="Times New Roman"/>
          <w:sz w:val="22"/>
          <w:szCs w:val="18"/>
        </w:rPr>
      </w:pPr>
      <w:r w:rsidRPr="00017BB4">
        <w:rPr>
          <w:rFonts w:ascii="Times New Roman" w:hAnsi="Times New Roman"/>
          <w:sz w:val="22"/>
          <w:szCs w:val="18"/>
        </w:rPr>
        <w:t>New Zealand : 1995-2005 from Mühleisen et al (2005).  2006-2010 updated using government documents.  Available at http://www.treasury.govt.nz/budget/archive</w:t>
      </w:r>
    </w:p>
    <w:p w:rsidR="00803C86" w:rsidRPr="00017BB4" w:rsidRDefault="00803C86" w:rsidP="00017BB4">
      <w:pPr>
        <w:rPr>
          <w:rFonts w:ascii="Times New Roman" w:hAnsi="Times New Roman"/>
          <w:sz w:val="22"/>
          <w:szCs w:val="18"/>
        </w:rPr>
      </w:pPr>
      <w:r w:rsidRPr="00017BB4">
        <w:rPr>
          <w:rFonts w:ascii="Times New Roman" w:hAnsi="Times New Roman"/>
          <w:sz w:val="22"/>
          <w:szCs w:val="18"/>
          <w:lang w:val="de-DE"/>
        </w:rPr>
        <w:t xml:space="preserve">Sweden :  1998 from Mühleisen et al (2005). </w:t>
      </w:r>
      <w:r w:rsidRPr="00017BB4">
        <w:rPr>
          <w:rFonts w:ascii="Times New Roman" w:hAnsi="Times New Roman"/>
          <w:sz w:val="22"/>
          <w:szCs w:val="18"/>
        </w:rPr>
        <w:t>1999-2007 from Beetsma et al (2009).  2008-2010 updated using SGP convergence program.</w:t>
      </w:r>
    </w:p>
    <w:p w:rsidR="00803C86" w:rsidRPr="00017BB4" w:rsidRDefault="00803C86" w:rsidP="00017BB4">
      <w:pPr>
        <w:rPr>
          <w:rFonts w:ascii="Times New Roman" w:hAnsi="Times New Roman"/>
          <w:sz w:val="22"/>
          <w:szCs w:val="18"/>
          <w:lang w:val="de-DE"/>
        </w:rPr>
      </w:pPr>
      <w:r w:rsidRPr="00017BB4">
        <w:rPr>
          <w:rFonts w:ascii="Times New Roman" w:hAnsi="Times New Roman"/>
          <w:sz w:val="22"/>
          <w:szCs w:val="18"/>
          <w:lang w:val="de-DE"/>
        </w:rPr>
        <w:t>Switzerland:  1990-2003 from Mühleisen et al (2005)</w:t>
      </w:r>
    </w:p>
    <w:p w:rsidR="00803C86" w:rsidRPr="00017BB4" w:rsidRDefault="00803C86" w:rsidP="00017BB4">
      <w:pPr>
        <w:rPr>
          <w:rFonts w:ascii="Times New Roman" w:hAnsi="Times New Roman"/>
          <w:sz w:val="22"/>
          <w:szCs w:val="18"/>
        </w:rPr>
      </w:pPr>
      <w:r w:rsidRPr="00017BB4">
        <w:rPr>
          <w:rFonts w:ascii="Times New Roman" w:hAnsi="Times New Roman"/>
          <w:sz w:val="22"/>
          <w:szCs w:val="18"/>
        </w:rPr>
        <w:t>United States:  1986-2005 from Mühleisen et al (2005).  2006-2010 updated from government documents (Historical Tables). Available: http://www.gpoaccess.gov/usbudget/</w:t>
      </w:r>
    </w:p>
    <w:p w:rsidR="00803C86" w:rsidRPr="00017BB4" w:rsidRDefault="00803C86" w:rsidP="00017BB4">
      <w:pPr>
        <w:rPr>
          <w:rFonts w:ascii="Times New Roman" w:hAnsi="Times New Roman"/>
          <w:sz w:val="22"/>
          <w:szCs w:val="18"/>
        </w:rPr>
      </w:pPr>
      <w:r w:rsidRPr="00017BB4">
        <w:rPr>
          <w:rFonts w:ascii="Times New Roman" w:hAnsi="Times New Roman"/>
          <w:sz w:val="22"/>
          <w:szCs w:val="18"/>
        </w:rPr>
        <w:t>United Kingdom:  1997-1998 from Mühleisen et al (2005).  1999-2007 from Beetsma et al (2009).  2008-2010 updated using SGP convergence program.</w:t>
      </w:r>
    </w:p>
    <w:p w:rsidR="00803C86" w:rsidRPr="00017BB4" w:rsidRDefault="00803C86" w:rsidP="00017BB4">
      <w:pPr>
        <w:rPr>
          <w:rFonts w:ascii="Times New Roman" w:hAnsi="Times New Roman"/>
          <w:sz w:val="22"/>
          <w:szCs w:val="18"/>
        </w:rPr>
      </w:pPr>
      <w:r w:rsidRPr="00017BB4">
        <w:rPr>
          <w:rFonts w:ascii="Times New Roman" w:hAnsi="Times New Roman"/>
          <w:sz w:val="22"/>
          <w:szCs w:val="18"/>
        </w:rPr>
        <w:t>South Africa:  Data from government documents.  Available at: http://www.treasury.gov.za/documents/national%20budget/default.aspx</w:t>
      </w:r>
    </w:p>
    <w:p w:rsidR="00803C86" w:rsidRPr="00017BB4" w:rsidRDefault="00803C86" w:rsidP="00017BB4">
      <w:pPr>
        <w:rPr>
          <w:rFonts w:ascii="Times New Roman" w:hAnsi="Times New Roman"/>
          <w:sz w:val="22"/>
          <w:szCs w:val="18"/>
        </w:rPr>
      </w:pPr>
      <w:r w:rsidRPr="00017BB4">
        <w:rPr>
          <w:rFonts w:ascii="Times New Roman" w:hAnsi="Times New Roman"/>
          <w:sz w:val="22"/>
          <w:szCs w:val="18"/>
        </w:rPr>
        <w:t>SGP convergence program countries [These countries are all in the SGP but were not in the Mühleisen et al (2005) dataset]: Austria , Belgium, Cyprus, Czech Republic , Denmark, Estonia, Finland, Greece, Hungary, Ireland, Latvia, Lithuania, Luxemburg, Malta, Poland, Portugal, Slovakia, Slovenia, Spain – All forecast data from European Union Stability and Growth Pact convergence programs.  The years 1999-2007 are from the convergence programs as reported in Beetsma et al (2009).  2008-2010 were updated directly from the convergence programs.  Through 2006, the realized values for these countries are from the European Commission Ameco database (via Beetsma et al (2009)).  2007-2009 were updated using the realizations reported in the SGP convergence programs.</w:t>
      </w:r>
    </w:p>
    <w:p w:rsidR="00803C86" w:rsidRPr="00017BB4" w:rsidRDefault="00803C86" w:rsidP="00017BB4">
      <w:pPr>
        <w:rPr>
          <w:rFonts w:ascii="Times New Roman" w:hAnsi="Times New Roman"/>
          <w:sz w:val="22"/>
          <w:szCs w:val="18"/>
        </w:rPr>
      </w:pPr>
      <w:r w:rsidRPr="00017BB4">
        <w:rPr>
          <w:rFonts w:ascii="Times New Roman" w:hAnsi="Times New Roman"/>
          <w:sz w:val="22"/>
          <w:szCs w:val="18"/>
        </w:rPr>
        <w:t>European Union Stability and Growth Pact convergence programs are available at: http://ec.europa.eu/economy_finance/sgp/convergence/programmes/index_en.htm</w:t>
      </w:r>
    </w:p>
    <w:p w:rsidR="00803C86" w:rsidRPr="00DA1286" w:rsidRDefault="00803C86" w:rsidP="008E6A1B">
      <w:pPr>
        <w:rPr>
          <w:rFonts w:ascii="Times New Roman" w:hAnsi="Times New Roman"/>
        </w:rPr>
      </w:pPr>
    </w:p>
    <w:sectPr w:rsidR="00803C86" w:rsidRPr="00DA1286" w:rsidSect="00A8553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7152"/>
    <w:multiLevelType w:val="hybridMultilevel"/>
    <w:tmpl w:val="0E2C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790ECB"/>
    <w:multiLevelType w:val="hybridMultilevel"/>
    <w:tmpl w:val="60E6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3455F0"/>
    <w:multiLevelType w:val="hybridMultilevel"/>
    <w:tmpl w:val="48BA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FC36B7"/>
    <w:multiLevelType w:val="hybridMultilevel"/>
    <w:tmpl w:val="6FC2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7F4957"/>
    <w:multiLevelType w:val="hybridMultilevel"/>
    <w:tmpl w:val="8CAE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5537"/>
    <w:rsid w:val="00017BB4"/>
    <w:rsid w:val="000F5F54"/>
    <w:rsid w:val="001446F8"/>
    <w:rsid w:val="002B12E4"/>
    <w:rsid w:val="003676D0"/>
    <w:rsid w:val="003D7FB2"/>
    <w:rsid w:val="005405F5"/>
    <w:rsid w:val="00542F46"/>
    <w:rsid w:val="005C05C1"/>
    <w:rsid w:val="00613AE8"/>
    <w:rsid w:val="006F121A"/>
    <w:rsid w:val="00803C86"/>
    <w:rsid w:val="00837FB9"/>
    <w:rsid w:val="008607ED"/>
    <w:rsid w:val="008677F9"/>
    <w:rsid w:val="00877080"/>
    <w:rsid w:val="008E6A1B"/>
    <w:rsid w:val="009900AF"/>
    <w:rsid w:val="009942F3"/>
    <w:rsid w:val="009E5E2F"/>
    <w:rsid w:val="00A53506"/>
    <w:rsid w:val="00A85537"/>
    <w:rsid w:val="00CF4620"/>
    <w:rsid w:val="00DA1286"/>
    <w:rsid w:val="00E94FEF"/>
    <w:rsid w:val="00F155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Pr>
      <w:rFonts w:ascii="Lucida Grande" w:hAnsi="Lucida Grande" w:cs="Times New Roman"/>
      <w:sz w:val="18"/>
      <w:szCs w:val="18"/>
    </w:rPr>
  </w:style>
  <w:style w:type="paragraph" w:styleId="ListParagraph">
    <w:name w:val="List Paragraph"/>
    <w:basedOn w:val="Normal"/>
    <w:uiPriority w:val="99"/>
    <w:qFormat/>
    <w:rsid w:val="00A85537"/>
    <w:pPr>
      <w:ind w:left="720"/>
      <w:contextualSpacing/>
    </w:pPr>
  </w:style>
  <w:style w:type="table" w:styleId="TableGrid">
    <w:name w:val="Table Grid"/>
    <w:basedOn w:val="TableNormal"/>
    <w:uiPriority w:val="99"/>
    <w:rsid w:val="009E5E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central.cl/e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802</Words>
  <Characters>4575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for A Solution to Fiscal Procyclicality: </dc:title>
  <dc:subject/>
  <dc:creator>Jesse Schreger</dc:creator>
  <cp:keywords/>
  <dc:description/>
  <cp:lastModifiedBy>Jeff Frankel</cp:lastModifiedBy>
  <cp:revision>2</cp:revision>
  <dcterms:created xsi:type="dcterms:W3CDTF">2011-02-07T20:59:00Z</dcterms:created>
  <dcterms:modified xsi:type="dcterms:W3CDTF">2011-02-07T20:59:00Z</dcterms:modified>
</cp:coreProperties>
</file>