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26" w:rsidRDefault="00D017BB" w:rsidP="006E3626">
      <w:pPr>
        <w:ind w:left="720"/>
        <w:jc w:val="right"/>
        <w:rPr>
          <w:sz w:val="20"/>
          <w:szCs w:val="20"/>
        </w:rPr>
      </w:pPr>
      <w:r>
        <w:rPr>
          <w:sz w:val="20"/>
          <w:szCs w:val="20"/>
        </w:rPr>
        <w:t xml:space="preserve">Draft: </w:t>
      </w:r>
      <w:r w:rsidR="003F4763">
        <w:rPr>
          <w:sz w:val="20"/>
          <w:szCs w:val="20"/>
        </w:rPr>
        <w:t>October 20</w:t>
      </w:r>
      <w:r w:rsidR="00FE6FC2" w:rsidRPr="00FE6FC2">
        <w:rPr>
          <w:sz w:val="20"/>
          <w:szCs w:val="20"/>
        </w:rPr>
        <w:t>, 2014</w:t>
      </w:r>
    </w:p>
    <w:p w:rsidR="001476CA" w:rsidRPr="005D310D" w:rsidRDefault="0032269B" w:rsidP="002438B7">
      <w:pPr>
        <w:jc w:val="center"/>
        <w:rPr>
          <w:b/>
          <w:sz w:val="24"/>
          <w:szCs w:val="24"/>
        </w:rPr>
      </w:pPr>
      <w:r>
        <w:rPr>
          <w:b/>
          <w:sz w:val="24"/>
          <w:szCs w:val="24"/>
        </w:rPr>
        <w:t>“</w:t>
      </w:r>
      <w:r w:rsidR="00BF11AD">
        <w:rPr>
          <w:b/>
          <w:sz w:val="24"/>
          <w:szCs w:val="24"/>
        </w:rPr>
        <w:t xml:space="preserve">How to </w:t>
      </w:r>
      <w:r w:rsidR="00CE360D" w:rsidRPr="005D310D">
        <w:rPr>
          <w:b/>
          <w:sz w:val="24"/>
          <w:szCs w:val="24"/>
        </w:rPr>
        <w:t>Cop</w:t>
      </w:r>
      <w:r w:rsidR="00BF11AD">
        <w:rPr>
          <w:b/>
          <w:sz w:val="24"/>
          <w:szCs w:val="24"/>
        </w:rPr>
        <w:t>e</w:t>
      </w:r>
      <w:r w:rsidR="00CE360D" w:rsidRPr="005D310D">
        <w:rPr>
          <w:b/>
          <w:sz w:val="24"/>
          <w:szCs w:val="24"/>
        </w:rPr>
        <w:t xml:space="preserve"> with </w:t>
      </w:r>
      <w:r>
        <w:rPr>
          <w:b/>
          <w:sz w:val="24"/>
          <w:szCs w:val="24"/>
        </w:rPr>
        <w:t>Volatile Commodity Export Prices</w:t>
      </w:r>
      <w:r w:rsidR="00BF11AD">
        <w:rPr>
          <w:b/>
          <w:sz w:val="24"/>
          <w:szCs w:val="24"/>
        </w:rPr>
        <w:t xml:space="preserve">: Four </w:t>
      </w:r>
      <w:r w:rsidR="00F578D4">
        <w:rPr>
          <w:b/>
          <w:sz w:val="24"/>
          <w:szCs w:val="24"/>
        </w:rPr>
        <w:t>Proposals</w:t>
      </w:r>
      <w:r>
        <w:rPr>
          <w:b/>
          <w:sz w:val="24"/>
          <w:szCs w:val="24"/>
        </w:rPr>
        <w:t>”</w:t>
      </w:r>
      <w:r w:rsidR="001476CA">
        <w:rPr>
          <w:b/>
          <w:sz w:val="24"/>
          <w:szCs w:val="24"/>
        </w:rPr>
        <w:br/>
        <w:t>Jeffrey Frankel, Harpel Professor, Harvard Kennedy School</w:t>
      </w:r>
    </w:p>
    <w:p w:rsidR="0032269B" w:rsidRPr="001476CA" w:rsidRDefault="0032269B" w:rsidP="002438B7">
      <w:pPr>
        <w:jc w:val="center"/>
        <w:rPr>
          <w:b/>
          <w:sz w:val="24"/>
          <w:szCs w:val="24"/>
        </w:rPr>
      </w:pPr>
      <w:r w:rsidRPr="001476CA">
        <w:rPr>
          <w:b/>
          <w:sz w:val="24"/>
          <w:szCs w:val="24"/>
        </w:rPr>
        <w:t>Keynote Address</w:t>
      </w:r>
      <w:r w:rsidR="001476CA" w:rsidRPr="001476CA">
        <w:rPr>
          <w:b/>
          <w:sz w:val="24"/>
          <w:szCs w:val="24"/>
        </w:rPr>
        <w:t xml:space="preserve">, </w:t>
      </w:r>
      <w:r w:rsidR="001476CA" w:rsidRPr="001476CA">
        <w:rPr>
          <w:b/>
          <w:i/>
          <w:sz w:val="24"/>
          <w:szCs w:val="24"/>
        </w:rPr>
        <w:t>Commodity Pr</w:t>
      </w:r>
      <w:r w:rsidR="007716AC">
        <w:rPr>
          <w:b/>
          <w:i/>
          <w:sz w:val="24"/>
          <w:szCs w:val="24"/>
        </w:rPr>
        <w:t xml:space="preserve">ices and Macroeconomic Policy, </w:t>
      </w:r>
      <w:r w:rsidR="001476CA" w:rsidRPr="001476CA">
        <w:rPr>
          <w:b/>
          <w:sz w:val="24"/>
          <w:szCs w:val="24"/>
        </w:rPr>
        <w:t>Conference of the Central Bank of Chile, Santiago, Oct. 23, 2014, organized by Rodrigo Caputo and Roberto Chang.</w:t>
      </w:r>
    </w:p>
    <w:p w:rsidR="00BD77BA" w:rsidRDefault="00BD77BA" w:rsidP="006C510F">
      <w:pPr>
        <w:ind w:left="720"/>
        <w:rPr>
          <w:sz w:val="24"/>
          <w:szCs w:val="24"/>
        </w:rPr>
      </w:pPr>
    </w:p>
    <w:p w:rsidR="00CE360D" w:rsidRPr="00E400E5" w:rsidRDefault="003F4763" w:rsidP="00AB3D3C">
      <w:pPr>
        <w:pStyle w:val="ListParagraph"/>
        <w:ind w:left="1080"/>
        <w:rPr>
          <w:b/>
          <w:sz w:val="24"/>
          <w:szCs w:val="24"/>
        </w:rPr>
      </w:pPr>
      <w:r>
        <w:rPr>
          <w:b/>
          <w:sz w:val="24"/>
          <w:szCs w:val="24"/>
        </w:rPr>
        <w:t>Introduction</w:t>
      </w:r>
    </w:p>
    <w:p w:rsidR="00BF11AD" w:rsidRDefault="0075348A" w:rsidP="004A37C3">
      <w:pPr>
        <w:ind w:firstLine="360"/>
        <w:rPr>
          <w:sz w:val="24"/>
          <w:szCs w:val="24"/>
        </w:rPr>
      </w:pPr>
      <w:r w:rsidRPr="00F578D4">
        <w:rPr>
          <w:sz w:val="24"/>
          <w:szCs w:val="24"/>
        </w:rPr>
        <w:t xml:space="preserve">Countries </w:t>
      </w:r>
      <w:r w:rsidR="00271A81">
        <w:rPr>
          <w:sz w:val="24"/>
          <w:szCs w:val="24"/>
        </w:rPr>
        <w:t xml:space="preserve">where exports </w:t>
      </w:r>
      <w:r w:rsidR="00F578D4" w:rsidRPr="00F578D4">
        <w:rPr>
          <w:sz w:val="24"/>
          <w:szCs w:val="24"/>
        </w:rPr>
        <w:t xml:space="preserve">are relatively concentrated in oil, gas, minerals and agricultural commodities experience </w:t>
      </w:r>
      <w:r w:rsidRPr="00F578D4">
        <w:rPr>
          <w:sz w:val="24"/>
          <w:szCs w:val="24"/>
        </w:rPr>
        <w:t>terms of trade</w:t>
      </w:r>
      <w:r w:rsidR="00F578D4" w:rsidRPr="00F578D4">
        <w:rPr>
          <w:sz w:val="24"/>
          <w:szCs w:val="24"/>
        </w:rPr>
        <w:t xml:space="preserve"> that are highly volatile.   This volatility is one of the possible explanations for the famous Natural Resource Curse.</w:t>
      </w:r>
      <w:r w:rsidR="00273A07">
        <w:rPr>
          <w:rStyle w:val="FootnoteReference"/>
        </w:rPr>
        <w:footnoteReference w:id="1"/>
      </w:r>
      <w:r w:rsidR="00273A07">
        <w:t xml:space="preserve">  </w:t>
      </w:r>
      <w:r w:rsidR="00F578D4" w:rsidRPr="00F578D4">
        <w:rPr>
          <w:sz w:val="24"/>
          <w:szCs w:val="24"/>
        </w:rPr>
        <w:t xml:space="preserve">  </w:t>
      </w:r>
    </w:p>
    <w:p w:rsidR="004400D4" w:rsidRDefault="003F4763" w:rsidP="004A37C3">
      <w:pPr>
        <w:ind w:firstLine="360"/>
        <w:rPr>
          <w:sz w:val="24"/>
          <w:szCs w:val="24"/>
        </w:rPr>
      </w:pPr>
      <w:r>
        <w:rPr>
          <w:sz w:val="24"/>
          <w:szCs w:val="24"/>
        </w:rPr>
        <w:t>My</w:t>
      </w:r>
      <w:r w:rsidR="00F578D4" w:rsidRPr="00F578D4">
        <w:rPr>
          <w:sz w:val="24"/>
          <w:szCs w:val="24"/>
        </w:rPr>
        <w:t xml:space="preserve"> aim </w:t>
      </w:r>
      <w:r w:rsidR="00F578D4">
        <w:rPr>
          <w:sz w:val="24"/>
          <w:szCs w:val="24"/>
        </w:rPr>
        <w:t xml:space="preserve">in this keynote address </w:t>
      </w:r>
      <w:r w:rsidR="00F578D4" w:rsidRPr="00F578D4">
        <w:rPr>
          <w:sz w:val="24"/>
          <w:szCs w:val="24"/>
        </w:rPr>
        <w:t>is to offer f</w:t>
      </w:r>
      <w:r w:rsidR="00CE360D" w:rsidRPr="00F578D4">
        <w:rPr>
          <w:sz w:val="24"/>
          <w:szCs w:val="24"/>
        </w:rPr>
        <w:t xml:space="preserve">our </w:t>
      </w:r>
      <w:r w:rsidR="00271A81">
        <w:rPr>
          <w:sz w:val="24"/>
          <w:szCs w:val="24"/>
        </w:rPr>
        <w:t xml:space="preserve">policy </w:t>
      </w:r>
      <w:r w:rsidR="00F578D4" w:rsidRPr="00F578D4">
        <w:rPr>
          <w:sz w:val="24"/>
          <w:szCs w:val="24"/>
        </w:rPr>
        <w:t xml:space="preserve">proposals </w:t>
      </w:r>
      <w:r w:rsidR="00F578D4">
        <w:rPr>
          <w:sz w:val="24"/>
          <w:szCs w:val="24"/>
        </w:rPr>
        <w:t>for</w:t>
      </w:r>
      <w:r w:rsidR="00F578D4" w:rsidRPr="00F578D4">
        <w:rPr>
          <w:sz w:val="24"/>
          <w:szCs w:val="24"/>
        </w:rPr>
        <w:t xml:space="preserve"> help</w:t>
      </w:r>
      <w:r w:rsidR="00F578D4">
        <w:rPr>
          <w:sz w:val="24"/>
          <w:szCs w:val="24"/>
        </w:rPr>
        <w:t>ing</w:t>
      </w:r>
      <w:r w:rsidR="00B516BB">
        <w:rPr>
          <w:sz w:val="24"/>
          <w:szCs w:val="24"/>
        </w:rPr>
        <w:t xml:space="preserve"> </w:t>
      </w:r>
      <w:r w:rsidR="00F578D4" w:rsidRPr="00F578D4">
        <w:rPr>
          <w:sz w:val="24"/>
          <w:szCs w:val="24"/>
        </w:rPr>
        <w:t>m</w:t>
      </w:r>
      <w:r w:rsidR="00A17395" w:rsidRPr="00F578D4">
        <w:rPr>
          <w:sz w:val="24"/>
          <w:szCs w:val="24"/>
        </w:rPr>
        <w:t>anage commodity volatility</w:t>
      </w:r>
      <w:r w:rsidR="00F578D4" w:rsidRPr="00F578D4">
        <w:rPr>
          <w:sz w:val="24"/>
          <w:szCs w:val="24"/>
        </w:rPr>
        <w:t xml:space="preserve"> and thereby help</w:t>
      </w:r>
      <w:r w:rsidR="00271A81">
        <w:rPr>
          <w:sz w:val="24"/>
          <w:szCs w:val="24"/>
        </w:rPr>
        <w:t>ing</w:t>
      </w:r>
      <w:r w:rsidR="00F578D4" w:rsidRPr="00F578D4">
        <w:rPr>
          <w:sz w:val="24"/>
          <w:szCs w:val="24"/>
        </w:rPr>
        <w:t xml:space="preserve"> make sure that commodity wealth is a blessing rather than a curse.   Two of the ideas fall in the area of microeconomic policy</w:t>
      </w:r>
      <w:r w:rsidR="00BF11AD">
        <w:rPr>
          <w:sz w:val="24"/>
          <w:szCs w:val="24"/>
        </w:rPr>
        <w:t>:</w:t>
      </w:r>
      <w:r w:rsidR="00F578D4" w:rsidRPr="00F578D4">
        <w:rPr>
          <w:sz w:val="24"/>
          <w:szCs w:val="24"/>
        </w:rPr>
        <w:t xml:space="preserve"> specific </w:t>
      </w:r>
      <w:r w:rsidR="00BF11AD">
        <w:rPr>
          <w:sz w:val="24"/>
          <w:szCs w:val="24"/>
        </w:rPr>
        <w:t xml:space="preserve">financial </w:t>
      </w:r>
      <w:r w:rsidR="00F578D4" w:rsidRPr="00F578D4">
        <w:rPr>
          <w:sz w:val="24"/>
          <w:szCs w:val="24"/>
        </w:rPr>
        <w:t xml:space="preserve">contracts </w:t>
      </w:r>
      <w:r w:rsidR="00BF11AD">
        <w:rPr>
          <w:sz w:val="24"/>
          <w:szCs w:val="24"/>
        </w:rPr>
        <w:t xml:space="preserve">structured so </w:t>
      </w:r>
      <w:r w:rsidR="00F578D4" w:rsidRPr="00F578D4">
        <w:rPr>
          <w:sz w:val="24"/>
          <w:szCs w:val="24"/>
        </w:rPr>
        <w:t>as to hedge risk.   Two of the ideas fall in the area of ma</w:t>
      </w:r>
      <w:r w:rsidR="00BF11AD">
        <w:rPr>
          <w:sz w:val="24"/>
          <w:szCs w:val="24"/>
        </w:rPr>
        <w:t xml:space="preserve">croeconomic policy institutions:  ways </w:t>
      </w:r>
      <w:r w:rsidR="00F578D4" w:rsidRPr="00F578D4">
        <w:rPr>
          <w:sz w:val="24"/>
          <w:szCs w:val="24"/>
        </w:rPr>
        <w:t xml:space="preserve">to make fiscal and monetary policy counter-cyclical rather than pro-cyclical.  </w:t>
      </w:r>
    </w:p>
    <w:p w:rsidR="001568E7" w:rsidRDefault="004400D4" w:rsidP="004A37C3">
      <w:pPr>
        <w:ind w:firstLine="360"/>
        <w:rPr>
          <w:sz w:val="24"/>
          <w:szCs w:val="24"/>
        </w:rPr>
      </w:pPr>
      <w:r>
        <w:rPr>
          <w:sz w:val="24"/>
          <w:szCs w:val="24"/>
        </w:rPr>
        <w:t xml:space="preserve">It is always hard to make policy proposals that are convincing and at the same time are original.  I will try to strike the right balance between convincing and original.  </w:t>
      </w:r>
      <w:r w:rsidR="00F578D4" w:rsidRPr="00F578D4">
        <w:rPr>
          <w:sz w:val="24"/>
          <w:szCs w:val="24"/>
        </w:rPr>
        <w:t xml:space="preserve">Of the four </w:t>
      </w:r>
      <w:r>
        <w:rPr>
          <w:sz w:val="24"/>
          <w:szCs w:val="24"/>
        </w:rPr>
        <w:t>idea</w:t>
      </w:r>
      <w:r w:rsidR="00F578D4" w:rsidRPr="00F578D4">
        <w:rPr>
          <w:sz w:val="24"/>
          <w:szCs w:val="24"/>
        </w:rPr>
        <w:t>s, t</w:t>
      </w:r>
      <w:r w:rsidR="00CE360D" w:rsidRPr="00F578D4">
        <w:rPr>
          <w:sz w:val="24"/>
          <w:szCs w:val="24"/>
        </w:rPr>
        <w:t xml:space="preserve">wo </w:t>
      </w:r>
      <w:r>
        <w:rPr>
          <w:sz w:val="24"/>
          <w:szCs w:val="24"/>
        </w:rPr>
        <w:t xml:space="preserve">are tried and tested. </w:t>
      </w:r>
      <w:r w:rsidR="00F578D4" w:rsidRPr="00F578D4">
        <w:rPr>
          <w:sz w:val="24"/>
          <w:szCs w:val="24"/>
        </w:rPr>
        <w:t xml:space="preserve"> T</w:t>
      </w:r>
      <w:r w:rsidR="00CE360D" w:rsidRPr="00F578D4">
        <w:rPr>
          <w:sz w:val="24"/>
          <w:szCs w:val="24"/>
        </w:rPr>
        <w:t xml:space="preserve">wo </w:t>
      </w:r>
      <w:r w:rsidR="00F578D4" w:rsidRPr="00F578D4">
        <w:rPr>
          <w:sz w:val="24"/>
          <w:szCs w:val="24"/>
        </w:rPr>
        <w:t>have not been tried</w:t>
      </w:r>
      <w:r w:rsidR="003F4763">
        <w:rPr>
          <w:sz w:val="24"/>
          <w:szCs w:val="24"/>
        </w:rPr>
        <w:t xml:space="preserve"> much</w:t>
      </w:r>
      <w:r w:rsidR="00BF11AD">
        <w:rPr>
          <w:sz w:val="24"/>
          <w:szCs w:val="24"/>
        </w:rPr>
        <w:t xml:space="preserve">.  </w:t>
      </w:r>
      <w:r w:rsidR="00B516BB">
        <w:rPr>
          <w:sz w:val="24"/>
          <w:szCs w:val="24"/>
        </w:rPr>
        <w:t xml:space="preserve">The </w:t>
      </w:r>
      <w:r w:rsidR="00F578D4" w:rsidRPr="00F578D4">
        <w:rPr>
          <w:sz w:val="24"/>
          <w:szCs w:val="24"/>
        </w:rPr>
        <w:t xml:space="preserve">question </w:t>
      </w:r>
      <w:r w:rsidR="00BF11AD">
        <w:rPr>
          <w:sz w:val="24"/>
          <w:szCs w:val="24"/>
        </w:rPr>
        <w:t xml:space="preserve">then </w:t>
      </w:r>
      <w:r w:rsidR="00B516BB">
        <w:rPr>
          <w:sz w:val="24"/>
          <w:szCs w:val="24"/>
        </w:rPr>
        <w:t>become</w:t>
      </w:r>
      <w:r w:rsidR="00BF11AD">
        <w:rPr>
          <w:sz w:val="24"/>
          <w:szCs w:val="24"/>
        </w:rPr>
        <w:t>s: why not?</w:t>
      </w:r>
    </w:p>
    <w:p w:rsidR="00CE360D" w:rsidRPr="00F578D4" w:rsidRDefault="001568E7" w:rsidP="004A37C3">
      <w:pPr>
        <w:ind w:firstLine="360"/>
        <w:rPr>
          <w:sz w:val="24"/>
          <w:szCs w:val="24"/>
        </w:rPr>
      </w:pPr>
      <w:r>
        <w:rPr>
          <w:sz w:val="24"/>
          <w:szCs w:val="24"/>
        </w:rPr>
        <w:t>Many other policies and institutions for dealing with commodity volatility have been proposed and tried</w:t>
      </w:r>
      <w:r w:rsidR="003F4763">
        <w:rPr>
          <w:sz w:val="24"/>
          <w:szCs w:val="24"/>
        </w:rPr>
        <w:t xml:space="preserve"> in various countries</w:t>
      </w:r>
      <w:r>
        <w:rPr>
          <w:sz w:val="24"/>
          <w:szCs w:val="24"/>
        </w:rPr>
        <w:t xml:space="preserve">, some successful, some much less so.  Many of the </w:t>
      </w:r>
      <w:r w:rsidR="003F4763">
        <w:rPr>
          <w:sz w:val="24"/>
          <w:szCs w:val="24"/>
        </w:rPr>
        <w:t>idea</w:t>
      </w:r>
      <w:r>
        <w:rPr>
          <w:sz w:val="24"/>
          <w:szCs w:val="24"/>
        </w:rPr>
        <w:t xml:space="preserve">s that tend not to work well can be described as seeking to suppress price volatility rather than manage it.    I see them as akin to King Canute commanding the tide not to come in.  I am thinking, for example, of price controls, </w:t>
      </w:r>
      <w:r>
        <w:t xml:space="preserve">commodity marketing  boards, </w:t>
      </w:r>
      <w:r w:rsidR="003F4763">
        <w:t xml:space="preserve">and </w:t>
      </w:r>
      <w:r>
        <w:t>c</w:t>
      </w:r>
      <w:r w:rsidR="003F4763">
        <w:t>ontrols on exports</w:t>
      </w:r>
      <w:r>
        <w:t xml:space="preserve">.    </w:t>
      </w:r>
      <w:r w:rsidRPr="003F4763">
        <w:rPr>
          <w:sz w:val="24"/>
          <w:szCs w:val="24"/>
        </w:rPr>
        <w:t>Better to accept fluctuations in demand and supply as a fact of life, and to devise</w:t>
      </w:r>
      <w:r w:rsidR="003F4763" w:rsidRPr="003F4763">
        <w:rPr>
          <w:sz w:val="24"/>
          <w:szCs w:val="24"/>
        </w:rPr>
        <w:t xml:space="preserve"> policies and institutions to</w:t>
      </w:r>
      <w:r w:rsidRPr="003F4763">
        <w:rPr>
          <w:sz w:val="24"/>
          <w:szCs w:val="24"/>
        </w:rPr>
        <w:t xml:space="preserve"> equip the economy to cope with them.</w:t>
      </w:r>
    </w:p>
    <w:p w:rsidR="001568E7" w:rsidRPr="00E400E5" w:rsidRDefault="00B93290" w:rsidP="00CE360D">
      <w:pPr>
        <w:pStyle w:val="ListParagraph"/>
        <w:numPr>
          <w:ilvl w:val="0"/>
          <w:numId w:val="1"/>
        </w:numPr>
        <w:rPr>
          <w:b/>
          <w:sz w:val="24"/>
          <w:szCs w:val="24"/>
        </w:rPr>
      </w:pPr>
      <w:r w:rsidRPr="00E400E5">
        <w:rPr>
          <w:b/>
          <w:sz w:val="24"/>
          <w:szCs w:val="24"/>
        </w:rPr>
        <w:t>First</w:t>
      </w:r>
      <w:r w:rsidR="00CE360D" w:rsidRPr="00E400E5">
        <w:rPr>
          <w:b/>
          <w:sz w:val="24"/>
          <w:szCs w:val="24"/>
        </w:rPr>
        <w:t xml:space="preserve"> idea for financial hedging</w:t>
      </w:r>
      <w:r w:rsidR="00E400E5" w:rsidRPr="00E400E5">
        <w:rPr>
          <w:b/>
          <w:sz w:val="24"/>
          <w:szCs w:val="24"/>
        </w:rPr>
        <w:t>: Options</w:t>
      </w:r>
      <w:r w:rsidR="00CE360D" w:rsidRPr="00E400E5">
        <w:rPr>
          <w:b/>
          <w:sz w:val="24"/>
          <w:szCs w:val="24"/>
        </w:rPr>
        <w:t xml:space="preserve"> </w:t>
      </w:r>
    </w:p>
    <w:p w:rsidR="004A37C3" w:rsidRDefault="005B3F30" w:rsidP="00586F10">
      <w:pPr>
        <w:ind w:firstLine="360"/>
        <w:rPr>
          <w:sz w:val="24"/>
          <w:szCs w:val="24"/>
        </w:rPr>
      </w:pPr>
      <w:r w:rsidRPr="004A37C3">
        <w:rPr>
          <w:sz w:val="24"/>
          <w:szCs w:val="24"/>
        </w:rPr>
        <w:t>Hedging allows for efficient sharing of risk.</w:t>
      </w:r>
      <w:r>
        <w:t xml:space="preserve">  </w:t>
      </w:r>
      <w:r w:rsidR="001568E7" w:rsidRPr="004A37C3">
        <w:rPr>
          <w:sz w:val="24"/>
          <w:szCs w:val="24"/>
        </w:rPr>
        <w:t xml:space="preserve">Of my two suggestions for ways to hedge against fluctuations in </w:t>
      </w:r>
      <w:r w:rsidR="00586F10">
        <w:rPr>
          <w:sz w:val="24"/>
          <w:szCs w:val="24"/>
        </w:rPr>
        <w:t xml:space="preserve">the </w:t>
      </w:r>
      <w:r w:rsidR="001568E7" w:rsidRPr="004A37C3">
        <w:rPr>
          <w:sz w:val="24"/>
          <w:szCs w:val="24"/>
        </w:rPr>
        <w:t>world price of the export commodity</w:t>
      </w:r>
      <w:r w:rsidRPr="004A37C3">
        <w:rPr>
          <w:sz w:val="24"/>
          <w:szCs w:val="24"/>
        </w:rPr>
        <w:t>,</w:t>
      </w:r>
      <w:r w:rsidR="001568E7" w:rsidRPr="004A37C3">
        <w:rPr>
          <w:sz w:val="24"/>
          <w:szCs w:val="24"/>
        </w:rPr>
        <w:t xml:space="preserve"> </w:t>
      </w:r>
      <w:r w:rsidR="00434F44" w:rsidRPr="004A37C3">
        <w:rPr>
          <w:sz w:val="24"/>
          <w:szCs w:val="24"/>
        </w:rPr>
        <w:t>one</w:t>
      </w:r>
      <w:r w:rsidRPr="004A37C3">
        <w:rPr>
          <w:sz w:val="24"/>
          <w:szCs w:val="24"/>
        </w:rPr>
        <w:t xml:space="preserve"> having to do with derivatives</w:t>
      </w:r>
      <w:r w:rsidR="00434F44" w:rsidRPr="004A37C3">
        <w:rPr>
          <w:sz w:val="24"/>
          <w:szCs w:val="24"/>
        </w:rPr>
        <w:t xml:space="preserve"> </w:t>
      </w:r>
      <w:r w:rsidR="00DA162F">
        <w:rPr>
          <w:sz w:val="24"/>
          <w:szCs w:val="24"/>
        </w:rPr>
        <w:t>has been</w:t>
      </w:r>
      <w:r w:rsidR="00434F44" w:rsidRPr="004A37C3">
        <w:rPr>
          <w:sz w:val="24"/>
          <w:szCs w:val="24"/>
        </w:rPr>
        <w:t xml:space="preserve"> t</w:t>
      </w:r>
      <w:r w:rsidR="00CE360D" w:rsidRPr="004A37C3">
        <w:rPr>
          <w:sz w:val="24"/>
          <w:szCs w:val="24"/>
        </w:rPr>
        <w:t>ried</w:t>
      </w:r>
      <w:r w:rsidR="00434F44" w:rsidRPr="004A37C3">
        <w:rPr>
          <w:sz w:val="24"/>
          <w:szCs w:val="24"/>
        </w:rPr>
        <w:t xml:space="preserve"> and </w:t>
      </w:r>
      <w:r w:rsidR="00DA162F">
        <w:rPr>
          <w:sz w:val="24"/>
          <w:szCs w:val="24"/>
        </w:rPr>
        <w:t>proven successful</w:t>
      </w:r>
      <w:r w:rsidR="00586F10">
        <w:rPr>
          <w:sz w:val="24"/>
          <w:szCs w:val="24"/>
        </w:rPr>
        <w:t xml:space="preserve">. </w:t>
      </w:r>
      <w:r w:rsidR="001F799A" w:rsidRPr="004A37C3">
        <w:rPr>
          <w:sz w:val="24"/>
          <w:szCs w:val="24"/>
        </w:rPr>
        <w:t xml:space="preserve"> </w:t>
      </w:r>
      <w:r w:rsidRPr="004A37C3">
        <w:rPr>
          <w:sz w:val="24"/>
          <w:szCs w:val="24"/>
        </w:rPr>
        <w:t xml:space="preserve">I have in mind </w:t>
      </w:r>
      <w:r w:rsidR="00CE360D" w:rsidRPr="004A37C3">
        <w:rPr>
          <w:sz w:val="24"/>
          <w:szCs w:val="24"/>
        </w:rPr>
        <w:t>the options market</w:t>
      </w:r>
      <w:r w:rsidR="00586F10">
        <w:rPr>
          <w:sz w:val="24"/>
          <w:szCs w:val="24"/>
        </w:rPr>
        <w:t>, in particular</w:t>
      </w:r>
      <w:r w:rsidRPr="004A37C3">
        <w:rPr>
          <w:sz w:val="24"/>
          <w:szCs w:val="24"/>
        </w:rPr>
        <w:t xml:space="preserve">. </w:t>
      </w:r>
      <w:r w:rsidR="00CE360D" w:rsidRPr="004A37C3">
        <w:rPr>
          <w:sz w:val="24"/>
          <w:szCs w:val="24"/>
        </w:rPr>
        <w:t xml:space="preserve"> Mexico </w:t>
      </w:r>
      <w:r w:rsidR="003C7A12">
        <w:rPr>
          <w:sz w:val="24"/>
          <w:szCs w:val="24"/>
        </w:rPr>
        <w:t>annual</w:t>
      </w:r>
      <w:r w:rsidR="00371DFF" w:rsidRPr="004A37C3">
        <w:rPr>
          <w:sz w:val="24"/>
          <w:szCs w:val="24"/>
        </w:rPr>
        <w:t>ly</w:t>
      </w:r>
      <w:r w:rsidRPr="004A37C3">
        <w:rPr>
          <w:sz w:val="24"/>
          <w:szCs w:val="24"/>
        </w:rPr>
        <w:t xml:space="preserve"> </w:t>
      </w:r>
      <w:r w:rsidR="00385FD2">
        <w:rPr>
          <w:sz w:val="24"/>
          <w:szCs w:val="24"/>
        </w:rPr>
        <w:t xml:space="preserve">buys put </w:t>
      </w:r>
      <w:r w:rsidR="003C7A12">
        <w:rPr>
          <w:sz w:val="24"/>
          <w:szCs w:val="24"/>
        </w:rPr>
        <w:t>options contracts on a large scale to protect</w:t>
      </w:r>
      <w:r w:rsidRPr="004A37C3">
        <w:rPr>
          <w:sz w:val="24"/>
          <w:szCs w:val="24"/>
        </w:rPr>
        <w:t xml:space="preserve"> itself against </w:t>
      </w:r>
      <w:r w:rsidRPr="004A37C3">
        <w:rPr>
          <w:sz w:val="24"/>
          <w:szCs w:val="24"/>
        </w:rPr>
        <w:lastRenderedPageBreak/>
        <w:t>a decline in the dollar price of oil.</w:t>
      </w:r>
      <w:r>
        <w:rPr>
          <w:rStyle w:val="FootnoteReference"/>
          <w:sz w:val="24"/>
          <w:szCs w:val="24"/>
        </w:rPr>
        <w:footnoteReference w:id="2"/>
      </w:r>
      <w:r w:rsidR="003C7A12">
        <w:rPr>
          <w:sz w:val="24"/>
          <w:szCs w:val="24"/>
        </w:rPr>
        <w:t xml:space="preserve">  This </w:t>
      </w:r>
      <w:r w:rsidRPr="004A37C3">
        <w:rPr>
          <w:sz w:val="24"/>
          <w:szCs w:val="24"/>
        </w:rPr>
        <w:t xml:space="preserve">strategy proved especially useful </w:t>
      </w:r>
      <w:r w:rsidR="003C7A12">
        <w:rPr>
          <w:sz w:val="24"/>
          <w:szCs w:val="24"/>
        </w:rPr>
        <w:t xml:space="preserve">when global commodity prices fell abruptly </w:t>
      </w:r>
      <w:r w:rsidRPr="004A37C3">
        <w:rPr>
          <w:sz w:val="24"/>
          <w:szCs w:val="24"/>
        </w:rPr>
        <w:t>in 2009</w:t>
      </w:r>
      <w:r w:rsidR="00CE360D" w:rsidRPr="004A37C3">
        <w:rPr>
          <w:sz w:val="24"/>
          <w:szCs w:val="24"/>
        </w:rPr>
        <w:t>.</w:t>
      </w:r>
      <w:r w:rsidR="00CD1908" w:rsidRPr="004A37C3">
        <w:rPr>
          <w:sz w:val="24"/>
          <w:szCs w:val="24"/>
        </w:rPr>
        <w:t xml:space="preserve"> </w:t>
      </w:r>
    </w:p>
    <w:p w:rsidR="004A37C3" w:rsidRDefault="008517AB" w:rsidP="004A37C3">
      <w:pPr>
        <w:ind w:firstLine="720"/>
        <w:rPr>
          <w:sz w:val="24"/>
          <w:szCs w:val="24"/>
        </w:rPr>
      </w:pPr>
      <w:r w:rsidRPr="004A37C3">
        <w:rPr>
          <w:sz w:val="24"/>
          <w:szCs w:val="24"/>
        </w:rPr>
        <w:t>Why not use the futures or forward market?</w:t>
      </w:r>
      <w:r w:rsidR="00622F27">
        <w:rPr>
          <w:sz w:val="24"/>
          <w:szCs w:val="24"/>
        </w:rPr>
        <w:t xml:space="preserve">  </w:t>
      </w:r>
      <w:r w:rsidRPr="004A37C3">
        <w:rPr>
          <w:sz w:val="24"/>
          <w:szCs w:val="24"/>
        </w:rPr>
        <w:t xml:space="preserve">Ghana has </w:t>
      </w:r>
      <w:r w:rsidR="00622F27">
        <w:rPr>
          <w:sz w:val="24"/>
          <w:szCs w:val="24"/>
        </w:rPr>
        <w:t xml:space="preserve">apparently </w:t>
      </w:r>
      <w:r w:rsidR="00371DFF" w:rsidRPr="004A37C3">
        <w:rPr>
          <w:sz w:val="24"/>
          <w:szCs w:val="24"/>
        </w:rPr>
        <w:t>tried</w:t>
      </w:r>
      <w:r w:rsidRPr="004A37C3">
        <w:rPr>
          <w:sz w:val="24"/>
          <w:szCs w:val="24"/>
        </w:rPr>
        <w:t xml:space="preserve"> this </w:t>
      </w:r>
      <w:r w:rsidR="004701DC" w:rsidRPr="004A37C3">
        <w:rPr>
          <w:sz w:val="24"/>
          <w:szCs w:val="24"/>
        </w:rPr>
        <w:t>for cocoa</w:t>
      </w:r>
      <w:r w:rsidR="00622F27">
        <w:rPr>
          <w:sz w:val="24"/>
          <w:szCs w:val="24"/>
        </w:rPr>
        <w:t>, with some success</w:t>
      </w:r>
      <w:r w:rsidR="00371DFF" w:rsidRPr="004A37C3">
        <w:rPr>
          <w:sz w:val="24"/>
          <w:szCs w:val="24"/>
        </w:rPr>
        <w:t>.</w:t>
      </w:r>
      <w:r w:rsidR="00371DFF">
        <w:rPr>
          <w:rStyle w:val="FootnoteReference"/>
          <w:sz w:val="24"/>
          <w:szCs w:val="24"/>
        </w:rPr>
        <w:footnoteReference w:id="3"/>
      </w:r>
      <w:r w:rsidR="005B3F30" w:rsidRPr="004A37C3">
        <w:rPr>
          <w:sz w:val="24"/>
          <w:szCs w:val="24"/>
        </w:rPr>
        <w:t xml:space="preserve">  </w:t>
      </w:r>
      <w:r w:rsidRPr="004A37C3">
        <w:rPr>
          <w:sz w:val="24"/>
          <w:szCs w:val="24"/>
        </w:rPr>
        <w:t>But</w:t>
      </w:r>
      <w:r w:rsidR="005B3F30" w:rsidRPr="004A37C3">
        <w:rPr>
          <w:sz w:val="24"/>
          <w:szCs w:val="24"/>
        </w:rPr>
        <w:t xml:space="preserve"> the futures strategy </w:t>
      </w:r>
      <w:r w:rsidR="00CD1908" w:rsidRPr="004A37C3">
        <w:rPr>
          <w:sz w:val="24"/>
          <w:szCs w:val="24"/>
        </w:rPr>
        <w:t xml:space="preserve">has </w:t>
      </w:r>
      <w:r w:rsidR="005B3F30" w:rsidRPr="004A37C3">
        <w:rPr>
          <w:sz w:val="24"/>
          <w:szCs w:val="24"/>
        </w:rPr>
        <w:t xml:space="preserve">a major </w:t>
      </w:r>
      <w:r w:rsidR="00CD1908" w:rsidRPr="004A37C3">
        <w:rPr>
          <w:sz w:val="24"/>
          <w:szCs w:val="24"/>
        </w:rPr>
        <w:t xml:space="preserve">potential </w:t>
      </w:r>
      <w:r w:rsidR="005B3F30" w:rsidRPr="004A37C3">
        <w:rPr>
          <w:sz w:val="24"/>
          <w:szCs w:val="24"/>
        </w:rPr>
        <w:t>drawback</w:t>
      </w:r>
      <w:r w:rsidR="007C531E">
        <w:rPr>
          <w:sz w:val="24"/>
          <w:szCs w:val="24"/>
        </w:rPr>
        <w:t>, which might be describ</w:t>
      </w:r>
      <w:r w:rsidR="00CD1908" w:rsidRPr="004A37C3">
        <w:rPr>
          <w:sz w:val="24"/>
          <w:szCs w:val="24"/>
        </w:rPr>
        <w:t>ed as an incentive compatibility problem</w:t>
      </w:r>
      <w:r w:rsidR="005B3F30" w:rsidRPr="004A37C3">
        <w:rPr>
          <w:sz w:val="24"/>
          <w:szCs w:val="24"/>
        </w:rPr>
        <w:t xml:space="preserve">. </w:t>
      </w:r>
      <w:r w:rsidRPr="004A37C3">
        <w:rPr>
          <w:sz w:val="24"/>
          <w:szCs w:val="24"/>
        </w:rPr>
        <w:t xml:space="preserve"> The minister who sells </w:t>
      </w:r>
      <w:r w:rsidR="00371DFF" w:rsidRPr="004A37C3">
        <w:rPr>
          <w:sz w:val="24"/>
          <w:szCs w:val="24"/>
        </w:rPr>
        <w:t>the commodity</w:t>
      </w:r>
      <w:r w:rsidRPr="004A37C3">
        <w:rPr>
          <w:sz w:val="24"/>
          <w:szCs w:val="24"/>
        </w:rPr>
        <w:t xml:space="preserve"> forward </w:t>
      </w:r>
      <w:r w:rsidR="004701DC" w:rsidRPr="004A37C3">
        <w:rPr>
          <w:sz w:val="24"/>
          <w:szCs w:val="24"/>
        </w:rPr>
        <w:t>is likely to</w:t>
      </w:r>
      <w:r w:rsidRPr="004A37C3">
        <w:rPr>
          <w:sz w:val="24"/>
          <w:szCs w:val="24"/>
        </w:rPr>
        <w:t xml:space="preserve"> get </w:t>
      </w:r>
      <w:r w:rsidR="00AD796F" w:rsidRPr="004A37C3">
        <w:rPr>
          <w:sz w:val="24"/>
          <w:szCs w:val="24"/>
        </w:rPr>
        <w:t>meager credit if the dollar</w:t>
      </w:r>
      <w:r w:rsidRPr="004A37C3">
        <w:rPr>
          <w:sz w:val="24"/>
          <w:szCs w:val="24"/>
        </w:rPr>
        <w:t xml:space="preserve"> price of </w:t>
      </w:r>
      <w:r w:rsidR="00AD796F" w:rsidRPr="004A37C3">
        <w:rPr>
          <w:sz w:val="24"/>
          <w:szCs w:val="24"/>
        </w:rPr>
        <w:t>the commodity</w:t>
      </w:r>
      <w:r w:rsidRPr="004A37C3">
        <w:rPr>
          <w:sz w:val="24"/>
          <w:szCs w:val="24"/>
        </w:rPr>
        <w:t xml:space="preserve"> goes down, but lots of blame if the price goes up.</w:t>
      </w:r>
      <w:r w:rsidR="004701DC" w:rsidRPr="004A37C3">
        <w:rPr>
          <w:sz w:val="24"/>
          <w:szCs w:val="24"/>
        </w:rPr>
        <w:t xml:space="preserve">  Better to use options</w:t>
      </w:r>
      <w:r w:rsidR="001F799A" w:rsidRPr="004A37C3">
        <w:rPr>
          <w:sz w:val="24"/>
          <w:szCs w:val="24"/>
        </w:rPr>
        <w:t xml:space="preserve"> to eliminate the downside </w:t>
      </w:r>
      <w:r w:rsidR="004701DC" w:rsidRPr="004A37C3">
        <w:rPr>
          <w:sz w:val="24"/>
          <w:szCs w:val="24"/>
        </w:rPr>
        <w:t>risk while keeping the upside potential (although of course one must pay for the latter).</w:t>
      </w:r>
    </w:p>
    <w:p w:rsidR="000136DA" w:rsidRPr="004A37C3" w:rsidRDefault="008517AB" w:rsidP="004A37C3">
      <w:pPr>
        <w:ind w:firstLine="720"/>
        <w:rPr>
          <w:sz w:val="24"/>
          <w:szCs w:val="24"/>
        </w:rPr>
      </w:pPr>
      <w:r w:rsidRPr="004A37C3">
        <w:rPr>
          <w:sz w:val="24"/>
          <w:szCs w:val="24"/>
        </w:rPr>
        <w:t>A</w:t>
      </w:r>
      <w:r w:rsidR="000136DA" w:rsidRPr="004A37C3">
        <w:rPr>
          <w:sz w:val="24"/>
          <w:szCs w:val="24"/>
        </w:rPr>
        <w:t xml:space="preserve"> </w:t>
      </w:r>
      <w:r w:rsidR="005B3F30" w:rsidRPr="004A37C3">
        <w:rPr>
          <w:sz w:val="24"/>
          <w:szCs w:val="24"/>
        </w:rPr>
        <w:t xml:space="preserve">possible </w:t>
      </w:r>
      <w:r w:rsidR="000136DA" w:rsidRPr="004A37C3">
        <w:rPr>
          <w:sz w:val="24"/>
          <w:szCs w:val="24"/>
        </w:rPr>
        <w:t xml:space="preserve">limitation </w:t>
      </w:r>
      <w:r w:rsidRPr="004A37C3">
        <w:rPr>
          <w:sz w:val="24"/>
          <w:szCs w:val="24"/>
        </w:rPr>
        <w:t xml:space="preserve">in practice </w:t>
      </w:r>
      <w:r w:rsidR="000136DA" w:rsidRPr="004A37C3">
        <w:rPr>
          <w:sz w:val="24"/>
          <w:szCs w:val="24"/>
        </w:rPr>
        <w:t xml:space="preserve">for both futures and options contracts is that they </w:t>
      </w:r>
      <w:r w:rsidR="00FA13DD" w:rsidRPr="004A37C3">
        <w:rPr>
          <w:sz w:val="24"/>
          <w:szCs w:val="24"/>
        </w:rPr>
        <w:t xml:space="preserve">are </w:t>
      </w:r>
      <w:r w:rsidR="000136DA" w:rsidRPr="004A37C3">
        <w:rPr>
          <w:sz w:val="24"/>
          <w:szCs w:val="24"/>
        </w:rPr>
        <w:t xml:space="preserve">not </w:t>
      </w:r>
      <w:r w:rsidR="00FA13DD" w:rsidRPr="004A37C3">
        <w:rPr>
          <w:sz w:val="24"/>
          <w:szCs w:val="24"/>
        </w:rPr>
        <w:t xml:space="preserve">always </w:t>
      </w:r>
      <w:r w:rsidR="000136DA" w:rsidRPr="004A37C3">
        <w:rPr>
          <w:sz w:val="24"/>
          <w:szCs w:val="24"/>
        </w:rPr>
        <w:t>readily available for some commodities, particularly at the long-term horizons needed to hedge development of new oil or mineral resources</w:t>
      </w:r>
      <w:r w:rsidR="00434F44" w:rsidRPr="004A37C3">
        <w:rPr>
          <w:sz w:val="24"/>
          <w:szCs w:val="24"/>
        </w:rPr>
        <w:t>.</w:t>
      </w:r>
    </w:p>
    <w:p w:rsidR="00371DFF" w:rsidRPr="005D310D" w:rsidRDefault="00371DFF" w:rsidP="00371DFF">
      <w:pPr>
        <w:pStyle w:val="ListParagraph"/>
        <w:ind w:left="2160"/>
        <w:rPr>
          <w:sz w:val="24"/>
          <w:szCs w:val="24"/>
        </w:rPr>
      </w:pPr>
    </w:p>
    <w:p w:rsidR="00B93290" w:rsidRDefault="00B93290" w:rsidP="00B93290">
      <w:pPr>
        <w:pStyle w:val="ListParagraph"/>
        <w:numPr>
          <w:ilvl w:val="0"/>
          <w:numId w:val="1"/>
        </w:numPr>
        <w:rPr>
          <w:b/>
          <w:sz w:val="24"/>
          <w:szCs w:val="24"/>
        </w:rPr>
      </w:pPr>
      <w:r w:rsidRPr="00E400E5">
        <w:rPr>
          <w:b/>
          <w:sz w:val="24"/>
          <w:szCs w:val="24"/>
        </w:rPr>
        <w:t>Second idea for financial hedging</w:t>
      </w:r>
      <w:r w:rsidR="00E400E5" w:rsidRPr="00E400E5">
        <w:rPr>
          <w:b/>
          <w:sz w:val="24"/>
          <w:szCs w:val="24"/>
        </w:rPr>
        <w:t>: Linking debt to the commodity price</w:t>
      </w:r>
    </w:p>
    <w:p w:rsidR="004A37C3" w:rsidRPr="00E400E5" w:rsidRDefault="004A37C3" w:rsidP="004A37C3">
      <w:pPr>
        <w:pStyle w:val="ListParagraph"/>
        <w:rPr>
          <w:b/>
          <w:sz w:val="24"/>
          <w:szCs w:val="24"/>
        </w:rPr>
      </w:pPr>
    </w:p>
    <w:p w:rsidR="00B93290" w:rsidRPr="00622F27" w:rsidRDefault="00CE360D" w:rsidP="004A37C3">
      <w:pPr>
        <w:pStyle w:val="ListParagraph"/>
        <w:ind w:left="0" w:firstLine="720"/>
        <w:rPr>
          <w:sz w:val="24"/>
          <w:szCs w:val="24"/>
        </w:rPr>
      </w:pPr>
      <w:r w:rsidRPr="005D310D">
        <w:rPr>
          <w:sz w:val="24"/>
          <w:szCs w:val="24"/>
        </w:rPr>
        <w:t xml:space="preserve">For those </w:t>
      </w:r>
      <w:r w:rsidR="00B93290">
        <w:rPr>
          <w:sz w:val="24"/>
          <w:szCs w:val="24"/>
        </w:rPr>
        <w:t>countries that</w:t>
      </w:r>
      <w:r w:rsidRPr="005D310D">
        <w:rPr>
          <w:sz w:val="24"/>
          <w:szCs w:val="24"/>
        </w:rPr>
        <w:t xml:space="preserve"> borrow, e.g., a West African country that is deve</w:t>
      </w:r>
      <w:r w:rsidR="00A17395" w:rsidRPr="005D310D">
        <w:rPr>
          <w:sz w:val="24"/>
          <w:szCs w:val="24"/>
        </w:rPr>
        <w:t xml:space="preserve">loping </w:t>
      </w:r>
      <w:r w:rsidR="007C531E">
        <w:rPr>
          <w:sz w:val="24"/>
          <w:szCs w:val="24"/>
        </w:rPr>
        <w:t xml:space="preserve">new deposits of iron ore or </w:t>
      </w:r>
      <w:r w:rsidR="00A17395" w:rsidRPr="005D310D">
        <w:rPr>
          <w:sz w:val="24"/>
          <w:szCs w:val="24"/>
        </w:rPr>
        <w:t>offshore oil,</w:t>
      </w:r>
      <w:r w:rsidR="00B93290">
        <w:rPr>
          <w:sz w:val="24"/>
          <w:szCs w:val="24"/>
        </w:rPr>
        <w:t xml:space="preserve"> I propose </w:t>
      </w:r>
      <w:r w:rsidR="00A17395" w:rsidRPr="00B93290">
        <w:rPr>
          <w:sz w:val="24"/>
          <w:szCs w:val="24"/>
        </w:rPr>
        <w:t>l</w:t>
      </w:r>
      <w:r w:rsidRPr="00B93290">
        <w:rPr>
          <w:sz w:val="24"/>
          <w:szCs w:val="24"/>
        </w:rPr>
        <w:t>ink</w:t>
      </w:r>
      <w:r w:rsidR="00B93290">
        <w:rPr>
          <w:sz w:val="24"/>
          <w:szCs w:val="24"/>
        </w:rPr>
        <w:t>ing</w:t>
      </w:r>
      <w:r w:rsidRPr="00B93290">
        <w:rPr>
          <w:sz w:val="24"/>
          <w:szCs w:val="24"/>
        </w:rPr>
        <w:t xml:space="preserve"> the terms of the loan, not to dollars nor to the local cu</w:t>
      </w:r>
      <w:r w:rsidR="00FA13DD" w:rsidRPr="00B93290">
        <w:rPr>
          <w:sz w:val="24"/>
          <w:szCs w:val="24"/>
        </w:rPr>
        <w:t xml:space="preserve">rrency, but to the price of </w:t>
      </w:r>
      <w:r w:rsidR="007C531E">
        <w:rPr>
          <w:sz w:val="24"/>
          <w:szCs w:val="24"/>
        </w:rPr>
        <w:t>the commodity itself</w:t>
      </w:r>
      <w:r w:rsidRPr="00B93290">
        <w:rPr>
          <w:sz w:val="24"/>
          <w:szCs w:val="24"/>
        </w:rPr>
        <w:t>.</w:t>
      </w:r>
      <w:r w:rsidR="00B93290">
        <w:rPr>
          <w:rStyle w:val="FootnoteReference"/>
          <w:sz w:val="24"/>
          <w:szCs w:val="24"/>
        </w:rPr>
        <w:footnoteReference w:id="4"/>
      </w:r>
      <w:r w:rsidR="0075348A" w:rsidRPr="00B93290">
        <w:rPr>
          <w:sz w:val="24"/>
          <w:szCs w:val="24"/>
        </w:rPr>
        <w:t xml:space="preserve"> </w:t>
      </w:r>
      <w:r w:rsidR="00622F27">
        <w:rPr>
          <w:sz w:val="24"/>
          <w:szCs w:val="24"/>
        </w:rPr>
        <w:t xml:space="preserve"> </w:t>
      </w:r>
      <w:r w:rsidR="0075348A" w:rsidRPr="00622F27">
        <w:rPr>
          <w:sz w:val="24"/>
          <w:szCs w:val="24"/>
        </w:rPr>
        <w:t>Then debt service obligations are matched to revenues</w:t>
      </w:r>
      <w:r w:rsidR="00FA13DD" w:rsidRPr="00622F27">
        <w:rPr>
          <w:sz w:val="24"/>
          <w:szCs w:val="24"/>
        </w:rPr>
        <w:t xml:space="preserve">: they automatically rise and fall with the value of the exports.   </w:t>
      </w:r>
      <w:r w:rsidR="000C1531" w:rsidRPr="00622F27">
        <w:rPr>
          <w:sz w:val="24"/>
          <w:szCs w:val="24"/>
        </w:rPr>
        <w:t>When d</w:t>
      </w:r>
      <w:r w:rsidR="00FA13DD" w:rsidRPr="00622F27">
        <w:rPr>
          <w:sz w:val="24"/>
          <w:szCs w:val="24"/>
        </w:rPr>
        <w:t xml:space="preserve">ebt crises hit Indonesia, Russia and Ecuador in 1998, </w:t>
      </w:r>
      <w:r w:rsidR="000C1531" w:rsidRPr="00622F27">
        <w:rPr>
          <w:sz w:val="24"/>
          <w:szCs w:val="24"/>
        </w:rPr>
        <w:t xml:space="preserve">one reason was that </w:t>
      </w:r>
      <w:r w:rsidR="00622F27">
        <w:rPr>
          <w:sz w:val="24"/>
          <w:szCs w:val="24"/>
        </w:rPr>
        <w:t>low</w:t>
      </w:r>
      <w:r w:rsidR="00FA13DD" w:rsidRPr="00622F27">
        <w:rPr>
          <w:sz w:val="24"/>
          <w:szCs w:val="24"/>
        </w:rPr>
        <w:t xml:space="preserve"> dollar prices of their oil exports </w:t>
      </w:r>
      <w:r w:rsidR="000C1531" w:rsidRPr="00622F27">
        <w:rPr>
          <w:sz w:val="24"/>
          <w:szCs w:val="24"/>
        </w:rPr>
        <w:t xml:space="preserve">had </w:t>
      </w:r>
      <w:r w:rsidR="00622F27">
        <w:rPr>
          <w:sz w:val="24"/>
          <w:szCs w:val="24"/>
        </w:rPr>
        <w:t xml:space="preserve">driven up </w:t>
      </w:r>
      <w:r w:rsidR="00622F27" w:rsidRPr="00622F27">
        <w:rPr>
          <w:sz w:val="24"/>
          <w:szCs w:val="24"/>
        </w:rPr>
        <w:t>the</w:t>
      </w:r>
      <w:r w:rsidR="00622F27">
        <w:rPr>
          <w:sz w:val="24"/>
          <w:szCs w:val="24"/>
        </w:rPr>
        <w:t>ir debt service ratios</w:t>
      </w:r>
      <w:r w:rsidR="00FA13DD" w:rsidRPr="00622F27">
        <w:rPr>
          <w:sz w:val="24"/>
          <w:szCs w:val="24"/>
        </w:rPr>
        <w:t xml:space="preserve">.  This would not have happened if their debts had been indexed to the oil price.  </w:t>
      </w:r>
    </w:p>
    <w:p w:rsidR="00CE360D" w:rsidRPr="00FA13DD" w:rsidRDefault="00FA13DD" w:rsidP="004A37C3">
      <w:pPr>
        <w:pStyle w:val="ListParagraph"/>
        <w:ind w:left="0" w:firstLine="720"/>
        <w:rPr>
          <w:sz w:val="24"/>
          <w:szCs w:val="24"/>
        </w:rPr>
      </w:pPr>
      <w:r w:rsidRPr="00622F27">
        <w:rPr>
          <w:sz w:val="24"/>
          <w:szCs w:val="24"/>
        </w:rPr>
        <w:t>This idea has been around for a long time, but has very seldom been put into practice.   Why</w:t>
      </w:r>
      <w:r w:rsidR="00B93290" w:rsidRPr="00622F27">
        <w:rPr>
          <w:sz w:val="24"/>
          <w:szCs w:val="24"/>
        </w:rPr>
        <w:t xml:space="preserve"> not</w:t>
      </w:r>
      <w:r w:rsidRPr="00622F27">
        <w:rPr>
          <w:sz w:val="24"/>
          <w:szCs w:val="24"/>
        </w:rPr>
        <w:t>?</w:t>
      </w:r>
      <w:r w:rsidR="00B93290" w:rsidRPr="00622F27">
        <w:rPr>
          <w:sz w:val="24"/>
          <w:szCs w:val="24"/>
        </w:rPr>
        <w:t xml:space="preserve">  </w:t>
      </w:r>
      <w:r w:rsidRPr="00622F27">
        <w:rPr>
          <w:sz w:val="24"/>
          <w:szCs w:val="24"/>
        </w:rPr>
        <w:t xml:space="preserve">Potential issuers worry that there is not enough demand for such </w:t>
      </w:r>
      <w:r w:rsidR="001C500F">
        <w:rPr>
          <w:sz w:val="24"/>
          <w:szCs w:val="24"/>
        </w:rPr>
        <w:t xml:space="preserve">commodity </w:t>
      </w:r>
      <w:r w:rsidRPr="00622F27">
        <w:rPr>
          <w:sz w:val="24"/>
          <w:szCs w:val="24"/>
        </w:rPr>
        <w:t xml:space="preserve">bonds.   </w:t>
      </w:r>
      <w:r w:rsidR="00B93290" w:rsidRPr="00622F27">
        <w:rPr>
          <w:sz w:val="24"/>
          <w:szCs w:val="24"/>
        </w:rPr>
        <w:t>Who would want to take the other side of the trade?  It seems obvious who the ultimate potential customers are.   A</w:t>
      </w:r>
      <w:r w:rsidRPr="00622F27">
        <w:rPr>
          <w:sz w:val="24"/>
          <w:szCs w:val="24"/>
        </w:rPr>
        <w:t xml:space="preserve">irlines and utility companies </w:t>
      </w:r>
      <w:r w:rsidR="008517AB" w:rsidRPr="00622F27">
        <w:rPr>
          <w:sz w:val="24"/>
          <w:szCs w:val="24"/>
        </w:rPr>
        <w:t>have reason to go long in oil,</w:t>
      </w:r>
      <w:r w:rsidRPr="00622F27">
        <w:rPr>
          <w:sz w:val="24"/>
          <w:szCs w:val="24"/>
        </w:rPr>
        <w:t xml:space="preserve"> </w:t>
      </w:r>
      <w:r w:rsidR="008517AB" w:rsidRPr="00622F27">
        <w:rPr>
          <w:sz w:val="24"/>
          <w:szCs w:val="24"/>
        </w:rPr>
        <w:t>steelmakers have reason to go long in iron ore, millers and bakers to go long in wheat, etc</w:t>
      </w:r>
      <w:r w:rsidRPr="00622F27">
        <w:rPr>
          <w:sz w:val="24"/>
          <w:szCs w:val="24"/>
        </w:rPr>
        <w:t xml:space="preserve">.   </w:t>
      </w:r>
      <w:r w:rsidR="00B93290" w:rsidRPr="00622F27">
        <w:rPr>
          <w:sz w:val="24"/>
          <w:szCs w:val="24"/>
        </w:rPr>
        <w:t xml:space="preserve">  </w:t>
      </w:r>
      <w:r w:rsidRPr="00622F27">
        <w:rPr>
          <w:sz w:val="24"/>
          <w:szCs w:val="24"/>
        </w:rPr>
        <w:t xml:space="preserve">It must be that bonds denominated in a particular kind of oil and carrying the credit risk of a particular country are too specialized a niche to generate the necessary liquidity to make a viable market.  But then the World Bank might be able to make the market:  It would lend to interested oil-producing countries in terms of oil in place of lending to them in dollars, and then offset its collective exposure to oil market conditions by selling to investors a World Bank bond </w:t>
      </w:r>
      <w:r w:rsidRPr="00622F27">
        <w:rPr>
          <w:sz w:val="24"/>
          <w:szCs w:val="24"/>
        </w:rPr>
        <w:lastRenderedPageBreak/>
        <w:t>denominated in a standard oil price index.</w:t>
      </w:r>
      <w:r w:rsidR="001C500F">
        <w:rPr>
          <w:sz w:val="24"/>
          <w:szCs w:val="24"/>
        </w:rPr>
        <w:t xml:space="preserve">  Similarly with iron ore, copper, </w:t>
      </w:r>
      <w:r w:rsidR="00A14FD3">
        <w:rPr>
          <w:sz w:val="24"/>
          <w:szCs w:val="24"/>
        </w:rPr>
        <w:t xml:space="preserve">gold, </w:t>
      </w:r>
      <w:r w:rsidR="001C500F">
        <w:rPr>
          <w:sz w:val="24"/>
          <w:szCs w:val="24"/>
        </w:rPr>
        <w:t>coffee, and other commodities.</w:t>
      </w:r>
      <w:r w:rsidR="00CE360D" w:rsidRPr="00622F27">
        <w:rPr>
          <w:sz w:val="24"/>
          <w:szCs w:val="24"/>
        </w:rPr>
        <w:br/>
      </w:r>
    </w:p>
    <w:p w:rsidR="00E400E5" w:rsidRPr="00E400E5" w:rsidRDefault="00E400E5" w:rsidP="00E400E5">
      <w:pPr>
        <w:pStyle w:val="ListParagraph"/>
        <w:numPr>
          <w:ilvl w:val="0"/>
          <w:numId w:val="1"/>
        </w:numPr>
        <w:rPr>
          <w:b/>
          <w:sz w:val="24"/>
          <w:szCs w:val="24"/>
        </w:rPr>
      </w:pPr>
      <w:r w:rsidRPr="00E400E5">
        <w:rPr>
          <w:b/>
          <w:sz w:val="24"/>
          <w:szCs w:val="24"/>
        </w:rPr>
        <w:t>Institutions to overcome pro-cyclical policy in commodity-exporting countries.</w:t>
      </w:r>
      <w:r w:rsidRPr="00E400E5">
        <w:rPr>
          <w:b/>
          <w:sz w:val="24"/>
          <w:szCs w:val="24"/>
        </w:rPr>
        <w:tab/>
      </w:r>
    </w:p>
    <w:p w:rsidR="00E400E5" w:rsidRDefault="00E400E5" w:rsidP="00E400E5">
      <w:pPr>
        <w:pStyle w:val="ListParagraph"/>
        <w:rPr>
          <w:sz w:val="24"/>
          <w:szCs w:val="24"/>
        </w:rPr>
      </w:pPr>
    </w:p>
    <w:p w:rsidR="009B7C82" w:rsidRPr="009B7C82" w:rsidRDefault="00B93290" w:rsidP="009B7C82">
      <w:pPr>
        <w:pStyle w:val="ListParagraph"/>
        <w:ind w:left="360" w:firstLine="720"/>
        <w:rPr>
          <w:sz w:val="24"/>
          <w:szCs w:val="24"/>
        </w:rPr>
      </w:pPr>
      <w:r>
        <w:rPr>
          <w:sz w:val="24"/>
          <w:szCs w:val="24"/>
        </w:rPr>
        <w:t xml:space="preserve">The third </w:t>
      </w:r>
      <w:r w:rsidR="00D64AAF">
        <w:rPr>
          <w:sz w:val="24"/>
          <w:szCs w:val="24"/>
        </w:rPr>
        <w:t xml:space="preserve">subject </w:t>
      </w:r>
      <w:r w:rsidR="008440BC">
        <w:rPr>
          <w:sz w:val="24"/>
          <w:szCs w:val="24"/>
        </w:rPr>
        <w:t>i</w:t>
      </w:r>
      <w:r>
        <w:rPr>
          <w:sz w:val="24"/>
          <w:szCs w:val="24"/>
        </w:rPr>
        <w:t>s fiscal policy</w:t>
      </w:r>
      <w:r w:rsidR="008440BC">
        <w:rPr>
          <w:sz w:val="24"/>
          <w:szCs w:val="24"/>
        </w:rPr>
        <w:t>.  Government spending</w:t>
      </w:r>
      <w:r>
        <w:rPr>
          <w:sz w:val="24"/>
          <w:szCs w:val="24"/>
        </w:rPr>
        <w:t xml:space="preserve"> has historically been notoriously pro-cyclical in commodity-exporting countries</w:t>
      </w:r>
      <w:r w:rsidR="00D64AAF">
        <w:rPr>
          <w:sz w:val="24"/>
          <w:szCs w:val="24"/>
        </w:rPr>
        <w:t xml:space="preserve">.  Governments have tended to increase </w:t>
      </w:r>
      <w:r>
        <w:rPr>
          <w:sz w:val="24"/>
          <w:szCs w:val="24"/>
        </w:rPr>
        <w:t xml:space="preserve">spending during the boom and then </w:t>
      </w:r>
      <w:r w:rsidR="00D64AAF">
        <w:rPr>
          <w:sz w:val="24"/>
          <w:szCs w:val="24"/>
        </w:rPr>
        <w:t xml:space="preserve">been </w:t>
      </w:r>
      <w:r>
        <w:rPr>
          <w:sz w:val="24"/>
          <w:szCs w:val="24"/>
        </w:rPr>
        <w:t xml:space="preserve">forced to cut back when commodity prices go back down.  </w:t>
      </w:r>
      <w:r w:rsidR="009B7C82">
        <w:rPr>
          <w:sz w:val="24"/>
          <w:szCs w:val="24"/>
        </w:rPr>
        <w:t xml:space="preserve"> </w:t>
      </w:r>
      <w:r w:rsidR="009B7C82" w:rsidRPr="009B7C82">
        <w:rPr>
          <w:sz w:val="24"/>
          <w:szCs w:val="24"/>
        </w:rPr>
        <w:t xml:space="preserve">Many authors have documented this </w:t>
      </w:r>
      <w:r w:rsidR="009B7C82">
        <w:rPr>
          <w:sz w:val="24"/>
          <w:szCs w:val="24"/>
        </w:rPr>
        <w:t>historical</w:t>
      </w:r>
      <w:r w:rsidR="009B7C82" w:rsidRPr="009B7C82">
        <w:rPr>
          <w:sz w:val="24"/>
          <w:szCs w:val="24"/>
        </w:rPr>
        <w:t xml:space="preserve"> pro-cyclicality.</w:t>
      </w:r>
      <w:r w:rsidR="009B7C82" w:rsidRPr="009B7C82">
        <w:rPr>
          <w:rStyle w:val="FootnoteReference"/>
          <w:sz w:val="24"/>
          <w:szCs w:val="24"/>
        </w:rPr>
        <w:footnoteReference w:id="5"/>
      </w:r>
      <w:r w:rsidR="009B7C82" w:rsidRPr="009B7C82">
        <w:rPr>
          <w:sz w:val="24"/>
          <w:szCs w:val="24"/>
        </w:rPr>
        <w:t xml:space="preserve">    An important cause of procyclical spending is precisely that government receipts from taxes or royalties rise in booms, and the government cannot resist the temptation or political pressure to increase spending proportionately, or more than proportionately.    Two large budget items that account for much of the increased spending from oil booms are investment projects and the government wage bill.</w:t>
      </w:r>
      <w:r w:rsidR="009B7C82" w:rsidRPr="009B7C82">
        <w:rPr>
          <w:rStyle w:val="FootnoteReference"/>
          <w:sz w:val="24"/>
          <w:szCs w:val="24"/>
        </w:rPr>
        <w:footnoteReference w:id="6"/>
      </w:r>
      <w:r w:rsidR="009B7C82">
        <w:t xml:space="preserve">    </w:t>
      </w:r>
    </w:p>
    <w:p w:rsidR="009B7C82" w:rsidRDefault="009B7C82" w:rsidP="004A37C3">
      <w:pPr>
        <w:pStyle w:val="ListParagraph"/>
        <w:ind w:left="360" w:firstLine="720"/>
        <w:rPr>
          <w:sz w:val="24"/>
          <w:szCs w:val="24"/>
        </w:rPr>
      </w:pPr>
    </w:p>
    <w:p w:rsidR="00C01833" w:rsidRDefault="00B93290" w:rsidP="004A37C3">
      <w:pPr>
        <w:pStyle w:val="ListParagraph"/>
        <w:ind w:left="360" w:firstLine="720"/>
        <w:rPr>
          <w:sz w:val="24"/>
          <w:szCs w:val="24"/>
        </w:rPr>
      </w:pPr>
      <w:r>
        <w:rPr>
          <w:sz w:val="24"/>
          <w:szCs w:val="24"/>
        </w:rPr>
        <w:t>It is not enough to observe that policy-makers should follow wiser policies.  What i</w:t>
      </w:r>
      <w:r w:rsidR="00C8275E">
        <w:rPr>
          <w:sz w:val="24"/>
          <w:szCs w:val="24"/>
        </w:rPr>
        <w:t>s wanted are</w:t>
      </w:r>
      <w:r>
        <w:rPr>
          <w:sz w:val="24"/>
          <w:szCs w:val="24"/>
        </w:rPr>
        <w:t xml:space="preserve"> institutions that make it more likely that </w:t>
      </w:r>
      <w:r w:rsidR="00C01833">
        <w:rPr>
          <w:sz w:val="24"/>
          <w:szCs w:val="24"/>
        </w:rPr>
        <w:t xml:space="preserve">fiscal policy will be counter-cyclical, or at least less pro-cyclical, </w:t>
      </w:r>
      <w:r>
        <w:rPr>
          <w:sz w:val="24"/>
          <w:szCs w:val="24"/>
        </w:rPr>
        <w:t xml:space="preserve">even </w:t>
      </w:r>
      <w:r w:rsidR="00E400E5">
        <w:rPr>
          <w:sz w:val="24"/>
          <w:szCs w:val="24"/>
        </w:rPr>
        <w:t>when carried out</w:t>
      </w:r>
      <w:r>
        <w:rPr>
          <w:sz w:val="24"/>
          <w:szCs w:val="24"/>
        </w:rPr>
        <w:t xml:space="preserve"> by officials who suffer from the </w:t>
      </w:r>
      <w:r w:rsidR="00C01833">
        <w:rPr>
          <w:sz w:val="24"/>
          <w:szCs w:val="24"/>
        </w:rPr>
        <w:t>common</w:t>
      </w:r>
      <w:r>
        <w:rPr>
          <w:sz w:val="24"/>
          <w:szCs w:val="24"/>
        </w:rPr>
        <w:t xml:space="preserve"> political and human frailties</w:t>
      </w:r>
      <w:r w:rsidR="00C01833">
        <w:rPr>
          <w:sz w:val="24"/>
          <w:szCs w:val="24"/>
        </w:rPr>
        <w:t>.</w:t>
      </w:r>
    </w:p>
    <w:p w:rsidR="00486625" w:rsidRDefault="0075348A" w:rsidP="004A37C3">
      <w:pPr>
        <w:pStyle w:val="ListParagraph"/>
        <w:ind w:left="360" w:firstLine="720"/>
        <w:rPr>
          <w:sz w:val="24"/>
          <w:szCs w:val="24"/>
        </w:rPr>
      </w:pPr>
      <w:r w:rsidRPr="005D310D">
        <w:rPr>
          <w:sz w:val="24"/>
          <w:szCs w:val="24"/>
        </w:rPr>
        <w:t xml:space="preserve">Some </w:t>
      </w:r>
      <w:r w:rsidR="007154D7" w:rsidRPr="005D310D">
        <w:rPr>
          <w:sz w:val="24"/>
          <w:szCs w:val="24"/>
        </w:rPr>
        <w:t xml:space="preserve">commodity-exporting developing countries managed </w:t>
      </w:r>
      <w:r w:rsidRPr="005D310D">
        <w:rPr>
          <w:sz w:val="24"/>
          <w:szCs w:val="24"/>
        </w:rPr>
        <w:t>after 2000</w:t>
      </w:r>
      <w:r w:rsidR="00335C6F">
        <w:rPr>
          <w:sz w:val="24"/>
          <w:szCs w:val="24"/>
        </w:rPr>
        <w:t xml:space="preserve"> to overcome this historical pattern of pro-cyclicality. </w:t>
      </w:r>
      <w:r w:rsidR="00335C6F" w:rsidRPr="005D310D">
        <w:rPr>
          <w:sz w:val="24"/>
          <w:szCs w:val="24"/>
        </w:rPr>
        <w:t xml:space="preserve"> </w:t>
      </w:r>
      <w:r w:rsidR="00335C6F">
        <w:rPr>
          <w:sz w:val="24"/>
          <w:szCs w:val="24"/>
        </w:rPr>
        <w:t xml:space="preserve">They </w:t>
      </w:r>
      <w:r w:rsidR="00335C6F" w:rsidRPr="005D310D">
        <w:rPr>
          <w:sz w:val="24"/>
          <w:szCs w:val="24"/>
        </w:rPr>
        <w:t>achieve</w:t>
      </w:r>
      <w:r w:rsidR="00335C6F">
        <w:rPr>
          <w:sz w:val="24"/>
          <w:szCs w:val="24"/>
        </w:rPr>
        <w:t>d</w:t>
      </w:r>
      <w:r w:rsidR="00335C6F" w:rsidRPr="005D310D">
        <w:rPr>
          <w:sz w:val="24"/>
          <w:szCs w:val="24"/>
        </w:rPr>
        <w:t xml:space="preserve"> fiscal counter-cyclicality</w:t>
      </w:r>
      <w:r w:rsidR="00335C6F">
        <w:rPr>
          <w:sz w:val="24"/>
          <w:szCs w:val="24"/>
        </w:rPr>
        <w:t>: taking</w:t>
      </w:r>
      <w:r w:rsidR="00335C6F" w:rsidRPr="005D310D">
        <w:rPr>
          <w:sz w:val="24"/>
          <w:szCs w:val="24"/>
        </w:rPr>
        <w:t xml:space="preserve"> </w:t>
      </w:r>
      <w:r w:rsidR="0087067B">
        <w:rPr>
          <w:sz w:val="24"/>
          <w:szCs w:val="24"/>
        </w:rPr>
        <w:t>advantage of the 2002-08 expansion to strengthen their budget balances, which the</w:t>
      </w:r>
      <w:r w:rsidR="00335C6F">
        <w:rPr>
          <w:sz w:val="24"/>
          <w:szCs w:val="24"/>
        </w:rPr>
        <w:t>n</w:t>
      </w:r>
      <w:r w:rsidR="0087067B">
        <w:rPr>
          <w:sz w:val="24"/>
          <w:szCs w:val="24"/>
        </w:rPr>
        <w:t xml:space="preserve"> gave them the </w:t>
      </w:r>
      <w:r w:rsidR="00335C6F">
        <w:rPr>
          <w:sz w:val="24"/>
          <w:szCs w:val="24"/>
        </w:rPr>
        <w:t>“</w:t>
      </w:r>
      <w:r w:rsidR="0087067B">
        <w:rPr>
          <w:sz w:val="24"/>
          <w:szCs w:val="24"/>
        </w:rPr>
        <w:t>fiscal space” to ease up when the global recession hit in 2009.  Which countries managed this achievement</w:t>
      </w:r>
      <w:r w:rsidR="00335C6F">
        <w:rPr>
          <w:sz w:val="24"/>
          <w:szCs w:val="24"/>
        </w:rPr>
        <w:t>?</w:t>
      </w:r>
      <w:r w:rsidR="0087067B">
        <w:rPr>
          <w:sz w:val="24"/>
          <w:szCs w:val="24"/>
        </w:rPr>
        <w:t xml:space="preserve">  </w:t>
      </w:r>
      <w:r w:rsidR="00335C6F">
        <w:rPr>
          <w:sz w:val="24"/>
          <w:szCs w:val="24"/>
        </w:rPr>
        <w:t xml:space="preserve"> Generally t</w:t>
      </w:r>
      <w:r w:rsidRPr="005D310D">
        <w:rPr>
          <w:sz w:val="24"/>
          <w:szCs w:val="24"/>
        </w:rPr>
        <w:t>hose with “good institutions”</w:t>
      </w:r>
      <w:r w:rsidR="00105DA4">
        <w:rPr>
          <w:sz w:val="24"/>
          <w:szCs w:val="24"/>
        </w:rPr>
        <w:t xml:space="preserve"> such as the rule of law.</w:t>
      </w:r>
      <w:r w:rsidR="005C54A9">
        <w:rPr>
          <w:rStyle w:val="FootnoteReference"/>
          <w:sz w:val="24"/>
          <w:szCs w:val="24"/>
        </w:rPr>
        <w:footnoteReference w:id="7"/>
      </w:r>
      <w:r w:rsidR="00486625">
        <w:rPr>
          <w:sz w:val="24"/>
          <w:szCs w:val="24"/>
        </w:rPr>
        <w:br/>
      </w:r>
    </w:p>
    <w:p w:rsidR="00886249" w:rsidRDefault="00105DA4" w:rsidP="004A37C3">
      <w:pPr>
        <w:pStyle w:val="ListParagraph"/>
        <w:ind w:left="360" w:firstLine="720"/>
        <w:rPr>
          <w:sz w:val="24"/>
          <w:szCs w:val="24"/>
        </w:rPr>
      </w:pPr>
      <w:r w:rsidRPr="00486625">
        <w:rPr>
          <w:sz w:val="24"/>
          <w:szCs w:val="24"/>
        </w:rPr>
        <w:t xml:space="preserve">What </w:t>
      </w:r>
      <w:r w:rsidR="0075348A" w:rsidRPr="00486625">
        <w:rPr>
          <w:sz w:val="24"/>
          <w:szCs w:val="24"/>
        </w:rPr>
        <w:t>institutional innovations</w:t>
      </w:r>
      <w:r w:rsidRPr="00486625">
        <w:rPr>
          <w:sz w:val="24"/>
          <w:szCs w:val="24"/>
        </w:rPr>
        <w:t>,</w:t>
      </w:r>
      <w:r w:rsidR="0075348A" w:rsidRPr="00486625">
        <w:rPr>
          <w:sz w:val="24"/>
          <w:szCs w:val="24"/>
        </w:rPr>
        <w:t xml:space="preserve"> </w:t>
      </w:r>
      <w:r w:rsidRPr="00486625">
        <w:rPr>
          <w:sz w:val="24"/>
          <w:szCs w:val="24"/>
        </w:rPr>
        <w:t xml:space="preserve">more specifically, </w:t>
      </w:r>
      <w:r w:rsidR="0075348A" w:rsidRPr="00486625">
        <w:rPr>
          <w:sz w:val="24"/>
          <w:szCs w:val="24"/>
        </w:rPr>
        <w:t>can</w:t>
      </w:r>
      <w:r w:rsidRPr="00486625">
        <w:rPr>
          <w:sz w:val="24"/>
          <w:szCs w:val="24"/>
        </w:rPr>
        <w:t xml:space="preserve"> a country adopt to fight fiscal pro-cyclicality</w:t>
      </w:r>
      <w:r w:rsidR="00CD1908" w:rsidRPr="00486625">
        <w:rPr>
          <w:sz w:val="24"/>
          <w:szCs w:val="24"/>
        </w:rPr>
        <w:t>?</w:t>
      </w:r>
      <w:r w:rsidRPr="00486625">
        <w:rPr>
          <w:sz w:val="24"/>
          <w:szCs w:val="24"/>
        </w:rPr>
        <w:t xml:space="preserve">   The conventional answer is b</w:t>
      </w:r>
      <w:r w:rsidR="0075348A" w:rsidRPr="00486625">
        <w:rPr>
          <w:sz w:val="24"/>
          <w:szCs w:val="24"/>
        </w:rPr>
        <w:t>udget rules</w:t>
      </w:r>
      <w:r w:rsidRPr="00486625">
        <w:rPr>
          <w:sz w:val="24"/>
          <w:szCs w:val="24"/>
        </w:rPr>
        <w:t>, for example</w:t>
      </w:r>
      <w:r w:rsidR="00486625">
        <w:rPr>
          <w:sz w:val="24"/>
          <w:szCs w:val="24"/>
        </w:rPr>
        <w:t xml:space="preserve"> </w:t>
      </w:r>
      <w:r w:rsidRPr="00486625">
        <w:rPr>
          <w:sz w:val="24"/>
          <w:szCs w:val="24"/>
        </w:rPr>
        <w:t>legally entrenched ceilings on budget deficits.  But such rules</w:t>
      </w:r>
      <w:r w:rsidR="00886249">
        <w:rPr>
          <w:sz w:val="24"/>
          <w:szCs w:val="24"/>
        </w:rPr>
        <w:t xml:space="preserve"> alone won’t do the job</w:t>
      </w:r>
      <w:r w:rsidR="00486625">
        <w:rPr>
          <w:sz w:val="24"/>
          <w:szCs w:val="24"/>
        </w:rPr>
        <w:t>, as the failures of Europe’s Stability and Growth Pact has amply demonstrated</w:t>
      </w:r>
      <w:r w:rsidR="0075348A" w:rsidRPr="00486625">
        <w:rPr>
          <w:sz w:val="24"/>
          <w:szCs w:val="24"/>
        </w:rPr>
        <w:t>.</w:t>
      </w:r>
      <w:r w:rsidR="00CD1908" w:rsidRPr="00486625">
        <w:rPr>
          <w:sz w:val="24"/>
          <w:szCs w:val="24"/>
        </w:rPr>
        <w:t xml:space="preserve">  To being with, f</w:t>
      </w:r>
      <w:r w:rsidR="007154D7" w:rsidRPr="00486625">
        <w:rPr>
          <w:sz w:val="24"/>
          <w:szCs w:val="24"/>
        </w:rPr>
        <w:t xml:space="preserve">ixed </w:t>
      </w:r>
      <w:r w:rsidR="0075348A" w:rsidRPr="00486625">
        <w:rPr>
          <w:sz w:val="24"/>
          <w:szCs w:val="24"/>
        </w:rPr>
        <w:t xml:space="preserve">ceilings </w:t>
      </w:r>
      <w:r w:rsidR="00CD1908" w:rsidRPr="00486625">
        <w:rPr>
          <w:sz w:val="24"/>
          <w:szCs w:val="24"/>
        </w:rPr>
        <w:t xml:space="preserve">on budget deficits </w:t>
      </w:r>
      <w:r w:rsidR="0075348A" w:rsidRPr="00486625">
        <w:rPr>
          <w:sz w:val="24"/>
          <w:szCs w:val="24"/>
        </w:rPr>
        <w:t>operate pro</w:t>
      </w:r>
      <w:r w:rsidR="007154D7" w:rsidRPr="00486625">
        <w:rPr>
          <w:sz w:val="24"/>
          <w:szCs w:val="24"/>
        </w:rPr>
        <w:t>-</w:t>
      </w:r>
      <w:r w:rsidR="0075348A" w:rsidRPr="00486625">
        <w:rPr>
          <w:sz w:val="24"/>
          <w:szCs w:val="24"/>
        </w:rPr>
        <w:t>cyclically</w:t>
      </w:r>
      <w:r w:rsidR="00CD1908" w:rsidRPr="00486625">
        <w:rPr>
          <w:sz w:val="24"/>
          <w:szCs w:val="24"/>
        </w:rPr>
        <w:t xml:space="preserve">:  when the economy is hit by a recession and so the budget is hit by a loss in tax revenue, a budget balance rule may force the government to cut </w:t>
      </w:r>
      <w:r w:rsidR="00CD1908" w:rsidRPr="00486625">
        <w:rPr>
          <w:sz w:val="24"/>
          <w:szCs w:val="24"/>
        </w:rPr>
        <w:lastRenderedPageBreak/>
        <w:t xml:space="preserve">spending or raise tax rates.  </w:t>
      </w:r>
      <w:r w:rsidR="0075348A" w:rsidRPr="00486625">
        <w:rPr>
          <w:sz w:val="24"/>
          <w:szCs w:val="24"/>
        </w:rPr>
        <w:t xml:space="preserve">Phrasing the target in cyclically adjusted terms </w:t>
      </w:r>
      <w:r w:rsidR="00D017BB" w:rsidRPr="00486625">
        <w:rPr>
          <w:sz w:val="24"/>
          <w:szCs w:val="24"/>
        </w:rPr>
        <w:t xml:space="preserve">helps </w:t>
      </w:r>
      <w:r w:rsidR="0075348A" w:rsidRPr="00486625">
        <w:rPr>
          <w:sz w:val="24"/>
          <w:szCs w:val="24"/>
        </w:rPr>
        <w:t>s</w:t>
      </w:r>
      <w:r w:rsidR="00486625">
        <w:rPr>
          <w:sz w:val="24"/>
          <w:szCs w:val="24"/>
        </w:rPr>
        <w:t xml:space="preserve">olves that problem in theory.  </w:t>
      </w:r>
      <w:r w:rsidR="00D017BB">
        <w:rPr>
          <w:sz w:val="24"/>
          <w:szCs w:val="24"/>
        </w:rPr>
        <w:t>B</w:t>
      </w:r>
      <w:r w:rsidR="0075348A" w:rsidRPr="005D310D">
        <w:rPr>
          <w:sz w:val="24"/>
          <w:szCs w:val="24"/>
        </w:rPr>
        <w:t xml:space="preserve">ut </w:t>
      </w:r>
      <w:r w:rsidR="00486625">
        <w:rPr>
          <w:sz w:val="24"/>
          <w:szCs w:val="24"/>
        </w:rPr>
        <w:t>most such rules are violated in practice</w:t>
      </w:r>
      <w:r w:rsidR="00886249">
        <w:rPr>
          <w:sz w:val="24"/>
          <w:szCs w:val="24"/>
        </w:rPr>
        <w:t xml:space="preserve">, even more so for EM countries than for advanced countries.  </w:t>
      </w:r>
      <w:r w:rsidR="00486625">
        <w:rPr>
          <w:sz w:val="24"/>
          <w:szCs w:val="24"/>
        </w:rPr>
        <w:t xml:space="preserve">One major reason is </w:t>
      </w:r>
      <w:r w:rsidR="0075348A" w:rsidRPr="005D310D">
        <w:rPr>
          <w:sz w:val="24"/>
          <w:szCs w:val="24"/>
        </w:rPr>
        <w:t>overly optimistic forecasts</w:t>
      </w:r>
      <w:r w:rsidR="007154D7" w:rsidRPr="005D310D">
        <w:rPr>
          <w:sz w:val="24"/>
          <w:szCs w:val="24"/>
        </w:rPr>
        <w:t xml:space="preserve"> by official agencies</w:t>
      </w:r>
      <w:r w:rsidR="00486625">
        <w:rPr>
          <w:sz w:val="24"/>
          <w:szCs w:val="24"/>
        </w:rPr>
        <w:t>.</w:t>
      </w:r>
      <w:r w:rsidR="00486625">
        <w:rPr>
          <w:rStyle w:val="FootnoteReference"/>
          <w:sz w:val="24"/>
          <w:szCs w:val="24"/>
        </w:rPr>
        <w:footnoteReference w:id="8"/>
      </w:r>
    </w:p>
    <w:p w:rsidR="0075348A" w:rsidRPr="00AB3D3C" w:rsidRDefault="006C510F" w:rsidP="004A37C3">
      <w:pPr>
        <w:pStyle w:val="ListParagraph"/>
        <w:ind w:left="360" w:firstLine="720"/>
        <w:rPr>
          <w:sz w:val="24"/>
          <w:szCs w:val="24"/>
        </w:rPr>
      </w:pPr>
      <w:r w:rsidRPr="00886249">
        <w:rPr>
          <w:sz w:val="24"/>
          <w:szCs w:val="24"/>
        </w:rPr>
        <w:t xml:space="preserve">For the </w:t>
      </w:r>
      <w:r w:rsidR="009339AB" w:rsidRPr="00886249">
        <w:rPr>
          <w:sz w:val="24"/>
          <w:szCs w:val="24"/>
        </w:rPr>
        <w:t xml:space="preserve">annual </w:t>
      </w:r>
      <w:r w:rsidR="0075348A" w:rsidRPr="00886249">
        <w:rPr>
          <w:sz w:val="24"/>
          <w:szCs w:val="24"/>
        </w:rPr>
        <w:t>Bank of Chile conference I attended</w:t>
      </w:r>
      <w:r w:rsidRPr="00886249">
        <w:rPr>
          <w:sz w:val="24"/>
          <w:szCs w:val="24"/>
        </w:rPr>
        <w:t xml:space="preserve"> in 2010</w:t>
      </w:r>
      <w:r w:rsidR="0075348A" w:rsidRPr="00886249">
        <w:rPr>
          <w:sz w:val="24"/>
          <w:szCs w:val="24"/>
        </w:rPr>
        <w:t xml:space="preserve">, I </w:t>
      </w:r>
      <w:r w:rsidR="009339AB" w:rsidRPr="00886249">
        <w:rPr>
          <w:sz w:val="24"/>
          <w:szCs w:val="24"/>
        </w:rPr>
        <w:t>examined</w:t>
      </w:r>
      <w:r w:rsidR="0075348A" w:rsidRPr="00886249">
        <w:rPr>
          <w:sz w:val="24"/>
          <w:szCs w:val="24"/>
        </w:rPr>
        <w:t xml:space="preserve"> Chile’s </w:t>
      </w:r>
      <w:r w:rsidR="00705362" w:rsidRPr="00886249">
        <w:rPr>
          <w:sz w:val="24"/>
          <w:szCs w:val="24"/>
        </w:rPr>
        <w:t xml:space="preserve">successful </w:t>
      </w:r>
      <w:r w:rsidR="0075348A" w:rsidRPr="00886249">
        <w:rPr>
          <w:sz w:val="24"/>
          <w:szCs w:val="24"/>
        </w:rPr>
        <w:t>fiscal institutions.</w:t>
      </w:r>
      <w:r w:rsidR="00886249">
        <w:rPr>
          <w:rStyle w:val="FootnoteReference"/>
          <w:sz w:val="24"/>
          <w:szCs w:val="24"/>
        </w:rPr>
        <w:footnoteReference w:id="9"/>
      </w:r>
      <w:r w:rsidR="00AB3D3C">
        <w:rPr>
          <w:sz w:val="24"/>
          <w:szCs w:val="24"/>
        </w:rPr>
        <w:t xml:space="preserve"> </w:t>
      </w:r>
      <w:r w:rsidR="0075348A" w:rsidRPr="00AB3D3C">
        <w:rPr>
          <w:sz w:val="24"/>
          <w:szCs w:val="24"/>
        </w:rPr>
        <w:t>I concluded that the key feature is the delegation to independent committees of the responsibility to estimate the long-run trends in the copper price and GDP</w:t>
      </w:r>
      <w:r w:rsidR="00705362" w:rsidRPr="00AB3D3C">
        <w:rPr>
          <w:sz w:val="24"/>
          <w:szCs w:val="24"/>
        </w:rPr>
        <w:t>, thus avoiding the systematic over-optimism that plagues official forecasts in most other countries</w:t>
      </w:r>
      <w:r w:rsidR="00AB3D3C">
        <w:rPr>
          <w:sz w:val="24"/>
          <w:szCs w:val="24"/>
        </w:rPr>
        <w:t xml:space="preserve"> </w:t>
      </w:r>
      <w:r w:rsidR="00AB3D3C" w:rsidRPr="00AB3D3C">
        <w:rPr>
          <w:sz w:val="24"/>
          <w:szCs w:val="24"/>
        </w:rPr>
        <w:t>a</w:t>
      </w:r>
      <w:r w:rsidR="0075348A" w:rsidRPr="00AB3D3C">
        <w:rPr>
          <w:sz w:val="24"/>
          <w:szCs w:val="24"/>
        </w:rPr>
        <w:t xml:space="preserve">nd concluded that this could be </w:t>
      </w:r>
      <w:r w:rsidR="00AB3D3C">
        <w:rPr>
          <w:sz w:val="24"/>
          <w:szCs w:val="24"/>
        </w:rPr>
        <w:t xml:space="preserve">a </w:t>
      </w:r>
      <w:r w:rsidR="0075348A" w:rsidRPr="00AB3D3C">
        <w:rPr>
          <w:sz w:val="24"/>
          <w:szCs w:val="24"/>
        </w:rPr>
        <w:t>useful model for others to emulate.</w:t>
      </w:r>
    </w:p>
    <w:p w:rsidR="00FF4DB0" w:rsidRDefault="00FF4DB0" w:rsidP="006C510F">
      <w:pPr>
        <w:ind w:left="360"/>
        <w:rPr>
          <w:sz w:val="24"/>
          <w:szCs w:val="24"/>
        </w:rPr>
      </w:pPr>
    </w:p>
    <w:p w:rsidR="0075348A" w:rsidRPr="00AB3D3C" w:rsidRDefault="0075348A" w:rsidP="0075348A">
      <w:pPr>
        <w:pStyle w:val="ListParagraph"/>
        <w:numPr>
          <w:ilvl w:val="0"/>
          <w:numId w:val="1"/>
        </w:numPr>
        <w:rPr>
          <w:b/>
          <w:sz w:val="24"/>
          <w:szCs w:val="24"/>
        </w:rPr>
      </w:pPr>
      <w:r w:rsidRPr="00AB3D3C">
        <w:rPr>
          <w:b/>
          <w:sz w:val="24"/>
          <w:szCs w:val="24"/>
        </w:rPr>
        <w:t>Monetary policy</w:t>
      </w:r>
    </w:p>
    <w:p w:rsidR="00957318" w:rsidRPr="005D310D" w:rsidRDefault="00957318" w:rsidP="004A37C3">
      <w:pPr>
        <w:ind w:left="360" w:firstLine="720"/>
        <w:rPr>
          <w:sz w:val="24"/>
          <w:szCs w:val="24"/>
        </w:rPr>
      </w:pPr>
      <w:r w:rsidRPr="005D310D">
        <w:rPr>
          <w:sz w:val="24"/>
          <w:szCs w:val="24"/>
        </w:rPr>
        <w:t>The Fed and some other of the most important central banks may have, for the time being, given up on the attempt to communicate monetary policy intentions in terms of a si</w:t>
      </w:r>
      <w:r w:rsidR="00AD4E42">
        <w:rPr>
          <w:sz w:val="24"/>
          <w:szCs w:val="24"/>
        </w:rPr>
        <w:t>ngle</w:t>
      </w:r>
      <w:r w:rsidRPr="005D310D">
        <w:rPr>
          <w:sz w:val="24"/>
          <w:szCs w:val="24"/>
        </w:rPr>
        <w:t xml:space="preserve"> v</w:t>
      </w:r>
      <w:r w:rsidR="00AB3D3C">
        <w:rPr>
          <w:sz w:val="24"/>
          <w:szCs w:val="24"/>
        </w:rPr>
        <w:t xml:space="preserve">ariable </w:t>
      </w:r>
      <w:r w:rsidR="005869E9">
        <w:rPr>
          <w:sz w:val="24"/>
          <w:szCs w:val="24"/>
        </w:rPr>
        <w:t xml:space="preserve">even </w:t>
      </w:r>
      <w:r w:rsidRPr="005D310D">
        <w:rPr>
          <w:sz w:val="24"/>
          <w:szCs w:val="24"/>
        </w:rPr>
        <w:t xml:space="preserve">via </w:t>
      </w:r>
      <w:r w:rsidR="005D310D" w:rsidRPr="005D310D">
        <w:rPr>
          <w:sz w:val="24"/>
          <w:szCs w:val="24"/>
        </w:rPr>
        <w:t>forward guidance</w:t>
      </w:r>
      <w:r w:rsidR="005869E9">
        <w:rPr>
          <w:sz w:val="24"/>
          <w:szCs w:val="24"/>
        </w:rPr>
        <w:t>, let alone</w:t>
      </w:r>
      <w:r w:rsidR="005D310D">
        <w:rPr>
          <w:sz w:val="24"/>
          <w:szCs w:val="24"/>
        </w:rPr>
        <w:t xml:space="preserve"> an explicit target</w:t>
      </w:r>
      <w:r w:rsidR="00BE1811">
        <w:rPr>
          <w:sz w:val="24"/>
          <w:szCs w:val="24"/>
        </w:rPr>
        <w:t>.  T</w:t>
      </w:r>
      <w:r w:rsidRPr="005D310D">
        <w:rPr>
          <w:sz w:val="24"/>
          <w:szCs w:val="24"/>
        </w:rPr>
        <w:t xml:space="preserve">he presumption is still in favor of transparency and simple clear communication, </w:t>
      </w:r>
      <w:r w:rsidR="00AB3D3C">
        <w:rPr>
          <w:sz w:val="24"/>
          <w:szCs w:val="24"/>
        </w:rPr>
        <w:t>however. M</w:t>
      </w:r>
      <w:r w:rsidR="00AD4E42">
        <w:rPr>
          <w:sz w:val="24"/>
          <w:szCs w:val="24"/>
        </w:rPr>
        <w:t xml:space="preserve">any still feel the need </w:t>
      </w:r>
      <w:r w:rsidRPr="005D310D">
        <w:rPr>
          <w:sz w:val="24"/>
          <w:szCs w:val="24"/>
        </w:rPr>
        <w:t>to announce a specific target or anchor.</w:t>
      </w:r>
      <w:r w:rsidR="00F42C1B">
        <w:rPr>
          <w:sz w:val="24"/>
          <w:szCs w:val="24"/>
        </w:rPr>
        <w:t xml:space="preserve">  Most developing countries, in particular, need the reinforcement to credibility.</w:t>
      </w:r>
      <w:r w:rsidR="00AB3D3C">
        <w:rPr>
          <w:rStyle w:val="FootnoteReference"/>
          <w:sz w:val="24"/>
          <w:szCs w:val="24"/>
        </w:rPr>
        <w:footnoteReference w:id="10"/>
      </w:r>
      <w:r w:rsidR="00AB3D3C">
        <w:rPr>
          <w:sz w:val="24"/>
          <w:szCs w:val="24"/>
        </w:rPr>
        <w:t xml:space="preserve"> </w:t>
      </w:r>
      <w:r w:rsidR="00AB3D3C" w:rsidRPr="00F42C1B">
        <w:t xml:space="preserve">  </w:t>
      </w:r>
      <w:r w:rsidR="00AB3D3C">
        <w:t xml:space="preserve"> </w:t>
      </w:r>
      <w:r w:rsidR="00AB3D3C" w:rsidRPr="00825A54">
        <w:t xml:space="preserve">Monetary policy-makers </w:t>
      </w:r>
      <w:r w:rsidR="00AB3D3C">
        <w:t xml:space="preserve">in emerging market and developing countries often </w:t>
      </w:r>
      <w:r w:rsidR="00AB3D3C" w:rsidRPr="00825A54">
        <w:t>have more need for credibility</w:t>
      </w:r>
      <w:r w:rsidR="00AB3D3C">
        <w:t xml:space="preserve"> than those in advanced countries </w:t>
      </w:r>
      <w:r w:rsidR="00AB3D3C" w:rsidRPr="00825A54">
        <w:t>due to high-inflation histories, absence of credible institutions, or political pressure to monetize big budget deficits.</w:t>
      </w:r>
      <w:r w:rsidR="00BE1811">
        <w:rPr>
          <w:sz w:val="24"/>
          <w:szCs w:val="24"/>
        </w:rPr>
        <w:t xml:space="preserve">  But </w:t>
      </w:r>
      <w:r w:rsidR="00F42C1B">
        <w:rPr>
          <w:sz w:val="24"/>
          <w:szCs w:val="24"/>
        </w:rPr>
        <w:t xml:space="preserve">announcing a target that one can expect </w:t>
      </w:r>
      <w:r w:rsidR="00B5671B">
        <w:rPr>
          <w:sz w:val="24"/>
          <w:szCs w:val="24"/>
        </w:rPr>
        <w:t xml:space="preserve">often </w:t>
      </w:r>
      <w:r w:rsidR="00F42C1B">
        <w:rPr>
          <w:sz w:val="24"/>
          <w:szCs w:val="24"/>
        </w:rPr>
        <w:t>to miss does little to enhance credibility.</w:t>
      </w:r>
    </w:p>
    <w:p w:rsidR="007563A9" w:rsidRDefault="00957318" w:rsidP="004A37C3">
      <w:pPr>
        <w:ind w:left="360" w:firstLine="720"/>
        <w:rPr>
          <w:sz w:val="24"/>
          <w:szCs w:val="24"/>
        </w:rPr>
      </w:pPr>
      <w:r w:rsidRPr="005D310D">
        <w:rPr>
          <w:sz w:val="24"/>
          <w:szCs w:val="24"/>
        </w:rPr>
        <w:t>Commodity-exporting countries have bigger terms of trade shocks than industrialized countries.</w:t>
      </w:r>
      <w:r w:rsidRPr="005D310D">
        <w:rPr>
          <w:sz w:val="24"/>
          <w:szCs w:val="24"/>
        </w:rPr>
        <w:br/>
        <w:t xml:space="preserve">As is widely understood, terms of trade volatility makes a country less suited to a fixed exchange rate and more </w:t>
      </w:r>
      <w:r w:rsidR="005F15AF">
        <w:rPr>
          <w:sz w:val="24"/>
          <w:szCs w:val="24"/>
        </w:rPr>
        <w:t xml:space="preserve">suited </w:t>
      </w:r>
      <w:r w:rsidRPr="005D310D">
        <w:rPr>
          <w:sz w:val="24"/>
          <w:szCs w:val="24"/>
        </w:rPr>
        <w:t>toward some form of floating, so that the exchange rate can accommodate terms of trade shocks.</w:t>
      </w:r>
      <w:r w:rsidR="005F15AF">
        <w:rPr>
          <w:sz w:val="24"/>
          <w:szCs w:val="24"/>
        </w:rPr>
        <w:t xml:space="preserve">  When the global price of the export commodity falls, threatening trade balance difficulties and recession, the currency automatically depreciates to mitigate those problems.  When the global price of the export commodity rises, threatening overheating, the currency automatically appreciates to mitigate the problem.</w:t>
      </w:r>
      <w:r w:rsidR="007563A9">
        <w:rPr>
          <w:sz w:val="24"/>
          <w:szCs w:val="24"/>
        </w:rPr>
        <w:t xml:space="preserve">  </w:t>
      </w:r>
    </w:p>
    <w:p w:rsidR="00957318" w:rsidRPr="005D310D" w:rsidRDefault="007563A9" w:rsidP="004A37C3">
      <w:pPr>
        <w:ind w:left="360" w:firstLine="720"/>
        <w:rPr>
          <w:sz w:val="24"/>
          <w:szCs w:val="24"/>
        </w:rPr>
      </w:pPr>
      <w:r w:rsidRPr="005D310D">
        <w:rPr>
          <w:sz w:val="24"/>
          <w:szCs w:val="24"/>
        </w:rPr>
        <w:lastRenderedPageBreak/>
        <w:t>Examples of “commodity currency” countries</w:t>
      </w:r>
      <w:r>
        <w:rPr>
          <w:sz w:val="24"/>
          <w:szCs w:val="24"/>
        </w:rPr>
        <w:t xml:space="preserve"> include</w:t>
      </w:r>
      <w:r w:rsidRPr="005D310D">
        <w:rPr>
          <w:sz w:val="24"/>
          <w:szCs w:val="24"/>
        </w:rPr>
        <w:t xml:space="preserve"> Australia, Canada, Chile, </w:t>
      </w:r>
      <w:r>
        <w:rPr>
          <w:sz w:val="24"/>
          <w:szCs w:val="24"/>
        </w:rPr>
        <w:t xml:space="preserve">New Zealand and </w:t>
      </w:r>
      <w:r w:rsidRPr="005D310D">
        <w:rPr>
          <w:sz w:val="24"/>
          <w:szCs w:val="24"/>
        </w:rPr>
        <w:t>South Africa</w:t>
      </w:r>
      <w:r>
        <w:rPr>
          <w:sz w:val="24"/>
          <w:szCs w:val="24"/>
        </w:rPr>
        <w:t>, among others.</w:t>
      </w:r>
      <w:r>
        <w:rPr>
          <w:rStyle w:val="FootnoteReference"/>
          <w:sz w:val="24"/>
          <w:szCs w:val="24"/>
        </w:rPr>
        <w:footnoteReference w:id="11"/>
      </w:r>
      <w:r>
        <w:rPr>
          <w:sz w:val="24"/>
          <w:szCs w:val="24"/>
        </w:rPr>
        <w:t xml:space="preserve">  A variety of e</w:t>
      </w:r>
      <w:r w:rsidR="00957318" w:rsidRPr="007563A9">
        <w:rPr>
          <w:sz w:val="24"/>
          <w:szCs w:val="24"/>
        </w:rPr>
        <w:t xml:space="preserve">mpirical </w:t>
      </w:r>
      <w:r>
        <w:rPr>
          <w:sz w:val="24"/>
          <w:szCs w:val="24"/>
        </w:rPr>
        <w:t xml:space="preserve">studies confirm </w:t>
      </w:r>
      <w:r w:rsidR="001476CA" w:rsidRPr="007563A9">
        <w:rPr>
          <w:sz w:val="24"/>
          <w:szCs w:val="24"/>
        </w:rPr>
        <w:t xml:space="preserve">that floating works better for countries exposed to volatility in the world prices of their export </w:t>
      </w:r>
      <w:r w:rsidR="00EA0EFA" w:rsidRPr="007563A9">
        <w:rPr>
          <w:sz w:val="24"/>
          <w:szCs w:val="24"/>
        </w:rPr>
        <w:t>commodities</w:t>
      </w:r>
      <w:r w:rsidR="00957318" w:rsidRPr="007563A9">
        <w:rPr>
          <w:sz w:val="24"/>
          <w:szCs w:val="24"/>
        </w:rPr>
        <w:t xml:space="preserve">: </w:t>
      </w:r>
      <w:r w:rsidR="00EA0EFA" w:rsidRPr="007563A9">
        <w:rPr>
          <w:sz w:val="24"/>
          <w:szCs w:val="24"/>
        </w:rPr>
        <w:t>Broda</w:t>
      </w:r>
      <w:r w:rsidR="00C05C49" w:rsidRPr="007563A9">
        <w:rPr>
          <w:sz w:val="24"/>
          <w:szCs w:val="24"/>
        </w:rPr>
        <w:t xml:space="preserve"> (2004), Edwards </w:t>
      </w:r>
      <w:r w:rsidR="00C86ED0">
        <w:rPr>
          <w:sz w:val="24"/>
          <w:szCs w:val="24"/>
        </w:rPr>
        <w:t>and</w:t>
      </w:r>
      <w:r w:rsidR="00957318" w:rsidRPr="007563A9">
        <w:rPr>
          <w:sz w:val="24"/>
          <w:szCs w:val="24"/>
        </w:rPr>
        <w:t xml:space="preserve"> L.Yeyati (2005), Rafiq (2011),</w:t>
      </w:r>
      <w:r w:rsidR="00C86ED0">
        <w:rPr>
          <w:sz w:val="24"/>
          <w:szCs w:val="24"/>
        </w:rPr>
        <w:t xml:space="preserve"> and Céspedes and</w:t>
      </w:r>
      <w:r w:rsidR="00C05C49" w:rsidRPr="007563A9">
        <w:rPr>
          <w:sz w:val="24"/>
          <w:szCs w:val="24"/>
        </w:rPr>
        <w:t xml:space="preserve"> Velasco (2012).</w:t>
      </w:r>
      <w:r>
        <w:rPr>
          <w:sz w:val="24"/>
          <w:szCs w:val="24"/>
        </w:rPr>
        <w:t xml:space="preserve">   </w:t>
      </w:r>
    </w:p>
    <w:p w:rsidR="00957318" w:rsidRPr="005D310D" w:rsidRDefault="00957318" w:rsidP="004A37C3">
      <w:pPr>
        <w:ind w:left="360" w:firstLine="360"/>
        <w:rPr>
          <w:sz w:val="24"/>
          <w:szCs w:val="24"/>
        </w:rPr>
      </w:pPr>
      <w:r w:rsidRPr="005D310D">
        <w:rPr>
          <w:sz w:val="24"/>
          <w:szCs w:val="24"/>
        </w:rPr>
        <w:t>Of course the advantages of fixing are still likely to dominate for a very small very open economy</w:t>
      </w:r>
      <w:r w:rsidR="00931F84">
        <w:rPr>
          <w:sz w:val="24"/>
          <w:szCs w:val="24"/>
        </w:rPr>
        <w:t xml:space="preserve"> (or for very low-income countries that lack developed financial markets)</w:t>
      </w:r>
      <w:r w:rsidRPr="005D310D">
        <w:rPr>
          <w:sz w:val="24"/>
          <w:szCs w:val="24"/>
        </w:rPr>
        <w:t>.</w:t>
      </w:r>
      <w:r w:rsidR="00931F84">
        <w:rPr>
          <w:sz w:val="24"/>
          <w:szCs w:val="24"/>
        </w:rPr>
        <w:t xml:space="preserve">  </w:t>
      </w:r>
      <w:r w:rsidRPr="005D310D">
        <w:rPr>
          <w:sz w:val="24"/>
          <w:szCs w:val="24"/>
        </w:rPr>
        <w:t>Examples</w:t>
      </w:r>
      <w:r w:rsidR="00A83D67">
        <w:rPr>
          <w:sz w:val="24"/>
          <w:szCs w:val="24"/>
        </w:rPr>
        <w:t xml:space="preserve"> among oil exporters include</w:t>
      </w:r>
      <w:r w:rsidRPr="005D310D">
        <w:rPr>
          <w:sz w:val="24"/>
          <w:szCs w:val="24"/>
        </w:rPr>
        <w:t xml:space="preserve"> Bahrain, Brunei, Cameroon, </w:t>
      </w:r>
      <w:r w:rsidR="00A83D67">
        <w:rPr>
          <w:sz w:val="24"/>
          <w:szCs w:val="24"/>
        </w:rPr>
        <w:t xml:space="preserve">and </w:t>
      </w:r>
      <w:r w:rsidRPr="005D310D">
        <w:rPr>
          <w:sz w:val="24"/>
          <w:szCs w:val="24"/>
        </w:rPr>
        <w:t>Trinidad.</w:t>
      </w:r>
    </w:p>
    <w:p w:rsidR="00957318" w:rsidRPr="005D310D" w:rsidRDefault="004B6C62" w:rsidP="004A37C3">
      <w:pPr>
        <w:ind w:left="360" w:firstLine="360"/>
        <w:rPr>
          <w:sz w:val="24"/>
          <w:szCs w:val="24"/>
        </w:rPr>
      </w:pPr>
      <w:r>
        <w:rPr>
          <w:sz w:val="24"/>
          <w:szCs w:val="24"/>
        </w:rPr>
        <w:t>I</w:t>
      </w:r>
      <w:r w:rsidR="00957318" w:rsidRPr="005D310D">
        <w:rPr>
          <w:sz w:val="24"/>
          <w:szCs w:val="24"/>
        </w:rPr>
        <w:t>f the exchange rate is not to be the anchor</w:t>
      </w:r>
      <w:r>
        <w:rPr>
          <w:sz w:val="24"/>
          <w:szCs w:val="24"/>
        </w:rPr>
        <w:t xml:space="preserve"> for middle-sized middle-income commodity-exporting countries</w:t>
      </w:r>
      <w:r w:rsidR="00957318" w:rsidRPr="005D310D">
        <w:rPr>
          <w:sz w:val="24"/>
          <w:szCs w:val="24"/>
        </w:rPr>
        <w:t>, what is?</w:t>
      </w:r>
      <w:r>
        <w:rPr>
          <w:sz w:val="24"/>
          <w:szCs w:val="24"/>
        </w:rPr>
        <w:t xml:space="preserve">  </w:t>
      </w:r>
      <w:r w:rsidR="00957318" w:rsidRPr="005D310D">
        <w:rPr>
          <w:sz w:val="24"/>
          <w:szCs w:val="24"/>
        </w:rPr>
        <w:t>The popular choice since the 1990s</w:t>
      </w:r>
      <w:r>
        <w:rPr>
          <w:sz w:val="24"/>
          <w:szCs w:val="24"/>
        </w:rPr>
        <w:t xml:space="preserve"> has been</w:t>
      </w:r>
      <w:r w:rsidR="004B4DDB">
        <w:rPr>
          <w:sz w:val="24"/>
          <w:szCs w:val="24"/>
        </w:rPr>
        <w:t xml:space="preserve"> </w:t>
      </w:r>
      <w:r w:rsidR="00957318" w:rsidRPr="005D310D">
        <w:rPr>
          <w:sz w:val="24"/>
          <w:szCs w:val="24"/>
        </w:rPr>
        <w:t>I</w:t>
      </w:r>
      <w:r w:rsidR="00801A23">
        <w:rPr>
          <w:sz w:val="24"/>
          <w:szCs w:val="24"/>
        </w:rPr>
        <w:t xml:space="preserve">nflation </w:t>
      </w:r>
      <w:r w:rsidR="00957318" w:rsidRPr="005D310D">
        <w:rPr>
          <w:sz w:val="24"/>
          <w:szCs w:val="24"/>
        </w:rPr>
        <w:t>T</w:t>
      </w:r>
      <w:r w:rsidR="00801A23">
        <w:rPr>
          <w:sz w:val="24"/>
          <w:szCs w:val="24"/>
        </w:rPr>
        <w:t>argeting (IT)</w:t>
      </w:r>
      <w:r w:rsidR="00957318" w:rsidRPr="005D310D">
        <w:rPr>
          <w:sz w:val="24"/>
          <w:szCs w:val="24"/>
        </w:rPr>
        <w:t>, meaning</w:t>
      </w:r>
      <w:r w:rsidR="00A83D67">
        <w:rPr>
          <w:sz w:val="24"/>
          <w:szCs w:val="24"/>
        </w:rPr>
        <w:t xml:space="preserve"> the announcement of a</w:t>
      </w:r>
      <w:r w:rsidR="00957318" w:rsidRPr="005D310D">
        <w:rPr>
          <w:sz w:val="24"/>
          <w:szCs w:val="24"/>
        </w:rPr>
        <w:t xml:space="preserve"> targeting </w:t>
      </w:r>
      <w:r w:rsidR="00A83D67">
        <w:rPr>
          <w:sz w:val="24"/>
          <w:szCs w:val="24"/>
        </w:rPr>
        <w:t xml:space="preserve">for </w:t>
      </w:r>
      <w:r w:rsidR="005D310D" w:rsidRPr="005D310D">
        <w:rPr>
          <w:sz w:val="24"/>
          <w:szCs w:val="24"/>
        </w:rPr>
        <w:t>the CPI in some form</w:t>
      </w:r>
      <w:r>
        <w:rPr>
          <w:sz w:val="24"/>
          <w:szCs w:val="24"/>
        </w:rPr>
        <w:t xml:space="preserve">.  </w:t>
      </w:r>
      <w:r w:rsidR="00957318" w:rsidRPr="005D310D">
        <w:rPr>
          <w:sz w:val="24"/>
          <w:szCs w:val="24"/>
        </w:rPr>
        <w:t xml:space="preserve">Variations include </w:t>
      </w:r>
      <w:r w:rsidR="00A83D67">
        <w:rPr>
          <w:sz w:val="24"/>
          <w:szCs w:val="24"/>
        </w:rPr>
        <w:t xml:space="preserve">targeting the </w:t>
      </w:r>
      <w:r w:rsidR="00957318" w:rsidRPr="005D310D">
        <w:rPr>
          <w:sz w:val="24"/>
          <w:szCs w:val="24"/>
        </w:rPr>
        <w:t xml:space="preserve">level </w:t>
      </w:r>
      <w:r w:rsidR="00A83D67">
        <w:rPr>
          <w:sz w:val="24"/>
          <w:szCs w:val="24"/>
        </w:rPr>
        <w:t xml:space="preserve">of the CPI </w:t>
      </w:r>
      <w:r w:rsidR="00957318" w:rsidRPr="005D310D">
        <w:rPr>
          <w:sz w:val="24"/>
          <w:szCs w:val="24"/>
        </w:rPr>
        <w:t xml:space="preserve">vs. </w:t>
      </w:r>
      <w:r w:rsidR="00A83D67">
        <w:rPr>
          <w:sz w:val="24"/>
          <w:szCs w:val="24"/>
        </w:rPr>
        <w:t xml:space="preserve">rate of </w:t>
      </w:r>
      <w:r w:rsidR="00957318" w:rsidRPr="005D310D">
        <w:rPr>
          <w:sz w:val="24"/>
          <w:szCs w:val="24"/>
        </w:rPr>
        <w:t xml:space="preserve">change, headline vs. core, </w:t>
      </w:r>
      <w:r w:rsidR="00A83D67">
        <w:rPr>
          <w:sz w:val="24"/>
          <w:szCs w:val="24"/>
        </w:rPr>
        <w:t xml:space="preserve">and </w:t>
      </w:r>
      <w:r w:rsidR="00957318" w:rsidRPr="005D310D">
        <w:rPr>
          <w:sz w:val="24"/>
          <w:szCs w:val="24"/>
        </w:rPr>
        <w:t>f</w:t>
      </w:r>
      <w:r w:rsidR="00A83D67">
        <w:rPr>
          <w:sz w:val="24"/>
          <w:szCs w:val="24"/>
        </w:rPr>
        <w:t>orecasted inflation vs. actual.</w:t>
      </w:r>
    </w:p>
    <w:p w:rsidR="00957318" w:rsidRPr="005D310D" w:rsidRDefault="004B6C62" w:rsidP="004A37C3">
      <w:pPr>
        <w:ind w:left="360" w:firstLine="720"/>
        <w:rPr>
          <w:sz w:val="24"/>
          <w:szCs w:val="24"/>
        </w:rPr>
      </w:pPr>
      <w:r>
        <w:rPr>
          <w:sz w:val="24"/>
          <w:szCs w:val="24"/>
        </w:rPr>
        <w:t>One point is n</w:t>
      </w:r>
      <w:r w:rsidR="00957318" w:rsidRPr="005D310D">
        <w:rPr>
          <w:sz w:val="24"/>
          <w:szCs w:val="24"/>
        </w:rPr>
        <w:t xml:space="preserve">ot widely enough </w:t>
      </w:r>
      <w:r w:rsidR="00A83D67">
        <w:rPr>
          <w:sz w:val="24"/>
          <w:szCs w:val="24"/>
        </w:rPr>
        <w:t>known</w:t>
      </w:r>
      <w:r w:rsidR="00957318" w:rsidRPr="005D310D">
        <w:rPr>
          <w:sz w:val="24"/>
          <w:szCs w:val="24"/>
        </w:rPr>
        <w:t xml:space="preserve">:  The CPI is a bad choice </w:t>
      </w:r>
      <w:r w:rsidR="00A83D67">
        <w:rPr>
          <w:sz w:val="24"/>
          <w:szCs w:val="24"/>
        </w:rPr>
        <w:t xml:space="preserve">for targeted variable </w:t>
      </w:r>
      <w:r w:rsidR="00957318" w:rsidRPr="005D310D">
        <w:rPr>
          <w:sz w:val="24"/>
          <w:szCs w:val="24"/>
        </w:rPr>
        <w:t xml:space="preserve">with respect to terms of trade shocks.  </w:t>
      </w:r>
      <w:r>
        <w:rPr>
          <w:sz w:val="24"/>
          <w:szCs w:val="24"/>
        </w:rPr>
        <w:t xml:space="preserve"> </w:t>
      </w:r>
      <w:r w:rsidR="00A83D67">
        <w:rPr>
          <w:sz w:val="24"/>
          <w:szCs w:val="24"/>
        </w:rPr>
        <w:t xml:space="preserve">Assume a country that exports copper and imports oil.  </w:t>
      </w:r>
      <w:r w:rsidR="00957318" w:rsidRPr="005D310D">
        <w:rPr>
          <w:sz w:val="24"/>
          <w:szCs w:val="24"/>
        </w:rPr>
        <w:t xml:space="preserve">If </w:t>
      </w:r>
      <w:r w:rsidR="00801A23">
        <w:rPr>
          <w:sz w:val="24"/>
          <w:szCs w:val="24"/>
        </w:rPr>
        <w:t>interpreted literally, a CPI target</w:t>
      </w:r>
      <w:r w:rsidR="00957318" w:rsidRPr="005D310D">
        <w:rPr>
          <w:sz w:val="24"/>
          <w:szCs w:val="24"/>
        </w:rPr>
        <w:t xml:space="preserve"> prevents the central bank from responding to a fall in the dollar price of copper </w:t>
      </w:r>
      <w:r w:rsidR="00801A23">
        <w:rPr>
          <w:sz w:val="24"/>
          <w:szCs w:val="24"/>
        </w:rPr>
        <w:t xml:space="preserve">with easy enough money </w:t>
      </w:r>
      <w:r w:rsidR="00957318" w:rsidRPr="005D310D">
        <w:rPr>
          <w:sz w:val="24"/>
          <w:szCs w:val="24"/>
        </w:rPr>
        <w:t>to depreciate the currency</w:t>
      </w:r>
      <w:r w:rsidR="00801A23">
        <w:rPr>
          <w:sz w:val="24"/>
          <w:szCs w:val="24"/>
        </w:rPr>
        <w:t>;</w:t>
      </w:r>
      <w:r w:rsidR="00957318" w:rsidRPr="005D310D">
        <w:rPr>
          <w:sz w:val="24"/>
          <w:szCs w:val="24"/>
        </w:rPr>
        <w:t xml:space="preserve"> and it requires the central bank to respond to a rise in the dollar price of import</w:t>
      </w:r>
      <w:r w:rsidR="00A83D67">
        <w:rPr>
          <w:sz w:val="24"/>
          <w:szCs w:val="24"/>
        </w:rPr>
        <w:t>ed oil</w:t>
      </w:r>
      <w:r w:rsidR="00957318" w:rsidRPr="005D310D">
        <w:rPr>
          <w:sz w:val="24"/>
          <w:szCs w:val="24"/>
        </w:rPr>
        <w:t xml:space="preserve"> by tightening enough to appreciate the currency.</w:t>
      </w:r>
      <w:r w:rsidR="00A83D67">
        <w:rPr>
          <w:sz w:val="24"/>
          <w:szCs w:val="24"/>
        </w:rPr>
        <w:t xml:space="preserve">   </w:t>
      </w:r>
      <w:r w:rsidR="00957318" w:rsidRPr="005D310D">
        <w:rPr>
          <w:sz w:val="24"/>
          <w:szCs w:val="24"/>
        </w:rPr>
        <w:t xml:space="preserve">This is backwards.  If </w:t>
      </w:r>
      <w:r>
        <w:rPr>
          <w:sz w:val="24"/>
          <w:szCs w:val="24"/>
        </w:rPr>
        <w:t xml:space="preserve">the authorities are </w:t>
      </w:r>
      <w:r w:rsidR="00957318" w:rsidRPr="005D310D">
        <w:rPr>
          <w:sz w:val="24"/>
          <w:szCs w:val="24"/>
        </w:rPr>
        <w:t>going to target inflation, the price index should be one that leaves the import commodity</w:t>
      </w:r>
      <w:r w:rsidR="00801A23">
        <w:rPr>
          <w:sz w:val="24"/>
          <w:szCs w:val="24"/>
        </w:rPr>
        <w:t xml:space="preserve"> out of the basket</w:t>
      </w:r>
      <w:r w:rsidR="00957318" w:rsidRPr="005D310D">
        <w:rPr>
          <w:sz w:val="24"/>
          <w:szCs w:val="24"/>
        </w:rPr>
        <w:t xml:space="preserve">, but includes the price of the export commodity, something </w:t>
      </w:r>
      <w:r w:rsidR="00A83D67">
        <w:rPr>
          <w:sz w:val="24"/>
          <w:szCs w:val="24"/>
        </w:rPr>
        <w:t>output</w:t>
      </w:r>
      <w:r w:rsidR="00957318" w:rsidRPr="005D310D">
        <w:rPr>
          <w:sz w:val="24"/>
          <w:szCs w:val="24"/>
        </w:rPr>
        <w:t xml:space="preserve">-based, rather than </w:t>
      </w:r>
      <w:r w:rsidR="00A83D67">
        <w:rPr>
          <w:sz w:val="24"/>
          <w:szCs w:val="24"/>
        </w:rPr>
        <w:t>designed to reflect the consumption basket</w:t>
      </w:r>
      <w:r w:rsidR="00957318" w:rsidRPr="005D310D">
        <w:rPr>
          <w:sz w:val="24"/>
          <w:szCs w:val="24"/>
        </w:rPr>
        <w:t xml:space="preserve">.   If the Bank of Chile were to target the GDP deflator, it would automatically respond to declines in the world price of copper with monetary policy easy enough to depreciate the peso, which is what </w:t>
      </w:r>
      <w:r w:rsidR="00AF013C">
        <w:rPr>
          <w:sz w:val="24"/>
          <w:szCs w:val="24"/>
        </w:rPr>
        <w:t>one</w:t>
      </w:r>
      <w:r w:rsidR="00957318" w:rsidRPr="005D310D">
        <w:rPr>
          <w:sz w:val="24"/>
          <w:szCs w:val="24"/>
        </w:rPr>
        <w:t xml:space="preserve"> want</w:t>
      </w:r>
      <w:r w:rsidR="00AF013C">
        <w:rPr>
          <w:sz w:val="24"/>
          <w:szCs w:val="24"/>
        </w:rPr>
        <w:t>s</w:t>
      </w:r>
      <w:r w:rsidR="00957318" w:rsidRPr="005D310D">
        <w:rPr>
          <w:sz w:val="24"/>
          <w:szCs w:val="24"/>
        </w:rPr>
        <w:t xml:space="preserve">, and not when the price of the </w:t>
      </w:r>
      <w:r w:rsidR="00957318" w:rsidRPr="005D310D">
        <w:rPr>
          <w:i/>
          <w:sz w:val="24"/>
          <w:szCs w:val="24"/>
        </w:rPr>
        <w:t>import</w:t>
      </w:r>
      <w:r w:rsidR="00957318" w:rsidRPr="005D310D">
        <w:rPr>
          <w:sz w:val="24"/>
          <w:szCs w:val="24"/>
        </w:rPr>
        <w:t xml:space="preserve"> commodity falls which is what a CPI target does.</w:t>
      </w:r>
    </w:p>
    <w:p w:rsidR="00957318" w:rsidRPr="005D310D" w:rsidRDefault="00957318" w:rsidP="004A37C3">
      <w:pPr>
        <w:ind w:left="360"/>
        <w:rPr>
          <w:sz w:val="24"/>
          <w:szCs w:val="24"/>
        </w:rPr>
      </w:pPr>
      <w:r w:rsidRPr="005D310D">
        <w:rPr>
          <w:sz w:val="24"/>
          <w:szCs w:val="24"/>
        </w:rPr>
        <w:tab/>
      </w:r>
      <w:r w:rsidR="00C06C2C">
        <w:rPr>
          <w:sz w:val="24"/>
          <w:szCs w:val="24"/>
        </w:rPr>
        <w:t xml:space="preserve">In the past </w:t>
      </w:r>
      <w:r w:rsidRPr="005D310D">
        <w:rPr>
          <w:sz w:val="24"/>
          <w:szCs w:val="24"/>
        </w:rPr>
        <w:t xml:space="preserve">I have </w:t>
      </w:r>
      <w:r w:rsidR="00C06C2C">
        <w:rPr>
          <w:sz w:val="24"/>
          <w:szCs w:val="24"/>
        </w:rPr>
        <w:t>suggested</w:t>
      </w:r>
      <w:r w:rsidRPr="005D310D">
        <w:rPr>
          <w:sz w:val="24"/>
          <w:szCs w:val="24"/>
        </w:rPr>
        <w:t xml:space="preserve"> that countries with volatile terms of trade </w:t>
      </w:r>
      <w:r w:rsidR="00C06C2C">
        <w:rPr>
          <w:sz w:val="24"/>
          <w:szCs w:val="24"/>
        </w:rPr>
        <w:t xml:space="preserve">should </w:t>
      </w:r>
      <w:r w:rsidRPr="005D310D">
        <w:rPr>
          <w:sz w:val="24"/>
          <w:szCs w:val="24"/>
        </w:rPr>
        <w:t>target a product-oriented price index like the GDP deflator, instead of the CPI.</w:t>
      </w:r>
      <w:r w:rsidR="00A83D67">
        <w:rPr>
          <w:rStyle w:val="FootnoteReference"/>
          <w:sz w:val="24"/>
          <w:szCs w:val="24"/>
        </w:rPr>
        <w:footnoteReference w:id="12"/>
      </w:r>
      <w:r w:rsidRPr="005D310D">
        <w:rPr>
          <w:sz w:val="24"/>
          <w:szCs w:val="24"/>
        </w:rPr>
        <w:t xml:space="preserve">   Nobody has tried </w:t>
      </w:r>
      <w:r w:rsidR="00C06C2C">
        <w:rPr>
          <w:sz w:val="24"/>
          <w:szCs w:val="24"/>
        </w:rPr>
        <w:t>out this proposal</w:t>
      </w:r>
      <w:r w:rsidRPr="005D310D">
        <w:rPr>
          <w:sz w:val="24"/>
          <w:szCs w:val="24"/>
        </w:rPr>
        <w:t>.</w:t>
      </w:r>
    </w:p>
    <w:p w:rsidR="00FF4DB0" w:rsidRDefault="00D755FB" w:rsidP="00FF4DB0">
      <w:pPr>
        <w:pStyle w:val="ListParagraph"/>
        <w:ind w:left="360" w:firstLine="360"/>
        <w:rPr>
          <w:sz w:val="24"/>
          <w:szCs w:val="24"/>
        </w:rPr>
      </w:pPr>
      <w:r>
        <w:rPr>
          <w:sz w:val="24"/>
          <w:szCs w:val="24"/>
        </w:rPr>
        <w:t xml:space="preserve">I have </w:t>
      </w:r>
      <w:r w:rsidR="00C06C2C">
        <w:rPr>
          <w:sz w:val="24"/>
          <w:szCs w:val="24"/>
        </w:rPr>
        <w:t xml:space="preserve">now </w:t>
      </w:r>
      <w:r w:rsidR="00957318" w:rsidRPr="00D755FB">
        <w:rPr>
          <w:sz w:val="24"/>
          <w:szCs w:val="24"/>
        </w:rPr>
        <w:t>switch</w:t>
      </w:r>
      <w:r>
        <w:rPr>
          <w:sz w:val="24"/>
          <w:szCs w:val="24"/>
        </w:rPr>
        <w:t>ed</w:t>
      </w:r>
      <w:r w:rsidR="00957318" w:rsidRPr="00D755FB">
        <w:rPr>
          <w:sz w:val="24"/>
          <w:szCs w:val="24"/>
        </w:rPr>
        <w:t xml:space="preserve"> to recommending that commodity-producing countries target nominal GDP.</w:t>
      </w:r>
      <w:r w:rsidR="002A03BE">
        <w:rPr>
          <w:rStyle w:val="FootnoteReference"/>
          <w:sz w:val="24"/>
          <w:szCs w:val="24"/>
        </w:rPr>
        <w:footnoteReference w:id="13"/>
      </w:r>
      <w:r w:rsidR="00957318" w:rsidRPr="00D755FB">
        <w:rPr>
          <w:sz w:val="24"/>
          <w:szCs w:val="24"/>
        </w:rPr>
        <w:t xml:space="preserve">  It has the same advantages as targeting the nominal GDP deflator (accommodating</w:t>
      </w:r>
      <w:r w:rsidR="00C06C2C">
        <w:rPr>
          <w:sz w:val="24"/>
          <w:szCs w:val="24"/>
        </w:rPr>
        <w:t xml:space="preserve"> shocks to</w:t>
      </w:r>
      <w:r w:rsidR="00957318" w:rsidRPr="00D755FB">
        <w:rPr>
          <w:sz w:val="24"/>
          <w:szCs w:val="24"/>
        </w:rPr>
        <w:t xml:space="preserve"> the </w:t>
      </w:r>
      <w:r w:rsidR="006C510F" w:rsidRPr="00D755FB">
        <w:rPr>
          <w:sz w:val="24"/>
          <w:szCs w:val="24"/>
        </w:rPr>
        <w:t>terms of trade better than a CPI target</w:t>
      </w:r>
      <w:r w:rsidR="00957318" w:rsidRPr="00D755FB">
        <w:rPr>
          <w:sz w:val="24"/>
          <w:szCs w:val="24"/>
        </w:rPr>
        <w:t xml:space="preserve">), and </w:t>
      </w:r>
      <w:r>
        <w:rPr>
          <w:sz w:val="24"/>
          <w:szCs w:val="24"/>
        </w:rPr>
        <w:t xml:space="preserve">has </w:t>
      </w:r>
      <w:r w:rsidR="00957318" w:rsidRPr="00D755FB">
        <w:rPr>
          <w:sz w:val="24"/>
          <w:szCs w:val="24"/>
        </w:rPr>
        <w:t xml:space="preserve">some other </w:t>
      </w:r>
      <w:r w:rsidR="00957318" w:rsidRPr="00D755FB">
        <w:rPr>
          <w:sz w:val="24"/>
          <w:szCs w:val="24"/>
        </w:rPr>
        <w:lastRenderedPageBreak/>
        <w:t>advantages as well</w:t>
      </w:r>
      <w:r w:rsidR="00FF4DB0">
        <w:rPr>
          <w:sz w:val="24"/>
          <w:szCs w:val="24"/>
        </w:rPr>
        <w:t>.  First, i</w:t>
      </w:r>
      <w:r w:rsidR="00957318" w:rsidRPr="00FF4DB0">
        <w:rPr>
          <w:sz w:val="24"/>
          <w:szCs w:val="24"/>
        </w:rPr>
        <w:t>t also beats CPI-targeting in case of supply shocks.</w:t>
      </w:r>
      <w:r w:rsidR="00FF4DB0">
        <w:rPr>
          <w:sz w:val="24"/>
          <w:szCs w:val="24"/>
        </w:rPr>
        <w:t xml:space="preserve">  Second, and closely related, </w:t>
      </w:r>
      <w:r w:rsidR="00957318" w:rsidRPr="001476CA">
        <w:rPr>
          <w:sz w:val="24"/>
          <w:szCs w:val="24"/>
        </w:rPr>
        <w:t xml:space="preserve">I am not alone in </w:t>
      </w:r>
      <w:r w:rsidR="006C510F" w:rsidRPr="001476CA">
        <w:rPr>
          <w:sz w:val="24"/>
          <w:szCs w:val="24"/>
        </w:rPr>
        <w:t>favor</w:t>
      </w:r>
      <w:r w:rsidR="00957318" w:rsidRPr="001476CA">
        <w:rPr>
          <w:sz w:val="24"/>
          <w:szCs w:val="24"/>
        </w:rPr>
        <w:t>ing NGDP targeting.  Many other economists have done so</w:t>
      </w:r>
      <w:r w:rsidR="00FF4DB0">
        <w:rPr>
          <w:sz w:val="24"/>
          <w:szCs w:val="24"/>
        </w:rPr>
        <w:t xml:space="preserve"> as well</w:t>
      </w:r>
      <w:r w:rsidR="00957318" w:rsidRPr="001476CA">
        <w:rPr>
          <w:sz w:val="24"/>
          <w:szCs w:val="24"/>
        </w:rPr>
        <w:t>.</w:t>
      </w:r>
    </w:p>
    <w:p w:rsidR="00FF4DB0" w:rsidRDefault="00957318" w:rsidP="00FF4DB0">
      <w:pPr>
        <w:pStyle w:val="ListParagraph"/>
        <w:ind w:left="360" w:firstLine="360"/>
        <w:rPr>
          <w:sz w:val="24"/>
          <w:szCs w:val="24"/>
        </w:rPr>
      </w:pPr>
      <w:r w:rsidRPr="00FF4DB0">
        <w:rPr>
          <w:sz w:val="24"/>
          <w:szCs w:val="24"/>
        </w:rPr>
        <w:t>The other supporters have almost always been thinking of major central banks like the Fed</w:t>
      </w:r>
      <w:r w:rsidR="002A03BE" w:rsidRPr="00FF4DB0">
        <w:rPr>
          <w:sz w:val="24"/>
          <w:szCs w:val="24"/>
        </w:rPr>
        <w:t>eral Reserve</w:t>
      </w:r>
      <w:r w:rsidRPr="00FF4DB0">
        <w:rPr>
          <w:sz w:val="24"/>
          <w:szCs w:val="24"/>
        </w:rPr>
        <w:t xml:space="preserve"> or the Bank of England.</w:t>
      </w:r>
      <w:r w:rsidR="001476CA" w:rsidRPr="00FF4DB0">
        <w:rPr>
          <w:sz w:val="24"/>
          <w:szCs w:val="24"/>
        </w:rPr>
        <w:t xml:space="preserve">  </w:t>
      </w:r>
      <w:r w:rsidR="002A03BE" w:rsidRPr="00FF4DB0">
        <w:rPr>
          <w:sz w:val="24"/>
          <w:szCs w:val="24"/>
        </w:rPr>
        <w:t xml:space="preserve">In the 1980s </w:t>
      </w:r>
      <w:r w:rsidR="001476CA" w:rsidRPr="00FF4DB0">
        <w:rPr>
          <w:sz w:val="24"/>
          <w:szCs w:val="24"/>
        </w:rPr>
        <w:t>NGDP targeting</w:t>
      </w:r>
      <w:r w:rsidRPr="00FF4DB0">
        <w:rPr>
          <w:sz w:val="24"/>
          <w:szCs w:val="24"/>
        </w:rPr>
        <w:t xml:space="preserve"> was proposed by Meade </w:t>
      </w:r>
      <w:r w:rsidR="004B4DDB" w:rsidRPr="00FF4DB0">
        <w:rPr>
          <w:sz w:val="24"/>
          <w:szCs w:val="24"/>
        </w:rPr>
        <w:t xml:space="preserve">(1978) </w:t>
      </w:r>
      <w:r w:rsidRPr="00FF4DB0">
        <w:rPr>
          <w:sz w:val="24"/>
          <w:szCs w:val="24"/>
        </w:rPr>
        <w:t>and Tobin</w:t>
      </w:r>
      <w:r w:rsidR="004B4DDB" w:rsidRPr="00FF4DB0">
        <w:rPr>
          <w:sz w:val="24"/>
          <w:szCs w:val="24"/>
        </w:rPr>
        <w:t xml:space="preserve"> (1980)</w:t>
      </w:r>
      <w:r w:rsidRPr="00FF4DB0">
        <w:rPr>
          <w:sz w:val="24"/>
          <w:szCs w:val="24"/>
        </w:rPr>
        <w:t xml:space="preserve"> and supported by many others</w:t>
      </w:r>
      <w:r w:rsidR="001476CA" w:rsidRPr="00FF4DB0">
        <w:rPr>
          <w:sz w:val="24"/>
          <w:szCs w:val="24"/>
        </w:rPr>
        <w:t>.  T</w:t>
      </w:r>
      <w:r w:rsidRPr="00FF4DB0">
        <w:rPr>
          <w:sz w:val="24"/>
          <w:szCs w:val="24"/>
        </w:rPr>
        <w:t>he point of a</w:t>
      </w:r>
      <w:r w:rsidR="001476CA" w:rsidRPr="00FF4DB0">
        <w:rPr>
          <w:sz w:val="24"/>
          <w:szCs w:val="24"/>
        </w:rPr>
        <w:t>nnouncing a</w:t>
      </w:r>
      <w:r w:rsidRPr="00FF4DB0">
        <w:rPr>
          <w:sz w:val="24"/>
          <w:szCs w:val="24"/>
        </w:rPr>
        <w:t>n explicit target at th</w:t>
      </w:r>
      <w:r w:rsidR="001476CA" w:rsidRPr="00FF4DB0">
        <w:rPr>
          <w:sz w:val="24"/>
          <w:szCs w:val="24"/>
        </w:rPr>
        <w:t>at</w:t>
      </w:r>
      <w:r w:rsidRPr="00FF4DB0">
        <w:rPr>
          <w:sz w:val="24"/>
          <w:szCs w:val="24"/>
        </w:rPr>
        <w:t xml:space="preserve"> time was to get expectations of inf</w:t>
      </w:r>
      <w:r w:rsidR="001476CA" w:rsidRPr="00FF4DB0">
        <w:rPr>
          <w:sz w:val="24"/>
          <w:szCs w:val="24"/>
        </w:rPr>
        <w:t>lation down.  In recent years the proposal</w:t>
      </w:r>
      <w:r w:rsidRPr="00FF4DB0">
        <w:rPr>
          <w:sz w:val="24"/>
          <w:szCs w:val="24"/>
        </w:rPr>
        <w:t xml:space="preserve"> has been revived (e.g., by Woodford, </w:t>
      </w:r>
      <w:r w:rsidR="004B4DDB" w:rsidRPr="00FF4DB0">
        <w:rPr>
          <w:sz w:val="24"/>
          <w:szCs w:val="24"/>
        </w:rPr>
        <w:t xml:space="preserve">2012, </w:t>
      </w:r>
      <w:r w:rsidRPr="00FF4DB0">
        <w:rPr>
          <w:sz w:val="24"/>
          <w:szCs w:val="24"/>
        </w:rPr>
        <w:t>plus a school that calls itself Market Monetarists)</w:t>
      </w:r>
      <w:r w:rsidR="001476CA" w:rsidRPr="00FF4DB0">
        <w:rPr>
          <w:sz w:val="24"/>
          <w:szCs w:val="24"/>
        </w:rPr>
        <w:t>.  T</w:t>
      </w:r>
      <w:r w:rsidRPr="00FF4DB0">
        <w:rPr>
          <w:sz w:val="24"/>
          <w:szCs w:val="24"/>
        </w:rPr>
        <w:t xml:space="preserve">he point </w:t>
      </w:r>
      <w:r w:rsidR="006C510F" w:rsidRPr="00FF4DB0">
        <w:rPr>
          <w:sz w:val="24"/>
          <w:szCs w:val="24"/>
        </w:rPr>
        <w:t>nowa</w:t>
      </w:r>
      <w:r w:rsidRPr="00FF4DB0">
        <w:rPr>
          <w:sz w:val="24"/>
          <w:szCs w:val="24"/>
        </w:rPr>
        <w:t>days has been to get expectations of inflation</w:t>
      </w:r>
      <w:r w:rsidRPr="00FF4DB0">
        <w:rPr>
          <w:i/>
          <w:sz w:val="24"/>
          <w:szCs w:val="24"/>
        </w:rPr>
        <w:t xml:space="preserve"> up</w:t>
      </w:r>
      <w:r w:rsidRPr="00FF4DB0">
        <w:rPr>
          <w:sz w:val="24"/>
          <w:szCs w:val="24"/>
        </w:rPr>
        <w:t xml:space="preserve">.  Either way, the argument in favor of </w:t>
      </w:r>
      <w:r w:rsidR="00C06C2C" w:rsidRPr="00FF4DB0">
        <w:rPr>
          <w:sz w:val="24"/>
          <w:szCs w:val="24"/>
        </w:rPr>
        <w:t xml:space="preserve">phrasing the monetary stance in terms of </w:t>
      </w:r>
      <w:r w:rsidRPr="00FF4DB0">
        <w:rPr>
          <w:sz w:val="24"/>
          <w:szCs w:val="24"/>
        </w:rPr>
        <w:t xml:space="preserve">NGDP </w:t>
      </w:r>
      <w:r w:rsidR="00C06C2C" w:rsidRPr="00FF4DB0">
        <w:rPr>
          <w:sz w:val="24"/>
          <w:szCs w:val="24"/>
        </w:rPr>
        <w:t>is tha</w:t>
      </w:r>
      <w:r w:rsidRPr="00FF4DB0">
        <w:rPr>
          <w:sz w:val="24"/>
          <w:szCs w:val="24"/>
        </w:rPr>
        <w:t xml:space="preserve">t </w:t>
      </w:r>
      <w:r w:rsidR="00C06C2C" w:rsidRPr="00FF4DB0">
        <w:rPr>
          <w:sz w:val="24"/>
          <w:szCs w:val="24"/>
        </w:rPr>
        <w:t>this formulation</w:t>
      </w:r>
      <w:r w:rsidRPr="00FF4DB0">
        <w:rPr>
          <w:sz w:val="24"/>
          <w:szCs w:val="24"/>
        </w:rPr>
        <w:t xml:space="preserve"> is robus</w:t>
      </w:r>
      <w:r w:rsidR="00FF4DB0">
        <w:rPr>
          <w:sz w:val="24"/>
          <w:szCs w:val="24"/>
        </w:rPr>
        <w:t>t with respect to supply shocks</w:t>
      </w:r>
    </w:p>
    <w:p w:rsidR="00FF4DB0" w:rsidRDefault="00957318" w:rsidP="00FF4DB0">
      <w:pPr>
        <w:pStyle w:val="ListParagraph"/>
        <w:ind w:left="360" w:firstLine="360"/>
        <w:rPr>
          <w:sz w:val="24"/>
          <w:szCs w:val="24"/>
        </w:rPr>
      </w:pPr>
      <w:r w:rsidRPr="00FF4DB0">
        <w:rPr>
          <w:sz w:val="24"/>
          <w:szCs w:val="24"/>
        </w:rPr>
        <w:t xml:space="preserve">One can show that if the ultimate objective is to achieve price stability and output stability, as represented by a quadratic loss function, then a NGDP target will give a better outcome </w:t>
      </w:r>
      <w:r w:rsidR="00C06C2C" w:rsidRPr="00FF4DB0">
        <w:rPr>
          <w:sz w:val="24"/>
          <w:szCs w:val="24"/>
        </w:rPr>
        <w:t xml:space="preserve">in the presence of shocks </w:t>
      </w:r>
      <w:r w:rsidRPr="00FF4DB0">
        <w:rPr>
          <w:sz w:val="24"/>
          <w:szCs w:val="24"/>
        </w:rPr>
        <w:t xml:space="preserve">than an inflation target unless the supply curve is very steep or the loss function puts extraordinarily high weight on stabilizing the CPI.  </w:t>
      </w:r>
    </w:p>
    <w:p w:rsidR="00FF4DB0" w:rsidRDefault="002040C1" w:rsidP="00FF4DB0">
      <w:pPr>
        <w:pStyle w:val="ListParagraph"/>
        <w:ind w:left="360" w:firstLine="360"/>
        <w:rPr>
          <w:sz w:val="24"/>
          <w:szCs w:val="24"/>
        </w:rPr>
      </w:pPr>
      <w:r w:rsidRPr="005D310D">
        <w:rPr>
          <w:sz w:val="24"/>
          <w:szCs w:val="24"/>
        </w:rPr>
        <w:t>Under certain simplifying assumptions, the necessary condition for NGDPT to dominate IT is</w:t>
      </w:r>
      <w:r w:rsidR="004964AB" w:rsidRPr="005D310D">
        <w:rPr>
          <w:sz w:val="24"/>
          <w:szCs w:val="24"/>
        </w:rPr>
        <w:t>:</w:t>
      </w:r>
      <w:r w:rsidR="004964AB" w:rsidRPr="005D310D">
        <w:rPr>
          <w:sz w:val="24"/>
          <w:szCs w:val="24"/>
        </w:rPr>
        <w:br/>
      </w:r>
      <w:r w:rsidR="00C51602" w:rsidRPr="005D310D">
        <w:rPr>
          <w:b/>
          <w:bCs/>
          <w:i/>
          <w:iCs/>
          <w:sz w:val="24"/>
          <w:szCs w:val="24"/>
        </w:rPr>
        <w:t xml:space="preserve">                                                  </w:t>
      </w:r>
      <w:r w:rsidR="00C05C49" w:rsidRPr="005D310D">
        <w:rPr>
          <w:b/>
          <w:bCs/>
          <w:i/>
          <w:iCs/>
          <w:sz w:val="24"/>
          <w:szCs w:val="24"/>
        </w:rPr>
        <w:t>a &lt; (2 + b)b</w:t>
      </w:r>
      <w:r w:rsidR="00C05C49" w:rsidRPr="005D310D">
        <w:rPr>
          <w:sz w:val="24"/>
          <w:szCs w:val="24"/>
        </w:rPr>
        <w:t>;</w:t>
      </w:r>
      <w:r w:rsidR="004964AB" w:rsidRPr="005D310D">
        <w:rPr>
          <w:sz w:val="24"/>
          <w:szCs w:val="24"/>
        </w:rPr>
        <w:br/>
        <w:t xml:space="preserve">where </w:t>
      </w:r>
      <w:r w:rsidR="004964AB" w:rsidRPr="00C06C2C">
        <w:rPr>
          <w:rFonts w:hint="cs"/>
          <w:b/>
          <w:i/>
          <w:iCs/>
          <w:sz w:val="24"/>
          <w:szCs w:val="24"/>
        </w:rPr>
        <w:t>a</w:t>
      </w:r>
      <w:r w:rsidR="00C06C2C">
        <w:rPr>
          <w:sz w:val="24"/>
          <w:szCs w:val="24"/>
        </w:rPr>
        <w:t xml:space="preserve">  ≡  the weight on</w:t>
      </w:r>
      <w:r w:rsidR="004964AB" w:rsidRPr="005D310D">
        <w:rPr>
          <w:sz w:val="24"/>
          <w:szCs w:val="24"/>
        </w:rPr>
        <w:t xml:space="preserve"> the price stability objective</w:t>
      </w:r>
      <w:r w:rsidR="00C06C2C">
        <w:rPr>
          <w:sz w:val="24"/>
          <w:szCs w:val="24"/>
        </w:rPr>
        <w:t xml:space="preserve"> in the loss function,</w:t>
      </w:r>
      <w:r w:rsidR="004964AB" w:rsidRPr="005D310D">
        <w:rPr>
          <w:sz w:val="24"/>
          <w:szCs w:val="24"/>
        </w:rPr>
        <w:t xml:space="preserve"> </w:t>
      </w:r>
      <w:r w:rsidR="004964AB" w:rsidRPr="005D310D">
        <w:rPr>
          <w:sz w:val="24"/>
          <w:szCs w:val="24"/>
        </w:rPr>
        <w:br/>
        <w:t xml:space="preserve">and </w:t>
      </w:r>
      <w:r w:rsidR="004964AB" w:rsidRPr="00C06C2C">
        <w:rPr>
          <w:b/>
          <w:i/>
          <w:sz w:val="24"/>
          <w:szCs w:val="24"/>
        </w:rPr>
        <w:t>b</w:t>
      </w:r>
      <w:r w:rsidR="00C06C2C">
        <w:rPr>
          <w:sz w:val="24"/>
          <w:szCs w:val="24"/>
        </w:rPr>
        <w:t xml:space="preserve"> </w:t>
      </w:r>
      <w:r w:rsidR="004964AB" w:rsidRPr="005D310D">
        <w:rPr>
          <w:sz w:val="24"/>
          <w:szCs w:val="24"/>
        </w:rPr>
        <w:t>≡ elasticity of output with respect to unexpected inflation</w:t>
      </w:r>
      <w:r w:rsidR="0058581F">
        <w:rPr>
          <w:sz w:val="24"/>
          <w:szCs w:val="24"/>
        </w:rPr>
        <w:t xml:space="preserve"> (i.e., inverse slope of A</w:t>
      </w:r>
      <w:r w:rsidR="00E504B2">
        <w:rPr>
          <w:sz w:val="24"/>
          <w:szCs w:val="24"/>
        </w:rPr>
        <w:t>ggregate Supply</w:t>
      </w:r>
      <w:r w:rsidR="0058581F">
        <w:rPr>
          <w:sz w:val="24"/>
          <w:szCs w:val="24"/>
        </w:rPr>
        <w:t xml:space="preserve"> curve)</w:t>
      </w:r>
      <w:r w:rsidR="004964AB" w:rsidRPr="005D310D">
        <w:rPr>
          <w:sz w:val="24"/>
          <w:szCs w:val="24"/>
        </w:rPr>
        <w:t xml:space="preserve">. </w:t>
      </w:r>
    </w:p>
    <w:p w:rsidR="00FF4DB0" w:rsidRDefault="00C51602" w:rsidP="00FF4DB0">
      <w:pPr>
        <w:pStyle w:val="ListParagraph"/>
        <w:ind w:left="360" w:firstLine="360"/>
        <w:rPr>
          <w:sz w:val="24"/>
          <w:szCs w:val="24"/>
        </w:rPr>
      </w:pPr>
      <w:r w:rsidRPr="00FF4DB0">
        <w:rPr>
          <w:sz w:val="24"/>
          <w:szCs w:val="24"/>
        </w:rPr>
        <w:t>The difference in welfare is especially large if supply shocks are especially large.</w:t>
      </w:r>
      <w:r w:rsidR="00D755FB" w:rsidRPr="00FF4DB0">
        <w:rPr>
          <w:sz w:val="24"/>
          <w:szCs w:val="24"/>
        </w:rPr>
        <w:t xml:space="preserve">  There is good reason to think that supply shocks (like terms of trade shocks) are larger for commodity</w:t>
      </w:r>
      <w:r w:rsidR="001476CA" w:rsidRPr="00FF4DB0">
        <w:rPr>
          <w:sz w:val="24"/>
          <w:szCs w:val="24"/>
        </w:rPr>
        <w:t xml:space="preserve"> producers</w:t>
      </w:r>
      <w:r w:rsidR="00D755FB" w:rsidRPr="00FF4DB0">
        <w:rPr>
          <w:sz w:val="24"/>
          <w:szCs w:val="24"/>
        </w:rPr>
        <w:t xml:space="preserve"> and other developing countries</w:t>
      </w:r>
      <w:r w:rsidR="009743F2" w:rsidRPr="00FF4DB0">
        <w:rPr>
          <w:rFonts w:ascii="Times New Roman" w:hAnsi="Times New Roman"/>
          <w:sz w:val="24"/>
          <w:szCs w:val="24"/>
        </w:rPr>
        <w:t>,</w:t>
      </w:r>
      <w:r w:rsidR="009743F2" w:rsidRPr="00FF4DB0">
        <w:rPr>
          <w:sz w:val="24"/>
          <w:szCs w:val="24"/>
        </w:rPr>
        <w:t xml:space="preserve"> due to</w:t>
      </w:r>
      <w:r w:rsidR="00FF4DB0" w:rsidRPr="00FF4DB0">
        <w:rPr>
          <w:sz w:val="24"/>
          <w:szCs w:val="24"/>
        </w:rPr>
        <w:t xml:space="preserve"> more strikes and social instability, </w:t>
      </w:r>
      <w:r w:rsidR="009743F2" w:rsidRPr="00FF4DB0">
        <w:rPr>
          <w:sz w:val="24"/>
          <w:szCs w:val="24"/>
        </w:rPr>
        <w:t>greater vulnerability to severe weather events such as droughts and windstorms and other natural disasters such as earthquakes, and bigger productivity shocks.</w:t>
      </w:r>
      <w:r w:rsidR="002A03BE">
        <w:rPr>
          <w:rStyle w:val="FootnoteReference"/>
          <w:sz w:val="24"/>
          <w:szCs w:val="24"/>
        </w:rPr>
        <w:footnoteReference w:id="14"/>
      </w:r>
      <w:r w:rsidR="002A03BE" w:rsidRPr="00FF4DB0">
        <w:rPr>
          <w:sz w:val="24"/>
          <w:szCs w:val="24"/>
        </w:rPr>
        <w:t xml:space="preserve">  </w:t>
      </w:r>
    </w:p>
    <w:p w:rsidR="00FF4DB0" w:rsidRDefault="00FF4DB0" w:rsidP="00FF4DB0">
      <w:pPr>
        <w:pStyle w:val="ListParagraph"/>
        <w:ind w:left="360" w:firstLine="360"/>
        <w:rPr>
          <w:sz w:val="24"/>
          <w:szCs w:val="24"/>
        </w:rPr>
      </w:pPr>
      <w:r w:rsidRPr="00FF4DB0">
        <w:rPr>
          <w:sz w:val="24"/>
          <w:szCs w:val="24"/>
        </w:rPr>
        <w:t>Does the inequality condition hold?  It does if the Aggregate Supply (AS) relationship is flat, as compared to the slope of the loss function lines. To simplify even further, consider two examples.</w:t>
      </w:r>
      <w:r>
        <w:rPr>
          <w:sz w:val="24"/>
          <w:szCs w:val="24"/>
        </w:rPr>
        <w:br/>
      </w:r>
      <w:r w:rsidRPr="00FF4DB0">
        <w:rPr>
          <w:sz w:val="24"/>
          <w:szCs w:val="24"/>
        </w:rPr>
        <w:t xml:space="preserve">• </w:t>
      </w:r>
      <w:r w:rsidR="00C05C49" w:rsidRPr="00FF4DB0">
        <w:rPr>
          <w:sz w:val="24"/>
          <w:szCs w:val="24"/>
        </w:rPr>
        <w:t xml:space="preserve">Example 1:   </w:t>
      </w:r>
      <w:r w:rsidR="00E504B2" w:rsidRPr="00FF4DB0">
        <w:rPr>
          <w:sz w:val="24"/>
          <w:szCs w:val="24"/>
        </w:rPr>
        <w:t>The condition</w:t>
      </w:r>
      <w:r w:rsidR="00D755FB" w:rsidRPr="00FF4DB0">
        <w:rPr>
          <w:sz w:val="24"/>
          <w:szCs w:val="24"/>
        </w:rPr>
        <w:t xml:space="preserve"> </w:t>
      </w:r>
      <w:r w:rsidR="00C05C49" w:rsidRPr="00FF4DB0">
        <w:rPr>
          <w:sz w:val="24"/>
          <w:szCs w:val="24"/>
        </w:rPr>
        <w:t xml:space="preserve">holds if </w:t>
      </w:r>
      <w:r w:rsidR="00C05C49" w:rsidRPr="00FF4DB0">
        <w:rPr>
          <w:b/>
          <w:sz w:val="24"/>
          <w:szCs w:val="24"/>
        </w:rPr>
        <w:t>b</w:t>
      </w:r>
      <w:r w:rsidR="00C05C49" w:rsidRPr="00FF4DB0">
        <w:rPr>
          <w:sz w:val="24"/>
          <w:szCs w:val="24"/>
        </w:rPr>
        <w:t>&gt;</w:t>
      </w:r>
      <w:r w:rsidR="00C05C49" w:rsidRPr="00FF4DB0">
        <w:rPr>
          <w:rFonts w:hint="cs"/>
          <w:b/>
          <w:bCs/>
          <w:i/>
          <w:iCs/>
          <w:sz w:val="24"/>
          <w:szCs w:val="24"/>
        </w:rPr>
        <w:t>a</w:t>
      </w:r>
      <w:r w:rsidR="00E504B2" w:rsidRPr="00FF4DB0">
        <w:rPr>
          <w:sz w:val="24"/>
          <w:szCs w:val="24"/>
        </w:rPr>
        <w:t xml:space="preserve"> .</w:t>
      </w:r>
      <w:r>
        <w:rPr>
          <w:sz w:val="24"/>
          <w:szCs w:val="24"/>
        </w:rPr>
        <w:br/>
      </w:r>
      <w:r w:rsidRPr="00FF4DB0">
        <w:rPr>
          <w:sz w:val="24"/>
          <w:szCs w:val="24"/>
        </w:rPr>
        <w:t xml:space="preserve">• </w:t>
      </w:r>
      <w:r w:rsidR="00E504B2" w:rsidRPr="00FF4DB0">
        <w:rPr>
          <w:sz w:val="24"/>
          <w:szCs w:val="24"/>
        </w:rPr>
        <w:t>E</w:t>
      </w:r>
      <w:r w:rsidR="00C05C49" w:rsidRPr="00FF4DB0">
        <w:rPr>
          <w:sz w:val="24"/>
          <w:szCs w:val="24"/>
        </w:rPr>
        <w:t xml:space="preserve">xample 2:   </w:t>
      </w:r>
      <w:r w:rsidR="00D755FB" w:rsidRPr="00FF4DB0">
        <w:rPr>
          <w:sz w:val="24"/>
          <w:szCs w:val="24"/>
        </w:rPr>
        <w:t xml:space="preserve">It also </w:t>
      </w:r>
      <w:r w:rsidR="00C05C49" w:rsidRPr="00FF4DB0">
        <w:rPr>
          <w:sz w:val="24"/>
          <w:szCs w:val="24"/>
        </w:rPr>
        <w:t xml:space="preserve">holds if </w:t>
      </w:r>
      <w:r w:rsidR="00C05C49" w:rsidRPr="00FF4DB0">
        <w:rPr>
          <w:rFonts w:hint="cs"/>
          <w:b/>
          <w:bCs/>
          <w:i/>
          <w:iCs/>
          <w:sz w:val="24"/>
          <w:szCs w:val="24"/>
        </w:rPr>
        <w:t>a</w:t>
      </w:r>
      <w:r w:rsidR="00C05C49" w:rsidRPr="00FF4DB0">
        <w:rPr>
          <w:sz w:val="24"/>
          <w:szCs w:val="24"/>
        </w:rPr>
        <w:t xml:space="preserve"> = 1 (as in </w:t>
      </w:r>
      <w:r w:rsidR="00D755FB" w:rsidRPr="00FF4DB0">
        <w:rPr>
          <w:sz w:val="24"/>
          <w:szCs w:val="24"/>
        </w:rPr>
        <w:t xml:space="preserve">the original </w:t>
      </w:r>
      <w:r w:rsidR="00E504B2" w:rsidRPr="00FF4DB0">
        <w:rPr>
          <w:sz w:val="24"/>
          <w:szCs w:val="24"/>
        </w:rPr>
        <w:t>Taylor rule)</w:t>
      </w:r>
      <w:r w:rsidR="00C05C49" w:rsidRPr="00FF4DB0">
        <w:rPr>
          <w:sz w:val="24"/>
          <w:szCs w:val="24"/>
        </w:rPr>
        <w:t xml:space="preserve"> and </w:t>
      </w:r>
      <w:r w:rsidR="00E504B2" w:rsidRPr="00FF4DB0">
        <w:rPr>
          <w:sz w:val="24"/>
          <w:szCs w:val="24"/>
        </w:rPr>
        <w:t xml:space="preserve">the </w:t>
      </w:r>
      <w:r w:rsidR="00C05C49" w:rsidRPr="00FF4DB0">
        <w:rPr>
          <w:sz w:val="24"/>
          <w:szCs w:val="24"/>
        </w:rPr>
        <w:t>A</w:t>
      </w:r>
      <w:r w:rsidRPr="00FF4DB0">
        <w:rPr>
          <w:sz w:val="24"/>
          <w:szCs w:val="24"/>
        </w:rPr>
        <w:t xml:space="preserve">S slope </w:t>
      </w:r>
      <w:r w:rsidR="00C05C49" w:rsidRPr="00FF4DB0">
        <w:rPr>
          <w:sz w:val="24"/>
          <w:szCs w:val="24"/>
        </w:rPr>
        <w:t>1/</w:t>
      </w:r>
      <w:r w:rsidR="00C05C49" w:rsidRPr="00FF4DB0">
        <w:rPr>
          <w:b/>
          <w:bCs/>
          <w:i/>
          <w:iCs/>
          <w:sz w:val="24"/>
          <w:szCs w:val="24"/>
        </w:rPr>
        <w:t>b</w:t>
      </w:r>
      <w:r w:rsidR="00C05C49" w:rsidRPr="00FF4DB0">
        <w:rPr>
          <w:b/>
          <w:bCs/>
          <w:sz w:val="24"/>
          <w:szCs w:val="24"/>
        </w:rPr>
        <w:t xml:space="preserve"> </w:t>
      </w:r>
      <w:r w:rsidR="00C05C49" w:rsidRPr="00FF4DB0">
        <w:rPr>
          <w:sz w:val="24"/>
          <w:szCs w:val="24"/>
        </w:rPr>
        <w:t>&lt; (1+</w:t>
      </w:r>
      <m:oMath>
        <m:rad>
          <m:radPr>
            <m:degHide m:val="1"/>
            <m:ctrlPr>
              <w:rPr>
                <w:rFonts w:ascii="Cambria Math" w:hAnsi="Cambria Math"/>
                <w:i/>
                <w:iCs/>
                <w:sz w:val="24"/>
                <w:szCs w:val="24"/>
              </w:rPr>
            </m:ctrlPr>
          </m:radPr>
          <m:deg/>
          <m:e>
            <m:r>
              <w:rPr>
                <w:rFonts w:ascii="Cambria Math" w:hAnsi="Cambria Math"/>
                <w:sz w:val="24"/>
                <w:szCs w:val="24"/>
              </w:rPr>
              <m:t>2</m:t>
            </m:r>
          </m:e>
        </m:rad>
      </m:oMath>
      <w:r w:rsidR="00C05C49" w:rsidRPr="00FF4DB0">
        <w:rPr>
          <w:sz w:val="24"/>
          <w:szCs w:val="24"/>
        </w:rPr>
        <w:t xml:space="preserve"> ) = 2.414. </w:t>
      </w:r>
      <w:r w:rsidR="00E504B2" w:rsidRPr="00FF4DB0">
        <w:rPr>
          <w:sz w:val="24"/>
          <w:szCs w:val="24"/>
        </w:rPr>
        <w:t xml:space="preserve">   </w:t>
      </w:r>
      <w:r>
        <w:rPr>
          <w:sz w:val="24"/>
          <w:szCs w:val="24"/>
        </w:rPr>
        <w:br/>
      </w:r>
    </w:p>
    <w:p w:rsidR="00BD77BA" w:rsidRPr="00FF4DB0" w:rsidRDefault="00C51602" w:rsidP="00FF4DB0">
      <w:pPr>
        <w:pStyle w:val="ListParagraph"/>
        <w:ind w:left="360" w:firstLine="360"/>
        <w:rPr>
          <w:sz w:val="24"/>
          <w:szCs w:val="24"/>
        </w:rPr>
      </w:pPr>
      <w:r w:rsidRPr="00FF4DB0">
        <w:rPr>
          <w:sz w:val="24"/>
          <w:szCs w:val="24"/>
        </w:rPr>
        <w:lastRenderedPageBreak/>
        <w:t xml:space="preserve">So </w:t>
      </w:r>
      <w:r w:rsidR="00C06C2C" w:rsidRPr="00FF4DB0">
        <w:rPr>
          <w:sz w:val="24"/>
          <w:szCs w:val="24"/>
        </w:rPr>
        <w:t>NGDP targeting</w:t>
      </w:r>
      <w:r w:rsidRPr="00FF4DB0">
        <w:rPr>
          <w:sz w:val="24"/>
          <w:szCs w:val="24"/>
        </w:rPr>
        <w:t xml:space="preserve"> dominates </w:t>
      </w:r>
      <w:r w:rsidR="00C06C2C" w:rsidRPr="00FF4DB0">
        <w:rPr>
          <w:sz w:val="24"/>
          <w:szCs w:val="24"/>
        </w:rPr>
        <w:t>unless</w:t>
      </w:r>
      <w:r w:rsidR="00FF4DB0" w:rsidRPr="00FF4DB0">
        <w:rPr>
          <w:sz w:val="24"/>
          <w:szCs w:val="24"/>
        </w:rPr>
        <w:t xml:space="preserve"> Aggregate Supply</w:t>
      </w:r>
      <w:r w:rsidRPr="00FF4DB0">
        <w:rPr>
          <w:sz w:val="24"/>
          <w:szCs w:val="24"/>
        </w:rPr>
        <w:t xml:space="preserve"> is very steep (relative to the weight on price stability).I have estimated the </w:t>
      </w:r>
      <w:r w:rsidR="00E504B2" w:rsidRPr="00FF4DB0">
        <w:rPr>
          <w:sz w:val="24"/>
          <w:szCs w:val="24"/>
        </w:rPr>
        <w:t>AS</w:t>
      </w:r>
      <w:r w:rsidR="0058581F" w:rsidRPr="00FF4DB0">
        <w:rPr>
          <w:sz w:val="24"/>
          <w:szCs w:val="24"/>
        </w:rPr>
        <w:t xml:space="preserve"> </w:t>
      </w:r>
      <w:r w:rsidRPr="00FF4DB0">
        <w:rPr>
          <w:sz w:val="24"/>
          <w:szCs w:val="24"/>
        </w:rPr>
        <w:t xml:space="preserve">slope for a few </w:t>
      </w:r>
      <w:r w:rsidR="00A36C17" w:rsidRPr="00FF4DB0">
        <w:rPr>
          <w:sz w:val="24"/>
          <w:szCs w:val="24"/>
        </w:rPr>
        <w:t xml:space="preserve">middle-size middle-income </w:t>
      </w:r>
      <w:r w:rsidRPr="00FF4DB0">
        <w:rPr>
          <w:sz w:val="24"/>
          <w:szCs w:val="24"/>
        </w:rPr>
        <w:t>countries where I could think of plausible instruments for A</w:t>
      </w:r>
      <w:r w:rsidR="00E504B2" w:rsidRPr="00FF4DB0">
        <w:rPr>
          <w:sz w:val="24"/>
          <w:szCs w:val="24"/>
        </w:rPr>
        <w:t>ggregate Supply</w:t>
      </w:r>
      <w:r w:rsidRPr="00FF4DB0">
        <w:rPr>
          <w:sz w:val="24"/>
          <w:szCs w:val="24"/>
        </w:rPr>
        <w:t xml:space="preserve"> shocks and A</w:t>
      </w:r>
      <w:r w:rsidR="00E504B2" w:rsidRPr="00FF4DB0">
        <w:rPr>
          <w:sz w:val="24"/>
          <w:szCs w:val="24"/>
        </w:rPr>
        <w:t>ggregate Demand</w:t>
      </w:r>
      <w:r w:rsidRPr="00FF4DB0">
        <w:rPr>
          <w:sz w:val="24"/>
          <w:szCs w:val="24"/>
        </w:rPr>
        <w:t xml:space="preserve"> shocks.  </w:t>
      </w:r>
      <w:r w:rsidR="00BF5DB1" w:rsidRPr="00FF4DB0">
        <w:rPr>
          <w:sz w:val="24"/>
          <w:szCs w:val="24"/>
        </w:rPr>
        <w:t>A good one is</w:t>
      </w:r>
      <w:r w:rsidRPr="00FF4DB0">
        <w:rPr>
          <w:sz w:val="24"/>
          <w:szCs w:val="24"/>
        </w:rPr>
        <w:t xml:space="preserve"> Kazakhstan</w:t>
      </w:r>
      <w:r w:rsidR="00D755FB" w:rsidRPr="00FF4DB0">
        <w:rPr>
          <w:sz w:val="24"/>
          <w:szCs w:val="24"/>
        </w:rPr>
        <w:t>, over the period 1993-2012.</w:t>
      </w:r>
      <w:r w:rsidR="008A0E0D" w:rsidRPr="00FF4DB0">
        <w:rPr>
          <w:sz w:val="24"/>
          <w:szCs w:val="24"/>
        </w:rPr>
        <w:t xml:space="preserve">  </w:t>
      </w:r>
      <w:r w:rsidR="00BF5DB1" w:rsidRPr="00FF4DB0">
        <w:rPr>
          <w:sz w:val="24"/>
          <w:szCs w:val="24"/>
        </w:rPr>
        <w:t>(The e</w:t>
      </w:r>
      <w:r w:rsidR="008A0E0D" w:rsidRPr="00FF4DB0">
        <w:rPr>
          <w:sz w:val="24"/>
          <w:szCs w:val="24"/>
        </w:rPr>
        <w:t>xogenous supply sho</w:t>
      </w:r>
      <w:r w:rsidR="00BF5DB1" w:rsidRPr="00FF4DB0">
        <w:rPr>
          <w:sz w:val="24"/>
          <w:szCs w:val="24"/>
        </w:rPr>
        <w:t xml:space="preserve">cks are oil price fluctuations.  </w:t>
      </w:r>
      <w:r w:rsidR="008A0E0D" w:rsidRPr="00FF4DB0">
        <w:rPr>
          <w:sz w:val="24"/>
          <w:szCs w:val="24"/>
        </w:rPr>
        <w:t xml:space="preserve">Exogenous demand shocks are </w:t>
      </w:r>
      <w:r w:rsidR="00A36C17" w:rsidRPr="00FF4DB0">
        <w:rPr>
          <w:sz w:val="24"/>
          <w:szCs w:val="24"/>
        </w:rPr>
        <w:t xml:space="preserve">changes in </w:t>
      </w:r>
      <w:r w:rsidR="008A0E0D" w:rsidRPr="00FF4DB0">
        <w:rPr>
          <w:sz w:val="24"/>
          <w:szCs w:val="24"/>
        </w:rPr>
        <w:t>income of major trading partners and military spending</w:t>
      </w:r>
      <w:r w:rsidR="00D755FB" w:rsidRPr="00FF4DB0">
        <w:rPr>
          <w:sz w:val="24"/>
          <w:szCs w:val="24"/>
        </w:rPr>
        <w:t>.</w:t>
      </w:r>
      <w:r w:rsidR="00BF5DB1" w:rsidRPr="00FF4DB0">
        <w:rPr>
          <w:sz w:val="24"/>
          <w:szCs w:val="24"/>
        </w:rPr>
        <w:t xml:space="preserve">)  </w:t>
      </w:r>
      <w:r w:rsidR="00D755FB" w:rsidRPr="00FF4DB0">
        <w:rPr>
          <w:sz w:val="24"/>
          <w:szCs w:val="24"/>
        </w:rPr>
        <w:t>T</w:t>
      </w:r>
      <w:r w:rsidR="008A0E0D" w:rsidRPr="00FF4DB0">
        <w:rPr>
          <w:sz w:val="24"/>
          <w:szCs w:val="24"/>
        </w:rPr>
        <w:t>he estimated AS slope is 1.66</w:t>
      </w:r>
      <w:r w:rsidR="00BF5DB1" w:rsidRPr="00FF4DB0">
        <w:rPr>
          <w:sz w:val="24"/>
          <w:szCs w:val="24"/>
        </w:rPr>
        <w:t xml:space="preserve">;  it is </w:t>
      </w:r>
      <w:r w:rsidR="00D755FB" w:rsidRPr="00FF4DB0">
        <w:rPr>
          <w:sz w:val="24"/>
          <w:szCs w:val="24"/>
        </w:rPr>
        <w:t>statistically</w:t>
      </w:r>
      <w:r w:rsidR="008A0E0D" w:rsidRPr="00FF4DB0">
        <w:rPr>
          <w:sz w:val="24"/>
          <w:szCs w:val="24"/>
        </w:rPr>
        <w:t xml:space="preserve">  &lt;  2.41.</w:t>
      </w:r>
      <w:r w:rsidR="00BF5DB1" w:rsidRPr="00FF4DB0">
        <w:rPr>
          <w:sz w:val="24"/>
          <w:szCs w:val="24"/>
        </w:rPr>
        <w:t xml:space="preserve">  </w:t>
      </w:r>
      <w:r w:rsidR="00D755FB" w:rsidRPr="00FF4DB0">
        <w:rPr>
          <w:sz w:val="24"/>
          <w:szCs w:val="24"/>
        </w:rPr>
        <w:t>Th</w:t>
      </w:r>
      <w:r w:rsidR="00FF4DB0">
        <w:rPr>
          <w:sz w:val="24"/>
          <w:szCs w:val="24"/>
        </w:rPr>
        <w:t xml:space="preserve">e implication is that the </w:t>
      </w:r>
      <w:r w:rsidR="00D755FB" w:rsidRPr="00FF4DB0">
        <w:rPr>
          <w:sz w:val="24"/>
          <w:szCs w:val="24"/>
        </w:rPr>
        <w:t>condition required for NGDPT to dominate IT apparently holds.</w:t>
      </w:r>
      <w:r w:rsidR="00BF5DB1" w:rsidRPr="00FF4DB0">
        <w:rPr>
          <w:sz w:val="24"/>
          <w:szCs w:val="24"/>
        </w:rPr>
        <w:t xml:space="preserve">   </w:t>
      </w:r>
      <w:r w:rsidR="00A36C17" w:rsidRPr="00FF4DB0">
        <w:rPr>
          <w:sz w:val="24"/>
          <w:szCs w:val="24"/>
        </w:rPr>
        <w:t>I conclude that m</w:t>
      </w:r>
      <w:r w:rsidR="00BD77BA" w:rsidRPr="00FF4DB0">
        <w:rPr>
          <w:sz w:val="24"/>
          <w:szCs w:val="24"/>
        </w:rPr>
        <w:t>iddle-size middle-income commodity-exporting countries should consider using nomi</w:t>
      </w:r>
      <w:r w:rsidR="001476CA" w:rsidRPr="00FF4DB0">
        <w:rPr>
          <w:sz w:val="24"/>
          <w:szCs w:val="24"/>
        </w:rPr>
        <w:t>nal GDP as their target, in place</w:t>
      </w:r>
      <w:r w:rsidR="00BD77BA" w:rsidRPr="00FF4DB0">
        <w:rPr>
          <w:sz w:val="24"/>
          <w:szCs w:val="24"/>
        </w:rPr>
        <w:t xml:space="preserve"> of the exchange rate or the CPI.</w:t>
      </w:r>
    </w:p>
    <w:p w:rsidR="00CE360D" w:rsidRDefault="00CE360D" w:rsidP="00CE360D">
      <w:pPr>
        <w:rPr>
          <w:sz w:val="24"/>
          <w:szCs w:val="24"/>
        </w:rPr>
      </w:pPr>
    </w:p>
    <w:p w:rsidR="00FF4DB0" w:rsidRDefault="00FF4DB0" w:rsidP="00CE360D">
      <w:pPr>
        <w:rPr>
          <w:b/>
          <w:sz w:val="24"/>
          <w:szCs w:val="24"/>
        </w:rPr>
      </w:pPr>
    </w:p>
    <w:p w:rsidR="00FF4DB0" w:rsidRDefault="00FF4DB0" w:rsidP="00CE360D">
      <w:pPr>
        <w:rPr>
          <w:b/>
          <w:sz w:val="24"/>
          <w:szCs w:val="24"/>
        </w:rPr>
      </w:pPr>
    </w:p>
    <w:p w:rsidR="00FF4DB0" w:rsidRDefault="00FF4DB0" w:rsidP="00CE360D">
      <w:pPr>
        <w:rPr>
          <w:b/>
          <w:sz w:val="24"/>
          <w:szCs w:val="24"/>
        </w:rPr>
      </w:pPr>
    </w:p>
    <w:p w:rsidR="00915875" w:rsidRDefault="00915875" w:rsidP="00371DFF">
      <w:pPr>
        <w:rPr>
          <w:b/>
          <w:sz w:val="24"/>
          <w:szCs w:val="24"/>
        </w:rPr>
      </w:pPr>
    </w:p>
    <w:p w:rsidR="00915875" w:rsidRDefault="00915875" w:rsidP="00371DFF">
      <w:pPr>
        <w:rPr>
          <w:b/>
          <w:sz w:val="24"/>
          <w:szCs w:val="24"/>
        </w:rPr>
      </w:pPr>
    </w:p>
    <w:p w:rsidR="00C3156A" w:rsidRPr="00C3156A" w:rsidRDefault="00371DFF" w:rsidP="00371DFF">
      <w:pPr>
        <w:rPr>
          <w:b/>
          <w:sz w:val="24"/>
          <w:szCs w:val="24"/>
        </w:rPr>
      </w:pPr>
      <w:r w:rsidRPr="00FF4DB0">
        <w:rPr>
          <w:b/>
          <w:sz w:val="24"/>
          <w:szCs w:val="24"/>
        </w:rPr>
        <w:t>References</w:t>
      </w:r>
    </w:p>
    <w:p w:rsidR="00FC5A27" w:rsidRPr="00FC5A27" w:rsidRDefault="00FC5A27" w:rsidP="00FC5A27">
      <w:pPr>
        <w:jc w:val="both"/>
        <w:rPr>
          <w:sz w:val="20"/>
          <w:szCs w:val="20"/>
        </w:rPr>
      </w:pPr>
      <w:bookmarkStart w:id="1" w:name="articles"/>
      <w:r w:rsidRPr="00FC5A27">
        <w:rPr>
          <w:sz w:val="20"/>
          <w:szCs w:val="20"/>
        </w:rPr>
        <w:t xml:space="preserve">Alesina, Alberto, Filipe Campante, and Guido Tabellini, 2008, “Why is Fiscal Policy Often Procyclical?” </w:t>
      </w:r>
      <w:r w:rsidRPr="00FC5A27">
        <w:rPr>
          <w:i/>
          <w:iCs/>
          <w:sz w:val="20"/>
          <w:szCs w:val="20"/>
        </w:rPr>
        <w:t>Journal of the European Economic Association</w:t>
      </w:r>
      <w:r w:rsidRPr="00FC5A27">
        <w:rPr>
          <w:sz w:val="20"/>
          <w:szCs w:val="20"/>
        </w:rPr>
        <w:t>, 6, no. 5, September, 1006-1036.</w:t>
      </w:r>
    </w:p>
    <w:p w:rsidR="00FC5A27" w:rsidRPr="00FC5A27" w:rsidRDefault="00FC5A27" w:rsidP="00371DFF">
      <w:pPr>
        <w:rPr>
          <w:sz w:val="20"/>
          <w:szCs w:val="20"/>
        </w:rPr>
      </w:pPr>
      <w:r w:rsidRPr="00FC5A27">
        <w:rPr>
          <w:sz w:val="20"/>
          <w:szCs w:val="20"/>
        </w:rPr>
        <w:t>Arezki, Rabah, Kirk Hamilton and Kazim Kazimov, 2011, “Resource Windfalls, Macroeconomic Stability and Growth: The Role of Political Institutions,” (International Monetary Fund: Washington DC), May.\</w:t>
      </w:r>
    </w:p>
    <w:p w:rsidR="00C3156A" w:rsidRPr="00FC5A27" w:rsidRDefault="00C3156A" w:rsidP="00371DFF">
      <w:pPr>
        <w:rPr>
          <w:sz w:val="20"/>
          <w:szCs w:val="20"/>
        </w:rPr>
      </w:pPr>
      <w:r w:rsidRPr="00FC5A27">
        <w:rPr>
          <w:sz w:val="20"/>
          <w:szCs w:val="20"/>
        </w:rPr>
        <w:t>Blattman, Christopher, Jason Hwang, and Jeffrey Williamson, 2007, "</w:t>
      </w:r>
      <w:bookmarkEnd w:id="1"/>
      <w:r w:rsidRPr="00FC5A27">
        <w:rPr>
          <w:sz w:val="20"/>
          <w:szCs w:val="20"/>
        </w:rPr>
        <w:fldChar w:fldCharType="begin"/>
      </w:r>
      <w:r w:rsidRPr="00FC5A27">
        <w:rPr>
          <w:sz w:val="20"/>
          <w:szCs w:val="20"/>
        </w:rPr>
        <w:instrText xml:space="preserve"> HYPERLINK "http://ideas.repec.org/a/eee/deveco/v82y2007i1p156-179.html" </w:instrText>
      </w:r>
      <w:r w:rsidRPr="00FC5A27">
        <w:rPr>
          <w:sz w:val="20"/>
          <w:szCs w:val="20"/>
        </w:rPr>
        <w:fldChar w:fldCharType="separate"/>
      </w:r>
      <w:r w:rsidRPr="00FC5A27">
        <w:rPr>
          <w:rStyle w:val="Hyperlink"/>
          <w:sz w:val="20"/>
          <w:szCs w:val="20"/>
        </w:rPr>
        <w:t>Winners and Losers in the Commodity Lottery: The Impact of Terms of Trade Growth and Volatility in the Periphery 1870-1939</w:t>
      </w:r>
      <w:r w:rsidRPr="00FC5A27">
        <w:rPr>
          <w:sz w:val="20"/>
          <w:szCs w:val="20"/>
        </w:rPr>
        <w:fldChar w:fldCharType="end"/>
      </w:r>
      <w:r w:rsidRPr="00FC5A27">
        <w:rPr>
          <w:sz w:val="20"/>
          <w:szCs w:val="20"/>
        </w:rPr>
        <w:t xml:space="preserve">," </w:t>
      </w:r>
      <w:hyperlink r:id="rId9" w:history="1">
        <w:r w:rsidRPr="00FC5A27">
          <w:rPr>
            <w:rStyle w:val="Hyperlink"/>
            <w:i/>
            <w:iCs/>
            <w:sz w:val="20"/>
            <w:szCs w:val="20"/>
          </w:rPr>
          <w:t>Journal of Development Economics</w:t>
        </w:r>
      </w:hyperlink>
      <w:r w:rsidRPr="00FC5A27">
        <w:rPr>
          <w:sz w:val="20"/>
          <w:szCs w:val="20"/>
        </w:rPr>
        <w:t xml:space="preserve"> (Elsevier), vol. 82, no.1, pages 156-179, January.  NBER WP 10600.</w:t>
      </w:r>
    </w:p>
    <w:p w:rsidR="00C86ED0" w:rsidRPr="00C86ED0" w:rsidRDefault="00C86ED0" w:rsidP="00371DFF">
      <w:pPr>
        <w:rPr>
          <w:rFonts w:cs="Arial"/>
          <w:b/>
          <w:color w:val="222222"/>
          <w:sz w:val="20"/>
          <w:szCs w:val="20"/>
          <w:shd w:val="clear" w:color="auto" w:fill="FFFFFF"/>
        </w:rPr>
      </w:pPr>
      <w:r w:rsidRPr="00C86ED0">
        <w:rPr>
          <w:bCs/>
          <w:sz w:val="20"/>
          <w:szCs w:val="20"/>
        </w:rPr>
        <w:t xml:space="preserve">Broda, Christian, 2004, "Terms of Trade and Exchange Rate Regimes in Developing Countries," </w:t>
      </w:r>
      <w:r w:rsidRPr="00C86ED0">
        <w:rPr>
          <w:bCs/>
          <w:i/>
          <w:iCs/>
          <w:sz w:val="20"/>
          <w:szCs w:val="20"/>
        </w:rPr>
        <w:t>Journal of International Economics</w:t>
      </w:r>
      <w:r w:rsidRPr="00C86ED0">
        <w:rPr>
          <w:bCs/>
          <w:sz w:val="20"/>
          <w:szCs w:val="20"/>
        </w:rPr>
        <w:t>, 63(1), pp. 31-58.</w:t>
      </w:r>
      <w:r w:rsidRPr="00391B3A">
        <w:rPr>
          <w:bCs/>
        </w:rPr>
        <w:t xml:space="preserve">    </w:t>
      </w:r>
    </w:p>
    <w:p w:rsidR="007563A9" w:rsidRPr="007563A9" w:rsidRDefault="007563A9" w:rsidP="00371DFF">
      <w:pPr>
        <w:rPr>
          <w:rFonts w:cs="Arial"/>
          <w:color w:val="222222"/>
          <w:sz w:val="20"/>
          <w:szCs w:val="20"/>
          <w:shd w:val="clear" w:color="auto" w:fill="FFFFFF"/>
        </w:rPr>
      </w:pPr>
      <w:r w:rsidRPr="007563A9">
        <w:rPr>
          <w:rFonts w:cs="Arial"/>
          <w:color w:val="222222"/>
          <w:sz w:val="20"/>
          <w:szCs w:val="20"/>
          <w:shd w:val="clear" w:color="auto" w:fill="FFFFFF"/>
        </w:rPr>
        <w:t>Cashin, Paul, Luis F. Céspedes, and Ratna Sahay</w:t>
      </w:r>
      <w:r>
        <w:rPr>
          <w:rFonts w:cs="Arial"/>
          <w:color w:val="222222"/>
          <w:sz w:val="20"/>
          <w:szCs w:val="20"/>
          <w:shd w:val="clear" w:color="auto" w:fill="FFFFFF"/>
        </w:rPr>
        <w:t>, 2004,</w:t>
      </w:r>
      <w:r w:rsidRPr="007563A9">
        <w:rPr>
          <w:rFonts w:cs="Arial"/>
          <w:color w:val="222222"/>
          <w:sz w:val="20"/>
          <w:szCs w:val="20"/>
          <w:shd w:val="clear" w:color="auto" w:fill="FFFFFF"/>
        </w:rPr>
        <w:t>. "Commodity Currencies and the Real Exchange Rate."</w:t>
      </w:r>
      <w:r w:rsidRPr="007563A9">
        <w:rPr>
          <w:rStyle w:val="apple-converted-space"/>
          <w:rFonts w:cs="Arial"/>
          <w:color w:val="222222"/>
          <w:sz w:val="20"/>
          <w:szCs w:val="20"/>
          <w:shd w:val="clear" w:color="auto" w:fill="FFFFFF"/>
        </w:rPr>
        <w:t> </w:t>
      </w:r>
      <w:r w:rsidR="002A5074">
        <w:rPr>
          <w:rFonts w:cs="Arial"/>
          <w:i/>
          <w:iCs/>
          <w:color w:val="222222"/>
          <w:sz w:val="20"/>
          <w:szCs w:val="20"/>
          <w:shd w:val="clear" w:color="auto" w:fill="FFFFFF"/>
        </w:rPr>
        <w:t xml:space="preserve">Journal </w:t>
      </w:r>
      <w:r w:rsidRPr="007563A9">
        <w:rPr>
          <w:rFonts w:cs="Arial"/>
          <w:i/>
          <w:iCs/>
          <w:color w:val="222222"/>
          <w:sz w:val="20"/>
          <w:szCs w:val="20"/>
          <w:shd w:val="clear" w:color="auto" w:fill="FFFFFF"/>
        </w:rPr>
        <w:t>of Development Economics</w:t>
      </w:r>
      <w:r w:rsidRPr="007563A9">
        <w:rPr>
          <w:rStyle w:val="apple-converted-space"/>
          <w:rFonts w:cs="Arial"/>
          <w:color w:val="222222"/>
          <w:sz w:val="20"/>
          <w:szCs w:val="20"/>
          <w:shd w:val="clear" w:color="auto" w:fill="FFFFFF"/>
        </w:rPr>
        <w:t> </w:t>
      </w:r>
      <w:r>
        <w:rPr>
          <w:rFonts w:cs="Arial"/>
          <w:color w:val="222222"/>
          <w:sz w:val="20"/>
          <w:szCs w:val="20"/>
          <w:shd w:val="clear" w:color="auto" w:fill="FFFFFF"/>
        </w:rPr>
        <w:t>75,  no.1</w:t>
      </w:r>
      <w:r w:rsidRPr="007563A9">
        <w:rPr>
          <w:rFonts w:cs="Arial"/>
          <w:color w:val="222222"/>
          <w:sz w:val="20"/>
          <w:szCs w:val="20"/>
          <w:shd w:val="clear" w:color="auto" w:fill="FFFFFF"/>
        </w:rPr>
        <w:t xml:space="preserve">: 239-268.     </w:t>
      </w:r>
    </w:p>
    <w:p w:rsidR="00411961" w:rsidRPr="00411961" w:rsidRDefault="00411961" w:rsidP="00411961">
      <w:pPr>
        <w:rPr>
          <w:rFonts w:cs="Times New Roman"/>
          <w:sz w:val="20"/>
          <w:szCs w:val="20"/>
        </w:rPr>
      </w:pPr>
      <w:r w:rsidRPr="00411961">
        <w:rPr>
          <w:rFonts w:cs="Arial"/>
          <w:color w:val="222222"/>
          <w:sz w:val="20"/>
          <w:szCs w:val="20"/>
          <w:shd w:val="clear" w:color="auto" w:fill="FFFFFF"/>
        </w:rPr>
        <w:t>Céspedes, Luis Felipe, and Andrés Velasco, 2012,"Macroeconomic Performance During Commodity Price Booms and Busts."</w:t>
      </w:r>
      <w:r w:rsidRPr="00411961">
        <w:rPr>
          <w:rStyle w:val="apple-converted-space"/>
          <w:rFonts w:cs="Arial"/>
          <w:color w:val="222222"/>
          <w:sz w:val="20"/>
          <w:szCs w:val="20"/>
          <w:shd w:val="clear" w:color="auto" w:fill="FFFFFF"/>
        </w:rPr>
        <w:t> </w:t>
      </w:r>
      <w:r w:rsidRPr="00411961">
        <w:rPr>
          <w:rFonts w:cs="Arial"/>
          <w:i/>
          <w:iCs/>
          <w:color w:val="222222"/>
          <w:sz w:val="20"/>
          <w:szCs w:val="20"/>
          <w:shd w:val="clear" w:color="auto" w:fill="FFFFFF"/>
        </w:rPr>
        <w:t>IMF Economic Review</w:t>
      </w:r>
      <w:r w:rsidRPr="00411961">
        <w:rPr>
          <w:rStyle w:val="apple-converted-space"/>
          <w:rFonts w:cs="Arial"/>
          <w:color w:val="222222"/>
          <w:sz w:val="20"/>
          <w:szCs w:val="20"/>
          <w:shd w:val="clear" w:color="auto" w:fill="FFFFFF"/>
        </w:rPr>
        <w:t> </w:t>
      </w:r>
      <w:r w:rsidRPr="00411961">
        <w:rPr>
          <w:rFonts w:cs="Arial"/>
          <w:color w:val="222222"/>
          <w:sz w:val="20"/>
          <w:szCs w:val="20"/>
          <w:shd w:val="clear" w:color="auto" w:fill="FFFFFF"/>
        </w:rPr>
        <w:t>60, no.4: 570-599.</w:t>
      </w:r>
    </w:p>
    <w:p w:rsidR="00335C6F" w:rsidRDefault="00335C6F" w:rsidP="00371DFF">
      <w:pPr>
        <w:rPr>
          <w:rFonts w:cs="Times New Roman"/>
          <w:color w:val="333333"/>
          <w:sz w:val="20"/>
          <w:szCs w:val="20"/>
        </w:rPr>
      </w:pPr>
      <w:r w:rsidRPr="005C54A9">
        <w:rPr>
          <w:rFonts w:cs="Times New Roman"/>
          <w:color w:val="333333"/>
          <w:sz w:val="20"/>
          <w:szCs w:val="20"/>
        </w:rPr>
        <w:t>Céspedes, Luis Felipe, and Andrés Velasco, 2014, "</w:t>
      </w:r>
      <w:hyperlink r:id="rId10" w:history="1">
        <w:r w:rsidRPr="005C54A9">
          <w:rPr>
            <w:rStyle w:val="Hyperlink"/>
            <w:rFonts w:cs="Times New Roman"/>
            <w:bCs/>
            <w:color w:val="2D4E8B"/>
            <w:sz w:val="20"/>
            <w:szCs w:val="20"/>
          </w:rPr>
          <w:t>Was this Time Different? Fiscal Policy in Commodity Republics</w:t>
        </w:r>
      </w:hyperlink>
      <w:r w:rsidRPr="005C54A9">
        <w:rPr>
          <w:rFonts w:cs="Times New Roman"/>
          <w:color w:val="333333"/>
          <w:sz w:val="20"/>
          <w:szCs w:val="20"/>
        </w:rPr>
        <w:t>,"</w:t>
      </w:r>
      <w:r w:rsidRPr="005C54A9">
        <w:rPr>
          <w:rStyle w:val="apple-converted-space"/>
          <w:rFonts w:cs="Times New Roman"/>
          <w:color w:val="333333"/>
          <w:sz w:val="20"/>
          <w:szCs w:val="20"/>
        </w:rPr>
        <w:t> </w:t>
      </w:r>
      <w:hyperlink r:id="rId11" w:history="1">
        <w:r w:rsidRPr="005C54A9">
          <w:rPr>
            <w:rStyle w:val="Hyperlink"/>
            <w:rFonts w:cs="Times New Roman"/>
            <w:i/>
            <w:color w:val="2D4E8B"/>
            <w:sz w:val="20"/>
            <w:szCs w:val="20"/>
          </w:rPr>
          <w:t>Journal of Development Economics</w:t>
        </w:r>
      </w:hyperlink>
      <w:r w:rsidRPr="005C54A9">
        <w:rPr>
          <w:rFonts w:cs="Times New Roman"/>
          <w:color w:val="333333"/>
          <w:sz w:val="20"/>
          <w:szCs w:val="20"/>
        </w:rPr>
        <w:t xml:space="preserve"> (Elsevier), vol. 106 (C), pp. 92-106.    </w:t>
      </w:r>
    </w:p>
    <w:p w:rsidR="008464B1" w:rsidRDefault="008464B1" w:rsidP="008464B1">
      <w:pPr>
        <w:rPr>
          <w:rFonts w:cs="Arial"/>
          <w:color w:val="222222"/>
          <w:sz w:val="20"/>
          <w:szCs w:val="20"/>
          <w:shd w:val="clear" w:color="auto" w:fill="FFFFFF"/>
        </w:rPr>
      </w:pPr>
      <w:r w:rsidRPr="007563A9">
        <w:rPr>
          <w:rFonts w:cs="Arial"/>
          <w:color w:val="222222"/>
          <w:sz w:val="20"/>
          <w:szCs w:val="20"/>
          <w:shd w:val="clear" w:color="auto" w:fill="FFFFFF"/>
        </w:rPr>
        <w:lastRenderedPageBreak/>
        <w:t xml:space="preserve">Chen, Yu-chin, </w:t>
      </w:r>
      <w:r>
        <w:rPr>
          <w:rFonts w:cs="Arial"/>
          <w:color w:val="222222"/>
          <w:sz w:val="20"/>
          <w:szCs w:val="20"/>
          <w:shd w:val="clear" w:color="auto" w:fill="FFFFFF"/>
        </w:rPr>
        <w:t>and Kenneth Rogoff, 2003,</w:t>
      </w:r>
      <w:r w:rsidRPr="007563A9">
        <w:rPr>
          <w:rFonts w:cs="Arial"/>
          <w:color w:val="222222"/>
          <w:sz w:val="20"/>
          <w:szCs w:val="20"/>
          <w:shd w:val="clear" w:color="auto" w:fill="FFFFFF"/>
        </w:rPr>
        <w:t xml:space="preserve"> "Commodity Currencies</w:t>
      </w:r>
      <w:r w:rsidR="00C3156A">
        <w:rPr>
          <w:rFonts w:cs="Arial"/>
          <w:color w:val="222222"/>
          <w:sz w:val="20"/>
          <w:szCs w:val="20"/>
          <w:shd w:val="clear" w:color="auto" w:fill="FFFFFF"/>
        </w:rPr>
        <w:t>,</w:t>
      </w:r>
      <w:r w:rsidRPr="007563A9">
        <w:rPr>
          <w:rFonts w:cs="Arial"/>
          <w:color w:val="222222"/>
          <w:sz w:val="20"/>
          <w:szCs w:val="20"/>
          <w:shd w:val="clear" w:color="auto" w:fill="FFFFFF"/>
        </w:rPr>
        <w:t>"</w:t>
      </w:r>
      <w:r w:rsidRPr="007563A9">
        <w:rPr>
          <w:rStyle w:val="apple-converted-space"/>
          <w:rFonts w:cs="Arial"/>
          <w:color w:val="222222"/>
          <w:sz w:val="20"/>
          <w:szCs w:val="20"/>
          <w:shd w:val="clear" w:color="auto" w:fill="FFFFFF"/>
        </w:rPr>
        <w:t> </w:t>
      </w:r>
      <w:r w:rsidRPr="007563A9">
        <w:rPr>
          <w:rFonts w:cs="Arial"/>
          <w:i/>
          <w:iCs/>
          <w:color w:val="222222"/>
          <w:sz w:val="20"/>
          <w:szCs w:val="20"/>
          <w:shd w:val="clear" w:color="auto" w:fill="FFFFFF"/>
        </w:rPr>
        <w:t>Journal of International Economics</w:t>
      </w:r>
      <w:r w:rsidRPr="007563A9">
        <w:rPr>
          <w:rStyle w:val="apple-converted-space"/>
          <w:rFonts w:cs="Arial"/>
          <w:color w:val="222222"/>
          <w:sz w:val="20"/>
          <w:szCs w:val="20"/>
          <w:shd w:val="clear" w:color="auto" w:fill="FFFFFF"/>
        </w:rPr>
        <w:t> </w:t>
      </w:r>
      <w:r>
        <w:rPr>
          <w:rFonts w:cs="Arial"/>
          <w:color w:val="222222"/>
          <w:sz w:val="20"/>
          <w:szCs w:val="20"/>
          <w:shd w:val="clear" w:color="auto" w:fill="FFFFFF"/>
        </w:rPr>
        <w:t>60</w:t>
      </w:r>
      <w:r w:rsidR="00FF4DB0">
        <w:rPr>
          <w:rFonts w:cs="Arial"/>
          <w:color w:val="222222"/>
          <w:sz w:val="20"/>
          <w:szCs w:val="20"/>
          <w:shd w:val="clear" w:color="auto" w:fill="FFFFFF"/>
        </w:rPr>
        <w:t>, no</w:t>
      </w:r>
      <w:r>
        <w:rPr>
          <w:rFonts w:cs="Arial"/>
          <w:color w:val="222222"/>
          <w:sz w:val="20"/>
          <w:szCs w:val="20"/>
          <w:shd w:val="clear" w:color="auto" w:fill="FFFFFF"/>
        </w:rPr>
        <w:t>.1</w:t>
      </w:r>
      <w:r w:rsidRPr="007563A9">
        <w:rPr>
          <w:rFonts w:cs="Arial"/>
          <w:color w:val="222222"/>
          <w:sz w:val="20"/>
          <w:szCs w:val="20"/>
          <w:shd w:val="clear" w:color="auto" w:fill="FFFFFF"/>
        </w:rPr>
        <w:t>: 133-160.</w:t>
      </w:r>
    </w:p>
    <w:p w:rsidR="00F00042" w:rsidRPr="00F00042" w:rsidRDefault="00F00042" w:rsidP="008464B1">
      <w:pPr>
        <w:rPr>
          <w:sz w:val="20"/>
          <w:szCs w:val="20"/>
        </w:rPr>
      </w:pPr>
      <w:r w:rsidRPr="00F00042">
        <w:rPr>
          <w:sz w:val="20"/>
          <w:szCs w:val="20"/>
        </w:rPr>
        <w:t xml:space="preserve">Cuddington, John, 1989, “Commodity Export Booms in Developing Countries,” </w:t>
      </w:r>
      <w:r w:rsidRPr="00F00042">
        <w:rPr>
          <w:i/>
          <w:iCs/>
          <w:sz w:val="20"/>
          <w:szCs w:val="20"/>
        </w:rPr>
        <w:t>World Bank Research Observer</w:t>
      </w:r>
      <w:r w:rsidRPr="00F00042">
        <w:rPr>
          <w:sz w:val="20"/>
          <w:szCs w:val="20"/>
        </w:rPr>
        <w:t xml:space="preserve"> 4, 143-165.</w:t>
      </w:r>
    </w:p>
    <w:p w:rsidR="007563A9" w:rsidRDefault="007563A9" w:rsidP="007563A9">
      <w:pPr>
        <w:rPr>
          <w:rFonts w:cs="Times New Roman"/>
          <w:sz w:val="20"/>
          <w:szCs w:val="20"/>
        </w:rPr>
      </w:pPr>
      <w:r w:rsidRPr="005B3F30">
        <w:rPr>
          <w:rFonts w:cs="Times New Roman"/>
          <w:sz w:val="20"/>
          <w:szCs w:val="20"/>
        </w:rPr>
        <w:t>Duclaud, Javier, and Gerardo García, 2011, “Mexico´s Oil Price Hedging Program” (International Monetary Fund).</w:t>
      </w:r>
    </w:p>
    <w:p w:rsidR="00A5654E" w:rsidRDefault="00C86ED0" w:rsidP="007563A9">
      <w:pPr>
        <w:rPr>
          <w:bCs/>
          <w:spacing w:val="-3"/>
        </w:rPr>
      </w:pPr>
      <w:r w:rsidRPr="00411961">
        <w:rPr>
          <w:bCs/>
          <w:spacing w:val="-3"/>
          <w:sz w:val="20"/>
          <w:szCs w:val="20"/>
        </w:rPr>
        <w:t>Edwards, Sebastian, and Eduardo Levy Yeyati, 2005,  “</w:t>
      </w:r>
      <w:hyperlink r:id="rId12" w:history="1">
        <w:r w:rsidRPr="00411961">
          <w:rPr>
            <w:rStyle w:val="Hyperlink"/>
            <w:bCs/>
            <w:spacing w:val="-3"/>
            <w:sz w:val="20"/>
            <w:szCs w:val="20"/>
          </w:rPr>
          <w:t>Flexible Exchange Rates as Shock Absorbers</w:t>
        </w:r>
      </w:hyperlink>
      <w:r w:rsidRPr="00411961">
        <w:rPr>
          <w:bCs/>
          <w:spacing w:val="-3"/>
          <w:sz w:val="20"/>
          <w:szCs w:val="20"/>
        </w:rPr>
        <w:t xml:space="preserve">,”   </w:t>
      </w:r>
      <w:r w:rsidRPr="00411961">
        <w:rPr>
          <w:bCs/>
          <w:i/>
          <w:spacing w:val="-3"/>
          <w:sz w:val="20"/>
          <w:szCs w:val="20"/>
        </w:rPr>
        <w:t>European Economic Review</w:t>
      </w:r>
      <w:r w:rsidRPr="00411961">
        <w:rPr>
          <w:bCs/>
          <w:spacing w:val="-3"/>
          <w:sz w:val="20"/>
          <w:szCs w:val="20"/>
        </w:rPr>
        <w:t>, Vol. 49, Issue 8, November, pp. 2079-05</w:t>
      </w:r>
      <w:smartTag w:uri="urn:schemas-microsoft-com:office:smarttags" w:element="PersonName">
        <w:r w:rsidRPr="00391B3A">
          <w:rPr>
            <w:bCs/>
            <w:spacing w:val="-3"/>
          </w:rPr>
          <w:t>.</w:t>
        </w:r>
      </w:smartTag>
      <w:r w:rsidRPr="00391B3A">
        <w:rPr>
          <w:bCs/>
          <w:spacing w:val="-3"/>
        </w:rPr>
        <w:t xml:space="preserve">      </w:t>
      </w:r>
    </w:p>
    <w:p w:rsidR="00411961" w:rsidRPr="00A5654E" w:rsidRDefault="00A5654E" w:rsidP="007563A9">
      <w:pPr>
        <w:rPr>
          <w:bCs/>
          <w:spacing w:val="-3"/>
        </w:rPr>
      </w:pPr>
      <w:r w:rsidRPr="00A5654E">
        <w:rPr>
          <w:rFonts w:cs="Arial"/>
          <w:color w:val="222222"/>
          <w:sz w:val="20"/>
          <w:szCs w:val="20"/>
          <w:shd w:val="clear" w:color="auto" w:fill="FFFFFF"/>
        </w:rPr>
        <w:t>Erbil, Nese.</w:t>
      </w:r>
      <w:r w:rsidRPr="00A5654E">
        <w:rPr>
          <w:rStyle w:val="apple-converted-space"/>
          <w:rFonts w:cs="Arial"/>
          <w:color w:val="222222"/>
          <w:sz w:val="20"/>
          <w:szCs w:val="20"/>
          <w:shd w:val="clear" w:color="auto" w:fill="FFFFFF"/>
        </w:rPr>
        <w:t> </w:t>
      </w:r>
      <w:r>
        <w:rPr>
          <w:rStyle w:val="apple-converted-space"/>
          <w:rFonts w:cs="Arial"/>
          <w:color w:val="222222"/>
          <w:sz w:val="20"/>
          <w:szCs w:val="20"/>
          <w:shd w:val="clear" w:color="auto" w:fill="FFFFFF"/>
        </w:rPr>
        <w:t>2011, “</w:t>
      </w:r>
      <w:r>
        <w:rPr>
          <w:rFonts w:cs="Arial"/>
          <w:i/>
          <w:iCs/>
          <w:color w:val="222222"/>
          <w:sz w:val="20"/>
          <w:szCs w:val="20"/>
          <w:shd w:val="clear" w:color="auto" w:fill="FFFFFF"/>
        </w:rPr>
        <w:t>Is F</w:t>
      </w:r>
      <w:r w:rsidRPr="00A5654E">
        <w:rPr>
          <w:rFonts w:cs="Arial"/>
          <w:i/>
          <w:iCs/>
          <w:color w:val="222222"/>
          <w:sz w:val="20"/>
          <w:szCs w:val="20"/>
          <w:shd w:val="clear" w:color="auto" w:fill="FFFFFF"/>
        </w:rPr>
        <w:t xml:space="preserve">iscal </w:t>
      </w:r>
      <w:r>
        <w:rPr>
          <w:rFonts w:cs="Arial"/>
          <w:i/>
          <w:iCs/>
          <w:color w:val="222222"/>
          <w:sz w:val="20"/>
          <w:szCs w:val="20"/>
          <w:shd w:val="clear" w:color="auto" w:fill="FFFFFF"/>
        </w:rPr>
        <w:t>P</w:t>
      </w:r>
      <w:r w:rsidRPr="00A5654E">
        <w:rPr>
          <w:rFonts w:cs="Arial"/>
          <w:i/>
          <w:iCs/>
          <w:color w:val="222222"/>
          <w:sz w:val="20"/>
          <w:szCs w:val="20"/>
          <w:shd w:val="clear" w:color="auto" w:fill="FFFFFF"/>
        </w:rPr>
        <w:t xml:space="preserve">olicy </w:t>
      </w:r>
      <w:r>
        <w:rPr>
          <w:rFonts w:cs="Arial"/>
          <w:i/>
          <w:iCs/>
          <w:color w:val="222222"/>
          <w:sz w:val="20"/>
          <w:szCs w:val="20"/>
          <w:shd w:val="clear" w:color="auto" w:fill="FFFFFF"/>
        </w:rPr>
        <w:t>P</w:t>
      </w:r>
      <w:r w:rsidRPr="00A5654E">
        <w:rPr>
          <w:rFonts w:cs="Arial"/>
          <w:i/>
          <w:iCs/>
          <w:color w:val="222222"/>
          <w:sz w:val="20"/>
          <w:szCs w:val="20"/>
          <w:shd w:val="clear" w:color="auto" w:fill="FFFFFF"/>
        </w:rPr>
        <w:t xml:space="preserve">rocyclical in </w:t>
      </w:r>
      <w:r>
        <w:rPr>
          <w:rFonts w:cs="Arial"/>
          <w:i/>
          <w:iCs/>
          <w:color w:val="222222"/>
          <w:sz w:val="20"/>
          <w:szCs w:val="20"/>
          <w:shd w:val="clear" w:color="auto" w:fill="FFFFFF"/>
        </w:rPr>
        <w:t>D</w:t>
      </w:r>
      <w:r w:rsidRPr="00A5654E">
        <w:rPr>
          <w:rFonts w:cs="Arial"/>
          <w:i/>
          <w:iCs/>
          <w:color w:val="222222"/>
          <w:sz w:val="20"/>
          <w:szCs w:val="20"/>
          <w:shd w:val="clear" w:color="auto" w:fill="FFFFFF"/>
        </w:rPr>
        <w:t xml:space="preserve">eveloping </w:t>
      </w:r>
      <w:r>
        <w:rPr>
          <w:rFonts w:cs="Arial"/>
          <w:i/>
          <w:iCs/>
          <w:color w:val="222222"/>
          <w:sz w:val="20"/>
          <w:szCs w:val="20"/>
          <w:shd w:val="clear" w:color="auto" w:fill="FFFFFF"/>
        </w:rPr>
        <w:t>O</w:t>
      </w:r>
      <w:r w:rsidRPr="00A5654E">
        <w:rPr>
          <w:rFonts w:cs="Arial"/>
          <w:i/>
          <w:iCs/>
          <w:color w:val="222222"/>
          <w:sz w:val="20"/>
          <w:szCs w:val="20"/>
          <w:shd w:val="clear" w:color="auto" w:fill="FFFFFF"/>
        </w:rPr>
        <w:t xml:space="preserve">il-producing </w:t>
      </w:r>
      <w:r>
        <w:rPr>
          <w:rFonts w:cs="Arial"/>
          <w:i/>
          <w:iCs/>
          <w:color w:val="222222"/>
          <w:sz w:val="20"/>
          <w:szCs w:val="20"/>
          <w:shd w:val="clear" w:color="auto" w:fill="FFFFFF"/>
        </w:rPr>
        <w:t>C</w:t>
      </w:r>
      <w:r w:rsidRPr="00A5654E">
        <w:rPr>
          <w:rFonts w:cs="Arial"/>
          <w:i/>
          <w:iCs/>
          <w:color w:val="222222"/>
          <w:sz w:val="20"/>
          <w:szCs w:val="20"/>
          <w:shd w:val="clear" w:color="auto" w:fill="FFFFFF"/>
        </w:rPr>
        <w:t>ountries?</w:t>
      </w:r>
      <w:r>
        <w:rPr>
          <w:rFonts w:cs="Arial"/>
          <w:color w:val="222222"/>
          <w:sz w:val="20"/>
          <w:szCs w:val="20"/>
          <w:shd w:val="clear" w:color="auto" w:fill="FFFFFF"/>
        </w:rPr>
        <w:t>” (</w:t>
      </w:r>
      <w:r w:rsidRPr="00A5654E">
        <w:rPr>
          <w:rFonts w:cs="Arial"/>
          <w:color w:val="222222"/>
          <w:sz w:val="20"/>
          <w:szCs w:val="20"/>
          <w:shd w:val="clear" w:color="auto" w:fill="FFFFFF"/>
        </w:rPr>
        <w:t>International Monetary Fund</w:t>
      </w:r>
      <w:r>
        <w:rPr>
          <w:rFonts w:cs="Arial"/>
          <w:color w:val="222222"/>
          <w:sz w:val="20"/>
          <w:szCs w:val="20"/>
          <w:shd w:val="clear" w:color="auto" w:fill="FFFFFF"/>
        </w:rPr>
        <w:t>)</w:t>
      </w:r>
      <w:r w:rsidRPr="00A5654E">
        <w:rPr>
          <w:rFonts w:cs="Arial"/>
          <w:color w:val="222222"/>
          <w:sz w:val="20"/>
          <w:szCs w:val="20"/>
          <w:shd w:val="clear" w:color="auto" w:fill="FFFFFF"/>
        </w:rPr>
        <w:t>.</w:t>
      </w:r>
      <w:r w:rsidR="00C86ED0" w:rsidRPr="00A5654E">
        <w:rPr>
          <w:bCs/>
          <w:spacing w:val="-3"/>
        </w:rPr>
        <w:t xml:space="preserve"> </w:t>
      </w:r>
    </w:p>
    <w:p w:rsidR="00AB3D3C" w:rsidRDefault="00AB3D3C" w:rsidP="00371DFF">
      <w:pPr>
        <w:rPr>
          <w:sz w:val="20"/>
          <w:szCs w:val="20"/>
        </w:rPr>
      </w:pPr>
      <w:r w:rsidRPr="00AB3D3C">
        <w:rPr>
          <w:sz w:val="20"/>
          <w:szCs w:val="20"/>
        </w:rPr>
        <w:t xml:space="preserve">Fraga, Armino, Ilan Goldfajn, and </w:t>
      </w:r>
      <w:r>
        <w:rPr>
          <w:sz w:val="20"/>
          <w:szCs w:val="20"/>
        </w:rPr>
        <w:t>André Minella, 2003</w:t>
      </w:r>
      <w:r w:rsidRPr="00AB3D3C">
        <w:rPr>
          <w:sz w:val="20"/>
          <w:szCs w:val="20"/>
        </w:rPr>
        <w:t>, “</w:t>
      </w:r>
      <w:hyperlink r:id="rId13" w:history="1">
        <w:r w:rsidRPr="00AB3D3C">
          <w:rPr>
            <w:rStyle w:val="Hyperlink"/>
            <w:sz w:val="20"/>
            <w:szCs w:val="20"/>
          </w:rPr>
          <w:t>Inflation Targeting in Emerging Market Economies</w:t>
        </w:r>
      </w:hyperlink>
      <w:r w:rsidRPr="00AB3D3C">
        <w:rPr>
          <w:sz w:val="20"/>
          <w:szCs w:val="20"/>
        </w:rPr>
        <w:t xml:space="preserve">,” </w:t>
      </w:r>
      <w:r w:rsidRPr="00AB3D3C">
        <w:rPr>
          <w:i/>
          <w:iCs/>
          <w:sz w:val="20"/>
          <w:szCs w:val="20"/>
        </w:rPr>
        <w:t>NBER Macro Annual 2003</w:t>
      </w:r>
      <w:r w:rsidRPr="00AB3D3C">
        <w:rPr>
          <w:sz w:val="20"/>
          <w:szCs w:val="20"/>
        </w:rPr>
        <w:t>, Ken Rogoff and Mark Gertler, eds. (MIT Press: Cambridge).</w:t>
      </w:r>
    </w:p>
    <w:p w:rsidR="00A83D67" w:rsidRDefault="00A83D67" w:rsidP="00371DFF">
      <w:pPr>
        <w:rPr>
          <w:sz w:val="20"/>
          <w:szCs w:val="20"/>
        </w:rPr>
      </w:pPr>
      <w:r>
        <w:rPr>
          <w:sz w:val="20"/>
          <w:szCs w:val="20"/>
        </w:rPr>
        <w:t>Frankel, Jeffrey, 2011, “</w:t>
      </w:r>
      <w:hyperlink r:id="rId14" w:history="1">
        <w:r w:rsidRPr="00A83D67">
          <w:rPr>
            <w:rStyle w:val="Hyperlink"/>
            <w:sz w:val="20"/>
            <w:szCs w:val="20"/>
          </w:rPr>
          <w:t>A Comparison of Product Price Targeting and Other Monetary Anchor Options, for Commodity-Exporters in Latin America</w:t>
        </w:r>
      </w:hyperlink>
      <w:r w:rsidRPr="00A83D67">
        <w:rPr>
          <w:color w:val="000000"/>
          <w:sz w:val="20"/>
          <w:szCs w:val="20"/>
        </w:rPr>
        <w:t>,"</w:t>
      </w:r>
      <w:r w:rsidRPr="00A83D67">
        <w:rPr>
          <w:rStyle w:val="apple-converted-space"/>
          <w:color w:val="000000"/>
          <w:sz w:val="20"/>
          <w:szCs w:val="20"/>
        </w:rPr>
        <w:t> </w:t>
      </w:r>
      <w:r w:rsidRPr="00A83D67">
        <w:rPr>
          <w:color w:val="000000"/>
          <w:sz w:val="20"/>
          <w:szCs w:val="20"/>
        </w:rPr>
        <w:t> </w:t>
      </w:r>
      <w:hyperlink r:id="rId15" w:history="1">
        <w:r w:rsidRPr="00A83D67">
          <w:rPr>
            <w:rStyle w:val="Hyperlink"/>
            <w:i/>
            <w:iCs/>
            <w:sz w:val="20"/>
            <w:szCs w:val="20"/>
          </w:rPr>
          <w:t>Economia</w:t>
        </w:r>
      </w:hyperlink>
      <w:r w:rsidRPr="00A83D67">
        <w:rPr>
          <w:i/>
          <w:iCs/>
          <w:color w:val="000000"/>
          <w:sz w:val="20"/>
          <w:szCs w:val="20"/>
        </w:rPr>
        <w:t>,</w:t>
      </w:r>
      <w:r w:rsidRPr="00A83D67">
        <w:rPr>
          <w:rStyle w:val="apple-converted-space"/>
          <w:color w:val="000000"/>
          <w:sz w:val="20"/>
          <w:szCs w:val="20"/>
        </w:rPr>
        <w:t> </w:t>
      </w:r>
      <w:r>
        <w:rPr>
          <w:color w:val="000000"/>
          <w:sz w:val="20"/>
          <w:szCs w:val="20"/>
        </w:rPr>
        <w:t>vol.12, no.1</w:t>
      </w:r>
      <w:r w:rsidRPr="00A83D67">
        <w:rPr>
          <w:color w:val="000000"/>
          <w:sz w:val="20"/>
          <w:szCs w:val="20"/>
        </w:rPr>
        <w:t>: 1-57;  NBER WP</w:t>
      </w:r>
      <w:r w:rsidRPr="00A83D67">
        <w:rPr>
          <w:rStyle w:val="apple-converted-space"/>
          <w:color w:val="000000"/>
          <w:sz w:val="20"/>
          <w:szCs w:val="20"/>
        </w:rPr>
        <w:t> </w:t>
      </w:r>
      <w:hyperlink r:id="rId16" w:history="1">
        <w:r w:rsidRPr="00A83D67">
          <w:rPr>
            <w:rStyle w:val="Hyperlink"/>
            <w:sz w:val="20"/>
            <w:szCs w:val="20"/>
          </w:rPr>
          <w:t>16362</w:t>
        </w:r>
      </w:hyperlink>
      <w:r w:rsidRPr="00A83D67">
        <w:rPr>
          <w:color w:val="000000"/>
          <w:sz w:val="20"/>
          <w:szCs w:val="20"/>
        </w:rPr>
        <w:t>.</w:t>
      </w:r>
      <w:r w:rsidRPr="00391B3A">
        <w:rPr>
          <w:color w:val="000000"/>
        </w:rPr>
        <w:t> </w:t>
      </w:r>
    </w:p>
    <w:p w:rsidR="00A83D67" w:rsidRPr="002A03BE" w:rsidRDefault="00A83D67" w:rsidP="00371DFF">
      <w:pPr>
        <w:rPr>
          <w:color w:val="000000"/>
          <w:sz w:val="20"/>
          <w:szCs w:val="20"/>
        </w:rPr>
      </w:pPr>
      <w:r w:rsidRPr="00A83D67">
        <w:rPr>
          <w:sz w:val="20"/>
          <w:szCs w:val="20"/>
        </w:rPr>
        <w:t xml:space="preserve">Frankel, Jeffrey, 2012, </w:t>
      </w:r>
      <w:r w:rsidRPr="00A83D67">
        <w:rPr>
          <w:color w:val="000000"/>
          <w:sz w:val="20"/>
          <w:szCs w:val="20"/>
        </w:rPr>
        <w:t>"</w:t>
      </w:r>
      <w:hyperlink r:id="rId17" w:history="1">
        <w:r w:rsidRPr="00A83D67">
          <w:rPr>
            <w:rStyle w:val="Hyperlink"/>
            <w:sz w:val="20"/>
            <w:szCs w:val="20"/>
          </w:rPr>
          <w:t>Product Price Targeting -- A New Improved Way of Inflation Targeting</w:t>
        </w:r>
      </w:hyperlink>
      <w:r w:rsidRPr="00A83D67">
        <w:rPr>
          <w:color w:val="000000"/>
          <w:sz w:val="20"/>
          <w:szCs w:val="20"/>
        </w:rPr>
        <w:t>,"</w:t>
      </w:r>
      <w:r w:rsidR="002A03BE">
        <w:rPr>
          <w:color w:val="000000"/>
          <w:sz w:val="20"/>
          <w:szCs w:val="20"/>
        </w:rPr>
        <w:t xml:space="preserve"> </w:t>
      </w:r>
      <w:hyperlink r:id="rId18" w:history="1">
        <w:r w:rsidRPr="00A83D67">
          <w:rPr>
            <w:rStyle w:val="Hyperlink"/>
            <w:sz w:val="20"/>
            <w:szCs w:val="20"/>
          </w:rPr>
          <w:t>in</w:t>
        </w:r>
      </w:hyperlink>
      <w:r w:rsidRPr="00A83D67">
        <w:rPr>
          <w:rStyle w:val="apple-converted-space"/>
          <w:i/>
          <w:iCs/>
          <w:color w:val="000000"/>
          <w:sz w:val="20"/>
          <w:szCs w:val="20"/>
        </w:rPr>
        <w:t> </w:t>
      </w:r>
      <w:r w:rsidRPr="00A83D67">
        <w:rPr>
          <w:i/>
          <w:iCs/>
          <w:color w:val="000000"/>
          <w:sz w:val="20"/>
          <w:szCs w:val="20"/>
        </w:rPr>
        <w:t>MAS Monetary Review</w:t>
      </w:r>
      <w:r w:rsidRPr="00A83D67">
        <w:rPr>
          <w:rStyle w:val="apple-converted-space"/>
          <w:i/>
          <w:iCs/>
          <w:color w:val="000000"/>
          <w:sz w:val="20"/>
          <w:szCs w:val="20"/>
        </w:rPr>
        <w:t> </w:t>
      </w:r>
      <w:hyperlink r:id="rId19" w:history="1">
        <w:r w:rsidRPr="00A83D67">
          <w:rPr>
            <w:rStyle w:val="Hyperlink"/>
            <w:sz w:val="20"/>
            <w:szCs w:val="20"/>
          </w:rPr>
          <w:t>Vol.XI, issue 1, April</w:t>
        </w:r>
      </w:hyperlink>
      <w:r w:rsidRPr="00A83D67">
        <w:rPr>
          <w:rStyle w:val="apple-converted-space"/>
          <w:color w:val="000000"/>
          <w:sz w:val="20"/>
          <w:szCs w:val="20"/>
        </w:rPr>
        <w:t> </w:t>
      </w:r>
      <w:r w:rsidRPr="00A83D67">
        <w:rPr>
          <w:color w:val="000000"/>
          <w:sz w:val="20"/>
          <w:szCs w:val="20"/>
        </w:rPr>
        <w:t xml:space="preserve">(Monetary Authority of Singapore), pp.2-5.  </w:t>
      </w:r>
    </w:p>
    <w:p w:rsidR="00886249" w:rsidRDefault="00886249" w:rsidP="00371DFF">
      <w:pPr>
        <w:rPr>
          <w:rStyle w:val="apple-converted-space"/>
          <w:color w:val="333333"/>
          <w:shd w:val="clear" w:color="auto" w:fill="FFFFFF"/>
        </w:rPr>
      </w:pPr>
      <w:r w:rsidRPr="00486625">
        <w:rPr>
          <w:sz w:val="20"/>
          <w:szCs w:val="20"/>
        </w:rPr>
        <w:t xml:space="preserve">Frankel, Jeffrey, </w:t>
      </w:r>
      <w:r>
        <w:rPr>
          <w:sz w:val="20"/>
          <w:szCs w:val="20"/>
        </w:rPr>
        <w:t>2013,</w:t>
      </w:r>
      <w:r w:rsidRPr="00886249">
        <w:rPr>
          <w:sz w:val="20"/>
          <w:szCs w:val="20"/>
        </w:rPr>
        <w:t xml:space="preserve"> </w:t>
      </w:r>
      <w:r w:rsidRPr="00886249">
        <w:rPr>
          <w:color w:val="000000"/>
          <w:sz w:val="20"/>
          <w:szCs w:val="20"/>
          <w:shd w:val="clear" w:color="auto" w:fill="FFFFFF"/>
        </w:rPr>
        <w:t>“</w:t>
      </w:r>
      <w:hyperlink r:id="rId20" w:history="1">
        <w:r w:rsidRPr="00886249">
          <w:rPr>
            <w:rStyle w:val="Hyperlink"/>
            <w:sz w:val="20"/>
            <w:szCs w:val="20"/>
            <w:shd w:val="clear" w:color="auto" w:fill="FFFFFF"/>
          </w:rPr>
          <w:t>A Solution to Fiscal Procyclicality:  The Structural Budget Institutions Pioneered by Chile</w:t>
        </w:r>
      </w:hyperlink>
      <w:r w:rsidRPr="00886249">
        <w:rPr>
          <w:color w:val="000000"/>
          <w:sz w:val="20"/>
          <w:szCs w:val="20"/>
          <w:shd w:val="clear" w:color="auto" w:fill="FFFFFF"/>
        </w:rPr>
        <w:t>,”</w:t>
      </w:r>
      <w:r w:rsidRPr="00886249">
        <w:rPr>
          <w:rStyle w:val="apple-converted-space"/>
          <w:color w:val="000000"/>
          <w:sz w:val="20"/>
          <w:szCs w:val="20"/>
          <w:shd w:val="clear" w:color="auto" w:fill="FFFFFF"/>
        </w:rPr>
        <w:t> </w:t>
      </w:r>
      <w:r w:rsidRPr="00886249">
        <w:rPr>
          <w:color w:val="000000"/>
          <w:sz w:val="20"/>
          <w:szCs w:val="20"/>
          <w:shd w:val="clear" w:color="auto" w:fill="FFFFFF"/>
        </w:rPr>
        <w:t>in</w:t>
      </w:r>
      <w:r w:rsidRPr="00886249">
        <w:rPr>
          <w:rStyle w:val="apple-converted-space"/>
          <w:color w:val="000000"/>
          <w:sz w:val="20"/>
          <w:szCs w:val="20"/>
          <w:shd w:val="clear" w:color="auto" w:fill="FFFFFF"/>
        </w:rPr>
        <w:t> </w:t>
      </w:r>
      <w:hyperlink r:id="rId21" w:history="1">
        <w:r w:rsidRPr="00886249">
          <w:rPr>
            <w:rStyle w:val="Hyperlink"/>
            <w:i/>
            <w:iCs/>
            <w:sz w:val="20"/>
            <w:szCs w:val="20"/>
            <w:shd w:val="clear" w:color="auto" w:fill="FFFFFF"/>
          </w:rPr>
          <w:t>Fiscal Policy and Macroeconomic Performance,</w:t>
        </w:r>
      </w:hyperlink>
      <w:r w:rsidRPr="00886249">
        <w:rPr>
          <w:rStyle w:val="apple-converted-space"/>
          <w:i/>
          <w:iCs/>
          <w:color w:val="000000"/>
          <w:sz w:val="20"/>
          <w:szCs w:val="20"/>
          <w:shd w:val="clear" w:color="auto" w:fill="FFFFFF"/>
        </w:rPr>
        <w:t> </w:t>
      </w:r>
      <w:r w:rsidRPr="00886249">
        <w:rPr>
          <w:color w:val="000000"/>
          <w:sz w:val="20"/>
          <w:szCs w:val="20"/>
          <w:shd w:val="clear" w:color="auto" w:fill="FFFFFF"/>
        </w:rPr>
        <w:t>edited by</w:t>
      </w:r>
      <w:r w:rsidRPr="00886249">
        <w:rPr>
          <w:rStyle w:val="apple-converted-space"/>
          <w:color w:val="000000"/>
          <w:sz w:val="20"/>
          <w:szCs w:val="20"/>
          <w:shd w:val="clear" w:color="auto" w:fill="FFFFFF"/>
        </w:rPr>
        <w:t> </w:t>
      </w:r>
      <w:r w:rsidRPr="00886249">
        <w:rPr>
          <w:color w:val="000000"/>
          <w:sz w:val="20"/>
          <w:szCs w:val="20"/>
          <w:shd w:val="clear" w:color="auto" w:fill="FFFFFF"/>
          <w:lang w:val="en"/>
        </w:rPr>
        <w:t>Luis Felipe Céspedes &amp; Jordi Galí</w:t>
      </w:r>
      <w:r w:rsidRPr="00886249">
        <w:rPr>
          <w:color w:val="000000"/>
          <w:sz w:val="20"/>
          <w:szCs w:val="20"/>
          <w:shd w:val="clear" w:color="auto" w:fill="FFFFFF"/>
        </w:rPr>
        <w:t>, </w:t>
      </w:r>
      <w:hyperlink r:id="rId22" w:history="1">
        <w:r w:rsidRPr="00886249">
          <w:rPr>
            <w:rStyle w:val="Hyperlink"/>
            <w:sz w:val="20"/>
            <w:szCs w:val="20"/>
            <w:shd w:val="clear" w:color="auto" w:fill="FFFFFF"/>
          </w:rPr>
          <w:t>Series on Central Banking Analysis, and Economic Policies</w:t>
        </w:r>
      </w:hyperlink>
      <w:r w:rsidRPr="00886249">
        <w:rPr>
          <w:color w:val="000000"/>
          <w:sz w:val="20"/>
          <w:szCs w:val="20"/>
          <w:shd w:val="clear" w:color="auto" w:fill="FFFFFF"/>
        </w:rPr>
        <w:t>,</w:t>
      </w:r>
      <w:r w:rsidRPr="00886249">
        <w:rPr>
          <w:rStyle w:val="apple-converted-space"/>
          <w:color w:val="000000"/>
          <w:sz w:val="20"/>
          <w:szCs w:val="20"/>
          <w:shd w:val="clear" w:color="auto" w:fill="FFFFFF"/>
        </w:rPr>
        <w:t> </w:t>
      </w:r>
      <w:hyperlink r:id="rId23" w:history="1">
        <w:r w:rsidRPr="00886249">
          <w:rPr>
            <w:rStyle w:val="Hyperlink"/>
            <w:sz w:val="20"/>
            <w:szCs w:val="20"/>
            <w:shd w:val="clear" w:color="auto" w:fill="FFFFFF"/>
          </w:rPr>
          <w:t>vol.17</w:t>
        </w:r>
      </w:hyperlink>
      <w:r w:rsidRPr="00886249">
        <w:rPr>
          <w:rFonts w:cs="Arial"/>
          <w:color w:val="000000"/>
          <w:sz w:val="20"/>
          <w:szCs w:val="20"/>
          <w:shd w:val="clear" w:color="auto" w:fill="FFFFFF"/>
        </w:rPr>
        <w:t xml:space="preserve">. </w:t>
      </w:r>
      <w:r w:rsidRPr="00886249">
        <w:rPr>
          <w:rStyle w:val="apple-converted-space"/>
          <w:rFonts w:cs="Arial"/>
          <w:color w:val="000000"/>
          <w:sz w:val="20"/>
          <w:szCs w:val="20"/>
          <w:shd w:val="clear" w:color="auto" w:fill="FFFFFF"/>
        </w:rPr>
        <w:t> </w:t>
      </w:r>
      <w:hyperlink r:id="rId24" w:history="1">
        <w:r w:rsidRPr="00886249">
          <w:rPr>
            <w:rStyle w:val="Hyperlink"/>
            <w:sz w:val="20"/>
            <w:szCs w:val="20"/>
            <w:shd w:val="clear" w:color="auto" w:fill="FFFFFF"/>
          </w:rPr>
          <w:t>Also in Spanish translation</w:t>
        </w:r>
      </w:hyperlink>
      <w:r w:rsidRPr="00886249">
        <w:rPr>
          <w:color w:val="000000"/>
          <w:sz w:val="20"/>
          <w:szCs w:val="20"/>
          <w:shd w:val="clear" w:color="auto" w:fill="FFFFFF"/>
        </w:rPr>
        <w:t>,</w:t>
      </w:r>
      <w:hyperlink r:id="rId25" w:history="1">
        <w:r w:rsidRPr="00886249">
          <w:rPr>
            <w:rStyle w:val="apple-converted-space"/>
            <w:i/>
            <w:iCs/>
            <w:color w:val="2D4E8B"/>
            <w:sz w:val="20"/>
            <w:szCs w:val="20"/>
            <w:shd w:val="clear" w:color="auto" w:fill="FFFFFF"/>
          </w:rPr>
          <w:t> </w:t>
        </w:r>
      </w:hyperlink>
      <w:hyperlink r:id="rId26" w:history="1">
        <w:r w:rsidRPr="00886249">
          <w:rPr>
            <w:rStyle w:val="Hyperlink"/>
            <w:i/>
            <w:iCs/>
            <w:color w:val="000080"/>
            <w:sz w:val="20"/>
            <w:szCs w:val="20"/>
            <w:shd w:val="clear" w:color="auto" w:fill="FFFFFF"/>
          </w:rPr>
          <w:t>Journal Economía Chilena</w:t>
        </w:r>
        <w:r w:rsidRPr="00886249">
          <w:rPr>
            <w:color w:val="333333"/>
            <w:sz w:val="20"/>
            <w:szCs w:val="20"/>
            <w:shd w:val="clear" w:color="auto" w:fill="FFFFFF"/>
          </w:rPr>
          <w:t xml:space="preserve"> vol.14,</w:t>
        </w:r>
        <w:r w:rsidRPr="00886249">
          <w:rPr>
            <w:rStyle w:val="Hyperlink"/>
            <w:i/>
            <w:iCs/>
            <w:color w:val="000080"/>
            <w:sz w:val="20"/>
            <w:szCs w:val="20"/>
            <w:shd w:val="clear" w:color="auto" w:fill="FFFFFF"/>
          </w:rPr>
          <w:t xml:space="preserve"> </w:t>
        </w:r>
      </w:hyperlink>
      <w:r w:rsidRPr="00886249">
        <w:rPr>
          <w:sz w:val="20"/>
          <w:szCs w:val="20"/>
        </w:rPr>
        <w:t xml:space="preserve"> </w:t>
      </w:r>
      <w:hyperlink r:id="rId27" w:history="1">
        <w:r w:rsidRPr="00886249">
          <w:rPr>
            <w:rStyle w:val="Hyperlink"/>
            <w:sz w:val="20"/>
            <w:szCs w:val="20"/>
            <w:shd w:val="clear" w:color="auto" w:fill="FFFFFF"/>
          </w:rPr>
          <w:t>no.2, August</w:t>
        </w:r>
      </w:hyperlink>
      <w:r w:rsidRPr="00886249">
        <w:rPr>
          <w:color w:val="333333"/>
          <w:sz w:val="20"/>
          <w:szCs w:val="20"/>
          <w:shd w:val="clear" w:color="auto" w:fill="FFFFFF"/>
        </w:rPr>
        <w:t>,</w:t>
      </w:r>
      <w:r w:rsidRPr="00886249">
        <w:rPr>
          <w:rStyle w:val="apple-converted-space"/>
          <w:color w:val="333333"/>
          <w:sz w:val="20"/>
          <w:szCs w:val="20"/>
          <w:shd w:val="clear" w:color="auto" w:fill="FFFFFF"/>
        </w:rPr>
        <w:t> </w:t>
      </w:r>
      <w:r w:rsidRPr="00886249">
        <w:rPr>
          <w:color w:val="333333"/>
          <w:sz w:val="20"/>
          <w:szCs w:val="20"/>
          <w:shd w:val="clear" w:color="auto" w:fill="FFFFFF"/>
        </w:rPr>
        <w:t>2011</w:t>
      </w:r>
      <w:r w:rsidRPr="00886249">
        <w:rPr>
          <w:rStyle w:val="apple-converted-space"/>
          <w:color w:val="333333"/>
          <w:sz w:val="20"/>
          <w:szCs w:val="20"/>
          <w:shd w:val="clear" w:color="auto" w:fill="FFFFFF"/>
        </w:rPr>
        <w:t xml:space="preserve"> </w:t>
      </w:r>
      <w:r w:rsidRPr="00886249">
        <w:rPr>
          <w:color w:val="333333"/>
          <w:sz w:val="20"/>
          <w:szCs w:val="20"/>
          <w:shd w:val="clear" w:color="auto" w:fill="FFFFFF"/>
        </w:rPr>
        <w:t>(</w:t>
      </w:r>
      <w:hyperlink r:id="rId28" w:history="1">
        <w:r w:rsidRPr="00886249">
          <w:rPr>
            <w:rStyle w:val="Hyperlink"/>
            <w:sz w:val="20"/>
            <w:szCs w:val="20"/>
            <w:shd w:val="clear" w:color="auto" w:fill="FFFFFF"/>
          </w:rPr>
          <w:t>Central Bank of Chile</w:t>
        </w:r>
      </w:hyperlink>
      <w:r w:rsidRPr="00886249">
        <w:rPr>
          <w:color w:val="333333"/>
          <w:sz w:val="20"/>
          <w:szCs w:val="20"/>
          <w:shd w:val="clear" w:color="auto" w:fill="FFFFFF"/>
        </w:rPr>
        <w:t>),</w:t>
      </w:r>
      <w:r w:rsidRPr="00886249">
        <w:rPr>
          <w:rStyle w:val="apple-converted-space"/>
          <w:color w:val="333333"/>
          <w:sz w:val="20"/>
          <w:szCs w:val="20"/>
          <w:shd w:val="clear" w:color="auto" w:fill="FFFFFF"/>
        </w:rPr>
        <w:t> </w:t>
      </w:r>
      <w:r w:rsidRPr="00886249">
        <w:rPr>
          <w:color w:val="333333"/>
          <w:sz w:val="20"/>
          <w:szCs w:val="20"/>
          <w:shd w:val="clear" w:color="auto" w:fill="FFFFFF"/>
        </w:rPr>
        <w:t>pp.39-78.</w:t>
      </w:r>
      <w:r w:rsidRPr="00391B3A">
        <w:rPr>
          <w:rStyle w:val="apple-converted-space"/>
          <w:color w:val="333333"/>
          <w:shd w:val="clear" w:color="auto" w:fill="FFFFFF"/>
        </w:rPr>
        <w:t> </w:t>
      </w:r>
    </w:p>
    <w:p w:rsidR="002A03BE" w:rsidRPr="002A03BE" w:rsidRDefault="002A03BE" w:rsidP="00371DFF">
      <w:pPr>
        <w:rPr>
          <w:rFonts w:cs="Times New Roman"/>
          <w:color w:val="333333"/>
          <w:sz w:val="20"/>
          <w:szCs w:val="20"/>
        </w:rPr>
      </w:pPr>
      <w:r w:rsidRPr="002A03BE">
        <w:rPr>
          <w:sz w:val="20"/>
          <w:szCs w:val="20"/>
        </w:rPr>
        <w:t xml:space="preserve">Frankel, Jeffrey, 2014, </w:t>
      </w:r>
      <w:hyperlink r:id="rId29" w:history="1">
        <w:r w:rsidRPr="002A03BE">
          <w:rPr>
            <w:rStyle w:val="Hyperlink"/>
            <w:sz w:val="20"/>
            <w:szCs w:val="20"/>
          </w:rPr>
          <w:t>Nominal GDP Targeting for Middle-Income Countries</w:t>
        </w:r>
      </w:hyperlink>
      <w:r w:rsidRPr="002A03BE">
        <w:rPr>
          <w:color w:val="000000"/>
          <w:sz w:val="20"/>
          <w:szCs w:val="20"/>
        </w:rPr>
        <w:t>,"</w:t>
      </w:r>
      <w:r w:rsidRPr="002A03BE">
        <w:rPr>
          <w:rStyle w:val="apple-converted-space"/>
          <w:color w:val="000000"/>
          <w:sz w:val="20"/>
          <w:szCs w:val="20"/>
        </w:rPr>
        <w:t> </w:t>
      </w:r>
      <w:hyperlink r:id="rId30" w:history="1">
        <w:r w:rsidRPr="002A03BE">
          <w:rPr>
            <w:rStyle w:val="Hyperlink"/>
            <w:sz w:val="20"/>
            <w:szCs w:val="20"/>
          </w:rPr>
          <w:t>published</w:t>
        </w:r>
      </w:hyperlink>
      <w:r w:rsidRPr="002A03BE">
        <w:rPr>
          <w:rStyle w:val="apple-converted-space"/>
          <w:color w:val="000000"/>
          <w:sz w:val="20"/>
          <w:szCs w:val="20"/>
        </w:rPr>
        <w:t> </w:t>
      </w:r>
      <w:hyperlink r:id="rId31" w:history="1">
        <w:r w:rsidRPr="002A03BE">
          <w:rPr>
            <w:rStyle w:val="Hyperlink"/>
            <w:sz w:val="20"/>
            <w:szCs w:val="20"/>
          </w:rPr>
          <w:t>in</w:t>
        </w:r>
      </w:hyperlink>
      <w:r w:rsidRPr="002A03BE">
        <w:rPr>
          <w:rStyle w:val="apple-converted-space"/>
          <w:color w:val="000000"/>
          <w:sz w:val="20"/>
          <w:szCs w:val="20"/>
        </w:rPr>
        <w:t> </w:t>
      </w:r>
      <w:hyperlink r:id="rId32" w:history="1">
        <w:r w:rsidRPr="002A03BE">
          <w:rPr>
            <w:rStyle w:val="Hyperlink"/>
            <w:i/>
            <w:iCs/>
            <w:sz w:val="20"/>
            <w:szCs w:val="20"/>
          </w:rPr>
          <w:t>Central Bank Review</w:t>
        </w:r>
      </w:hyperlink>
      <w:r w:rsidRPr="002A03BE">
        <w:rPr>
          <w:color w:val="000000"/>
          <w:sz w:val="20"/>
          <w:szCs w:val="20"/>
        </w:rPr>
        <w:t>,</w:t>
      </w:r>
      <w:r w:rsidRPr="002A03BE">
        <w:rPr>
          <w:rStyle w:val="apple-converted-space"/>
          <w:color w:val="000000"/>
          <w:sz w:val="20"/>
          <w:szCs w:val="20"/>
        </w:rPr>
        <w:t> </w:t>
      </w:r>
      <w:r w:rsidRPr="002A03BE">
        <w:rPr>
          <w:color w:val="000000"/>
          <w:sz w:val="20"/>
          <w:szCs w:val="20"/>
        </w:rPr>
        <w:t>vol.14, no.3, September</w:t>
      </w:r>
      <w:r w:rsidRPr="002A03BE">
        <w:rPr>
          <w:rStyle w:val="apple-converted-space"/>
          <w:color w:val="000000"/>
          <w:sz w:val="20"/>
          <w:szCs w:val="20"/>
        </w:rPr>
        <w:t> </w:t>
      </w:r>
      <w:r w:rsidRPr="002A03BE">
        <w:rPr>
          <w:color w:val="000000"/>
          <w:sz w:val="20"/>
          <w:szCs w:val="20"/>
        </w:rPr>
        <w:t>(Central Bank of the Republic of Turkey), pp.1-14; </w:t>
      </w:r>
      <w:r w:rsidRPr="002A03BE">
        <w:rPr>
          <w:rStyle w:val="apple-converted-space"/>
          <w:color w:val="000000"/>
          <w:sz w:val="20"/>
          <w:szCs w:val="20"/>
        </w:rPr>
        <w:t> </w:t>
      </w:r>
      <w:r w:rsidRPr="002A03BE">
        <w:rPr>
          <w:color w:val="000000"/>
          <w:sz w:val="20"/>
          <w:szCs w:val="20"/>
        </w:rPr>
        <w:t>HKS</w:t>
      </w:r>
      <w:r w:rsidRPr="002A03BE">
        <w:rPr>
          <w:rStyle w:val="apple-converted-space"/>
          <w:color w:val="000000"/>
          <w:sz w:val="20"/>
          <w:szCs w:val="20"/>
        </w:rPr>
        <w:t> </w:t>
      </w:r>
      <w:hyperlink r:id="rId33" w:history="1">
        <w:r w:rsidRPr="002A03BE">
          <w:rPr>
            <w:rStyle w:val="Hyperlink"/>
            <w:sz w:val="20"/>
            <w:szCs w:val="20"/>
          </w:rPr>
          <w:t>RWP</w:t>
        </w:r>
      </w:hyperlink>
      <w:r w:rsidRPr="002A03BE">
        <w:rPr>
          <w:rStyle w:val="apple-converted-space"/>
          <w:color w:val="000000"/>
          <w:sz w:val="20"/>
          <w:szCs w:val="20"/>
        </w:rPr>
        <w:t> </w:t>
      </w:r>
      <w:hyperlink r:id="rId34" w:history="1">
        <w:r w:rsidRPr="002A03BE">
          <w:rPr>
            <w:rStyle w:val="Hyperlink"/>
            <w:color w:val="A30013"/>
            <w:sz w:val="20"/>
            <w:szCs w:val="20"/>
            <w:shd w:val="clear" w:color="auto" w:fill="FFFFFF"/>
          </w:rPr>
          <w:t>14-033</w:t>
        </w:r>
      </w:hyperlink>
      <w:r>
        <w:rPr>
          <w:rStyle w:val="Hyperlink"/>
          <w:color w:val="A30013"/>
          <w:sz w:val="20"/>
          <w:szCs w:val="20"/>
          <w:shd w:val="clear" w:color="auto" w:fill="FFFFFF"/>
        </w:rPr>
        <w:t>.</w:t>
      </w:r>
    </w:p>
    <w:p w:rsidR="00486625" w:rsidRPr="00486625" w:rsidRDefault="00486625" w:rsidP="00371DFF">
      <w:pPr>
        <w:rPr>
          <w:rFonts w:cs="Times New Roman"/>
          <w:color w:val="333333"/>
          <w:sz w:val="20"/>
          <w:szCs w:val="20"/>
        </w:rPr>
      </w:pPr>
      <w:r w:rsidRPr="00486625">
        <w:rPr>
          <w:sz w:val="20"/>
          <w:szCs w:val="20"/>
        </w:rPr>
        <w:t xml:space="preserve">Frankel, Jeffrey, and Jesse Schreger, </w:t>
      </w:r>
      <w:r>
        <w:rPr>
          <w:sz w:val="20"/>
          <w:szCs w:val="20"/>
        </w:rPr>
        <w:t xml:space="preserve">2013, </w:t>
      </w:r>
      <w:r w:rsidRPr="00486625">
        <w:rPr>
          <w:color w:val="000000"/>
          <w:sz w:val="20"/>
          <w:szCs w:val="20"/>
        </w:rPr>
        <w:t>"</w:t>
      </w:r>
      <w:hyperlink r:id="rId35" w:history="1">
        <w:r w:rsidRPr="00486625">
          <w:rPr>
            <w:rStyle w:val="Hyperlink"/>
            <w:sz w:val="20"/>
            <w:szCs w:val="20"/>
          </w:rPr>
          <w:t>Over-optimistic Official Forecasts in the Eurozone and Fiscal Rules</w:t>
        </w:r>
      </w:hyperlink>
      <w:r w:rsidRPr="00486625">
        <w:rPr>
          <w:color w:val="000000"/>
          <w:sz w:val="20"/>
          <w:szCs w:val="20"/>
        </w:rPr>
        <w:t>,"</w:t>
      </w:r>
      <w:r w:rsidRPr="00486625">
        <w:rPr>
          <w:rStyle w:val="apple-converted-space"/>
          <w:color w:val="000000"/>
          <w:sz w:val="20"/>
          <w:szCs w:val="20"/>
        </w:rPr>
        <w:t> </w:t>
      </w:r>
      <w:r w:rsidRPr="00486625">
        <w:rPr>
          <w:i/>
          <w:iCs/>
          <w:color w:val="000000"/>
          <w:sz w:val="20"/>
          <w:szCs w:val="20"/>
        </w:rPr>
        <w:t>Review of World Economy</w:t>
      </w:r>
      <w:r>
        <w:rPr>
          <w:color w:val="000000"/>
          <w:sz w:val="20"/>
          <w:szCs w:val="20"/>
        </w:rPr>
        <w:t>,</w:t>
      </w:r>
      <w:r w:rsidRPr="00486625">
        <w:rPr>
          <w:color w:val="000000"/>
          <w:sz w:val="20"/>
          <w:szCs w:val="20"/>
        </w:rPr>
        <w:t xml:space="preserve"> vol.149, no. 2, pp.247-272;</w:t>
      </w:r>
      <w:r w:rsidRPr="00486625">
        <w:rPr>
          <w:rStyle w:val="apple-converted-space"/>
          <w:color w:val="000000"/>
          <w:sz w:val="20"/>
          <w:szCs w:val="20"/>
        </w:rPr>
        <w:t> </w:t>
      </w:r>
      <w:hyperlink r:id="rId36" w:history="1">
        <w:r w:rsidRPr="00486625">
          <w:rPr>
            <w:rStyle w:val="Hyperlink"/>
            <w:sz w:val="20"/>
            <w:szCs w:val="20"/>
          </w:rPr>
          <w:t>NBER WP 18283</w:t>
        </w:r>
      </w:hyperlink>
      <w:r w:rsidRPr="00486625">
        <w:rPr>
          <w:color w:val="000000"/>
          <w:sz w:val="20"/>
          <w:szCs w:val="20"/>
        </w:rPr>
        <w:t>.</w:t>
      </w:r>
    </w:p>
    <w:p w:rsidR="00F00042" w:rsidRPr="00F00042" w:rsidRDefault="00335C6F" w:rsidP="00F00042">
      <w:pPr>
        <w:rPr>
          <w:rFonts w:cs="Times New Roman"/>
          <w:color w:val="000000"/>
          <w:sz w:val="20"/>
          <w:szCs w:val="20"/>
        </w:rPr>
      </w:pPr>
      <w:r w:rsidRPr="005C54A9">
        <w:rPr>
          <w:rFonts w:cs="Times New Roman"/>
          <w:sz w:val="20"/>
          <w:szCs w:val="20"/>
        </w:rPr>
        <w:t xml:space="preserve">Frankel, Jeffrey,  </w:t>
      </w:r>
      <w:r w:rsidRPr="005C54A9">
        <w:rPr>
          <w:rFonts w:cs="Times New Roman"/>
          <w:color w:val="000000"/>
          <w:sz w:val="20"/>
          <w:szCs w:val="20"/>
        </w:rPr>
        <w:t>Carlos V</w:t>
      </w:r>
      <w:r w:rsidRPr="005C54A9">
        <w:rPr>
          <w:rFonts w:cs="Times New Roman"/>
          <w:sz w:val="20"/>
          <w:szCs w:val="20"/>
        </w:rPr>
        <w:t>égh</w:t>
      </w:r>
      <w:r w:rsidRPr="005C54A9">
        <w:rPr>
          <w:rStyle w:val="apple-converted-space"/>
          <w:rFonts w:cs="Times New Roman"/>
          <w:color w:val="000000"/>
          <w:sz w:val="20"/>
          <w:szCs w:val="20"/>
        </w:rPr>
        <w:t> </w:t>
      </w:r>
      <w:r w:rsidRPr="005C54A9">
        <w:rPr>
          <w:rFonts w:cs="Times New Roman"/>
          <w:color w:val="000000"/>
          <w:sz w:val="20"/>
          <w:szCs w:val="20"/>
        </w:rPr>
        <w:t>and Guillermo Vuletin</w:t>
      </w:r>
      <w:r w:rsidRPr="005C54A9">
        <w:rPr>
          <w:rFonts w:cs="Times New Roman"/>
          <w:sz w:val="20"/>
          <w:szCs w:val="20"/>
        </w:rPr>
        <w:t>, 2013, “</w:t>
      </w:r>
      <w:hyperlink r:id="rId37" w:history="1">
        <w:r w:rsidRPr="005C54A9">
          <w:rPr>
            <w:rStyle w:val="Hyperlink"/>
            <w:rFonts w:cs="Times New Roman"/>
            <w:sz w:val="20"/>
            <w:szCs w:val="20"/>
          </w:rPr>
          <w:t>On Graduation from Fiscal Procyclicality</w:t>
        </w:r>
      </w:hyperlink>
      <w:r w:rsidRPr="005C54A9">
        <w:rPr>
          <w:rFonts w:cs="Times New Roman"/>
          <w:sz w:val="20"/>
          <w:szCs w:val="20"/>
        </w:rPr>
        <w:t xml:space="preserve">,” </w:t>
      </w:r>
      <w:hyperlink r:id="rId38" w:history="1">
        <w:r w:rsidRPr="005C54A9">
          <w:rPr>
            <w:rStyle w:val="Hyperlink"/>
            <w:rFonts w:cs="Times New Roman"/>
            <w:sz w:val="20"/>
            <w:szCs w:val="20"/>
          </w:rPr>
          <w:t>in</w:t>
        </w:r>
      </w:hyperlink>
      <w:r w:rsidRPr="005C54A9">
        <w:rPr>
          <w:rStyle w:val="apple-converted-space"/>
          <w:rFonts w:cs="Times New Roman"/>
          <w:color w:val="000000"/>
          <w:sz w:val="20"/>
          <w:szCs w:val="20"/>
        </w:rPr>
        <w:t> </w:t>
      </w:r>
      <w:hyperlink r:id="rId39" w:history="1">
        <w:r w:rsidRPr="005C54A9">
          <w:rPr>
            <w:rStyle w:val="Hyperlink"/>
            <w:rFonts w:cs="Times New Roman"/>
            <w:i/>
            <w:iCs/>
            <w:sz w:val="20"/>
            <w:szCs w:val="20"/>
          </w:rPr>
          <w:t>Journal of Development Economics</w:t>
        </w:r>
      </w:hyperlink>
      <w:r w:rsidRPr="005C54A9">
        <w:rPr>
          <w:rFonts w:cs="Times New Roman"/>
          <w:color w:val="000000"/>
          <w:sz w:val="20"/>
          <w:szCs w:val="20"/>
        </w:rPr>
        <w:t>,</w:t>
      </w:r>
      <w:r w:rsidRPr="005C54A9">
        <w:rPr>
          <w:rStyle w:val="apple-converted-space"/>
          <w:rFonts w:cs="Times New Roman"/>
          <w:color w:val="000000"/>
          <w:sz w:val="20"/>
          <w:szCs w:val="20"/>
        </w:rPr>
        <w:t> </w:t>
      </w:r>
      <w:hyperlink r:id="rId40" w:history="1">
        <w:r w:rsidRPr="005C54A9">
          <w:rPr>
            <w:rStyle w:val="Hyperlink"/>
            <w:rFonts w:cs="Times New Roman"/>
            <w:sz w:val="20"/>
            <w:szCs w:val="20"/>
          </w:rPr>
          <w:t>100, no.1</w:t>
        </w:r>
      </w:hyperlink>
      <w:r w:rsidRPr="005C54A9">
        <w:rPr>
          <w:rFonts w:cs="Times New Roman"/>
          <w:color w:val="000000"/>
          <w:sz w:val="20"/>
          <w:szCs w:val="20"/>
        </w:rPr>
        <w:t>, Jan., pp. 32-47; </w:t>
      </w:r>
      <w:r w:rsidRPr="005C54A9">
        <w:rPr>
          <w:sz w:val="20"/>
          <w:szCs w:val="20"/>
        </w:rPr>
        <w:t xml:space="preserve"> </w:t>
      </w:r>
      <w:hyperlink r:id="rId41" w:history="1">
        <w:r w:rsidRPr="005C54A9">
          <w:rPr>
            <w:rStyle w:val="Hyperlink"/>
            <w:rFonts w:cs="Times New Roman"/>
            <w:sz w:val="20"/>
            <w:szCs w:val="20"/>
          </w:rPr>
          <w:t>NBER WP 17619</w:t>
        </w:r>
      </w:hyperlink>
      <w:r w:rsidRPr="005C54A9">
        <w:rPr>
          <w:rFonts w:cs="Times New Roman"/>
          <w:color w:val="000000"/>
          <w:sz w:val="20"/>
          <w:szCs w:val="20"/>
        </w:rPr>
        <w:t xml:space="preserve">; summarized in </w:t>
      </w:r>
      <w:hyperlink r:id="rId42" w:history="1">
        <w:r w:rsidRPr="005C54A9">
          <w:rPr>
            <w:rStyle w:val="Hyperlink"/>
            <w:rFonts w:cs="Times New Roman"/>
            <w:i/>
            <w:iCs/>
            <w:sz w:val="20"/>
            <w:szCs w:val="20"/>
          </w:rPr>
          <w:t>VoxEU</w:t>
        </w:r>
      </w:hyperlink>
      <w:r w:rsidRPr="005C54A9">
        <w:rPr>
          <w:rFonts w:cs="Times New Roman"/>
          <w:color w:val="000000"/>
          <w:sz w:val="20"/>
          <w:szCs w:val="20"/>
        </w:rPr>
        <w:t>.</w:t>
      </w:r>
    </w:p>
    <w:p w:rsidR="00F00042" w:rsidRDefault="00F00042" w:rsidP="00C3156A">
      <w:pPr>
        <w:rPr>
          <w:sz w:val="20"/>
          <w:szCs w:val="20"/>
        </w:rPr>
      </w:pPr>
      <w:r w:rsidRPr="00F00042">
        <w:rPr>
          <w:sz w:val="20"/>
          <w:szCs w:val="20"/>
        </w:rPr>
        <w:t xml:space="preserve">Gavin, Michael and Roberto Perotti, 1997, “Fiscal Policy in Latin America,” </w:t>
      </w:r>
      <w:r w:rsidRPr="00F00042">
        <w:rPr>
          <w:i/>
          <w:iCs/>
          <w:sz w:val="20"/>
          <w:szCs w:val="20"/>
        </w:rPr>
        <w:t>NBER Macroeconomics Annual</w:t>
      </w:r>
      <w:r w:rsidRPr="00F00042">
        <w:rPr>
          <w:sz w:val="20"/>
          <w:szCs w:val="20"/>
        </w:rPr>
        <w:t>, Vol. 12, pp. 11-61.</w:t>
      </w:r>
    </w:p>
    <w:p w:rsidR="00594934" w:rsidRPr="00594934" w:rsidRDefault="00594934" w:rsidP="00C3156A">
      <w:pPr>
        <w:rPr>
          <w:rStyle w:val="Emphasis"/>
          <w:bCs/>
          <w:i w:val="0"/>
          <w:iCs w:val="0"/>
          <w:sz w:val="18"/>
          <w:szCs w:val="18"/>
        </w:rPr>
      </w:pPr>
      <w:r w:rsidRPr="00C51F83">
        <w:rPr>
          <w:sz w:val="18"/>
          <w:szCs w:val="18"/>
        </w:rPr>
        <w:t xml:space="preserve">Gelb, Alan, 1986, “Adjustment to Windfall Gains: A Comparative Analysis of Oil-Exporting Countries,” in </w:t>
      </w:r>
      <w:r w:rsidRPr="007716AC">
        <w:rPr>
          <w:bCs/>
          <w:i/>
          <w:sz w:val="18"/>
          <w:szCs w:val="18"/>
        </w:rPr>
        <w:t>Natural Resources and the Macroe</w:t>
      </w:r>
      <w:r w:rsidR="007716AC" w:rsidRPr="007716AC">
        <w:rPr>
          <w:bCs/>
          <w:i/>
          <w:sz w:val="18"/>
          <w:szCs w:val="18"/>
        </w:rPr>
        <w:t>conomy</w:t>
      </w:r>
      <w:r w:rsidR="007716AC">
        <w:rPr>
          <w:bCs/>
          <w:sz w:val="18"/>
          <w:szCs w:val="18"/>
        </w:rPr>
        <w:t>,</w:t>
      </w:r>
      <w:r w:rsidRPr="00C51F83">
        <w:rPr>
          <w:bCs/>
          <w:sz w:val="18"/>
          <w:szCs w:val="18"/>
        </w:rPr>
        <w:t xml:space="preserve"> J.Peter Neary and van Sweder Wijnbergen, eds. (MIT Press: Cambridge), 54-93.</w:t>
      </w:r>
    </w:p>
    <w:p w:rsidR="00C3156A" w:rsidRDefault="00C3156A" w:rsidP="00C3156A">
      <w:pPr>
        <w:jc w:val="both"/>
        <w:rPr>
          <w:sz w:val="18"/>
          <w:szCs w:val="18"/>
        </w:rPr>
      </w:pPr>
      <w:smartTag w:uri="urn:schemas-microsoft-com:office:smarttags" w:element="PersonName">
        <w:r w:rsidRPr="00C51F83">
          <w:rPr>
            <w:sz w:val="18"/>
            <w:szCs w:val="18"/>
          </w:rPr>
          <w:t>Hausmann, Ricardo</w:t>
        </w:r>
      </w:smartTag>
      <w:r w:rsidRPr="00C51F83">
        <w:rPr>
          <w:sz w:val="18"/>
          <w:szCs w:val="18"/>
        </w:rPr>
        <w:t xml:space="preserve">, and </w:t>
      </w:r>
      <w:smartTag w:uri="urn:schemas-microsoft-com:office:smarttags" w:element="PersonName">
        <w:r w:rsidRPr="00C51F83">
          <w:rPr>
            <w:sz w:val="18"/>
            <w:szCs w:val="18"/>
          </w:rPr>
          <w:t>Roberto Rigobon</w:t>
        </w:r>
      </w:smartTag>
      <w:r w:rsidRPr="00C51F83">
        <w:rPr>
          <w:sz w:val="18"/>
          <w:szCs w:val="18"/>
        </w:rPr>
        <w:t xml:space="preserve">, 2003, “An Alternative Interpretation of the ‘Resource Curse’: Theory and Policy Implications,” in </w:t>
      </w:r>
      <w:r w:rsidRPr="00C51F83">
        <w:rPr>
          <w:i/>
          <w:iCs/>
          <w:sz w:val="18"/>
          <w:szCs w:val="18"/>
        </w:rPr>
        <w:t>Fiscal Policy Formulation and Implementation in Oil-Producing Countries</w:t>
      </w:r>
      <w:r w:rsidRPr="00C51F83">
        <w:rPr>
          <w:sz w:val="18"/>
          <w:szCs w:val="18"/>
        </w:rPr>
        <w:t>, edited by Jeffrey Davis (International Monetary Fund: Washington, DC</w:t>
      </w:r>
      <w:r>
        <w:rPr>
          <w:sz w:val="18"/>
          <w:szCs w:val="18"/>
        </w:rPr>
        <w:t>),  pp;.12-44.</w:t>
      </w:r>
    </w:p>
    <w:p w:rsidR="00594934" w:rsidRPr="00594934" w:rsidRDefault="00594934" w:rsidP="00594934">
      <w:pPr>
        <w:rPr>
          <w:sz w:val="20"/>
          <w:szCs w:val="20"/>
        </w:rPr>
      </w:pPr>
      <w:r w:rsidRPr="00594934">
        <w:rPr>
          <w:sz w:val="20"/>
          <w:szCs w:val="20"/>
        </w:rPr>
        <w:t xml:space="preserve">Ilzetski, Ethan, and Carlos Vegh, 2008, “Procyclical Fiscal Policy in Developing Countries: Truth or Fiction?” NBER WP no. 14191.     </w:t>
      </w:r>
    </w:p>
    <w:p w:rsidR="00371DFF" w:rsidRDefault="00371DFF" w:rsidP="00371DFF">
      <w:pPr>
        <w:rPr>
          <w:sz w:val="20"/>
          <w:szCs w:val="20"/>
        </w:rPr>
      </w:pPr>
      <w:r w:rsidRPr="005B3F30">
        <w:rPr>
          <w:sz w:val="20"/>
          <w:szCs w:val="20"/>
        </w:rPr>
        <w:lastRenderedPageBreak/>
        <w:t xml:space="preserve">IMF SPRD &amp; World Bank PREM, 2011,  “Managing Volatility in Low-Income Countries: The Role and Potential for Contingent Financial Instruments,” </w:t>
      </w:r>
      <w:r w:rsidR="002A03BE">
        <w:rPr>
          <w:sz w:val="20"/>
          <w:szCs w:val="20"/>
        </w:rPr>
        <w:t xml:space="preserve"> approved by Reza Moghadam and</w:t>
      </w:r>
      <w:r w:rsidRPr="005B3F30">
        <w:rPr>
          <w:sz w:val="20"/>
          <w:szCs w:val="20"/>
        </w:rPr>
        <w:t xml:space="preserve"> Otaviano Canuto, Oct..</w:t>
      </w:r>
    </w:p>
    <w:p w:rsidR="003B4F8B" w:rsidRPr="003B4F8B" w:rsidRDefault="003B4F8B" w:rsidP="003B4F8B">
      <w:pPr>
        <w:autoSpaceDE w:val="0"/>
        <w:autoSpaceDN w:val="0"/>
        <w:adjustRightInd w:val="0"/>
        <w:rPr>
          <w:rFonts w:ascii="Arial" w:hAnsi="Arial" w:cs="Arial"/>
          <w:b/>
          <w:sz w:val="20"/>
          <w:szCs w:val="20"/>
        </w:rPr>
      </w:pPr>
      <w:r w:rsidRPr="003B4F8B">
        <w:rPr>
          <w:sz w:val="20"/>
          <w:szCs w:val="20"/>
        </w:rPr>
        <w:t xml:space="preserve">Kaminsky, Graciela, Carmen Reinhart, and Carlos Vegh, 2005, "When It Rains, It Pours: Procyclical Capital Flows and Macroeconomic Policies," </w:t>
      </w:r>
      <w:r w:rsidRPr="003B4F8B">
        <w:rPr>
          <w:i/>
          <w:sz w:val="20"/>
          <w:szCs w:val="20"/>
        </w:rPr>
        <w:t>NBER Macroeconomics Annual 2004</w:t>
      </w:r>
      <w:r w:rsidRPr="003B4F8B">
        <w:rPr>
          <w:sz w:val="20"/>
          <w:szCs w:val="20"/>
        </w:rPr>
        <w:t>, Vol. 19, pages 11-82</w:t>
      </w:r>
      <w:r w:rsidRPr="003B4F8B">
        <w:rPr>
          <w:rStyle w:val="addmd1"/>
          <w:b/>
        </w:rPr>
        <w:t>.</w:t>
      </w:r>
    </w:p>
    <w:p w:rsidR="002A03BE" w:rsidRDefault="002A03BE" w:rsidP="002A03BE">
      <w:pPr>
        <w:contextualSpacing/>
        <w:rPr>
          <w:sz w:val="20"/>
          <w:szCs w:val="20"/>
        </w:rPr>
      </w:pPr>
      <w:r w:rsidRPr="002A03BE">
        <w:rPr>
          <w:sz w:val="20"/>
          <w:szCs w:val="20"/>
        </w:rPr>
        <w:t>Meade, James, 1978, “</w:t>
      </w:r>
      <w:hyperlink r:id="rId43" w:history="1">
        <w:r w:rsidRPr="007716AC">
          <w:rPr>
            <w:color w:val="002060"/>
            <w:sz w:val="20"/>
            <w:szCs w:val="20"/>
          </w:rPr>
          <w:t>The Meaning of Internal Balance</w:t>
        </w:r>
      </w:hyperlink>
      <w:r w:rsidRPr="007716AC">
        <w:rPr>
          <w:color w:val="002060"/>
          <w:sz w:val="20"/>
          <w:szCs w:val="20"/>
        </w:rPr>
        <w:t xml:space="preserve">,” </w:t>
      </w:r>
      <w:r w:rsidRPr="002A03BE">
        <w:rPr>
          <w:i/>
          <w:iCs/>
          <w:sz w:val="20"/>
          <w:szCs w:val="20"/>
        </w:rPr>
        <w:t>The Economic Journal</w:t>
      </w:r>
      <w:r w:rsidRPr="002A03BE">
        <w:rPr>
          <w:sz w:val="20"/>
          <w:szCs w:val="20"/>
        </w:rPr>
        <w:t>, 88:423-435.</w:t>
      </w:r>
    </w:p>
    <w:p w:rsidR="007857D2" w:rsidRDefault="007857D2" w:rsidP="002A03BE">
      <w:pPr>
        <w:contextualSpacing/>
        <w:rPr>
          <w:sz w:val="20"/>
          <w:szCs w:val="20"/>
        </w:rPr>
      </w:pPr>
      <w:bookmarkStart w:id="2" w:name="_GoBack"/>
      <w:bookmarkEnd w:id="2"/>
    </w:p>
    <w:p w:rsidR="007857D2" w:rsidRPr="007857D2" w:rsidRDefault="007857D2" w:rsidP="007857D2">
      <w:pPr>
        <w:rPr>
          <w:sz w:val="20"/>
          <w:szCs w:val="20"/>
        </w:rPr>
      </w:pPr>
      <w:r w:rsidRPr="007857D2">
        <w:rPr>
          <w:sz w:val="20"/>
          <w:szCs w:val="20"/>
        </w:rPr>
        <w:t>Medas, Paolo, and Daria Zakharova, 2009, “</w:t>
      </w:r>
      <w:r w:rsidRPr="007857D2">
        <w:rPr>
          <w:bCs/>
          <w:sz w:val="20"/>
          <w:szCs w:val="20"/>
        </w:rPr>
        <w:t>Primer on Fiscal Analysis in Oil-Producing Countries,” IMF working paper 56, March.</w:t>
      </w:r>
    </w:p>
    <w:p w:rsidR="00BF11AD" w:rsidRPr="007857D2" w:rsidRDefault="007857D2" w:rsidP="007857D2">
      <w:pPr>
        <w:pStyle w:val="NormalWeb"/>
        <w:ind w:right="90"/>
        <w:rPr>
          <w:rFonts w:asciiTheme="minorHAnsi" w:hAnsiTheme="minorHAnsi"/>
          <w:spacing w:val="-3"/>
          <w:sz w:val="20"/>
          <w:szCs w:val="20"/>
        </w:rPr>
      </w:pPr>
      <w:r w:rsidRPr="007857D2">
        <w:rPr>
          <w:rFonts w:asciiTheme="minorHAnsi" w:hAnsiTheme="minorHAnsi"/>
          <w:spacing w:val="-3"/>
          <w:sz w:val="20"/>
          <w:szCs w:val="20"/>
        </w:rPr>
        <w:t>Mendoza, Enrique, and P. Marcelo Oviedo, “Fiscal Policy and Macroeconomic Uncertainty in Developing Countries: The Tale of the Tormented Insurer,” NBER Worki</w:t>
      </w:r>
      <w:r>
        <w:rPr>
          <w:rFonts w:asciiTheme="minorHAnsi" w:hAnsiTheme="minorHAnsi"/>
          <w:spacing w:val="-3"/>
          <w:sz w:val="20"/>
          <w:szCs w:val="20"/>
        </w:rPr>
        <w:t>ng Paper No. 12586, October.</w:t>
      </w:r>
    </w:p>
    <w:p w:rsidR="002A03BE" w:rsidRDefault="00B07355" w:rsidP="002A03BE">
      <w:pPr>
        <w:rPr>
          <w:sz w:val="18"/>
          <w:szCs w:val="18"/>
        </w:rPr>
      </w:pPr>
      <w:hyperlink r:id="rId44" w:history="1">
        <w:r w:rsidR="00BF11AD" w:rsidRPr="00547F88">
          <w:rPr>
            <w:rStyle w:val="Hyperlink"/>
            <w:sz w:val="18"/>
            <w:szCs w:val="18"/>
          </w:rPr>
          <w:t>Poelhekke</w:t>
        </w:r>
      </w:hyperlink>
      <w:r w:rsidR="00BF11AD" w:rsidRPr="00547F88">
        <w:rPr>
          <w:sz w:val="18"/>
          <w:szCs w:val="18"/>
        </w:rPr>
        <w:t xml:space="preserve">, Steven, and, </w:t>
      </w:r>
      <w:hyperlink r:id="rId45" w:history="1">
        <w:r w:rsidR="00BF11AD" w:rsidRPr="00547F88">
          <w:rPr>
            <w:rStyle w:val="Hyperlink"/>
            <w:sz w:val="18"/>
            <w:szCs w:val="18"/>
          </w:rPr>
          <w:t>Frederick van der Ploeg</w:t>
        </w:r>
      </w:hyperlink>
      <w:r w:rsidR="00BF11AD" w:rsidRPr="00547F88">
        <w:rPr>
          <w:sz w:val="18"/>
          <w:szCs w:val="18"/>
        </w:rPr>
        <w:t>,</w:t>
      </w:r>
      <w:r w:rsidR="00BF11AD" w:rsidRPr="00C51F83">
        <w:rPr>
          <w:sz w:val="18"/>
          <w:szCs w:val="18"/>
        </w:rPr>
        <w:t xml:space="preserve"> 2007, </w:t>
      </w:r>
      <w:r w:rsidR="00BF11AD">
        <w:rPr>
          <w:sz w:val="18"/>
          <w:szCs w:val="18"/>
        </w:rPr>
        <w:t>“</w:t>
      </w:r>
      <w:r w:rsidR="00BF11AD" w:rsidRPr="00C51F83">
        <w:rPr>
          <w:sz w:val="18"/>
          <w:szCs w:val="18"/>
        </w:rPr>
        <w:t xml:space="preserve">Volatility, Financial Development and the Natural Resource Curse,” CEPR DP6513, October.  </w:t>
      </w:r>
    </w:p>
    <w:p w:rsidR="00F00042" w:rsidRPr="003B4F8B" w:rsidRDefault="00F00042" w:rsidP="002A03BE">
      <w:pPr>
        <w:rPr>
          <w:rFonts w:cs="Arial"/>
          <w:color w:val="222222"/>
          <w:sz w:val="20"/>
          <w:szCs w:val="20"/>
          <w:shd w:val="clear" w:color="auto" w:fill="FFFFFF"/>
        </w:rPr>
      </w:pPr>
      <w:r w:rsidRPr="008464B1">
        <w:rPr>
          <w:rFonts w:cs="Arial"/>
          <w:color w:val="222222"/>
          <w:sz w:val="20"/>
          <w:szCs w:val="20"/>
          <w:shd w:val="clear" w:color="auto" w:fill="FFFFFF"/>
        </w:rPr>
        <w:t>Rafiq, M. Sohrab</w:t>
      </w:r>
      <w:r>
        <w:rPr>
          <w:rFonts w:cs="Arial"/>
          <w:color w:val="222222"/>
          <w:sz w:val="20"/>
          <w:szCs w:val="20"/>
          <w:shd w:val="clear" w:color="auto" w:fill="FFFFFF"/>
        </w:rPr>
        <w:t>, 2011,</w:t>
      </w:r>
      <w:r w:rsidRPr="008464B1">
        <w:rPr>
          <w:rFonts w:cs="Arial"/>
          <w:color w:val="222222"/>
          <w:sz w:val="20"/>
          <w:szCs w:val="20"/>
          <w:shd w:val="clear" w:color="auto" w:fill="FFFFFF"/>
        </w:rPr>
        <w:t xml:space="preserve">. "Sources of </w:t>
      </w:r>
      <w:r>
        <w:rPr>
          <w:rFonts w:cs="Arial"/>
          <w:color w:val="222222"/>
          <w:sz w:val="20"/>
          <w:szCs w:val="20"/>
          <w:shd w:val="clear" w:color="auto" w:fill="FFFFFF"/>
        </w:rPr>
        <w:t>E</w:t>
      </w:r>
      <w:r w:rsidRPr="008464B1">
        <w:rPr>
          <w:rFonts w:cs="Arial"/>
          <w:color w:val="222222"/>
          <w:sz w:val="20"/>
          <w:szCs w:val="20"/>
          <w:shd w:val="clear" w:color="auto" w:fill="FFFFFF"/>
        </w:rPr>
        <w:t xml:space="preserve">conomic </w:t>
      </w:r>
      <w:r>
        <w:rPr>
          <w:rFonts w:cs="Arial"/>
          <w:color w:val="222222"/>
          <w:sz w:val="20"/>
          <w:szCs w:val="20"/>
          <w:shd w:val="clear" w:color="auto" w:fill="FFFFFF"/>
        </w:rPr>
        <w:t>F</w:t>
      </w:r>
      <w:r w:rsidRPr="008464B1">
        <w:rPr>
          <w:rFonts w:cs="Arial"/>
          <w:color w:val="222222"/>
          <w:sz w:val="20"/>
          <w:szCs w:val="20"/>
          <w:shd w:val="clear" w:color="auto" w:fill="FFFFFF"/>
        </w:rPr>
        <w:t xml:space="preserve">luctuations in </w:t>
      </w:r>
      <w:r>
        <w:rPr>
          <w:rFonts w:cs="Arial"/>
          <w:color w:val="222222"/>
          <w:sz w:val="20"/>
          <w:szCs w:val="20"/>
          <w:shd w:val="clear" w:color="auto" w:fill="FFFFFF"/>
        </w:rPr>
        <w:t>O</w:t>
      </w:r>
      <w:r w:rsidRPr="008464B1">
        <w:rPr>
          <w:rFonts w:cs="Arial"/>
          <w:color w:val="222222"/>
          <w:sz w:val="20"/>
          <w:szCs w:val="20"/>
          <w:shd w:val="clear" w:color="auto" w:fill="FFFFFF"/>
        </w:rPr>
        <w:t>il</w:t>
      </w:r>
      <w:r w:rsidRPr="008464B1">
        <w:rPr>
          <w:rFonts w:cs="Cambria Math"/>
          <w:color w:val="222222"/>
          <w:sz w:val="20"/>
          <w:szCs w:val="20"/>
          <w:shd w:val="clear" w:color="auto" w:fill="FFFFFF"/>
        </w:rPr>
        <w:t>‐</w:t>
      </w:r>
      <w:r w:rsidRPr="008464B1">
        <w:rPr>
          <w:rFonts w:cs="Arial"/>
          <w:color w:val="222222"/>
          <w:sz w:val="20"/>
          <w:szCs w:val="20"/>
          <w:shd w:val="clear" w:color="auto" w:fill="FFFFFF"/>
        </w:rPr>
        <w:t xml:space="preserve">exporting </w:t>
      </w:r>
      <w:r>
        <w:rPr>
          <w:rFonts w:cs="Arial"/>
          <w:color w:val="222222"/>
          <w:sz w:val="20"/>
          <w:szCs w:val="20"/>
          <w:shd w:val="clear" w:color="auto" w:fill="FFFFFF"/>
        </w:rPr>
        <w:t>E</w:t>
      </w:r>
      <w:r w:rsidRPr="008464B1">
        <w:rPr>
          <w:rFonts w:cs="Arial"/>
          <w:color w:val="222222"/>
          <w:sz w:val="20"/>
          <w:szCs w:val="20"/>
          <w:shd w:val="clear" w:color="auto" w:fill="FFFFFF"/>
        </w:rPr>
        <w:t xml:space="preserve">conomies: </w:t>
      </w:r>
      <w:r>
        <w:rPr>
          <w:rFonts w:cs="Arial"/>
          <w:color w:val="222222"/>
          <w:sz w:val="20"/>
          <w:szCs w:val="20"/>
          <w:shd w:val="clear" w:color="auto" w:fill="FFFFFF"/>
        </w:rPr>
        <w:t>I</w:t>
      </w:r>
      <w:r w:rsidRPr="008464B1">
        <w:rPr>
          <w:rFonts w:cs="Arial"/>
          <w:color w:val="222222"/>
          <w:sz w:val="20"/>
          <w:szCs w:val="20"/>
          <w:shd w:val="clear" w:color="auto" w:fill="FFFFFF"/>
        </w:rPr>
        <w:t xml:space="preserve">mplications for </w:t>
      </w:r>
      <w:r>
        <w:rPr>
          <w:rFonts w:cs="Arial"/>
          <w:color w:val="222222"/>
          <w:sz w:val="20"/>
          <w:szCs w:val="20"/>
          <w:shd w:val="clear" w:color="auto" w:fill="FFFFFF"/>
        </w:rPr>
        <w:t>C</w:t>
      </w:r>
      <w:r w:rsidRPr="008464B1">
        <w:rPr>
          <w:rFonts w:cs="Arial"/>
          <w:color w:val="222222"/>
          <w:sz w:val="20"/>
          <w:szCs w:val="20"/>
          <w:shd w:val="clear" w:color="auto" w:fill="FFFFFF"/>
        </w:rPr>
        <w:t xml:space="preserve">hoice of </w:t>
      </w:r>
      <w:r>
        <w:rPr>
          <w:rFonts w:cs="Arial"/>
          <w:color w:val="222222"/>
          <w:sz w:val="20"/>
          <w:szCs w:val="20"/>
          <w:shd w:val="clear" w:color="auto" w:fill="FFFFFF"/>
        </w:rPr>
        <w:t>E</w:t>
      </w:r>
      <w:r w:rsidRPr="008464B1">
        <w:rPr>
          <w:rFonts w:cs="Arial"/>
          <w:color w:val="222222"/>
          <w:sz w:val="20"/>
          <w:szCs w:val="20"/>
          <w:shd w:val="clear" w:color="auto" w:fill="FFFFFF"/>
        </w:rPr>
        <w:t xml:space="preserve">xchange </w:t>
      </w:r>
      <w:r>
        <w:rPr>
          <w:rFonts w:cs="Arial"/>
          <w:color w:val="222222"/>
          <w:sz w:val="20"/>
          <w:szCs w:val="20"/>
          <w:shd w:val="clear" w:color="auto" w:fill="FFFFFF"/>
        </w:rPr>
        <w:t>R</w:t>
      </w:r>
      <w:r w:rsidRPr="008464B1">
        <w:rPr>
          <w:rFonts w:cs="Arial"/>
          <w:color w:val="222222"/>
          <w:sz w:val="20"/>
          <w:szCs w:val="20"/>
          <w:shd w:val="clear" w:color="auto" w:fill="FFFFFF"/>
        </w:rPr>
        <w:t xml:space="preserve">ate </w:t>
      </w:r>
      <w:r>
        <w:rPr>
          <w:rFonts w:cs="Arial"/>
          <w:color w:val="222222"/>
          <w:sz w:val="20"/>
          <w:szCs w:val="20"/>
          <w:shd w:val="clear" w:color="auto" w:fill="FFFFFF"/>
        </w:rPr>
        <w:t>R</w:t>
      </w:r>
      <w:r w:rsidRPr="008464B1">
        <w:rPr>
          <w:rFonts w:cs="Arial"/>
          <w:color w:val="222222"/>
          <w:sz w:val="20"/>
          <w:szCs w:val="20"/>
          <w:shd w:val="clear" w:color="auto" w:fill="FFFFFF"/>
        </w:rPr>
        <w:t>egimes</w:t>
      </w:r>
      <w:r>
        <w:rPr>
          <w:rFonts w:cs="Arial"/>
          <w:color w:val="222222"/>
          <w:sz w:val="20"/>
          <w:szCs w:val="20"/>
          <w:shd w:val="clear" w:color="auto" w:fill="FFFFFF"/>
        </w:rPr>
        <w:t>,</w:t>
      </w:r>
      <w:r w:rsidRPr="008464B1">
        <w:rPr>
          <w:rFonts w:cs="Arial"/>
          <w:color w:val="222222"/>
          <w:sz w:val="20"/>
          <w:szCs w:val="20"/>
          <w:shd w:val="clear" w:color="auto" w:fill="FFFFFF"/>
        </w:rPr>
        <w:t>"</w:t>
      </w:r>
      <w:r w:rsidRPr="008464B1">
        <w:rPr>
          <w:rStyle w:val="apple-converted-space"/>
          <w:rFonts w:cs="Arial"/>
          <w:color w:val="222222"/>
          <w:sz w:val="20"/>
          <w:szCs w:val="20"/>
          <w:shd w:val="clear" w:color="auto" w:fill="FFFFFF"/>
        </w:rPr>
        <w:t> </w:t>
      </w:r>
      <w:r w:rsidRPr="003B4F8B">
        <w:rPr>
          <w:rFonts w:cs="Arial"/>
          <w:i/>
          <w:iCs/>
          <w:color w:val="222222"/>
          <w:sz w:val="20"/>
          <w:szCs w:val="20"/>
          <w:shd w:val="clear" w:color="auto" w:fill="FFFFFF"/>
        </w:rPr>
        <w:t>International Journal of Finance &amp; Economics</w:t>
      </w:r>
      <w:r w:rsidRPr="003B4F8B">
        <w:rPr>
          <w:rStyle w:val="apple-converted-space"/>
          <w:rFonts w:cs="Arial"/>
          <w:color w:val="222222"/>
          <w:sz w:val="20"/>
          <w:szCs w:val="20"/>
          <w:shd w:val="clear" w:color="auto" w:fill="FFFFFF"/>
        </w:rPr>
        <w:t> </w:t>
      </w:r>
      <w:r w:rsidRPr="003B4F8B">
        <w:rPr>
          <w:rFonts w:cs="Arial"/>
          <w:color w:val="222222"/>
          <w:sz w:val="20"/>
          <w:szCs w:val="20"/>
          <w:shd w:val="clear" w:color="auto" w:fill="FFFFFF"/>
        </w:rPr>
        <w:t xml:space="preserve">16, no.1: 70-91.  </w:t>
      </w:r>
    </w:p>
    <w:p w:rsidR="003B4F8B" w:rsidRPr="003B4F8B" w:rsidRDefault="003B4F8B" w:rsidP="002A03BE">
      <w:pPr>
        <w:rPr>
          <w:sz w:val="20"/>
          <w:szCs w:val="20"/>
        </w:rPr>
      </w:pPr>
      <w:r w:rsidRPr="003B4F8B">
        <w:rPr>
          <w:sz w:val="20"/>
          <w:szCs w:val="20"/>
        </w:rPr>
        <w:t xml:space="preserve">Talvi, Ernesto, and Carlos Vegh, 2005, “Tax Base Variability and Procyclicality of Fiscal Policy,” </w:t>
      </w:r>
      <w:r w:rsidRPr="003B4F8B">
        <w:rPr>
          <w:i/>
          <w:sz w:val="20"/>
          <w:szCs w:val="20"/>
        </w:rPr>
        <w:t>Journal of Development Economics</w:t>
      </w:r>
      <w:r w:rsidRPr="003B4F8B">
        <w:rPr>
          <w:sz w:val="20"/>
          <w:szCs w:val="20"/>
        </w:rPr>
        <w:t xml:space="preserve"> 78, no. 1, 156-190.</w:t>
      </w:r>
    </w:p>
    <w:p w:rsidR="00BD5C17" w:rsidRPr="00BD5C17" w:rsidRDefault="002A03BE" w:rsidP="00BD5C17">
      <w:pPr>
        <w:contextualSpacing/>
        <w:rPr>
          <w:rFonts w:eastAsia="Times New Roman"/>
          <w:sz w:val="20"/>
          <w:szCs w:val="20"/>
        </w:rPr>
      </w:pPr>
      <w:r w:rsidRPr="002A03BE">
        <w:rPr>
          <w:rFonts w:eastAsia="Times New Roman"/>
          <w:sz w:val="20"/>
          <w:szCs w:val="20"/>
        </w:rPr>
        <w:t xml:space="preserve">Tobin, James. 1980,“Stabilization Policy Ten Years After,” </w:t>
      </w:r>
      <w:r w:rsidRPr="002A03BE">
        <w:rPr>
          <w:rFonts w:eastAsia="Times New Roman"/>
          <w:i/>
          <w:sz w:val="20"/>
          <w:szCs w:val="20"/>
        </w:rPr>
        <w:t>Brookings Papers on Economic Activity</w:t>
      </w:r>
      <w:r w:rsidRPr="002A03BE">
        <w:rPr>
          <w:rFonts w:eastAsia="Times New Roman"/>
          <w:sz w:val="20"/>
          <w:szCs w:val="20"/>
        </w:rPr>
        <w:t xml:space="preserve"> 1: 19-72.</w:t>
      </w:r>
      <w:r w:rsidR="00BD5C17">
        <w:rPr>
          <w:rFonts w:eastAsia="Times New Roman"/>
          <w:sz w:val="20"/>
          <w:szCs w:val="20"/>
        </w:rPr>
        <w:br/>
      </w:r>
    </w:p>
    <w:p w:rsidR="00931F84" w:rsidRPr="007857D2" w:rsidRDefault="00BD5C17" w:rsidP="00CE360D">
      <w:pPr>
        <w:rPr>
          <w:sz w:val="18"/>
          <w:szCs w:val="18"/>
        </w:rPr>
      </w:pPr>
      <w:r w:rsidRPr="00BD5C17">
        <w:rPr>
          <w:sz w:val="20"/>
          <w:szCs w:val="20"/>
        </w:rPr>
        <w:t xml:space="preserve">Tornell, Aaron, and Philip Lane, 1999, “The Voracity Effect,” </w:t>
      </w:r>
      <w:r w:rsidRPr="00BD5C17">
        <w:rPr>
          <w:i/>
          <w:sz w:val="20"/>
          <w:szCs w:val="20"/>
        </w:rPr>
        <w:t>American Economic Review</w:t>
      </w:r>
      <w:r w:rsidRPr="00BD5C17">
        <w:rPr>
          <w:sz w:val="20"/>
          <w:szCs w:val="20"/>
        </w:rPr>
        <w:t xml:space="preserve"> 89, no. 1, March: 22-46.</w:t>
      </w:r>
      <w:r>
        <w:rPr>
          <w:sz w:val="18"/>
          <w:szCs w:val="18"/>
        </w:rPr>
        <w:br/>
      </w:r>
      <w:r w:rsidR="002A03BE" w:rsidRPr="002A03BE">
        <w:rPr>
          <w:sz w:val="20"/>
          <w:szCs w:val="20"/>
        </w:rPr>
        <w:br/>
        <w:t xml:space="preserve">Woodford, Michael, 2012, </w:t>
      </w:r>
      <w:hyperlink r:id="rId46" w:history="1">
        <w:r w:rsidR="002A03BE" w:rsidRPr="002A03BE">
          <w:rPr>
            <w:rStyle w:val="Hyperlink"/>
            <w:sz w:val="20"/>
            <w:szCs w:val="20"/>
          </w:rPr>
          <w:t>“Methods of Policy Accommodation at the Interest-Rate Lower Bound,”</w:t>
        </w:r>
      </w:hyperlink>
      <w:r w:rsidR="002A03BE" w:rsidRPr="002A03BE">
        <w:rPr>
          <w:sz w:val="20"/>
          <w:szCs w:val="20"/>
        </w:rPr>
        <w:t xml:space="preserve"> </w:t>
      </w:r>
      <w:r w:rsidR="002A03BE" w:rsidRPr="002A03BE">
        <w:rPr>
          <w:rFonts w:cs="Arial"/>
          <w:i/>
          <w:iCs/>
          <w:color w:val="222222"/>
          <w:sz w:val="20"/>
          <w:szCs w:val="20"/>
          <w:shd w:val="clear" w:color="auto" w:fill="FFFFFF"/>
        </w:rPr>
        <w:t>The Changing Policy Landscape: 2012 Jackson Hole Symposium</w:t>
      </w:r>
      <w:r w:rsidR="002A03BE" w:rsidRPr="002A03BE">
        <w:rPr>
          <w:rFonts w:cs="Arial"/>
          <w:color w:val="222222"/>
          <w:sz w:val="20"/>
          <w:szCs w:val="20"/>
          <w:shd w:val="clear" w:color="auto" w:fill="FFFFFF"/>
        </w:rPr>
        <w:t xml:space="preserve"> (Federal Reserve Bank of Kansas City).</w:t>
      </w:r>
    </w:p>
    <w:sectPr w:rsidR="00931F84" w:rsidRPr="007857D2" w:rsidSect="004A37C3">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55" w:rsidRDefault="00B07355" w:rsidP="005F36E6">
      <w:pPr>
        <w:spacing w:after="0" w:line="240" w:lineRule="auto"/>
      </w:pPr>
      <w:r>
        <w:separator/>
      </w:r>
    </w:p>
  </w:endnote>
  <w:endnote w:type="continuationSeparator" w:id="0">
    <w:p w:rsidR="00B07355" w:rsidRDefault="00B07355" w:rsidP="005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346401"/>
      <w:docPartObj>
        <w:docPartGallery w:val="Page Numbers (Bottom of Page)"/>
        <w:docPartUnique/>
      </w:docPartObj>
    </w:sdtPr>
    <w:sdtEndPr>
      <w:rPr>
        <w:noProof/>
      </w:rPr>
    </w:sdtEndPr>
    <w:sdtContent>
      <w:p w:rsidR="004A37C3" w:rsidRDefault="004A37C3">
        <w:pPr>
          <w:pStyle w:val="Footer"/>
          <w:jc w:val="right"/>
        </w:pPr>
        <w:r>
          <w:fldChar w:fldCharType="begin"/>
        </w:r>
        <w:r>
          <w:instrText xml:space="preserve"> PAGE   \* MERGEFORMAT </w:instrText>
        </w:r>
        <w:r>
          <w:fldChar w:fldCharType="separate"/>
        </w:r>
        <w:r w:rsidR="007716AC">
          <w:rPr>
            <w:noProof/>
          </w:rPr>
          <w:t>9</w:t>
        </w:r>
        <w:r>
          <w:rPr>
            <w:noProof/>
          </w:rPr>
          <w:fldChar w:fldCharType="end"/>
        </w:r>
      </w:p>
    </w:sdtContent>
  </w:sdt>
  <w:p w:rsidR="004A37C3" w:rsidRDefault="004A3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55" w:rsidRDefault="00B07355" w:rsidP="005F36E6">
      <w:pPr>
        <w:spacing w:after="0" w:line="240" w:lineRule="auto"/>
      </w:pPr>
      <w:r>
        <w:separator/>
      </w:r>
    </w:p>
  </w:footnote>
  <w:footnote w:type="continuationSeparator" w:id="0">
    <w:p w:rsidR="00B07355" w:rsidRDefault="00B07355" w:rsidP="005F36E6">
      <w:pPr>
        <w:spacing w:after="0" w:line="240" w:lineRule="auto"/>
      </w:pPr>
      <w:r>
        <w:continuationSeparator/>
      </w:r>
    </w:p>
  </w:footnote>
  <w:footnote w:id="1">
    <w:p w:rsidR="00273A07" w:rsidRPr="00C3156A" w:rsidRDefault="00273A07" w:rsidP="00273A07">
      <w:pPr>
        <w:pStyle w:val="FootnoteText"/>
      </w:pPr>
      <w:r w:rsidRPr="00C3156A">
        <w:rPr>
          <w:rStyle w:val="FootnoteReference"/>
        </w:rPr>
        <w:footnoteRef/>
      </w:r>
      <w:r w:rsidRPr="00C3156A">
        <w:t xml:space="preserve"> </w:t>
      </w:r>
      <w:hyperlink r:id="rId1" w:history="1">
        <w:r w:rsidRPr="00C3156A">
          <w:t xml:space="preserve">Blattman, Hwang, and Williamson (2007), Hausmann and Rigobon (2003) and </w:t>
        </w:r>
        <w:r w:rsidRPr="00C3156A">
          <w:rPr>
            <w:rStyle w:val="Hyperlink"/>
          </w:rPr>
          <w:t>Poelhekke</w:t>
        </w:r>
      </w:hyperlink>
      <w:r w:rsidRPr="00C3156A">
        <w:t xml:space="preserve"> and </w:t>
      </w:r>
      <w:hyperlink r:id="rId2" w:history="1">
        <w:r w:rsidRPr="00C3156A">
          <w:rPr>
            <w:rStyle w:val="Hyperlink"/>
          </w:rPr>
          <w:t>van</w:t>
        </w:r>
      </w:hyperlink>
      <w:r w:rsidRPr="00C3156A">
        <w:t xml:space="preserve"> der Ploeg (2007).  </w:t>
      </w:r>
    </w:p>
  </w:footnote>
  <w:footnote w:id="2">
    <w:p w:rsidR="004A37C3" w:rsidRPr="005B3F30" w:rsidRDefault="004A37C3" w:rsidP="004A37C3">
      <w:pPr>
        <w:pStyle w:val="FootnoteText"/>
      </w:pPr>
      <w:r w:rsidRPr="005B3F30">
        <w:rPr>
          <w:rStyle w:val="FootnoteReference"/>
        </w:rPr>
        <w:footnoteRef/>
      </w:r>
      <w:r w:rsidRPr="005B3F30">
        <w:t xml:space="preserve"> </w:t>
      </w:r>
      <w:r>
        <w:t xml:space="preserve"> </w:t>
      </w:r>
      <w:r w:rsidRPr="005B3F30">
        <w:rPr>
          <w:rFonts w:cs="Times New Roman"/>
        </w:rPr>
        <w:t>Duclaud and García (2011).</w:t>
      </w:r>
      <w:r>
        <w:rPr>
          <w:rFonts w:cs="Times New Roman"/>
        </w:rPr>
        <w:br/>
      </w:r>
    </w:p>
  </w:footnote>
  <w:footnote w:id="3">
    <w:p w:rsidR="004A37C3" w:rsidRPr="004A37C3" w:rsidRDefault="004A37C3" w:rsidP="004A37C3">
      <w:pPr>
        <w:pStyle w:val="ListParagraph"/>
        <w:ind w:left="0"/>
        <w:rPr>
          <w:sz w:val="20"/>
          <w:szCs w:val="20"/>
        </w:rPr>
      </w:pPr>
      <w:r w:rsidRPr="005B3F30">
        <w:rPr>
          <w:rStyle w:val="FootnoteReference"/>
          <w:sz w:val="20"/>
          <w:szCs w:val="20"/>
        </w:rPr>
        <w:footnoteRef/>
      </w:r>
      <w:r w:rsidRPr="005B3F30">
        <w:rPr>
          <w:sz w:val="20"/>
          <w:szCs w:val="20"/>
        </w:rPr>
        <w:t xml:space="preserve">  IMF SPRD and World Bank PREM (2011, p.47).</w:t>
      </w:r>
      <w:r>
        <w:rPr>
          <w:sz w:val="20"/>
          <w:szCs w:val="20"/>
        </w:rPr>
        <w:t>\</w:t>
      </w:r>
    </w:p>
  </w:footnote>
  <w:footnote w:id="4">
    <w:p w:rsidR="004A37C3" w:rsidRPr="004A37C3" w:rsidRDefault="004A37C3">
      <w:pPr>
        <w:pStyle w:val="FootnoteText"/>
      </w:pPr>
      <w:r w:rsidRPr="004A37C3">
        <w:rPr>
          <w:rStyle w:val="FootnoteReference"/>
        </w:rPr>
        <w:footnoteRef/>
      </w:r>
      <w:r w:rsidRPr="004A37C3">
        <w:t xml:space="preserve"> Frankel, </w:t>
      </w:r>
      <w:r w:rsidRPr="004A37C3">
        <w:rPr>
          <w:color w:val="000000"/>
          <w:shd w:val="clear" w:color="auto" w:fill="FFFFFF"/>
        </w:rPr>
        <w:t>"</w:t>
      </w:r>
      <w:hyperlink r:id="rId3" w:history="1">
        <w:r w:rsidRPr="004A37C3">
          <w:rPr>
            <w:rStyle w:val="Hyperlink"/>
            <w:shd w:val="clear" w:color="auto" w:fill="FFFFFF"/>
          </w:rPr>
          <w:t>Barrels, Bushels and Bonds</w:t>
        </w:r>
      </w:hyperlink>
      <w:r w:rsidRPr="004A37C3">
        <w:rPr>
          <w:color w:val="000000"/>
          <w:shd w:val="clear" w:color="auto" w:fill="FFFFFF"/>
        </w:rPr>
        <w:t>:</w:t>
      </w:r>
      <w:r w:rsidRPr="004A37C3">
        <w:rPr>
          <w:rStyle w:val="apple-converted-space"/>
          <w:color w:val="000000"/>
          <w:shd w:val="clear" w:color="auto" w:fill="FFFFFF"/>
        </w:rPr>
        <w:t> </w:t>
      </w:r>
      <w:hyperlink r:id="rId4" w:history="1">
        <w:r w:rsidRPr="004A37C3">
          <w:rPr>
            <w:rStyle w:val="Hyperlink"/>
            <w:shd w:val="clear" w:color="auto" w:fill="FFFFFF"/>
          </w:rPr>
          <w:t>How Commodity Exporters Can Hedge Volatility</w:t>
        </w:r>
      </w:hyperlink>
      <w:r w:rsidRPr="004A37C3">
        <w:rPr>
          <w:color w:val="000000"/>
          <w:shd w:val="clear" w:color="auto" w:fill="FFFFFF"/>
        </w:rPr>
        <w:t>,"</w:t>
      </w:r>
      <w:r w:rsidRPr="004A37C3">
        <w:rPr>
          <w:rStyle w:val="apple-converted-space"/>
          <w:color w:val="000000"/>
          <w:shd w:val="clear" w:color="auto" w:fill="FFFFFF"/>
        </w:rPr>
        <w:t> </w:t>
      </w:r>
      <w:hyperlink r:id="rId5" w:history="1">
        <w:r w:rsidRPr="004A37C3">
          <w:rPr>
            <w:rStyle w:val="Hyperlink"/>
            <w:i/>
            <w:iCs/>
            <w:shd w:val="clear" w:color="auto" w:fill="FFFFFF"/>
          </w:rPr>
          <w:t>Project Syndicate</w:t>
        </w:r>
      </w:hyperlink>
      <w:r w:rsidRPr="004A37C3">
        <w:rPr>
          <w:color w:val="000000"/>
          <w:shd w:val="clear" w:color="auto" w:fill="FFFFFF"/>
        </w:rPr>
        <w:t>, October 2011.</w:t>
      </w:r>
    </w:p>
  </w:footnote>
  <w:footnote w:id="5">
    <w:p w:rsidR="009B7C82" w:rsidRPr="00F00042" w:rsidRDefault="009B7C82" w:rsidP="009B7C82">
      <w:pPr>
        <w:autoSpaceDE w:val="0"/>
        <w:autoSpaceDN w:val="0"/>
        <w:adjustRightInd w:val="0"/>
        <w:rPr>
          <w:sz w:val="20"/>
          <w:szCs w:val="20"/>
        </w:rPr>
      </w:pPr>
      <w:r w:rsidRPr="00F00042">
        <w:rPr>
          <w:rStyle w:val="FootnoteReference"/>
          <w:sz w:val="20"/>
          <w:szCs w:val="20"/>
        </w:rPr>
        <w:footnoteRef/>
      </w:r>
      <w:r w:rsidRPr="00F00042">
        <w:rPr>
          <w:sz w:val="20"/>
          <w:szCs w:val="20"/>
        </w:rPr>
        <w:t xml:space="preserve">   Cuddington (1989), Gavin and Perotti (1997), Tornell and Lane (1999), Kaminsky, Reinhart, and Vegh (2004), Talvi and Végh</w:t>
      </w:r>
      <w:bookmarkStart w:id="0" w:name="bcor1"/>
      <w:bookmarkEnd w:id="0"/>
      <w:r w:rsidRPr="00F00042">
        <w:rPr>
          <w:sz w:val="20"/>
          <w:szCs w:val="20"/>
        </w:rPr>
        <w:t xml:space="preserve">  (2005), </w:t>
      </w:r>
      <w:r w:rsidRPr="00F00042">
        <w:rPr>
          <w:rStyle w:val="Strong"/>
          <w:b w:val="0"/>
          <w:color w:val="000000"/>
          <w:sz w:val="20"/>
          <w:szCs w:val="20"/>
        </w:rPr>
        <w:t>Alesina</w:t>
      </w:r>
      <w:hyperlink r:id="rId6" w:history="1"/>
      <w:r w:rsidRPr="00F00042">
        <w:rPr>
          <w:rStyle w:val="Strong"/>
          <w:b w:val="0"/>
          <w:color w:val="000000"/>
          <w:sz w:val="20"/>
          <w:szCs w:val="20"/>
        </w:rPr>
        <w:t>, Campante</w:t>
      </w:r>
      <w:hyperlink r:id="rId7" w:history="1"/>
      <w:r w:rsidRPr="00F00042">
        <w:rPr>
          <w:rStyle w:val="Strong"/>
          <w:b w:val="0"/>
          <w:color w:val="000000"/>
          <w:sz w:val="20"/>
          <w:szCs w:val="20"/>
        </w:rPr>
        <w:t xml:space="preserve"> </w:t>
      </w:r>
      <w:r w:rsidRPr="00F00042">
        <w:rPr>
          <w:rStyle w:val="Strong"/>
          <w:b w:val="0"/>
          <w:sz w:val="20"/>
          <w:szCs w:val="20"/>
        </w:rPr>
        <w:t xml:space="preserve">and </w:t>
      </w:r>
      <w:r w:rsidRPr="00F00042">
        <w:rPr>
          <w:rStyle w:val="Strong"/>
          <w:b w:val="0"/>
          <w:color w:val="000000"/>
          <w:sz w:val="20"/>
          <w:szCs w:val="20"/>
        </w:rPr>
        <w:t>Tabellini</w:t>
      </w:r>
      <w:r w:rsidRPr="00F00042">
        <w:rPr>
          <w:rStyle w:val="Strong"/>
          <w:color w:val="000000"/>
          <w:sz w:val="20"/>
          <w:szCs w:val="20"/>
        </w:rPr>
        <w:t xml:space="preserve"> </w:t>
      </w:r>
      <w:r w:rsidRPr="00F00042">
        <w:rPr>
          <w:rStyle w:val="Strong"/>
          <w:b w:val="0"/>
          <w:color w:val="000000"/>
          <w:sz w:val="20"/>
          <w:szCs w:val="20"/>
        </w:rPr>
        <w:t>(</w:t>
      </w:r>
      <w:r w:rsidRPr="00F00042">
        <w:rPr>
          <w:sz w:val="20"/>
          <w:szCs w:val="20"/>
        </w:rPr>
        <w:t>2008), Mendoza and Oviedo (2006), Il</w:t>
      </w:r>
      <w:r w:rsidR="00F00042" w:rsidRPr="00F00042">
        <w:rPr>
          <w:sz w:val="20"/>
          <w:szCs w:val="20"/>
        </w:rPr>
        <w:t>zetski and Vegh (2008),</w:t>
      </w:r>
      <w:r w:rsidRPr="00F00042">
        <w:rPr>
          <w:sz w:val="20"/>
          <w:szCs w:val="20"/>
        </w:rPr>
        <w:t xml:space="preserve"> Medas and Zakharova (2009)</w:t>
      </w:r>
      <w:r w:rsidR="00262DEE">
        <w:rPr>
          <w:sz w:val="20"/>
          <w:szCs w:val="20"/>
        </w:rPr>
        <w:t xml:space="preserve">,  </w:t>
      </w:r>
      <w:r w:rsidR="00F00042" w:rsidRPr="00F00042">
        <w:rPr>
          <w:sz w:val="20"/>
          <w:szCs w:val="20"/>
        </w:rPr>
        <w:t>Arezki, Hamilton and Kazimov (2011)</w:t>
      </w:r>
      <w:r w:rsidR="00A5654E">
        <w:rPr>
          <w:sz w:val="20"/>
          <w:szCs w:val="20"/>
        </w:rPr>
        <w:t xml:space="preserve"> and Erbil (2011)</w:t>
      </w:r>
      <w:r w:rsidR="00262DEE" w:rsidRPr="00262DEE">
        <w:rPr>
          <w:sz w:val="20"/>
          <w:szCs w:val="20"/>
        </w:rPr>
        <w:t>.</w:t>
      </w:r>
      <w:r w:rsidR="00F00042" w:rsidRPr="00F00042">
        <w:rPr>
          <w:sz w:val="20"/>
          <w:szCs w:val="20"/>
        </w:rPr>
        <w:t xml:space="preserve"> </w:t>
      </w:r>
    </w:p>
  </w:footnote>
  <w:footnote w:id="6">
    <w:p w:rsidR="009B7C82" w:rsidRPr="00F00042" w:rsidRDefault="009B7C82" w:rsidP="009B7C82">
      <w:pPr>
        <w:pStyle w:val="FootnoteText"/>
      </w:pPr>
      <w:r w:rsidRPr="00F00042">
        <w:rPr>
          <w:rStyle w:val="FootnoteReference"/>
        </w:rPr>
        <w:footnoteRef/>
      </w:r>
      <w:r w:rsidRPr="00F00042">
        <w:t xml:space="preserve">  Gelb (1986) and Medas and Zakharova (2009), respectively.</w:t>
      </w:r>
      <w:r w:rsidR="00F00042" w:rsidRPr="00F00042">
        <w:br/>
      </w:r>
    </w:p>
  </w:footnote>
  <w:footnote w:id="7">
    <w:p w:rsidR="004A37C3" w:rsidRDefault="004A37C3" w:rsidP="004A37C3">
      <w:pPr>
        <w:pStyle w:val="FootnoteText"/>
      </w:pPr>
      <w:r w:rsidRPr="00F00042">
        <w:rPr>
          <w:rStyle w:val="FootnoteReference"/>
        </w:rPr>
        <w:footnoteRef/>
      </w:r>
      <w:r w:rsidRPr="00F00042">
        <w:t xml:space="preserve"> </w:t>
      </w:r>
      <w:r w:rsidR="00F00042" w:rsidRPr="00F00042">
        <w:t xml:space="preserve"> </w:t>
      </w:r>
      <w:r w:rsidRPr="00F00042">
        <w:rPr>
          <w:rFonts w:cs="Times New Roman"/>
          <w:color w:val="333333"/>
        </w:rPr>
        <w:t xml:space="preserve">Céspedes and Velasco (2014) and </w:t>
      </w:r>
      <w:r w:rsidRPr="00F00042">
        <w:rPr>
          <w:rFonts w:cs="Times New Roman"/>
        </w:rPr>
        <w:t xml:space="preserve">Frankel, </w:t>
      </w:r>
      <w:r w:rsidRPr="00F00042">
        <w:rPr>
          <w:rFonts w:cs="Times New Roman"/>
          <w:color w:val="000000"/>
        </w:rPr>
        <w:t>V</w:t>
      </w:r>
      <w:r w:rsidRPr="00F00042">
        <w:rPr>
          <w:rFonts w:cs="Times New Roman"/>
        </w:rPr>
        <w:t>égh</w:t>
      </w:r>
      <w:r w:rsidRPr="00F00042">
        <w:rPr>
          <w:rStyle w:val="apple-converted-space"/>
          <w:rFonts w:cs="Times New Roman"/>
          <w:color w:val="000000"/>
        </w:rPr>
        <w:t> </w:t>
      </w:r>
      <w:r w:rsidRPr="00F00042">
        <w:rPr>
          <w:rFonts w:cs="Times New Roman"/>
          <w:color w:val="000000"/>
        </w:rPr>
        <w:t xml:space="preserve">and Vuletin </w:t>
      </w:r>
      <w:r w:rsidRPr="00F00042">
        <w:rPr>
          <w:rFonts w:cs="Times New Roman"/>
        </w:rPr>
        <w:t>(2013).</w:t>
      </w:r>
    </w:p>
  </w:footnote>
  <w:footnote w:id="8">
    <w:p w:rsidR="004A37C3" w:rsidRDefault="004A37C3" w:rsidP="004A37C3">
      <w:pPr>
        <w:pStyle w:val="FootnoteText"/>
      </w:pPr>
      <w:r>
        <w:rPr>
          <w:rStyle w:val="FootnoteReference"/>
        </w:rPr>
        <w:footnoteRef/>
      </w:r>
      <w:r>
        <w:t xml:space="preserve"> </w:t>
      </w:r>
      <w:r w:rsidRPr="00486625">
        <w:t>Frankel</w:t>
      </w:r>
      <w:r>
        <w:t xml:space="preserve"> and Schreger</w:t>
      </w:r>
      <w:r w:rsidRPr="00486625">
        <w:t xml:space="preserve"> </w:t>
      </w:r>
      <w:r>
        <w:t>(2013).</w:t>
      </w:r>
      <w:r w:rsidR="00FF4DB0">
        <w:br/>
      </w:r>
    </w:p>
  </w:footnote>
  <w:footnote w:id="9">
    <w:p w:rsidR="004A37C3" w:rsidRPr="00E40C4F" w:rsidRDefault="004A37C3" w:rsidP="004A37C3">
      <w:pPr>
        <w:pStyle w:val="FootnoteText"/>
      </w:pPr>
      <w:r w:rsidRPr="00E40C4F">
        <w:rPr>
          <w:rStyle w:val="FootnoteReference"/>
        </w:rPr>
        <w:footnoteRef/>
      </w:r>
      <w:r w:rsidRPr="00E40C4F">
        <w:t xml:space="preserve"> Frankel (2013).</w:t>
      </w:r>
      <w:r w:rsidRPr="00E40C4F">
        <w:rPr>
          <w:rStyle w:val="apple-converted-space"/>
          <w:color w:val="000000"/>
          <w:shd w:val="clear" w:color="auto" w:fill="FFFFFF"/>
        </w:rPr>
        <w:t> </w:t>
      </w:r>
      <w:r w:rsidRPr="00E40C4F">
        <w:rPr>
          <w:rStyle w:val="apple-converted-space"/>
          <w:color w:val="333333"/>
          <w:shd w:val="clear" w:color="auto" w:fill="FFFFFF"/>
        </w:rPr>
        <w:t xml:space="preserve"> Summarized in</w:t>
      </w:r>
      <w:r>
        <w:rPr>
          <w:rStyle w:val="apple-converted-space"/>
          <w:color w:val="333333"/>
          <w:shd w:val="clear" w:color="auto" w:fill="FFFFFF"/>
        </w:rPr>
        <w:t xml:space="preserve"> “</w:t>
      </w:r>
      <w:hyperlink r:id="rId8" w:history="1">
        <w:r>
          <w:rPr>
            <w:rStyle w:val="Hyperlink"/>
            <w:shd w:val="clear" w:color="auto" w:fill="FFFFFF"/>
          </w:rPr>
          <w:t>Chile’s Countercyclical Triumph</w:t>
        </w:r>
      </w:hyperlink>
      <w:r>
        <w:rPr>
          <w:rStyle w:val="apple-converted-space"/>
          <w:color w:val="000000"/>
          <w:shd w:val="clear" w:color="auto" w:fill="FFFFFF"/>
        </w:rPr>
        <w:t>,”</w:t>
      </w:r>
      <w:r w:rsidRPr="00E40C4F">
        <w:rPr>
          <w:i/>
        </w:rPr>
        <w:t xml:space="preserve"> </w:t>
      </w:r>
      <w:hyperlink r:id="rId9" w:history="1">
        <w:r w:rsidRPr="00E40C4F">
          <w:rPr>
            <w:rStyle w:val="Hyperlink"/>
            <w:i/>
            <w:shd w:val="clear" w:color="auto" w:fill="FFFFFF"/>
          </w:rPr>
          <w:t>Foreign Policy</w:t>
        </w:r>
      </w:hyperlink>
      <w:r>
        <w:rPr>
          <w:color w:val="000000"/>
          <w:shd w:val="clear" w:color="auto" w:fill="FFFFFF"/>
        </w:rPr>
        <w:t>,</w:t>
      </w:r>
      <w:r w:rsidRPr="00E40C4F">
        <w:rPr>
          <w:rStyle w:val="apple-converted-space"/>
          <w:color w:val="000000"/>
          <w:shd w:val="clear" w:color="auto" w:fill="FFFFFF"/>
        </w:rPr>
        <w:t> </w:t>
      </w:r>
      <w:r w:rsidRPr="00E40C4F">
        <w:rPr>
          <w:color w:val="000000"/>
          <w:shd w:val="clear" w:color="auto" w:fill="FFFFFF"/>
        </w:rPr>
        <w:t>June 2012.</w:t>
      </w:r>
      <w:r w:rsidR="00262DEE">
        <w:rPr>
          <w:color w:val="000000"/>
          <w:shd w:val="clear" w:color="auto" w:fill="FFFFFF"/>
        </w:rPr>
        <w:br/>
      </w:r>
    </w:p>
  </w:footnote>
  <w:footnote w:id="10">
    <w:p w:rsidR="004A37C3" w:rsidRDefault="004A37C3" w:rsidP="00262DEE">
      <w:pPr>
        <w:pStyle w:val="FootnoteText"/>
      </w:pPr>
      <w:r>
        <w:rPr>
          <w:rStyle w:val="FootnoteReference"/>
        </w:rPr>
        <w:footnoteRef/>
      </w:r>
      <w:r>
        <w:t xml:space="preserve"> Fraga, Goldfajn, and Minella (2003).</w:t>
      </w:r>
      <w:r w:rsidR="00FF4DB0">
        <w:br/>
      </w:r>
    </w:p>
  </w:footnote>
  <w:footnote w:id="11">
    <w:p w:rsidR="004A37C3" w:rsidRPr="00FF4DB0" w:rsidRDefault="004A37C3" w:rsidP="007563A9">
      <w:pPr>
        <w:pStyle w:val="FootnoteText"/>
        <w:ind w:left="720"/>
      </w:pPr>
      <w:r w:rsidRPr="00FF4DB0">
        <w:rPr>
          <w:rStyle w:val="FootnoteReference"/>
        </w:rPr>
        <w:footnoteRef/>
      </w:r>
      <w:r w:rsidRPr="00FF4DB0">
        <w:t xml:space="preserve"> </w:t>
      </w:r>
      <w:r w:rsidRPr="00FF4DB0">
        <w:rPr>
          <w:rFonts w:cs="Arial"/>
          <w:color w:val="222222"/>
          <w:shd w:val="clear" w:color="auto" w:fill="FFFFFF"/>
        </w:rPr>
        <w:t>Cashin, Céspedes, and Sahay (2004);  Chen and Rogoff (2003).</w:t>
      </w:r>
      <w:r w:rsidR="002438B7">
        <w:rPr>
          <w:rFonts w:cs="Arial"/>
          <w:color w:val="222222"/>
          <w:shd w:val="clear" w:color="auto" w:fill="FFFFFF"/>
        </w:rPr>
        <w:br/>
      </w:r>
    </w:p>
  </w:footnote>
  <w:footnote w:id="12">
    <w:p w:rsidR="004A37C3" w:rsidRPr="00FF4DB0" w:rsidRDefault="004A37C3" w:rsidP="00A83D67">
      <w:pPr>
        <w:pStyle w:val="FootnoteText"/>
        <w:ind w:left="720"/>
      </w:pPr>
      <w:r w:rsidRPr="00FF4DB0">
        <w:rPr>
          <w:rStyle w:val="FootnoteReference"/>
        </w:rPr>
        <w:footnoteRef/>
      </w:r>
      <w:r w:rsidRPr="00FF4DB0">
        <w:t xml:space="preserve"> </w:t>
      </w:r>
      <w:r w:rsidR="00FF4DB0">
        <w:t xml:space="preserve"> </w:t>
      </w:r>
      <w:r w:rsidRPr="00FF4DB0">
        <w:t>Frankel (2011, 2012).</w:t>
      </w:r>
      <w:r w:rsidR="00FF4DB0">
        <w:br/>
      </w:r>
    </w:p>
  </w:footnote>
  <w:footnote w:id="13">
    <w:p w:rsidR="004A37C3" w:rsidRPr="00E504B2" w:rsidRDefault="004A37C3" w:rsidP="002A03BE">
      <w:pPr>
        <w:pStyle w:val="FootnoteText"/>
        <w:ind w:left="720"/>
      </w:pPr>
      <w:r>
        <w:rPr>
          <w:rStyle w:val="FootnoteReference"/>
        </w:rPr>
        <w:footnoteRef/>
      </w:r>
      <w:r>
        <w:t xml:space="preserve"> </w:t>
      </w:r>
      <w:r w:rsidRPr="00E504B2">
        <w:t>Frankel (2014)</w:t>
      </w:r>
      <w:r w:rsidRPr="00E504B2">
        <w:rPr>
          <w:color w:val="000000"/>
        </w:rPr>
        <w:t xml:space="preserve">; summarized in </w:t>
      </w:r>
      <w:r w:rsidRPr="00E504B2">
        <w:rPr>
          <w:rStyle w:val="Emphasis"/>
          <w:i w:val="0"/>
          <w:iCs w:val="0"/>
          <w:color w:val="000000"/>
        </w:rPr>
        <w:t>"</w:t>
      </w:r>
      <w:hyperlink r:id="rId10" w:history="1">
        <w:r w:rsidRPr="00E504B2">
          <w:rPr>
            <w:rStyle w:val="Hyperlink"/>
          </w:rPr>
          <w:t>Nominal GDP Targeting for Developing Countries</w:t>
        </w:r>
      </w:hyperlink>
      <w:r w:rsidRPr="00E504B2">
        <w:rPr>
          <w:rStyle w:val="Emphasis"/>
          <w:i w:val="0"/>
          <w:iCs w:val="0"/>
          <w:color w:val="000000"/>
        </w:rPr>
        <w:t>," </w:t>
      </w:r>
      <w:hyperlink r:id="rId11" w:history="1">
        <w:r w:rsidRPr="00E504B2">
          <w:rPr>
            <w:rStyle w:val="Hyperlink"/>
            <w:i/>
            <w:iCs/>
          </w:rPr>
          <w:t>VoxEU,</w:t>
        </w:r>
      </w:hyperlink>
      <w:r w:rsidRPr="00E504B2">
        <w:rPr>
          <w:rStyle w:val="apple-converted-space"/>
          <w:i/>
          <w:iCs/>
          <w:color w:val="000000"/>
        </w:rPr>
        <w:t> </w:t>
      </w:r>
      <w:r w:rsidRPr="00E504B2">
        <w:rPr>
          <w:rStyle w:val="Emphasis"/>
          <w:i w:val="0"/>
          <w:iCs w:val="0"/>
          <w:color w:val="000000"/>
        </w:rPr>
        <w:t> Aug.2014.</w:t>
      </w:r>
    </w:p>
  </w:footnote>
  <w:footnote w:id="14">
    <w:p w:rsidR="004A37C3" w:rsidRDefault="004A37C3" w:rsidP="00FF4DB0">
      <w:pPr>
        <w:pStyle w:val="FootnoteText"/>
      </w:pPr>
      <w:r>
        <w:rPr>
          <w:rStyle w:val="FootnoteReference"/>
        </w:rPr>
        <w:footnoteRef/>
      </w:r>
      <w:r>
        <w:t xml:space="preserve"> </w:t>
      </w:r>
      <w:r w:rsidRPr="009743F2">
        <w:t>During a boom, the country does no</w:t>
      </w:r>
      <w:r>
        <w:t xml:space="preserve">t know in real time whether </w:t>
      </w:r>
      <w:r w:rsidRPr="009743F2">
        <w:t xml:space="preserve">rapid </w:t>
      </w:r>
      <w:r>
        <w:t xml:space="preserve">productivity </w:t>
      </w:r>
      <w:r w:rsidRPr="009743F2">
        <w:t>growth is permanent (it is the next Asian Tiger) or temporary (the result of a transitory fluctuation in commodity markets or domestic demand)</w:t>
      </w:r>
      <w:r>
        <w:t>.</w:t>
      </w:r>
      <w:r>
        <w:rPr>
          <w:color w:val="000000"/>
        </w:rPr>
        <w:t xml:space="preserve">  But precisely because exogenous productivity shocks are hard to measure, extreme weather events and commodity price fluctuations are more useful as instrumental variables.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967"/>
    <w:multiLevelType w:val="hybridMultilevel"/>
    <w:tmpl w:val="158E2D3A"/>
    <w:lvl w:ilvl="0" w:tplc="6E646B3C">
      <w:start w:val="1"/>
      <w:numFmt w:val="bullet"/>
      <w:lvlText w:val="•"/>
      <w:lvlJc w:val="left"/>
      <w:pPr>
        <w:tabs>
          <w:tab w:val="num" w:pos="720"/>
        </w:tabs>
        <w:ind w:left="720" w:hanging="360"/>
      </w:pPr>
      <w:rPr>
        <w:rFonts w:ascii="Arial" w:hAnsi="Arial" w:hint="default"/>
      </w:rPr>
    </w:lvl>
    <w:lvl w:ilvl="1" w:tplc="42982B68">
      <w:start w:val="496"/>
      <w:numFmt w:val="bullet"/>
      <w:lvlText w:val="–"/>
      <w:lvlJc w:val="left"/>
      <w:pPr>
        <w:tabs>
          <w:tab w:val="num" w:pos="1440"/>
        </w:tabs>
        <w:ind w:left="1440" w:hanging="360"/>
      </w:pPr>
      <w:rPr>
        <w:rFonts w:ascii="Arial" w:hAnsi="Arial" w:hint="default"/>
      </w:rPr>
    </w:lvl>
    <w:lvl w:ilvl="2" w:tplc="90720960">
      <w:start w:val="496"/>
      <w:numFmt w:val="bullet"/>
      <w:lvlText w:val="•"/>
      <w:lvlJc w:val="left"/>
      <w:pPr>
        <w:tabs>
          <w:tab w:val="num" w:pos="2160"/>
        </w:tabs>
        <w:ind w:left="2160" w:hanging="360"/>
      </w:pPr>
      <w:rPr>
        <w:rFonts w:ascii="Arial" w:hAnsi="Arial" w:hint="default"/>
      </w:rPr>
    </w:lvl>
    <w:lvl w:ilvl="3" w:tplc="08A27E6E" w:tentative="1">
      <w:start w:val="1"/>
      <w:numFmt w:val="bullet"/>
      <w:lvlText w:val="•"/>
      <w:lvlJc w:val="left"/>
      <w:pPr>
        <w:tabs>
          <w:tab w:val="num" w:pos="2880"/>
        </w:tabs>
        <w:ind w:left="2880" w:hanging="360"/>
      </w:pPr>
      <w:rPr>
        <w:rFonts w:ascii="Arial" w:hAnsi="Arial" w:hint="default"/>
      </w:rPr>
    </w:lvl>
    <w:lvl w:ilvl="4" w:tplc="B9AC8174" w:tentative="1">
      <w:start w:val="1"/>
      <w:numFmt w:val="bullet"/>
      <w:lvlText w:val="•"/>
      <w:lvlJc w:val="left"/>
      <w:pPr>
        <w:tabs>
          <w:tab w:val="num" w:pos="3600"/>
        </w:tabs>
        <w:ind w:left="3600" w:hanging="360"/>
      </w:pPr>
      <w:rPr>
        <w:rFonts w:ascii="Arial" w:hAnsi="Arial" w:hint="default"/>
      </w:rPr>
    </w:lvl>
    <w:lvl w:ilvl="5" w:tplc="E1367AA2" w:tentative="1">
      <w:start w:val="1"/>
      <w:numFmt w:val="bullet"/>
      <w:lvlText w:val="•"/>
      <w:lvlJc w:val="left"/>
      <w:pPr>
        <w:tabs>
          <w:tab w:val="num" w:pos="4320"/>
        </w:tabs>
        <w:ind w:left="4320" w:hanging="360"/>
      </w:pPr>
      <w:rPr>
        <w:rFonts w:ascii="Arial" w:hAnsi="Arial" w:hint="default"/>
      </w:rPr>
    </w:lvl>
    <w:lvl w:ilvl="6" w:tplc="2292A8AC" w:tentative="1">
      <w:start w:val="1"/>
      <w:numFmt w:val="bullet"/>
      <w:lvlText w:val="•"/>
      <w:lvlJc w:val="left"/>
      <w:pPr>
        <w:tabs>
          <w:tab w:val="num" w:pos="5040"/>
        </w:tabs>
        <w:ind w:left="5040" w:hanging="360"/>
      </w:pPr>
      <w:rPr>
        <w:rFonts w:ascii="Arial" w:hAnsi="Arial" w:hint="default"/>
      </w:rPr>
    </w:lvl>
    <w:lvl w:ilvl="7" w:tplc="540A8C42" w:tentative="1">
      <w:start w:val="1"/>
      <w:numFmt w:val="bullet"/>
      <w:lvlText w:val="•"/>
      <w:lvlJc w:val="left"/>
      <w:pPr>
        <w:tabs>
          <w:tab w:val="num" w:pos="5760"/>
        </w:tabs>
        <w:ind w:left="5760" w:hanging="360"/>
      </w:pPr>
      <w:rPr>
        <w:rFonts w:ascii="Arial" w:hAnsi="Arial" w:hint="default"/>
      </w:rPr>
    </w:lvl>
    <w:lvl w:ilvl="8" w:tplc="4D14489E" w:tentative="1">
      <w:start w:val="1"/>
      <w:numFmt w:val="bullet"/>
      <w:lvlText w:val="•"/>
      <w:lvlJc w:val="left"/>
      <w:pPr>
        <w:tabs>
          <w:tab w:val="num" w:pos="6480"/>
        </w:tabs>
        <w:ind w:left="6480" w:hanging="360"/>
      </w:pPr>
      <w:rPr>
        <w:rFonts w:ascii="Arial" w:hAnsi="Arial" w:hint="default"/>
      </w:rPr>
    </w:lvl>
  </w:abstractNum>
  <w:abstractNum w:abstractNumId="1">
    <w:nsid w:val="17362CF5"/>
    <w:multiLevelType w:val="hybridMultilevel"/>
    <w:tmpl w:val="CF4085D2"/>
    <w:lvl w:ilvl="0" w:tplc="687E0D7C">
      <w:start w:val="1"/>
      <w:numFmt w:val="bullet"/>
      <w:lvlText w:val="•"/>
      <w:lvlJc w:val="left"/>
      <w:pPr>
        <w:tabs>
          <w:tab w:val="num" w:pos="1080"/>
        </w:tabs>
        <w:ind w:left="1080" w:hanging="360"/>
      </w:pPr>
      <w:rPr>
        <w:rFonts w:ascii="Arial" w:hAnsi="Arial" w:hint="default"/>
      </w:rPr>
    </w:lvl>
    <w:lvl w:ilvl="1" w:tplc="B5C4AD72" w:tentative="1">
      <w:start w:val="1"/>
      <w:numFmt w:val="bullet"/>
      <w:lvlText w:val="•"/>
      <w:lvlJc w:val="left"/>
      <w:pPr>
        <w:tabs>
          <w:tab w:val="num" w:pos="1800"/>
        </w:tabs>
        <w:ind w:left="1800" w:hanging="360"/>
      </w:pPr>
      <w:rPr>
        <w:rFonts w:ascii="Arial" w:hAnsi="Arial" w:hint="default"/>
      </w:rPr>
    </w:lvl>
    <w:lvl w:ilvl="2" w:tplc="9626B6D2" w:tentative="1">
      <w:start w:val="1"/>
      <w:numFmt w:val="bullet"/>
      <w:lvlText w:val="•"/>
      <w:lvlJc w:val="left"/>
      <w:pPr>
        <w:tabs>
          <w:tab w:val="num" w:pos="2520"/>
        </w:tabs>
        <w:ind w:left="2520" w:hanging="360"/>
      </w:pPr>
      <w:rPr>
        <w:rFonts w:ascii="Arial" w:hAnsi="Arial" w:hint="default"/>
      </w:rPr>
    </w:lvl>
    <w:lvl w:ilvl="3" w:tplc="44827A98" w:tentative="1">
      <w:start w:val="1"/>
      <w:numFmt w:val="bullet"/>
      <w:lvlText w:val="•"/>
      <w:lvlJc w:val="left"/>
      <w:pPr>
        <w:tabs>
          <w:tab w:val="num" w:pos="3240"/>
        </w:tabs>
        <w:ind w:left="3240" w:hanging="360"/>
      </w:pPr>
      <w:rPr>
        <w:rFonts w:ascii="Arial" w:hAnsi="Arial" w:hint="default"/>
      </w:rPr>
    </w:lvl>
    <w:lvl w:ilvl="4" w:tplc="A2481A7E" w:tentative="1">
      <w:start w:val="1"/>
      <w:numFmt w:val="bullet"/>
      <w:lvlText w:val="•"/>
      <w:lvlJc w:val="left"/>
      <w:pPr>
        <w:tabs>
          <w:tab w:val="num" w:pos="3960"/>
        </w:tabs>
        <w:ind w:left="3960" w:hanging="360"/>
      </w:pPr>
      <w:rPr>
        <w:rFonts w:ascii="Arial" w:hAnsi="Arial" w:hint="default"/>
      </w:rPr>
    </w:lvl>
    <w:lvl w:ilvl="5" w:tplc="BF76A9B0" w:tentative="1">
      <w:start w:val="1"/>
      <w:numFmt w:val="bullet"/>
      <w:lvlText w:val="•"/>
      <w:lvlJc w:val="left"/>
      <w:pPr>
        <w:tabs>
          <w:tab w:val="num" w:pos="4680"/>
        </w:tabs>
        <w:ind w:left="4680" w:hanging="360"/>
      </w:pPr>
      <w:rPr>
        <w:rFonts w:ascii="Arial" w:hAnsi="Arial" w:hint="default"/>
      </w:rPr>
    </w:lvl>
    <w:lvl w:ilvl="6" w:tplc="6954487C" w:tentative="1">
      <w:start w:val="1"/>
      <w:numFmt w:val="bullet"/>
      <w:lvlText w:val="•"/>
      <w:lvlJc w:val="left"/>
      <w:pPr>
        <w:tabs>
          <w:tab w:val="num" w:pos="5400"/>
        </w:tabs>
        <w:ind w:left="5400" w:hanging="360"/>
      </w:pPr>
      <w:rPr>
        <w:rFonts w:ascii="Arial" w:hAnsi="Arial" w:hint="default"/>
      </w:rPr>
    </w:lvl>
    <w:lvl w:ilvl="7" w:tplc="4BF8DA7A" w:tentative="1">
      <w:start w:val="1"/>
      <w:numFmt w:val="bullet"/>
      <w:lvlText w:val="•"/>
      <w:lvlJc w:val="left"/>
      <w:pPr>
        <w:tabs>
          <w:tab w:val="num" w:pos="6120"/>
        </w:tabs>
        <w:ind w:left="6120" w:hanging="360"/>
      </w:pPr>
      <w:rPr>
        <w:rFonts w:ascii="Arial" w:hAnsi="Arial" w:hint="default"/>
      </w:rPr>
    </w:lvl>
    <w:lvl w:ilvl="8" w:tplc="285EEC30" w:tentative="1">
      <w:start w:val="1"/>
      <w:numFmt w:val="bullet"/>
      <w:lvlText w:val="•"/>
      <w:lvlJc w:val="left"/>
      <w:pPr>
        <w:tabs>
          <w:tab w:val="num" w:pos="6840"/>
        </w:tabs>
        <w:ind w:left="6840" w:hanging="360"/>
      </w:pPr>
      <w:rPr>
        <w:rFonts w:ascii="Arial" w:hAnsi="Arial" w:hint="default"/>
      </w:rPr>
    </w:lvl>
  </w:abstractNum>
  <w:abstractNum w:abstractNumId="2">
    <w:nsid w:val="1B792691"/>
    <w:multiLevelType w:val="hybridMultilevel"/>
    <w:tmpl w:val="743E095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nsid w:val="38A13DE4"/>
    <w:multiLevelType w:val="hybridMultilevel"/>
    <w:tmpl w:val="2746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54F11"/>
    <w:multiLevelType w:val="hybridMultilevel"/>
    <w:tmpl w:val="E92A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425E90"/>
    <w:multiLevelType w:val="hybridMultilevel"/>
    <w:tmpl w:val="2898DA6E"/>
    <w:lvl w:ilvl="0" w:tplc="6588885C">
      <w:start w:val="1"/>
      <w:numFmt w:val="decimal"/>
      <w:lvlText w:val="%1."/>
      <w:lvlJc w:val="left"/>
      <w:pPr>
        <w:tabs>
          <w:tab w:val="num" w:pos="720"/>
        </w:tabs>
        <w:ind w:left="720" w:hanging="360"/>
      </w:pPr>
    </w:lvl>
    <w:lvl w:ilvl="1" w:tplc="C60EBDCC" w:tentative="1">
      <w:start w:val="1"/>
      <w:numFmt w:val="decimal"/>
      <w:lvlText w:val="%2."/>
      <w:lvlJc w:val="left"/>
      <w:pPr>
        <w:tabs>
          <w:tab w:val="num" w:pos="1440"/>
        </w:tabs>
        <w:ind w:left="1440" w:hanging="360"/>
      </w:pPr>
    </w:lvl>
    <w:lvl w:ilvl="2" w:tplc="E83836E4" w:tentative="1">
      <w:start w:val="1"/>
      <w:numFmt w:val="decimal"/>
      <w:lvlText w:val="%3."/>
      <w:lvlJc w:val="left"/>
      <w:pPr>
        <w:tabs>
          <w:tab w:val="num" w:pos="2160"/>
        </w:tabs>
        <w:ind w:left="2160" w:hanging="360"/>
      </w:pPr>
    </w:lvl>
    <w:lvl w:ilvl="3" w:tplc="38961E48" w:tentative="1">
      <w:start w:val="1"/>
      <w:numFmt w:val="decimal"/>
      <w:lvlText w:val="%4."/>
      <w:lvlJc w:val="left"/>
      <w:pPr>
        <w:tabs>
          <w:tab w:val="num" w:pos="2880"/>
        </w:tabs>
        <w:ind w:left="2880" w:hanging="360"/>
      </w:pPr>
    </w:lvl>
    <w:lvl w:ilvl="4" w:tplc="353CB5F6" w:tentative="1">
      <w:start w:val="1"/>
      <w:numFmt w:val="decimal"/>
      <w:lvlText w:val="%5."/>
      <w:lvlJc w:val="left"/>
      <w:pPr>
        <w:tabs>
          <w:tab w:val="num" w:pos="3600"/>
        </w:tabs>
        <w:ind w:left="3600" w:hanging="360"/>
      </w:pPr>
    </w:lvl>
    <w:lvl w:ilvl="5" w:tplc="4C56FE66" w:tentative="1">
      <w:start w:val="1"/>
      <w:numFmt w:val="decimal"/>
      <w:lvlText w:val="%6."/>
      <w:lvlJc w:val="left"/>
      <w:pPr>
        <w:tabs>
          <w:tab w:val="num" w:pos="4320"/>
        </w:tabs>
        <w:ind w:left="4320" w:hanging="360"/>
      </w:pPr>
    </w:lvl>
    <w:lvl w:ilvl="6" w:tplc="26D63CD6" w:tentative="1">
      <w:start w:val="1"/>
      <w:numFmt w:val="decimal"/>
      <w:lvlText w:val="%7."/>
      <w:lvlJc w:val="left"/>
      <w:pPr>
        <w:tabs>
          <w:tab w:val="num" w:pos="5040"/>
        </w:tabs>
        <w:ind w:left="5040" w:hanging="360"/>
      </w:pPr>
    </w:lvl>
    <w:lvl w:ilvl="7" w:tplc="432420B0" w:tentative="1">
      <w:start w:val="1"/>
      <w:numFmt w:val="decimal"/>
      <w:lvlText w:val="%8."/>
      <w:lvlJc w:val="left"/>
      <w:pPr>
        <w:tabs>
          <w:tab w:val="num" w:pos="5760"/>
        </w:tabs>
        <w:ind w:left="5760" w:hanging="360"/>
      </w:pPr>
    </w:lvl>
    <w:lvl w:ilvl="8" w:tplc="5D9E029A" w:tentative="1">
      <w:start w:val="1"/>
      <w:numFmt w:val="decimal"/>
      <w:lvlText w:val="%9."/>
      <w:lvlJc w:val="left"/>
      <w:pPr>
        <w:tabs>
          <w:tab w:val="num" w:pos="6480"/>
        </w:tabs>
        <w:ind w:left="6480" w:hanging="360"/>
      </w:pPr>
    </w:lvl>
  </w:abstractNum>
  <w:abstractNum w:abstractNumId="6">
    <w:nsid w:val="6EC6716D"/>
    <w:multiLevelType w:val="hybridMultilevel"/>
    <w:tmpl w:val="5316D350"/>
    <w:lvl w:ilvl="0" w:tplc="590CA2A0">
      <w:start w:val="1"/>
      <w:numFmt w:val="bullet"/>
      <w:lvlText w:val="–"/>
      <w:lvlJc w:val="left"/>
      <w:pPr>
        <w:tabs>
          <w:tab w:val="num" w:pos="720"/>
        </w:tabs>
        <w:ind w:left="720" w:hanging="360"/>
      </w:pPr>
      <w:rPr>
        <w:rFonts w:ascii="Arial" w:hAnsi="Arial" w:hint="default"/>
      </w:rPr>
    </w:lvl>
    <w:lvl w:ilvl="1" w:tplc="62FCE55C">
      <w:start w:val="1"/>
      <w:numFmt w:val="bullet"/>
      <w:lvlText w:val="–"/>
      <w:lvlJc w:val="left"/>
      <w:pPr>
        <w:tabs>
          <w:tab w:val="num" w:pos="1440"/>
        </w:tabs>
        <w:ind w:left="1440" w:hanging="360"/>
      </w:pPr>
      <w:rPr>
        <w:rFonts w:ascii="Arial" w:hAnsi="Arial" w:hint="default"/>
      </w:rPr>
    </w:lvl>
    <w:lvl w:ilvl="2" w:tplc="AC8E7752" w:tentative="1">
      <w:start w:val="1"/>
      <w:numFmt w:val="bullet"/>
      <w:lvlText w:val="–"/>
      <w:lvlJc w:val="left"/>
      <w:pPr>
        <w:tabs>
          <w:tab w:val="num" w:pos="2160"/>
        </w:tabs>
        <w:ind w:left="2160" w:hanging="360"/>
      </w:pPr>
      <w:rPr>
        <w:rFonts w:ascii="Arial" w:hAnsi="Arial" w:hint="default"/>
      </w:rPr>
    </w:lvl>
    <w:lvl w:ilvl="3" w:tplc="E20EDC56" w:tentative="1">
      <w:start w:val="1"/>
      <w:numFmt w:val="bullet"/>
      <w:lvlText w:val="–"/>
      <w:lvlJc w:val="left"/>
      <w:pPr>
        <w:tabs>
          <w:tab w:val="num" w:pos="2880"/>
        </w:tabs>
        <w:ind w:left="2880" w:hanging="360"/>
      </w:pPr>
      <w:rPr>
        <w:rFonts w:ascii="Arial" w:hAnsi="Arial" w:hint="default"/>
      </w:rPr>
    </w:lvl>
    <w:lvl w:ilvl="4" w:tplc="8A488FC6" w:tentative="1">
      <w:start w:val="1"/>
      <w:numFmt w:val="bullet"/>
      <w:lvlText w:val="–"/>
      <w:lvlJc w:val="left"/>
      <w:pPr>
        <w:tabs>
          <w:tab w:val="num" w:pos="3600"/>
        </w:tabs>
        <w:ind w:left="3600" w:hanging="360"/>
      </w:pPr>
      <w:rPr>
        <w:rFonts w:ascii="Arial" w:hAnsi="Arial" w:hint="default"/>
      </w:rPr>
    </w:lvl>
    <w:lvl w:ilvl="5" w:tplc="3D9CE6BC" w:tentative="1">
      <w:start w:val="1"/>
      <w:numFmt w:val="bullet"/>
      <w:lvlText w:val="–"/>
      <w:lvlJc w:val="left"/>
      <w:pPr>
        <w:tabs>
          <w:tab w:val="num" w:pos="4320"/>
        </w:tabs>
        <w:ind w:left="4320" w:hanging="360"/>
      </w:pPr>
      <w:rPr>
        <w:rFonts w:ascii="Arial" w:hAnsi="Arial" w:hint="default"/>
      </w:rPr>
    </w:lvl>
    <w:lvl w:ilvl="6" w:tplc="5EB81C66" w:tentative="1">
      <w:start w:val="1"/>
      <w:numFmt w:val="bullet"/>
      <w:lvlText w:val="–"/>
      <w:lvlJc w:val="left"/>
      <w:pPr>
        <w:tabs>
          <w:tab w:val="num" w:pos="5040"/>
        </w:tabs>
        <w:ind w:left="5040" w:hanging="360"/>
      </w:pPr>
      <w:rPr>
        <w:rFonts w:ascii="Arial" w:hAnsi="Arial" w:hint="default"/>
      </w:rPr>
    </w:lvl>
    <w:lvl w:ilvl="7" w:tplc="CC9ADAA0" w:tentative="1">
      <w:start w:val="1"/>
      <w:numFmt w:val="bullet"/>
      <w:lvlText w:val="–"/>
      <w:lvlJc w:val="left"/>
      <w:pPr>
        <w:tabs>
          <w:tab w:val="num" w:pos="5760"/>
        </w:tabs>
        <w:ind w:left="5760" w:hanging="360"/>
      </w:pPr>
      <w:rPr>
        <w:rFonts w:ascii="Arial" w:hAnsi="Arial" w:hint="default"/>
      </w:rPr>
    </w:lvl>
    <w:lvl w:ilvl="8" w:tplc="B8DC81AC" w:tentative="1">
      <w:start w:val="1"/>
      <w:numFmt w:val="bullet"/>
      <w:lvlText w:val="–"/>
      <w:lvlJc w:val="left"/>
      <w:pPr>
        <w:tabs>
          <w:tab w:val="num" w:pos="6480"/>
        </w:tabs>
        <w:ind w:left="6480" w:hanging="360"/>
      </w:pPr>
      <w:rPr>
        <w:rFonts w:ascii="Arial" w:hAnsi="Arial" w:hint="default"/>
      </w:rPr>
    </w:lvl>
  </w:abstractNum>
  <w:abstractNum w:abstractNumId="7">
    <w:nsid w:val="72224878"/>
    <w:multiLevelType w:val="hybridMultilevel"/>
    <w:tmpl w:val="DD1AB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9D3D98"/>
    <w:multiLevelType w:val="hybridMultilevel"/>
    <w:tmpl w:val="74DC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C388C"/>
    <w:multiLevelType w:val="hybridMultilevel"/>
    <w:tmpl w:val="CA361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1"/>
  </w:num>
  <w:num w:numId="6">
    <w:abstractNumId w:val="4"/>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0D"/>
    <w:rsid w:val="000136DA"/>
    <w:rsid w:val="000B070F"/>
    <w:rsid w:val="000C1531"/>
    <w:rsid w:val="000D7054"/>
    <w:rsid w:val="00105DA4"/>
    <w:rsid w:val="001148F5"/>
    <w:rsid w:val="0011586E"/>
    <w:rsid w:val="001476CA"/>
    <w:rsid w:val="001568E7"/>
    <w:rsid w:val="00160547"/>
    <w:rsid w:val="001676EE"/>
    <w:rsid w:val="00174A75"/>
    <w:rsid w:val="001776CB"/>
    <w:rsid w:val="001C500F"/>
    <w:rsid w:val="001F799A"/>
    <w:rsid w:val="001F7ADE"/>
    <w:rsid w:val="002040C1"/>
    <w:rsid w:val="002242CA"/>
    <w:rsid w:val="00235ABC"/>
    <w:rsid w:val="002438B7"/>
    <w:rsid w:val="00262DEE"/>
    <w:rsid w:val="00271A81"/>
    <w:rsid w:val="00273A07"/>
    <w:rsid w:val="00281557"/>
    <w:rsid w:val="002A03BE"/>
    <w:rsid w:val="002A5074"/>
    <w:rsid w:val="002E2339"/>
    <w:rsid w:val="0032269B"/>
    <w:rsid w:val="00335C6F"/>
    <w:rsid w:val="00335DE6"/>
    <w:rsid w:val="00343C4A"/>
    <w:rsid w:val="0036184F"/>
    <w:rsid w:val="00371DFF"/>
    <w:rsid w:val="00385FD2"/>
    <w:rsid w:val="00391B3A"/>
    <w:rsid w:val="003B4F8B"/>
    <w:rsid w:val="003C7A12"/>
    <w:rsid w:val="003F4763"/>
    <w:rsid w:val="00411961"/>
    <w:rsid w:val="004166C6"/>
    <w:rsid w:val="00430435"/>
    <w:rsid w:val="00434F44"/>
    <w:rsid w:val="004400D4"/>
    <w:rsid w:val="004701DC"/>
    <w:rsid w:val="00486625"/>
    <w:rsid w:val="004964AB"/>
    <w:rsid w:val="004A37C3"/>
    <w:rsid w:val="004B4DDB"/>
    <w:rsid w:val="004B6C62"/>
    <w:rsid w:val="00530082"/>
    <w:rsid w:val="00532850"/>
    <w:rsid w:val="0058581F"/>
    <w:rsid w:val="005869E9"/>
    <w:rsid w:val="00586F10"/>
    <w:rsid w:val="00594934"/>
    <w:rsid w:val="005B3F30"/>
    <w:rsid w:val="005C54A9"/>
    <w:rsid w:val="005D310D"/>
    <w:rsid w:val="005E6D9E"/>
    <w:rsid w:val="005F15AF"/>
    <w:rsid w:val="005F36E6"/>
    <w:rsid w:val="00622F27"/>
    <w:rsid w:val="006B2393"/>
    <w:rsid w:val="006B5832"/>
    <w:rsid w:val="006C510F"/>
    <w:rsid w:val="006E3626"/>
    <w:rsid w:val="00705362"/>
    <w:rsid w:val="007154D7"/>
    <w:rsid w:val="0075348A"/>
    <w:rsid w:val="007563A9"/>
    <w:rsid w:val="007716AC"/>
    <w:rsid w:val="007839B3"/>
    <w:rsid w:val="007857D2"/>
    <w:rsid w:val="007863DF"/>
    <w:rsid w:val="007C531E"/>
    <w:rsid w:val="007C778B"/>
    <w:rsid w:val="00801A23"/>
    <w:rsid w:val="00803156"/>
    <w:rsid w:val="00825A54"/>
    <w:rsid w:val="008440BC"/>
    <w:rsid w:val="008464B1"/>
    <w:rsid w:val="008517AB"/>
    <w:rsid w:val="0087067B"/>
    <w:rsid w:val="00886249"/>
    <w:rsid w:val="008915F8"/>
    <w:rsid w:val="008A0E0D"/>
    <w:rsid w:val="008B20A5"/>
    <w:rsid w:val="008C5590"/>
    <w:rsid w:val="008D0427"/>
    <w:rsid w:val="00915875"/>
    <w:rsid w:val="00915BAA"/>
    <w:rsid w:val="009166D7"/>
    <w:rsid w:val="00916F5E"/>
    <w:rsid w:val="00931F84"/>
    <w:rsid w:val="009339AB"/>
    <w:rsid w:val="00957318"/>
    <w:rsid w:val="00965F91"/>
    <w:rsid w:val="009743F2"/>
    <w:rsid w:val="009A7C80"/>
    <w:rsid w:val="009B7C82"/>
    <w:rsid w:val="009E1F2F"/>
    <w:rsid w:val="00A14FD3"/>
    <w:rsid w:val="00A17395"/>
    <w:rsid w:val="00A36C17"/>
    <w:rsid w:val="00A5654E"/>
    <w:rsid w:val="00A66755"/>
    <w:rsid w:val="00A83D67"/>
    <w:rsid w:val="00AB3D3C"/>
    <w:rsid w:val="00AD4E42"/>
    <w:rsid w:val="00AD796F"/>
    <w:rsid w:val="00AF013C"/>
    <w:rsid w:val="00B07355"/>
    <w:rsid w:val="00B516BB"/>
    <w:rsid w:val="00B53A60"/>
    <w:rsid w:val="00B5671B"/>
    <w:rsid w:val="00B93290"/>
    <w:rsid w:val="00BB16BC"/>
    <w:rsid w:val="00BC4122"/>
    <w:rsid w:val="00BD5C17"/>
    <w:rsid w:val="00BD5D4D"/>
    <w:rsid w:val="00BD77BA"/>
    <w:rsid w:val="00BE1811"/>
    <w:rsid w:val="00BF11AD"/>
    <w:rsid w:val="00BF5DB1"/>
    <w:rsid w:val="00C01833"/>
    <w:rsid w:val="00C05C49"/>
    <w:rsid w:val="00C06C2C"/>
    <w:rsid w:val="00C143F6"/>
    <w:rsid w:val="00C31080"/>
    <w:rsid w:val="00C3156A"/>
    <w:rsid w:val="00C51602"/>
    <w:rsid w:val="00C8275E"/>
    <w:rsid w:val="00C86ED0"/>
    <w:rsid w:val="00CC4DD0"/>
    <w:rsid w:val="00CD1908"/>
    <w:rsid w:val="00CE360D"/>
    <w:rsid w:val="00CF11BB"/>
    <w:rsid w:val="00D017BB"/>
    <w:rsid w:val="00D64AAF"/>
    <w:rsid w:val="00D755FB"/>
    <w:rsid w:val="00D80591"/>
    <w:rsid w:val="00DA162F"/>
    <w:rsid w:val="00E400E5"/>
    <w:rsid w:val="00E40C4F"/>
    <w:rsid w:val="00E504B2"/>
    <w:rsid w:val="00E5063A"/>
    <w:rsid w:val="00EA0EFA"/>
    <w:rsid w:val="00EC2495"/>
    <w:rsid w:val="00EF000E"/>
    <w:rsid w:val="00F00042"/>
    <w:rsid w:val="00F15CEF"/>
    <w:rsid w:val="00F42C1B"/>
    <w:rsid w:val="00F578D4"/>
    <w:rsid w:val="00F9027C"/>
    <w:rsid w:val="00FA13DD"/>
    <w:rsid w:val="00FB6A94"/>
    <w:rsid w:val="00FB6F52"/>
    <w:rsid w:val="00FC5A27"/>
    <w:rsid w:val="00FE6FC2"/>
    <w:rsid w:val="00FF023B"/>
    <w:rsid w:val="00FF4DB0"/>
    <w:rsid w:val="00FF59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iPriority w:val="99"/>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0D"/>
    <w:pPr>
      <w:ind w:left="720"/>
      <w:contextualSpacing/>
    </w:pPr>
  </w:style>
  <w:style w:type="paragraph" w:styleId="EndnoteText">
    <w:name w:val="endnote text"/>
    <w:basedOn w:val="Normal"/>
    <w:link w:val="EndnoteTextChar"/>
    <w:uiPriority w:val="99"/>
    <w:semiHidden/>
    <w:unhideWhenUsed/>
    <w:rsid w:val="005F36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6E6"/>
    <w:rPr>
      <w:sz w:val="20"/>
      <w:szCs w:val="20"/>
    </w:rPr>
  </w:style>
  <w:style w:type="character" w:styleId="EndnoteReference">
    <w:name w:val="endnote reference"/>
    <w:basedOn w:val="DefaultParagraphFont"/>
    <w:uiPriority w:val="99"/>
    <w:semiHidden/>
    <w:unhideWhenUsed/>
    <w:rsid w:val="005F36E6"/>
    <w:rPr>
      <w:vertAlign w:val="superscript"/>
    </w:rPr>
  </w:style>
  <w:style w:type="character" w:customStyle="1" w:styleId="apple-converted-space">
    <w:name w:val="apple-converted-space"/>
    <w:basedOn w:val="DefaultParagraphFont"/>
    <w:rsid w:val="005F36E6"/>
  </w:style>
  <w:style w:type="paragraph" w:styleId="NormalWeb">
    <w:name w:val="Normal (Web)"/>
    <w:basedOn w:val="Normal"/>
    <w:unhideWhenUsed/>
    <w:rsid w:val="002040C1"/>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96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AB"/>
    <w:rPr>
      <w:rFonts w:ascii="Tahoma" w:hAnsi="Tahoma" w:cs="Tahoma"/>
      <w:sz w:val="16"/>
      <w:szCs w:val="16"/>
    </w:rPr>
  </w:style>
  <w:style w:type="character" w:styleId="Hyperlink">
    <w:name w:val="Hyperlink"/>
    <w:basedOn w:val="DefaultParagraphFont"/>
    <w:uiPriority w:val="99"/>
    <w:unhideWhenUsed/>
    <w:rsid w:val="006C510F"/>
    <w:rPr>
      <w:color w:val="0000FF"/>
      <w:u w:val="single"/>
    </w:rPr>
  </w:style>
  <w:style w:type="character" w:styleId="FollowedHyperlink">
    <w:name w:val="FollowedHyperlink"/>
    <w:basedOn w:val="DefaultParagraphFont"/>
    <w:uiPriority w:val="99"/>
    <w:semiHidden/>
    <w:unhideWhenUsed/>
    <w:rsid w:val="000D7054"/>
    <w:rPr>
      <w:color w:val="800080" w:themeColor="followedHyperlink"/>
      <w:u w:val="single"/>
    </w:rPr>
  </w:style>
  <w:style w:type="character" w:styleId="Strong">
    <w:name w:val="Strong"/>
    <w:basedOn w:val="DefaultParagraphFont"/>
    <w:qFormat/>
    <w:rsid w:val="001F7ADE"/>
    <w:rPr>
      <w:b/>
      <w:bCs/>
    </w:rPr>
  </w:style>
  <w:style w:type="paragraph" w:styleId="FootnoteText">
    <w:name w:val="footnote text"/>
    <w:basedOn w:val="Normal"/>
    <w:link w:val="FootnoteTextChar"/>
    <w:unhideWhenUsed/>
    <w:rsid w:val="000B070F"/>
    <w:pPr>
      <w:spacing w:after="0" w:line="240" w:lineRule="auto"/>
    </w:pPr>
    <w:rPr>
      <w:sz w:val="20"/>
      <w:szCs w:val="20"/>
    </w:rPr>
  </w:style>
  <w:style w:type="character" w:customStyle="1" w:styleId="FootnoteTextChar">
    <w:name w:val="Footnote Text Char"/>
    <w:basedOn w:val="DefaultParagraphFont"/>
    <w:link w:val="FootnoteText"/>
    <w:rsid w:val="000B070F"/>
    <w:rPr>
      <w:sz w:val="20"/>
      <w:szCs w:val="20"/>
    </w:rPr>
  </w:style>
  <w:style w:type="character" w:styleId="FootnoteReference">
    <w:name w:val="footnote reference"/>
    <w:basedOn w:val="DefaultParagraphFont"/>
    <w:semiHidden/>
    <w:unhideWhenUsed/>
    <w:rsid w:val="000B070F"/>
    <w:rPr>
      <w:vertAlign w:val="superscript"/>
    </w:rPr>
  </w:style>
  <w:style w:type="character" w:styleId="Emphasis">
    <w:name w:val="Emphasis"/>
    <w:basedOn w:val="DefaultParagraphFont"/>
    <w:qFormat/>
    <w:rsid w:val="00281557"/>
    <w:rPr>
      <w:i/>
      <w:iCs/>
    </w:rPr>
  </w:style>
  <w:style w:type="paragraph" w:styleId="Header">
    <w:name w:val="header"/>
    <w:basedOn w:val="Normal"/>
    <w:link w:val="HeaderChar"/>
    <w:uiPriority w:val="99"/>
    <w:unhideWhenUsed/>
    <w:rsid w:val="00322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69B"/>
  </w:style>
  <w:style w:type="paragraph" w:styleId="Footer">
    <w:name w:val="footer"/>
    <w:basedOn w:val="Normal"/>
    <w:link w:val="FooterChar"/>
    <w:uiPriority w:val="99"/>
    <w:unhideWhenUsed/>
    <w:rsid w:val="00322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69B"/>
  </w:style>
  <w:style w:type="character" w:customStyle="1" w:styleId="addmd1">
    <w:name w:val="addmd1"/>
    <w:basedOn w:val="DefaultParagraphFont"/>
    <w:rsid w:val="003B4F8B"/>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3201">
      <w:bodyDiv w:val="1"/>
      <w:marLeft w:val="0"/>
      <w:marRight w:val="0"/>
      <w:marTop w:val="0"/>
      <w:marBottom w:val="0"/>
      <w:divBdr>
        <w:top w:val="none" w:sz="0" w:space="0" w:color="auto"/>
        <w:left w:val="none" w:sz="0" w:space="0" w:color="auto"/>
        <w:bottom w:val="none" w:sz="0" w:space="0" w:color="auto"/>
        <w:right w:val="none" w:sz="0" w:space="0" w:color="auto"/>
      </w:divBdr>
      <w:divsChild>
        <w:div w:id="1369649903">
          <w:marLeft w:val="806"/>
          <w:marRight w:val="0"/>
          <w:marTop w:val="192"/>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952984079">
      <w:bodyDiv w:val="1"/>
      <w:marLeft w:val="0"/>
      <w:marRight w:val="0"/>
      <w:marTop w:val="0"/>
      <w:marBottom w:val="0"/>
      <w:divBdr>
        <w:top w:val="none" w:sz="0" w:space="0" w:color="auto"/>
        <w:left w:val="none" w:sz="0" w:space="0" w:color="auto"/>
        <w:bottom w:val="none" w:sz="0" w:space="0" w:color="auto"/>
        <w:right w:val="none" w:sz="0" w:space="0" w:color="auto"/>
      </w:divBdr>
      <w:divsChild>
        <w:div w:id="1622612572">
          <w:marLeft w:val="1166"/>
          <w:marRight w:val="0"/>
          <w:marTop w:val="110"/>
          <w:marBottom w:val="0"/>
          <w:divBdr>
            <w:top w:val="none" w:sz="0" w:space="0" w:color="auto"/>
            <w:left w:val="none" w:sz="0" w:space="0" w:color="auto"/>
            <w:bottom w:val="none" w:sz="0" w:space="0" w:color="auto"/>
            <w:right w:val="none" w:sz="0" w:space="0" w:color="auto"/>
          </w:divBdr>
        </w:div>
      </w:divsChild>
    </w:div>
    <w:div w:id="995766407">
      <w:bodyDiv w:val="1"/>
      <w:marLeft w:val="0"/>
      <w:marRight w:val="0"/>
      <w:marTop w:val="0"/>
      <w:marBottom w:val="0"/>
      <w:divBdr>
        <w:top w:val="none" w:sz="0" w:space="0" w:color="auto"/>
        <w:left w:val="none" w:sz="0" w:space="0" w:color="auto"/>
        <w:bottom w:val="none" w:sz="0" w:space="0" w:color="auto"/>
        <w:right w:val="none" w:sz="0" w:space="0" w:color="auto"/>
      </w:divBdr>
    </w:div>
    <w:div w:id="137292021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58">
          <w:marLeft w:val="547"/>
          <w:marRight w:val="0"/>
          <w:marTop w:val="144"/>
          <w:marBottom w:val="0"/>
          <w:divBdr>
            <w:top w:val="none" w:sz="0" w:space="0" w:color="auto"/>
            <w:left w:val="none" w:sz="0" w:space="0" w:color="auto"/>
            <w:bottom w:val="none" w:sz="0" w:space="0" w:color="auto"/>
            <w:right w:val="none" w:sz="0" w:space="0" w:color="auto"/>
          </w:divBdr>
        </w:div>
        <w:div w:id="706024857">
          <w:marLeft w:val="547"/>
          <w:marRight w:val="0"/>
          <w:marTop w:val="134"/>
          <w:marBottom w:val="0"/>
          <w:divBdr>
            <w:top w:val="none" w:sz="0" w:space="0" w:color="auto"/>
            <w:left w:val="none" w:sz="0" w:space="0" w:color="auto"/>
            <w:bottom w:val="none" w:sz="0" w:space="0" w:color="auto"/>
            <w:right w:val="none" w:sz="0" w:space="0" w:color="auto"/>
          </w:divBdr>
        </w:div>
        <w:div w:id="1841696094">
          <w:marLeft w:val="547"/>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948803570">
      <w:bodyDiv w:val="1"/>
      <w:marLeft w:val="0"/>
      <w:marRight w:val="0"/>
      <w:marTop w:val="0"/>
      <w:marBottom w:val="0"/>
      <w:divBdr>
        <w:top w:val="none" w:sz="0" w:space="0" w:color="auto"/>
        <w:left w:val="none" w:sz="0" w:space="0" w:color="auto"/>
        <w:bottom w:val="none" w:sz="0" w:space="0" w:color="auto"/>
        <w:right w:val="none" w:sz="0" w:space="0" w:color="auto"/>
      </w:divBdr>
      <w:divsChild>
        <w:div w:id="1008213088">
          <w:marLeft w:val="547"/>
          <w:marRight w:val="0"/>
          <w:marTop w:val="144"/>
          <w:marBottom w:val="0"/>
          <w:divBdr>
            <w:top w:val="none" w:sz="0" w:space="0" w:color="auto"/>
            <w:left w:val="none" w:sz="0" w:space="0" w:color="auto"/>
            <w:bottom w:val="none" w:sz="0" w:space="0" w:color="auto"/>
            <w:right w:val="none" w:sz="0" w:space="0" w:color="auto"/>
          </w:divBdr>
        </w:div>
        <w:div w:id="878393721">
          <w:marLeft w:val="1166"/>
          <w:marRight w:val="0"/>
          <w:marTop w:val="125"/>
          <w:marBottom w:val="0"/>
          <w:divBdr>
            <w:top w:val="none" w:sz="0" w:space="0" w:color="auto"/>
            <w:left w:val="none" w:sz="0" w:space="0" w:color="auto"/>
            <w:bottom w:val="none" w:sz="0" w:space="0" w:color="auto"/>
            <w:right w:val="none" w:sz="0" w:space="0" w:color="auto"/>
          </w:divBdr>
        </w:div>
        <w:div w:id="581137296">
          <w:marLeft w:val="1166"/>
          <w:marRight w:val="0"/>
          <w:marTop w:val="125"/>
          <w:marBottom w:val="0"/>
          <w:divBdr>
            <w:top w:val="none" w:sz="0" w:space="0" w:color="auto"/>
            <w:left w:val="none" w:sz="0" w:space="0" w:color="auto"/>
            <w:bottom w:val="none" w:sz="0" w:space="0" w:color="auto"/>
            <w:right w:val="none" w:sz="0" w:space="0" w:color="auto"/>
          </w:divBdr>
        </w:div>
        <w:div w:id="123012904">
          <w:marLeft w:val="1800"/>
          <w:marRight w:val="0"/>
          <w:marTop w:val="115"/>
          <w:marBottom w:val="0"/>
          <w:divBdr>
            <w:top w:val="none" w:sz="0" w:space="0" w:color="auto"/>
            <w:left w:val="none" w:sz="0" w:space="0" w:color="auto"/>
            <w:bottom w:val="none" w:sz="0" w:space="0" w:color="auto"/>
            <w:right w:val="none" w:sz="0" w:space="0" w:color="auto"/>
          </w:divBdr>
        </w:div>
        <w:div w:id="720791649">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er.org/chapters/c11446.pdf" TargetMode="External"/><Relationship Id="rId18" Type="http://schemas.openxmlformats.org/officeDocument/2006/relationships/hyperlink" Target="http://www.hks.harvard.edu/fs/jfrankel/MAS-PPT-SpecialFeatureApril2012.doc" TargetMode="External"/><Relationship Id="rId26" Type="http://schemas.openxmlformats.org/officeDocument/2006/relationships/hyperlink" Target="http://ideas.repec.org/s/chb/bcchec.html" TargetMode="External"/><Relationship Id="rId39" Type="http://schemas.openxmlformats.org/officeDocument/2006/relationships/hyperlink" Target="http://www.sciencedirect.com/science/journal/03043878/100/1" TargetMode="External"/><Relationship Id="rId3" Type="http://schemas.openxmlformats.org/officeDocument/2006/relationships/styles" Target="styles.xml"/><Relationship Id="rId21" Type="http://schemas.openxmlformats.org/officeDocument/2006/relationships/hyperlink" Target="http://www.bcentral.cl/eng/studies/central-banking/v17.htm" TargetMode="External"/><Relationship Id="rId34" Type="http://schemas.openxmlformats.org/officeDocument/2006/relationships/hyperlink" Target="https://research.hks.harvard.edu/publications/getFile.aspx?Id=1078" TargetMode="External"/><Relationship Id="rId42" Type="http://schemas.openxmlformats.org/officeDocument/2006/relationships/hyperlink" Target="http://www.voxeu.org/index.php?q=node/6677"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ciencedirect.com/science/article/pii/S001429210400090X" TargetMode="External"/><Relationship Id="rId17" Type="http://schemas.openxmlformats.org/officeDocument/2006/relationships/hyperlink" Target="http://www.hks.harvard.edu/fs/jfrankel/PPTsummary2012MAS.doc" TargetMode="External"/><Relationship Id="rId25" Type="http://schemas.openxmlformats.org/officeDocument/2006/relationships/hyperlink" Target="http://ideas.repec.org/s/chb/bcchec.html" TargetMode="External"/><Relationship Id="rId33" Type="http://schemas.openxmlformats.org/officeDocument/2006/relationships/hyperlink" Target="http://www.hks.harvard.edu/fs/jfrankel/ch.hks.harvard.edu/publications/workingpapers/Faculty_Name.aspx?PersonId=15" TargetMode="External"/><Relationship Id="rId38" Type="http://schemas.openxmlformats.org/officeDocument/2006/relationships/hyperlink" Target="http://www.sciencedirect.com/science/article/pii/S0304387812000533" TargetMode="External"/><Relationship Id="rId46" Type="http://schemas.openxmlformats.org/officeDocument/2006/relationships/hyperlink" Target="http://www.columbia.edu/~mw2230/JHole2012final.pdf" TargetMode="External"/><Relationship Id="rId2" Type="http://schemas.openxmlformats.org/officeDocument/2006/relationships/numbering" Target="numbering.xml"/><Relationship Id="rId16" Type="http://schemas.openxmlformats.org/officeDocument/2006/relationships/hyperlink" Target="http://www.hks.harvard.edu/fs/jfrankel/LAC-PPTw16362.pdf" TargetMode="External"/><Relationship Id="rId20" Type="http://schemas.openxmlformats.org/officeDocument/2006/relationships/hyperlink" Target="http://www.hks.harvard.edu/fs/jfrankel/ChileBudgetRules2011.doc" TargetMode="External"/><Relationship Id="rId29" Type="http://schemas.openxmlformats.org/officeDocument/2006/relationships/hyperlink" Target="http://www.hks.harvard.edu/fs/jfrankel/NGDPtargtMidIncomeCsCBRT.docx" TargetMode="External"/><Relationship Id="rId41" Type="http://schemas.openxmlformats.org/officeDocument/2006/relationships/hyperlink" Target="http://www.nber.org/papers/w176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eas.repec.org/s/eee/deveco.html" TargetMode="External"/><Relationship Id="rId24" Type="http://schemas.openxmlformats.org/officeDocument/2006/relationships/hyperlink" Target="http://www.bcentral.cl/eng/studies/economia-chilena/2011/aug/recv14n2ago2011pp39-78.pdf" TargetMode="External"/><Relationship Id="rId32" Type="http://schemas.openxmlformats.org/officeDocument/2006/relationships/hyperlink" Target="https://www3.tcmb.gov.tr/cbr/index.php/cbreview" TargetMode="External"/><Relationship Id="rId37" Type="http://schemas.openxmlformats.org/officeDocument/2006/relationships/hyperlink" Target="http://www.hks.harvard.edu/fs/jfrankel/GraduatnCyclVegh&amp;Vuletin2012.pdf" TargetMode="External"/><Relationship Id="rId40" Type="http://schemas.openxmlformats.org/officeDocument/2006/relationships/hyperlink" Target="http://www.sciencedirect.com/science/journal/03043878/100/1" TargetMode="External"/><Relationship Id="rId45" Type="http://schemas.openxmlformats.org/officeDocument/2006/relationships/hyperlink" Target="http://www.cepr.org/researchers/details/rschcontact.asp?IDENT=100358" TargetMode="External"/><Relationship Id="rId5" Type="http://schemas.openxmlformats.org/officeDocument/2006/relationships/settings" Target="settings.xml"/><Relationship Id="rId15" Type="http://schemas.openxmlformats.org/officeDocument/2006/relationships/hyperlink" Target="http://www.cid.harvard.edu/Economia/" TargetMode="External"/><Relationship Id="rId23" Type="http://schemas.openxmlformats.org/officeDocument/2006/relationships/hyperlink" Target="http://www.bcentral.cl/eng/studies/central-banking/v17.htm" TargetMode="External"/><Relationship Id="rId28" Type="http://schemas.openxmlformats.org/officeDocument/2006/relationships/hyperlink" Target="http://www.bcentral.cl/eng/publications/studies/studies03.htm" TargetMode="External"/><Relationship Id="rId36" Type="http://schemas.openxmlformats.org/officeDocument/2006/relationships/hyperlink" Target="http://www.nber.org/papers/w18283" TargetMode="External"/><Relationship Id="rId49" Type="http://schemas.openxmlformats.org/officeDocument/2006/relationships/theme" Target="theme/theme1.xml"/><Relationship Id="rId10" Type="http://schemas.openxmlformats.org/officeDocument/2006/relationships/hyperlink" Target="http://ideas.repec.org/a/eee/deveco/v106y2014icp92-106.html" TargetMode="External"/><Relationship Id="rId19" Type="http://schemas.openxmlformats.org/officeDocument/2006/relationships/hyperlink" Target="http://www.mas.gov.sg/publications/macro_review/review-201204.html" TargetMode="External"/><Relationship Id="rId31" Type="http://schemas.openxmlformats.org/officeDocument/2006/relationships/hyperlink" Target="https://www3.tcmb.gov.tr/cbr/index.php/cbreview/article/view/462/354" TargetMode="External"/><Relationship Id="rId44" Type="http://schemas.openxmlformats.org/officeDocument/2006/relationships/hyperlink" Target="http://www.cepr.org/researchers/details/rschcontact.asp?IDENT=167187" TargetMode="External"/><Relationship Id="rId4" Type="http://schemas.microsoft.com/office/2007/relationships/stylesWithEffects" Target="stylesWithEffects.xml"/><Relationship Id="rId9" Type="http://schemas.openxmlformats.org/officeDocument/2006/relationships/hyperlink" Target="http://ideas.repec.org/s/eee/deveco.html" TargetMode="External"/><Relationship Id="rId14" Type="http://schemas.openxmlformats.org/officeDocument/2006/relationships/hyperlink" Target="http://www.hks.harvard.edu/fs/jfrankel/LaceaEconomiaPPT2011.pdf" TargetMode="External"/><Relationship Id="rId22" Type="http://schemas.openxmlformats.org/officeDocument/2006/relationships/hyperlink" Target="http://www.bcentral.cl/eng/studies/central-banking/index.htm" TargetMode="External"/><Relationship Id="rId27" Type="http://schemas.openxmlformats.org/officeDocument/2006/relationships/hyperlink" Target="http://www.bcentral.cl/eng/studies/economia-chilena/2011/aug/v14n2aug2011.htm" TargetMode="External"/><Relationship Id="rId30" Type="http://schemas.openxmlformats.org/officeDocument/2006/relationships/hyperlink" Target="https://www3.tcmb.gov.tr/cbr/index.php/cbreview/article/view/462/354" TargetMode="External"/><Relationship Id="rId35" Type="http://schemas.openxmlformats.org/officeDocument/2006/relationships/hyperlink" Target="http://www.hks.harvard.edu/fs/jfrankel/FiscalForecastEuroRulesROWEsubm2012.doc" TargetMode="External"/><Relationship Id="rId43" Type="http://schemas.openxmlformats.org/officeDocument/2006/relationships/hyperlink" Target="http://www.jstor.org/discover/10.2307/2232044?uid=3739696&amp;uid=2&amp;uid=4&amp;uid=3739256&amp;sid=56254676533"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hks.harvard.edu/fs/jfrankel/ChileFiscalSolutionFPJune2012.doc" TargetMode="External"/><Relationship Id="rId3" Type="http://schemas.openxmlformats.org/officeDocument/2006/relationships/hyperlink" Target="http://www.project-syndicate.org/commentary/frankel6/English" TargetMode="External"/><Relationship Id="rId7" Type="http://schemas.openxmlformats.org/officeDocument/2006/relationships/hyperlink" Target="javascript:popRef('aff2')" TargetMode="External"/><Relationship Id="rId2" Type="http://schemas.openxmlformats.org/officeDocument/2006/relationships/hyperlink" Target="http://www.cepr.org/researchers/details/rschcontact.asp?IDENT=100358" TargetMode="External"/><Relationship Id="rId1" Type="http://schemas.openxmlformats.org/officeDocument/2006/relationships/hyperlink" Target="http://www.cepr.org/researchers/details/rschcontact.asp?IDENT=167187" TargetMode="External"/><Relationship Id="rId6" Type="http://schemas.openxmlformats.org/officeDocument/2006/relationships/hyperlink" Target="javascript:popRef('aff1')" TargetMode="External"/><Relationship Id="rId11" Type="http://schemas.openxmlformats.org/officeDocument/2006/relationships/hyperlink" Target="http://www.voxeu.org/person/jeffrey-frankel" TargetMode="External"/><Relationship Id="rId5" Type="http://schemas.openxmlformats.org/officeDocument/2006/relationships/hyperlink" Target="http://www.hks.harvard.edu/fs/jfrankel/%E2%80%9CBarrels,%20bushels,%20bonds%20take%20global%20economy%20for%20a%20ride%E2%80%9D" TargetMode="External"/><Relationship Id="rId10" Type="http://schemas.openxmlformats.org/officeDocument/2006/relationships/hyperlink" Target="http://www.voxeu.org/article/nominal-gdp-targeting-developing-nations" TargetMode="External"/><Relationship Id="rId4" Type="http://schemas.openxmlformats.org/officeDocument/2006/relationships/hyperlink" Target="http://www.hks.harvard.edu/fs/jfrankel/CommodityBondsOct18.rtf" TargetMode="External"/><Relationship Id="rId9" Type="http://schemas.openxmlformats.org/officeDocument/2006/relationships/hyperlink" Target="http://www.foreignpolicy.com/articles/2012/06/27/chile_s_countercyclical_triu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680A-1F23-42BA-A1F1-319E5200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2014-10-16T02:47:00Z</cp:lastPrinted>
  <dcterms:created xsi:type="dcterms:W3CDTF">2014-10-21T12:36:00Z</dcterms:created>
  <dcterms:modified xsi:type="dcterms:W3CDTF">2014-10-21T12:36:00Z</dcterms:modified>
</cp:coreProperties>
</file>