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B027A6" w:rsidP="00B027A6">
      <w:pPr>
        <w:ind w:left="720"/>
        <w:jc w:val="right"/>
        <w:rPr>
          <w:sz w:val="20"/>
          <w:szCs w:val="20"/>
        </w:rPr>
      </w:pPr>
      <w:r w:rsidRPr="00D20990">
        <w:rPr>
          <w:sz w:val="16"/>
          <w:szCs w:val="16"/>
        </w:rPr>
        <w:t xml:space="preserve">Revised </w:t>
      </w:r>
      <w:r w:rsidR="00540DDB" w:rsidRPr="00D20990">
        <w:rPr>
          <w:sz w:val="16"/>
          <w:szCs w:val="16"/>
        </w:rPr>
        <w:t>10/7</w:t>
      </w:r>
      <w:r w:rsidR="00FB3C02" w:rsidRPr="00D20990">
        <w:rPr>
          <w:sz w:val="16"/>
          <w:szCs w:val="16"/>
        </w:rPr>
        <w:t>/2017</w:t>
      </w:r>
      <w:r w:rsidR="003F0D55" w:rsidRPr="00D20990">
        <w:rPr>
          <w:sz w:val="16"/>
          <w:szCs w:val="16"/>
        </w:rPr>
        <w:t xml:space="preserve">+Feb </w:t>
      </w:r>
      <w:r w:rsidR="005E1008" w:rsidRPr="00D20990">
        <w:rPr>
          <w:sz w:val="16"/>
          <w:szCs w:val="16"/>
        </w:rPr>
        <w:t xml:space="preserve">11, </w:t>
      </w:r>
      <w:r w:rsidR="003F0D55" w:rsidRPr="00D20990">
        <w:rPr>
          <w:sz w:val="16"/>
          <w:szCs w:val="16"/>
        </w:rPr>
        <w:t>2018</w:t>
      </w:r>
      <w:r w:rsidR="00C3341A">
        <w:rPr>
          <w:sz w:val="20"/>
          <w:szCs w:val="20"/>
        </w:rPr>
        <w:t xml:space="preserve"> </w:t>
      </w:r>
      <w:r w:rsidR="00D20990">
        <w:rPr>
          <w:sz w:val="20"/>
          <w:szCs w:val="20"/>
        </w:rPr>
        <w:t xml:space="preserve"> </w:t>
      </w:r>
      <w:r w:rsidR="00C3341A">
        <w:rPr>
          <w:sz w:val="20"/>
          <w:szCs w:val="20"/>
        </w:rPr>
        <w:t xml:space="preserve"> 2800 words</w:t>
      </w:r>
    </w:p>
    <w:p w:rsidR="001476CA" w:rsidRPr="00B92E56" w:rsidRDefault="0032269B" w:rsidP="002438B7">
      <w:pPr>
        <w:jc w:val="center"/>
        <w:rPr>
          <w:b/>
          <w:sz w:val="26"/>
          <w:szCs w:val="26"/>
        </w:rPr>
      </w:pPr>
      <w:r w:rsidRPr="00B92E56">
        <w:rPr>
          <w:b/>
          <w:sz w:val="26"/>
          <w:szCs w:val="26"/>
        </w:rPr>
        <w:t>“</w:t>
      </w:r>
      <w:r w:rsidR="00BF11AD" w:rsidRPr="00B92E56">
        <w:rPr>
          <w:b/>
          <w:sz w:val="26"/>
          <w:szCs w:val="26"/>
        </w:rPr>
        <w:t xml:space="preserve">How to </w:t>
      </w:r>
      <w:r w:rsidR="00CE360D" w:rsidRPr="00B92E56">
        <w:rPr>
          <w:b/>
          <w:sz w:val="26"/>
          <w:szCs w:val="26"/>
        </w:rPr>
        <w:t>Cop</w:t>
      </w:r>
      <w:r w:rsidR="00BF11AD" w:rsidRPr="00B92E56">
        <w:rPr>
          <w:b/>
          <w:sz w:val="26"/>
          <w:szCs w:val="26"/>
        </w:rPr>
        <w:t>e</w:t>
      </w:r>
      <w:r w:rsidR="00CE360D" w:rsidRPr="00B92E56">
        <w:rPr>
          <w:b/>
          <w:sz w:val="26"/>
          <w:szCs w:val="26"/>
        </w:rPr>
        <w:t xml:space="preserve"> with </w:t>
      </w:r>
      <w:r w:rsidRPr="00B92E56">
        <w:rPr>
          <w:b/>
          <w:sz w:val="26"/>
          <w:szCs w:val="26"/>
        </w:rPr>
        <w:t>Volatile Commodity Export Prices</w:t>
      </w:r>
      <w:r w:rsidR="003F0D55">
        <w:rPr>
          <w:b/>
          <w:sz w:val="26"/>
          <w:szCs w:val="26"/>
        </w:rPr>
        <w:t>: Three</w:t>
      </w:r>
      <w:r w:rsidR="00BF11AD" w:rsidRPr="00B92E56">
        <w:rPr>
          <w:b/>
          <w:sz w:val="26"/>
          <w:szCs w:val="26"/>
        </w:rPr>
        <w:t xml:space="preserve"> </w:t>
      </w:r>
      <w:r w:rsidR="00F578D4" w:rsidRPr="00B92E56">
        <w:rPr>
          <w:b/>
          <w:sz w:val="26"/>
          <w:szCs w:val="26"/>
        </w:rPr>
        <w:t>Proposals</w:t>
      </w:r>
      <w:r w:rsidRPr="00B92E56">
        <w:rPr>
          <w:b/>
          <w:sz w:val="26"/>
          <w:szCs w:val="26"/>
        </w:rPr>
        <w:t>”</w:t>
      </w:r>
      <w:r w:rsidR="00B95998" w:rsidRPr="00B92E56">
        <w:rPr>
          <w:b/>
          <w:sz w:val="26"/>
          <w:szCs w:val="26"/>
        </w:rPr>
        <w:br/>
      </w:r>
      <w:r w:rsidR="001476CA" w:rsidRPr="00B92E56">
        <w:rPr>
          <w:b/>
          <w:sz w:val="26"/>
          <w:szCs w:val="26"/>
        </w:rPr>
        <w:br/>
        <w:t>Jeffrey Frankel, Harvard Kennedy School</w:t>
      </w:r>
    </w:p>
    <w:p w:rsidR="00E46451" w:rsidRPr="00B92E56" w:rsidRDefault="00BA357D" w:rsidP="0016354A">
      <w:pPr>
        <w:spacing w:after="0" w:line="240" w:lineRule="auto"/>
        <w:rPr>
          <w:bCs/>
          <w:color w:val="000000"/>
          <w:sz w:val="24"/>
          <w:szCs w:val="24"/>
          <w:shd w:val="clear" w:color="auto" w:fill="FFFFFF"/>
        </w:rPr>
      </w:pPr>
      <w:r w:rsidRPr="00B92E56">
        <w:rPr>
          <w:color w:val="000000"/>
          <w:sz w:val="24"/>
          <w:szCs w:val="24"/>
          <w:shd w:val="clear" w:color="auto" w:fill="FFFFFF"/>
        </w:rPr>
        <w:t xml:space="preserve">Forthcoming </w:t>
      </w:r>
      <w:r w:rsidRPr="009B3785">
        <w:rPr>
          <w:color w:val="000000"/>
          <w:sz w:val="24"/>
          <w:szCs w:val="24"/>
          <w:shd w:val="clear" w:color="auto" w:fill="FFFFFF"/>
        </w:rPr>
        <w:t>in</w:t>
      </w:r>
      <w:r w:rsidR="009B3785" w:rsidRPr="009B3785">
        <w:rPr>
          <w:color w:val="000000"/>
          <w:sz w:val="24"/>
          <w:szCs w:val="24"/>
          <w:shd w:val="clear" w:color="auto" w:fill="FFFFFF"/>
        </w:rPr>
        <w:t xml:space="preserve"> </w:t>
      </w:r>
      <w:r w:rsidR="009B3785" w:rsidRPr="009B3785">
        <w:rPr>
          <w:rFonts w:cs="Arial"/>
          <w:i/>
          <w:color w:val="222222"/>
          <w:sz w:val="24"/>
          <w:szCs w:val="24"/>
          <w:shd w:val="clear" w:color="auto" w:fill="FFFFFF"/>
        </w:rPr>
        <w:t>Natural Resources, Finance and Diversification: Diagnostics and Policies</w:t>
      </w:r>
      <w:r w:rsidR="00FB1B03">
        <w:rPr>
          <w:rFonts w:cs="Arial"/>
          <w:color w:val="1E1E1E"/>
          <w:sz w:val="24"/>
          <w:szCs w:val="24"/>
          <w:shd w:val="clear" w:color="auto" w:fill="FFFFFF"/>
        </w:rPr>
        <w:t>,</w:t>
      </w:r>
      <w:r w:rsidR="00B96BAE">
        <w:rPr>
          <w:rFonts w:cs="Arial"/>
          <w:color w:val="1E1E1E"/>
          <w:sz w:val="24"/>
          <w:szCs w:val="24"/>
          <w:shd w:val="clear" w:color="auto" w:fill="FFFFFF"/>
        </w:rPr>
        <w:t xml:space="preserve"> </w:t>
      </w:r>
      <w:r w:rsidR="009B3785" w:rsidRPr="009B3785">
        <w:rPr>
          <w:rFonts w:cs="Arial"/>
          <w:color w:val="1E1E1E"/>
          <w:sz w:val="24"/>
          <w:szCs w:val="24"/>
          <w:shd w:val="clear" w:color="auto" w:fill="FFFFFF"/>
        </w:rPr>
        <w:t xml:space="preserve">edited by Rabah Arezki and </w:t>
      </w:r>
      <w:r w:rsidR="00FB1B03">
        <w:rPr>
          <w:rFonts w:cs="Arial"/>
          <w:color w:val="1E1E1E"/>
          <w:sz w:val="24"/>
          <w:szCs w:val="24"/>
          <w:shd w:val="clear" w:color="auto" w:fill="FFFFFF"/>
        </w:rPr>
        <w:t xml:space="preserve">Raouf Boucekkine.  </w:t>
      </w:r>
      <w:r>
        <w:rPr>
          <w:color w:val="000000"/>
          <w:sz w:val="24"/>
          <w:szCs w:val="24"/>
          <w:shd w:val="clear" w:color="auto" w:fill="FFFFFF"/>
        </w:rPr>
        <w:t xml:space="preserve">This chapter is based on </w:t>
      </w:r>
      <w:r w:rsidR="003F0D55">
        <w:rPr>
          <w:color w:val="000000"/>
          <w:sz w:val="24"/>
          <w:szCs w:val="24"/>
          <w:shd w:val="clear" w:color="auto" w:fill="FFFFFF"/>
        </w:rPr>
        <w:t xml:space="preserve">the first half of </w:t>
      </w:r>
      <w:r>
        <w:rPr>
          <w:color w:val="000000"/>
          <w:sz w:val="24"/>
          <w:szCs w:val="24"/>
          <w:shd w:val="clear" w:color="auto" w:fill="FFFFFF"/>
        </w:rPr>
        <w:t>a k</w:t>
      </w:r>
      <w:r w:rsidR="0032269B" w:rsidRPr="00B92E56">
        <w:rPr>
          <w:sz w:val="24"/>
          <w:szCs w:val="24"/>
        </w:rPr>
        <w:t xml:space="preserve">eynote </w:t>
      </w:r>
      <w:r>
        <w:rPr>
          <w:sz w:val="24"/>
          <w:szCs w:val="24"/>
        </w:rPr>
        <w:t>a</w:t>
      </w:r>
      <w:r w:rsidR="0032269B" w:rsidRPr="00B92E56">
        <w:rPr>
          <w:sz w:val="24"/>
          <w:szCs w:val="24"/>
        </w:rPr>
        <w:t>ddress</w:t>
      </w:r>
      <w:r w:rsidR="001476CA" w:rsidRPr="00B92E56">
        <w:rPr>
          <w:sz w:val="24"/>
          <w:szCs w:val="24"/>
        </w:rPr>
        <w:t xml:space="preserve">, </w:t>
      </w:r>
      <w:r w:rsidR="0006057F" w:rsidRPr="00B92E56">
        <w:rPr>
          <w:color w:val="000000"/>
          <w:sz w:val="24"/>
          <w:szCs w:val="24"/>
          <w:shd w:val="clear" w:color="auto" w:fill="FFFFFF"/>
        </w:rPr>
        <w:t>High Level Seminar,</w:t>
      </w:r>
      <w:r w:rsidR="0006057F" w:rsidRPr="00B92E56">
        <w:rPr>
          <w:rStyle w:val="apple-converted-space"/>
          <w:color w:val="000000"/>
          <w:sz w:val="24"/>
          <w:szCs w:val="24"/>
          <w:shd w:val="clear" w:color="auto" w:fill="FFFFFF"/>
        </w:rPr>
        <w:t> </w:t>
      </w:r>
      <w:r w:rsidR="001B10F6" w:rsidRPr="00B92E56">
        <w:rPr>
          <w:i/>
          <w:iCs/>
          <w:color w:val="000000"/>
          <w:sz w:val="24"/>
          <w:szCs w:val="24"/>
          <w:shd w:val="clear" w:color="auto" w:fill="FFFFFF"/>
        </w:rPr>
        <w:t>Natural Resources, Finance and</w:t>
      </w:r>
      <w:r w:rsidR="0006057F" w:rsidRPr="00B92E56">
        <w:rPr>
          <w:i/>
          <w:iCs/>
          <w:color w:val="000000"/>
          <w:sz w:val="24"/>
          <w:szCs w:val="24"/>
          <w:shd w:val="clear" w:color="auto" w:fill="FFFFFF"/>
        </w:rPr>
        <w:t xml:space="preserve"> Growth</w:t>
      </w:r>
      <w:r w:rsidR="001B10F6" w:rsidRPr="00B92E56">
        <w:rPr>
          <w:i/>
          <w:iCs/>
          <w:color w:val="000000"/>
          <w:sz w:val="24"/>
          <w:szCs w:val="24"/>
          <w:shd w:val="clear" w:color="auto" w:fill="FFFFFF"/>
        </w:rPr>
        <w:t xml:space="preserve">, </w:t>
      </w:r>
      <w:r w:rsidR="0006057F" w:rsidRPr="00B92E56">
        <w:rPr>
          <w:color w:val="000000"/>
          <w:sz w:val="24"/>
          <w:szCs w:val="24"/>
          <w:shd w:val="clear" w:color="auto" w:fill="FFFFFF"/>
        </w:rPr>
        <w:t xml:space="preserve">sponsored by </w:t>
      </w:r>
      <w:r w:rsidR="001B10F6" w:rsidRPr="00B92E56">
        <w:rPr>
          <w:color w:val="000000"/>
          <w:sz w:val="24"/>
          <w:szCs w:val="24"/>
          <w:shd w:val="clear" w:color="auto" w:fill="FFFFFF"/>
        </w:rPr>
        <w:t xml:space="preserve">the </w:t>
      </w:r>
      <w:r w:rsidR="0006057F" w:rsidRPr="00B92E56">
        <w:rPr>
          <w:color w:val="000000"/>
          <w:sz w:val="24"/>
          <w:szCs w:val="24"/>
          <w:shd w:val="clear" w:color="auto" w:fill="FFFFFF"/>
        </w:rPr>
        <w:t xml:space="preserve">Bank of Algeria, Algiers, </w:t>
      </w:r>
      <w:proofErr w:type="gramStart"/>
      <w:r w:rsidR="0006057F" w:rsidRPr="00B92E56">
        <w:rPr>
          <w:color w:val="000000"/>
          <w:sz w:val="24"/>
          <w:szCs w:val="24"/>
          <w:shd w:val="clear" w:color="auto" w:fill="FFFFFF"/>
        </w:rPr>
        <w:t>May</w:t>
      </w:r>
      <w:proofErr w:type="gramEnd"/>
      <w:r w:rsidR="0006057F" w:rsidRPr="00B92E56">
        <w:rPr>
          <w:color w:val="000000"/>
          <w:sz w:val="24"/>
          <w:szCs w:val="24"/>
          <w:shd w:val="clear" w:color="auto" w:fill="FFFFFF"/>
        </w:rPr>
        <w:t xml:space="preserve"> 28-29, 2016.</w:t>
      </w:r>
      <w:r w:rsidR="001B10F6" w:rsidRPr="00B92E56">
        <w:rPr>
          <w:color w:val="000000"/>
          <w:sz w:val="24"/>
          <w:szCs w:val="24"/>
          <w:shd w:val="clear" w:color="auto" w:fill="FFFFFF"/>
        </w:rPr>
        <w:t xml:space="preserve">  The author would like to thank participants at the Bank of Algeria conference; the annual research conference of the Bank of Chile, Santiago, Oct. 23, 2014; a seminar of the OCP</w:t>
      </w:r>
      <w:r w:rsidR="00160205" w:rsidRPr="00B92E56">
        <w:rPr>
          <w:color w:val="000000"/>
          <w:sz w:val="24"/>
          <w:szCs w:val="24"/>
          <w:shd w:val="clear" w:color="auto" w:fill="FFFFFF"/>
        </w:rPr>
        <w:t xml:space="preserve"> Policy Center</w:t>
      </w:r>
      <w:r w:rsidR="001B10F6" w:rsidRPr="00B92E56">
        <w:rPr>
          <w:color w:val="000000"/>
          <w:sz w:val="24"/>
          <w:szCs w:val="24"/>
          <w:shd w:val="clear" w:color="auto" w:fill="FFFFFF"/>
        </w:rPr>
        <w:t xml:space="preserve">, Casablanca, Morocco, </w:t>
      </w:r>
      <w:r w:rsidR="00F76B78" w:rsidRPr="00B92E56">
        <w:rPr>
          <w:color w:val="000000"/>
          <w:sz w:val="24"/>
          <w:szCs w:val="24"/>
          <w:shd w:val="clear" w:color="auto" w:fill="FFFFFF"/>
        </w:rPr>
        <w:t xml:space="preserve">June 3, 2016; </w:t>
      </w:r>
      <w:r w:rsidR="001B10F6" w:rsidRPr="00B92E56">
        <w:rPr>
          <w:color w:val="000000"/>
          <w:sz w:val="24"/>
          <w:szCs w:val="24"/>
          <w:shd w:val="clear" w:color="auto" w:fill="FFFFFF"/>
        </w:rPr>
        <w:t xml:space="preserve">the annual meeting of the </w:t>
      </w:r>
      <w:r w:rsidR="001B10F6" w:rsidRPr="00B92E56">
        <w:rPr>
          <w:bCs/>
          <w:color w:val="000000"/>
          <w:sz w:val="24"/>
          <w:szCs w:val="24"/>
          <w:shd w:val="clear" w:color="auto" w:fill="FFFFFF"/>
        </w:rPr>
        <w:t>Agricultural and Applied Economics Association, Boston, August 1, 2016</w:t>
      </w:r>
      <w:r w:rsidR="00E46451" w:rsidRPr="00B92E56">
        <w:rPr>
          <w:bCs/>
          <w:color w:val="000000"/>
          <w:sz w:val="24"/>
          <w:szCs w:val="24"/>
          <w:shd w:val="clear" w:color="auto" w:fill="FFFFFF"/>
        </w:rPr>
        <w:t xml:space="preserve">; </w:t>
      </w:r>
      <w:r w:rsidR="004A469C" w:rsidRPr="00B92E56">
        <w:rPr>
          <w:bCs/>
          <w:color w:val="000000"/>
          <w:sz w:val="24"/>
          <w:szCs w:val="24"/>
          <w:shd w:val="clear" w:color="auto" w:fill="FFFFFF"/>
        </w:rPr>
        <w:t>and a co</w:t>
      </w:r>
      <w:r w:rsidR="00E46451" w:rsidRPr="00B92E56">
        <w:rPr>
          <w:bCs/>
          <w:iCs/>
          <w:color w:val="000000"/>
          <w:sz w:val="24"/>
          <w:szCs w:val="24"/>
          <w:shd w:val="clear" w:color="auto" w:fill="FFFFFF"/>
        </w:rPr>
        <w:t xml:space="preserve">nference </w:t>
      </w:r>
      <w:r w:rsidR="004A469C" w:rsidRPr="00B92E56">
        <w:rPr>
          <w:bCs/>
          <w:iCs/>
          <w:color w:val="000000"/>
          <w:sz w:val="24"/>
          <w:szCs w:val="24"/>
          <w:shd w:val="clear" w:color="auto" w:fill="FFFFFF"/>
        </w:rPr>
        <w:t xml:space="preserve">at the </w:t>
      </w:r>
      <w:r w:rsidR="00E46451" w:rsidRPr="00B92E56">
        <w:rPr>
          <w:bCs/>
          <w:color w:val="000000"/>
          <w:sz w:val="24"/>
          <w:szCs w:val="24"/>
          <w:shd w:val="clear" w:color="auto" w:fill="FFFFFF"/>
        </w:rPr>
        <w:t>Inter-American Development Bank</w:t>
      </w:r>
      <w:r w:rsidR="004A469C" w:rsidRPr="00B92E56">
        <w:rPr>
          <w:bCs/>
          <w:color w:val="000000"/>
          <w:sz w:val="24"/>
          <w:szCs w:val="24"/>
          <w:shd w:val="clear" w:color="auto" w:fill="FFFFFF"/>
        </w:rPr>
        <w:t xml:space="preserve">, </w:t>
      </w:r>
      <w:r w:rsidR="00E46451" w:rsidRPr="00B92E56">
        <w:rPr>
          <w:bCs/>
          <w:color w:val="000000"/>
          <w:sz w:val="24"/>
          <w:szCs w:val="24"/>
          <w:shd w:val="clear" w:color="auto" w:fill="FFFFFF"/>
        </w:rPr>
        <w:t>April 18, 2017</w:t>
      </w:r>
      <w:r w:rsidR="004A469C" w:rsidRPr="00B92E56">
        <w:rPr>
          <w:bCs/>
          <w:color w:val="000000"/>
          <w:sz w:val="24"/>
          <w:szCs w:val="24"/>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7E6799" w:rsidRDefault="007E6799" w:rsidP="0016354A">
      <w:pPr>
        <w:spacing w:after="120" w:line="240" w:lineRule="auto"/>
        <w:jc w:val="center"/>
        <w:rPr>
          <w:b/>
          <w:sz w:val="24"/>
          <w:szCs w:val="24"/>
        </w:rPr>
      </w:pPr>
      <w:bookmarkStart w:id="0" w:name="_GoBack"/>
      <w:r w:rsidRPr="007E6799">
        <w:rPr>
          <w:b/>
          <w:sz w:val="24"/>
          <w:szCs w:val="24"/>
        </w:rPr>
        <w:t>Abstract</w:t>
      </w:r>
    </w:p>
    <w:p w:rsidR="007E6799" w:rsidRDefault="007E6799" w:rsidP="0016354A">
      <w:pPr>
        <w:spacing w:after="120" w:line="240" w:lineRule="auto"/>
        <w:rPr>
          <w:sz w:val="24"/>
          <w:szCs w:val="24"/>
        </w:rPr>
      </w:pPr>
      <w:r>
        <w:rPr>
          <w:sz w:val="24"/>
          <w:szCs w:val="24"/>
        </w:rPr>
        <w:t>Countries that specialize in commodities have in recent years be</w:t>
      </w:r>
      <w:r w:rsidR="005A6A15">
        <w:rPr>
          <w:sz w:val="24"/>
          <w:szCs w:val="24"/>
        </w:rPr>
        <w:t>en hit by high volatility in</w:t>
      </w:r>
      <w:r>
        <w:rPr>
          <w:sz w:val="24"/>
          <w:szCs w:val="24"/>
        </w:rPr>
        <w:t xml:space="preserve"> world prices for their exports.</w:t>
      </w:r>
      <w:r w:rsidR="0023645D">
        <w:rPr>
          <w:sz w:val="24"/>
          <w:szCs w:val="24"/>
        </w:rPr>
        <w:t xml:space="preserve"> </w:t>
      </w:r>
      <w:r w:rsidR="003F0D55">
        <w:rPr>
          <w:sz w:val="24"/>
          <w:szCs w:val="24"/>
        </w:rPr>
        <w:t>This paper suggests three</w:t>
      </w:r>
      <w:r>
        <w:rPr>
          <w:sz w:val="24"/>
          <w:szCs w:val="24"/>
        </w:rPr>
        <w:t xml:space="preserve"> ways that commodity-exporters ca</w:t>
      </w:r>
      <w:r w:rsidR="005A6A15">
        <w:rPr>
          <w:sz w:val="24"/>
          <w:szCs w:val="24"/>
        </w:rPr>
        <w:t xml:space="preserve">n </w:t>
      </w:r>
      <w:r>
        <w:rPr>
          <w:sz w:val="24"/>
          <w:szCs w:val="24"/>
        </w:rPr>
        <w:t>ma</w:t>
      </w:r>
      <w:r w:rsidR="0023645D">
        <w:rPr>
          <w:sz w:val="24"/>
          <w:szCs w:val="24"/>
        </w:rPr>
        <w:t xml:space="preserve">ke themselves less vulnerable. </w:t>
      </w:r>
      <w:r>
        <w:rPr>
          <w:sz w:val="24"/>
          <w:szCs w:val="24"/>
        </w:rPr>
        <w:t xml:space="preserve">(1) </w:t>
      </w:r>
      <w:r w:rsidR="0016354A">
        <w:rPr>
          <w:sz w:val="24"/>
          <w:szCs w:val="24"/>
        </w:rPr>
        <w:t>They can use o</w:t>
      </w:r>
      <w:r>
        <w:rPr>
          <w:sz w:val="24"/>
          <w:szCs w:val="24"/>
        </w:rPr>
        <w:t>ption</w:t>
      </w:r>
      <w:r w:rsidR="005A6A15">
        <w:rPr>
          <w:sz w:val="24"/>
          <w:szCs w:val="24"/>
        </w:rPr>
        <w:t xml:space="preserve"> contracts</w:t>
      </w:r>
      <w:r>
        <w:rPr>
          <w:sz w:val="24"/>
          <w:szCs w:val="24"/>
        </w:rPr>
        <w:t xml:space="preserve"> to hedge against short-term declines in the commodity price without giving up the upside, as Mexico has</w:t>
      </w:r>
      <w:r w:rsidR="0023645D">
        <w:rPr>
          <w:sz w:val="24"/>
          <w:szCs w:val="24"/>
        </w:rPr>
        <w:t xml:space="preserve"> shown.</w:t>
      </w:r>
      <w:r>
        <w:rPr>
          <w:sz w:val="24"/>
          <w:szCs w:val="24"/>
        </w:rPr>
        <w:t xml:space="preserve"> (2) Comm</w:t>
      </w:r>
      <w:r w:rsidR="005A6A15">
        <w:rPr>
          <w:sz w:val="24"/>
          <w:szCs w:val="24"/>
        </w:rPr>
        <w:t>odity-linked bonds can hedge</w:t>
      </w:r>
      <w:r>
        <w:rPr>
          <w:sz w:val="24"/>
          <w:szCs w:val="24"/>
        </w:rPr>
        <w:t xml:space="preserve"> longer-term risk, and often have a natural ultimate counter-party in multinational corporations</w:t>
      </w:r>
      <w:r w:rsidR="00B26440">
        <w:rPr>
          <w:sz w:val="24"/>
          <w:szCs w:val="24"/>
        </w:rPr>
        <w:t xml:space="preserve"> that depend on the commodity as an input</w:t>
      </w:r>
      <w:r>
        <w:rPr>
          <w:sz w:val="24"/>
          <w:szCs w:val="24"/>
        </w:rPr>
        <w:t>.</w:t>
      </w:r>
      <w:r w:rsidR="00B26440">
        <w:rPr>
          <w:sz w:val="24"/>
          <w:szCs w:val="24"/>
        </w:rPr>
        <w:t xml:space="preserve"> (3) The well-documented pro-cyclicality of fiscal policy among commodity exporters can be reduced by insulating official forecasters against optimism bias</w:t>
      </w:r>
      <w:r w:rsidR="003F0D55">
        <w:rPr>
          <w:sz w:val="24"/>
          <w:szCs w:val="24"/>
        </w:rPr>
        <w:t xml:space="preserve">, as Chile has shown. </w:t>
      </w:r>
    </w:p>
    <w:p w:rsidR="00B26440" w:rsidRDefault="00B26440" w:rsidP="00B26440">
      <w:pPr>
        <w:spacing w:after="0" w:line="240" w:lineRule="auto"/>
        <w:rPr>
          <w:sz w:val="24"/>
          <w:szCs w:val="24"/>
        </w:rPr>
      </w:pPr>
    </w:p>
    <w:p w:rsidR="00F76B78" w:rsidRDefault="00F76B78">
      <w:pPr>
        <w:rPr>
          <w:sz w:val="24"/>
          <w:szCs w:val="24"/>
        </w:rPr>
      </w:pPr>
    </w:p>
    <w:p w:rsidR="00F76B78" w:rsidRDefault="00F76B78">
      <w:pPr>
        <w:rPr>
          <w:sz w:val="24"/>
          <w:szCs w:val="24"/>
        </w:rPr>
      </w:pPr>
    </w:p>
    <w:p w:rsidR="00F76B78" w:rsidRDefault="00F76B78">
      <w:pPr>
        <w:rPr>
          <w:sz w:val="24"/>
          <w:szCs w:val="24"/>
        </w:rPr>
      </w:pPr>
      <w:r>
        <w:rPr>
          <w:bCs/>
          <w:color w:val="000000"/>
          <w:sz w:val="20"/>
          <w:szCs w:val="20"/>
          <w:shd w:val="clear" w:color="auto" w:fill="FFFFFF"/>
        </w:rPr>
        <w:t>AEA subject codes:  E, F, G, O</w:t>
      </w:r>
      <w:proofErr w:type="gramStart"/>
      <w:r>
        <w:rPr>
          <w:bCs/>
          <w:color w:val="000000"/>
          <w:sz w:val="20"/>
          <w:szCs w:val="20"/>
          <w:shd w:val="clear" w:color="auto" w:fill="FFFFFF"/>
        </w:rPr>
        <w:t>.</w:t>
      </w:r>
      <w:proofErr w:type="gramEnd"/>
      <w:r>
        <w:rPr>
          <w:bCs/>
          <w:color w:val="000000"/>
          <w:sz w:val="20"/>
          <w:szCs w:val="20"/>
          <w:shd w:val="clear" w:color="auto" w:fill="FFFFFF"/>
        </w:rPr>
        <w:br/>
        <w:t>Keywords: agricultu</w:t>
      </w:r>
      <w:r w:rsidR="00EE5527">
        <w:rPr>
          <w:bCs/>
          <w:color w:val="000000"/>
          <w:sz w:val="20"/>
          <w:szCs w:val="20"/>
          <w:shd w:val="clear" w:color="auto" w:fill="FFFFFF"/>
        </w:rPr>
        <w:t>re, commodities</w:t>
      </w:r>
      <w:r>
        <w:rPr>
          <w:bCs/>
          <w:color w:val="000000"/>
          <w:sz w:val="20"/>
          <w:szCs w:val="20"/>
          <w:shd w:val="clear" w:color="auto" w:fill="FFFFFF"/>
        </w:rPr>
        <w:t>, fiscal, hedging, i</w:t>
      </w:r>
      <w:r w:rsidR="00EE5527">
        <w:rPr>
          <w:bCs/>
          <w:color w:val="000000"/>
          <w:sz w:val="20"/>
          <w:szCs w:val="20"/>
          <w:shd w:val="clear" w:color="auto" w:fill="FFFFFF"/>
        </w:rPr>
        <w:t>ndexed bonds, minerals</w:t>
      </w:r>
      <w:r>
        <w:rPr>
          <w:bCs/>
          <w:color w:val="000000"/>
          <w:sz w:val="20"/>
          <w:szCs w:val="20"/>
          <w:shd w:val="clear" w:color="auto" w:fill="FFFFFF"/>
        </w:rPr>
        <w:t>, oil.</w:t>
      </w:r>
      <w:r>
        <w:rPr>
          <w:sz w:val="24"/>
          <w:szCs w:val="24"/>
        </w:rPr>
        <w:br w:type="page"/>
      </w:r>
    </w:p>
    <w:p w:rsidR="00F76B78" w:rsidRDefault="00F76B78" w:rsidP="00F76B78">
      <w:pPr>
        <w:jc w:val="center"/>
        <w:rPr>
          <w:sz w:val="24"/>
          <w:szCs w:val="24"/>
        </w:rPr>
      </w:pPr>
      <w:r w:rsidRPr="00B96359">
        <w:rPr>
          <w:b/>
          <w:sz w:val="24"/>
          <w:szCs w:val="24"/>
        </w:rPr>
        <w:lastRenderedPageBreak/>
        <w:t>“How to Cope with Volati</w:t>
      </w:r>
      <w:r w:rsidR="005F3FC1">
        <w:rPr>
          <w:b/>
          <w:sz w:val="24"/>
          <w:szCs w:val="24"/>
        </w:rPr>
        <w:t>le Commodity Export Prices: Three</w:t>
      </w:r>
      <w:r w:rsidRPr="00B96359">
        <w:rPr>
          <w:b/>
          <w:sz w:val="24"/>
          <w:szCs w:val="24"/>
        </w:rPr>
        <w:t xml:space="preserve"> Proposals”</w:t>
      </w:r>
      <w:r>
        <w:rPr>
          <w:b/>
          <w:sz w:val="24"/>
          <w:szCs w:val="24"/>
        </w:rPr>
        <w:br/>
      </w: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F76B78">
      <w:pPr>
        <w:ind w:firstLine="72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744E5E" w:rsidP="00F76B78">
      <w:pPr>
        <w:ind w:firstLine="720"/>
        <w:rPr>
          <w:sz w:val="24"/>
          <w:szCs w:val="24"/>
        </w:rPr>
      </w:pPr>
      <w:r>
        <w:rPr>
          <w:sz w:val="24"/>
          <w:szCs w:val="24"/>
        </w:rPr>
        <w:t>T</w:t>
      </w:r>
      <w:r w:rsidR="00E17A79">
        <w:rPr>
          <w:sz w:val="24"/>
          <w:szCs w:val="24"/>
        </w:rPr>
        <w:t xml:space="preserve">his </w:t>
      </w:r>
      <w:r>
        <w:rPr>
          <w:sz w:val="24"/>
          <w:szCs w:val="24"/>
        </w:rPr>
        <w:t>chapter</w:t>
      </w:r>
      <w:r w:rsidR="00F578D4" w:rsidRPr="00B96359">
        <w:rPr>
          <w:sz w:val="24"/>
          <w:szCs w:val="24"/>
        </w:rPr>
        <w:t xml:space="preserve"> </w:t>
      </w:r>
      <w:r w:rsidR="005F3FC1">
        <w:rPr>
          <w:sz w:val="24"/>
          <w:szCs w:val="24"/>
        </w:rPr>
        <w:t>offer</w:t>
      </w:r>
      <w:r>
        <w:rPr>
          <w:sz w:val="24"/>
          <w:szCs w:val="24"/>
        </w:rPr>
        <w:t>s</w:t>
      </w:r>
      <w:r w:rsidR="005F3FC1">
        <w:rPr>
          <w:sz w:val="24"/>
          <w:szCs w:val="24"/>
        </w:rPr>
        <w:t xml:space="preserve"> three</w:t>
      </w:r>
      <w:r w:rsidR="00CE360D" w:rsidRPr="00B96359">
        <w:rPr>
          <w:sz w:val="24"/>
          <w:szCs w:val="24"/>
        </w:rPr>
        <w:t xml:space="preserve"> </w:t>
      </w:r>
      <w:r w:rsidR="00271A81" w:rsidRPr="00B96359">
        <w:rPr>
          <w:sz w:val="24"/>
          <w:szCs w:val="24"/>
        </w:rPr>
        <w:t xml:space="preserve">policy </w:t>
      </w:r>
      <w:r w:rsidR="00F578D4" w:rsidRPr="00B96359">
        <w:rPr>
          <w:sz w:val="24"/>
          <w:szCs w:val="24"/>
        </w:rPr>
        <w:t xml:space="preserve">proposals </w:t>
      </w:r>
      <w:r w:rsidR="003F798F">
        <w:rPr>
          <w:sz w:val="24"/>
          <w:szCs w:val="24"/>
        </w:rPr>
        <w:t xml:space="preserve">to </w:t>
      </w:r>
      <w:r w:rsidR="00F578D4" w:rsidRPr="00B96359">
        <w:rPr>
          <w:sz w:val="24"/>
          <w:szCs w:val="24"/>
        </w:rPr>
        <w:t>help</w:t>
      </w:r>
      <w:r w:rsidR="003F798F">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sidR="003F798F">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sidR="003F798F">
        <w:rPr>
          <w:sz w:val="24"/>
          <w:szCs w:val="24"/>
        </w:rPr>
        <w:t xml:space="preserve">as to hedge risk.  </w:t>
      </w:r>
      <w:r w:rsidR="005F3FC1">
        <w:rPr>
          <w:sz w:val="24"/>
          <w:szCs w:val="24"/>
        </w:rPr>
        <w:t xml:space="preserve">One </w:t>
      </w:r>
      <w:r w:rsidR="00F578D4" w:rsidRPr="00B96359">
        <w:rPr>
          <w:sz w:val="24"/>
          <w:szCs w:val="24"/>
        </w:rPr>
        <w:t>of the ideas fall in the area of ma</w:t>
      </w:r>
      <w:r w:rsidR="00BF11AD" w:rsidRPr="00B96359">
        <w:rPr>
          <w:sz w:val="24"/>
          <w:szCs w:val="24"/>
        </w:rPr>
        <w:t xml:space="preserve">croeconomic policy institutions:  ways </w:t>
      </w:r>
      <w:r w:rsidR="00F578D4" w:rsidRPr="00B96359">
        <w:rPr>
          <w:sz w:val="24"/>
          <w:szCs w:val="24"/>
        </w:rPr>
        <w:t xml:space="preserve">to make fiscal </w:t>
      </w:r>
      <w:r w:rsidR="005F3FC1">
        <w:rPr>
          <w:sz w:val="24"/>
          <w:szCs w:val="24"/>
        </w:rPr>
        <w:t xml:space="preserve">policy </w:t>
      </w:r>
      <w:r w:rsidR="00F578D4" w:rsidRPr="00B96359">
        <w:rPr>
          <w:sz w:val="24"/>
          <w:szCs w:val="24"/>
        </w:rPr>
        <w:t xml:space="preserve">counter-cyclical rather than pro-cyclical.  </w:t>
      </w:r>
      <w:r w:rsidR="005F3FC1">
        <w:rPr>
          <w:sz w:val="24"/>
          <w:szCs w:val="24"/>
        </w:rPr>
        <w:t xml:space="preserve">  </w:t>
      </w:r>
      <w:r w:rsidR="00E539C9">
        <w:rPr>
          <w:sz w:val="24"/>
          <w:szCs w:val="24"/>
        </w:rPr>
        <w:t>(Institution</w:t>
      </w:r>
      <w:r w:rsidR="005F3FC1">
        <w:rPr>
          <w:sz w:val="24"/>
          <w:szCs w:val="24"/>
        </w:rPr>
        <w:t xml:space="preserve">s to make monetary policy counter-cyclical in commodity-exporting countries rather than pro-cyclical are </w:t>
      </w:r>
      <w:r w:rsidR="00E539C9">
        <w:rPr>
          <w:sz w:val="24"/>
          <w:szCs w:val="24"/>
        </w:rPr>
        <w:t>propos</w:t>
      </w:r>
      <w:r w:rsidR="005F3FC1">
        <w:rPr>
          <w:sz w:val="24"/>
          <w:szCs w:val="24"/>
        </w:rPr>
        <w:t>ed in a companion chapter of this volume.)</w:t>
      </w:r>
    </w:p>
    <w:p w:rsidR="001568E7" w:rsidRDefault="004400D4" w:rsidP="00F76B78">
      <w:pPr>
        <w:ind w:firstLine="720"/>
        <w:rPr>
          <w:sz w:val="24"/>
          <w:szCs w:val="24"/>
        </w:rPr>
      </w:pPr>
      <w:r w:rsidRPr="00B96359">
        <w:rPr>
          <w:sz w:val="24"/>
          <w:szCs w:val="24"/>
        </w:rPr>
        <w:t>It is always hard to make policy proposals that are con</w:t>
      </w:r>
      <w:r w:rsidR="008D3130">
        <w:rPr>
          <w:sz w:val="24"/>
          <w:szCs w:val="24"/>
        </w:rPr>
        <w:t>vincing and at the same time</w:t>
      </w:r>
      <w:r w:rsidRPr="00B96359">
        <w:rPr>
          <w:sz w:val="24"/>
          <w:szCs w:val="24"/>
        </w:rPr>
        <w:t xml:space="preserv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p>
    <w:p w:rsidR="00663BB5" w:rsidRPr="00B96359" w:rsidRDefault="00663BB5" w:rsidP="00F76B78">
      <w:pPr>
        <w:ind w:firstLine="720"/>
        <w:rPr>
          <w:sz w:val="24"/>
          <w:szCs w:val="24"/>
        </w:rPr>
      </w:pPr>
      <w:r>
        <w:rPr>
          <w:sz w:val="24"/>
          <w:szCs w:val="24"/>
        </w:rPr>
        <w:t xml:space="preserve">Let us first pause to ask: </w:t>
      </w:r>
      <w:r w:rsidR="00B6469C">
        <w:rPr>
          <w:sz w:val="24"/>
          <w:szCs w:val="24"/>
        </w:rPr>
        <w:t>Do</w:t>
      </w:r>
      <w:r w:rsidR="009E58FC" w:rsidRPr="00663BB5">
        <w:rPr>
          <w:sz w:val="24"/>
          <w:szCs w:val="24"/>
        </w:rPr>
        <w:t xml:space="preserve">n’t commodity-exporters </w:t>
      </w:r>
      <w:r w:rsidR="00B6469C">
        <w:rPr>
          <w:sz w:val="24"/>
          <w:szCs w:val="24"/>
        </w:rPr>
        <w:t xml:space="preserve">already </w:t>
      </w:r>
      <w:r w:rsidR="009E58FC" w:rsidRPr="00663BB5">
        <w:rPr>
          <w:sz w:val="24"/>
          <w:szCs w:val="24"/>
        </w:rPr>
        <w:t>use financial markets to smooth trade fluctuations?</w:t>
      </w:r>
      <w:r>
        <w:rPr>
          <w:sz w:val="24"/>
          <w:szCs w:val="24"/>
        </w:rPr>
        <w:t xml:space="preserve">  </w:t>
      </w:r>
      <w:r w:rsidR="009E58FC" w:rsidRPr="00663BB5">
        <w:rPr>
          <w:sz w:val="24"/>
          <w:szCs w:val="24"/>
        </w:rPr>
        <w:t>I</w:t>
      </w:r>
      <w:r w:rsidR="00E17A79">
        <w:rPr>
          <w:sz w:val="24"/>
          <w:szCs w:val="24"/>
        </w:rPr>
        <w:t>t is true that i</w:t>
      </w:r>
      <w:r w:rsidR="009E58FC" w:rsidRPr="00663BB5">
        <w:rPr>
          <w:sz w:val="24"/>
          <w:szCs w:val="24"/>
        </w:rPr>
        <w:t>f international financial markets worked well, countries facing temporary adverse trade shocks could borrow to finance current account deficits, and vice versa.</w:t>
      </w:r>
      <w:r w:rsidRPr="00663BB5">
        <w:rPr>
          <w:sz w:val="24"/>
          <w:szCs w:val="24"/>
        </w:rPr>
        <w:t xml:space="preserve">  </w:t>
      </w:r>
      <w:r w:rsidR="009E58FC" w:rsidRPr="00663BB5">
        <w:rPr>
          <w:sz w:val="24"/>
          <w:szCs w:val="24"/>
        </w:rPr>
        <w:t>But they don’t work that well.  Capital flows to developing countries tend</w:t>
      </w:r>
      <w:r w:rsidR="00E17A79">
        <w:rPr>
          <w:sz w:val="24"/>
          <w:szCs w:val="24"/>
        </w:rPr>
        <w:t xml:space="preserve"> not to be counter-cyclical, as in intertemporal optimization theory</w:t>
      </w:r>
      <w:r w:rsidR="009E58FC" w:rsidRPr="00663BB5">
        <w:rPr>
          <w:sz w:val="24"/>
          <w:szCs w:val="24"/>
        </w:rPr>
        <w:t xml:space="preserve">, </w:t>
      </w:r>
      <w:r w:rsidR="00E17A79">
        <w:rPr>
          <w:sz w:val="24"/>
          <w:szCs w:val="24"/>
        </w:rPr>
        <w:t xml:space="preserve">but rather to </w:t>
      </w:r>
      <w:r w:rsidR="009E58FC" w:rsidRPr="00663BB5">
        <w:rPr>
          <w:sz w:val="24"/>
          <w:szCs w:val="24"/>
        </w:rPr>
        <w:t>be pro-cyclical.</w:t>
      </w:r>
      <w:r>
        <w:rPr>
          <w:rStyle w:val="FootnoteReference"/>
          <w:sz w:val="24"/>
          <w:szCs w:val="24"/>
        </w:rPr>
        <w:footnoteReference w:id="2"/>
      </w:r>
      <w:r w:rsidR="00B6469C">
        <w:rPr>
          <w:sz w:val="24"/>
          <w:szCs w:val="24"/>
        </w:rPr>
        <w:t xml:space="preserve">  </w:t>
      </w:r>
      <w:r w:rsidR="009E58FC" w:rsidRPr="00663BB5">
        <w:rPr>
          <w:sz w:val="24"/>
          <w:szCs w:val="24"/>
        </w:rPr>
        <w:t xml:space="preserve">The </w:t>
      </w:r>
      <w:r w:rsidR="00E17A79">
        <w:rPr>
          <w:sz w:val="24"/>
          <w:szCs w:val="24"/>
        </w:rPr>
        <w:t xml:space="preserve">more realistic </w:t>
      </w:r>
      <w:r w:rsidR="009E58FC" w:rsidRPr="00663BB5">
        <w:rPr>
          <w:sz w:val="24"/>
          <w:szCs w:val="24"/>
        </w:rPr>
        <w:t>theory</w:t>
      </w:r>
      <w:r w:rsidRPr="00663BB5">
        <w:rPr>
          <w:sz w:val="24"/>
          <w:szCs w:val="24"/>
        </w:rPr>
        <w:t xml:space="preserve"> usually builds on the assumption that </w:t>
      </w:r>
      <w:r w:rsidR="00E17A79">
        <w:rPr>
          <w:sz w:val="24"/>
          <w:szCs w:val="24"/>
        </w:rPr>
        <w:t xml:space="preserve">creditworthiness is imperfect and therefore </w:t>
      </w:r>
      <w:r w:rsidRPr="00663BB5">
        <w:rPr>
          <w:sz w:val="24"/>
          <w:szCs w:val="24"/>
        </w:rPr>
        <w:t>b</w:t>
      </w:r>
      <w:r w:rsidR="008D3130">
        <w:rPr>
          <w:sz w:val="24"/>
          <w:szCs w:val="24"/>
        </w:rPr>
        <w:t>orrowing requires collateral</w:t>
      </w:r>
      <w:r w:rsidR="009E58FC" w:rsidRPr="00663BB5">
        <w:rPr>
          <w:sz w:val="24"/>
          <w:szCs w:val="24"/>
        </w:rPr>
        <w:t xml:space="preserve"> in the form of commodity export proceeds.</w:t>
      </w:r>
      <w:r w:rsidRPr="00663BB5">
        <w:rPr>
          <w:sz w:val="24"/>
          <w:szCs w:val="24"/>
        </w:rPr>
        <w:t xml:space="preserve"> </w:t>
      </w:r>
      <w:r w:rsidR="008D3130">
        <w:rPr>
          <w:sz w:val="24"/>
          <w:szCs w:val="24"/>
        </w:rPr>
        <w:t xml:space="preserve"> For this reason, the supply of funds increases during commodity booms and falls during commodity busts. </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9E58FC" w:rsidRPr="00663BB5">
        <w:rPr>
          <w:sz w:val="24"/>
          <w:szCs w:val="24"/>
        </w:rPr>
        <w:t xml:space="preserve">some </w:t>
      </w:r>
      <w:r w:rsidRPr="00663BB5">
        <w:rPr>
          <w:sz w:val="24"/>
          <w:szCs w:val="24"/>
        </w:rPr>
        <w:t xml:space="preserve">careful </w:t>
      </w:r>
      <w:r w:rsidR="009E58FC" w:rsidRPr="00663BB5">
        <w:rPr>
          <w:sz w:val="24"/>
          <w:szCs w:val="24"/>
        </w:rPr>
        <w:t>thought is required</w:t>
      </w:r>
      <w:r>
        <w:rPr>
          <w:sz w:val="24"/>
          <w:szCs w:val="24"/>
        </w:rPr>
        <w:t xml:space="preserve"> </w:t>
      </w:r>
      <w:r w:rsidR="009E58FC" w:rsidRPr="00663BB5">
        <w:rPr>
          <w:sz w:val="24"/>
          <w:szCs w:val="24"/>
        </w:rPr>
        <w:t>to design institutions that can protect against the volatility.</w:t>
      </w:r>
    </w:p>
    <w:p w:rsidR="00CE360D" w:rsidRPr="00B96359" w:rsidRDefault="00E17A79" w:rsidP="00F76B78">
      <w:pPr>
        <w:ind w:firstLine="720"/>
        <w:rPr>
          <w:sz w:val="24"/>
          <w:szCs w:val="24"/>
        </w:rPr>
      </w:pPr>
      <w:r>
        <w:rPr>
          <w:sz w:val="24"/>
          <w:szCs w:val="24"/>
        </w:rPr>
        <w:t>A variety of</w:t>
      </w:r>
      <w:r w:rsidR="001568E7" w:rsidRPr="00B96359">
        <w:rPr>
          <w:sz w:val="24"/>
          <w:szCs w:val="24"/>
        </w:rPr>
        <w:t xml:space="preserve"> policies and institutions for dealing with commodity volatility have been proposed and tried</w:t>
      </w:r>
      <w:r w:rsidR="003F4763" w:rsidRPr="00B96359">
        <w:rPr>
          <w:sz w:val="24"/>
          <w:szCs w:val="24"/>
        </w:rPr>
        <w:t xml:space="preserve"> in various countries</w:t>
      </w:r>
      <w:r>
        <w:rPr>
          <w:sz w:val="24"/>
          <w:szCs w:val="24"/>
        </w:rPr>
        <w:t>.  S</w:t>
      </w:r>
      <w:r w:rsidR="001568E7" w:rsidRPr="00B96359">
        <w:rPr>
          <w:sz w:val="24"/>
          <w:szCs w:val="24"/>
        </w:rPr>
        <w:t xml:space="preserve">ome </w:t>
      </w:r>
      <w:r>
        <w:rPr>
          <w:sz w:val="24"/>
          <w:szCs w:val="24"/>
        </w:rPr>
        <w:t xml:space="preserve">have been </w:t>
      </w:r>
      <w:r w:rsidR="001568E7" w:rsidRPr="00B96359">
        <w:rPr>
          <w:sz w:val="24"/>
          <w:szCs w:val="24"/>
        </w:rPr>
        <w:t xml:space="preserve">successful, some much less so.  </w:t>
      </w:r>
      <w:r w:rsidR="001568E7" w:rsidRPr="006C1C2A">
        <w:rPr>
          <w:sz w:val="24"/>
          <w:szCs w:val="24"/>
        </w:rPr>
        <w:t xml:space="preserve">Many of the </w:t>
      </w:r>
      <w:r w:rsidR="003F4763" w:rsidRPr="006C1C2A">
        <w:rPr>
          <w:sz w:val="24"/>
          <w:szCs w:val="24"/>
        </w:rPr>
        <w:t>idea</w:t>
      </w:r>
      <w:r w:rsidR="001568E7" w:rsidRPr="006C1C2A">
        <w:rPr>
          <w:sz w:val="24"/>
          <w:szCs w:val="24"/>
        </w:rPr>
        <w:t xml:space="preserve">s that tend to work </w:t>
      </w:r>
      <w:r w:rsidR="006C1C2A" w:rsidRPr="006C1C2A">
        <w:rPr>
          <w:sz w:val="24"/>
          <w:szCs w:val="24"/>
        </w:rPr>
        <w:t>poorly</w:t>
      </w:r>
      <w:r w:rsidR="001568E7" w:rsidRPr="006C1C2A">
        <w:rPr>
          <w:sz w:val="24"/>
          <w:szCs w:val="24"/>
        </w:rPr>
        <w:t xml:space="preserve"> can be described as seeking to suppress price volatility rather than manage it.  I see them as akin to King Canute commanding the tide not to come in.  </w:t>
      </w:r>
      <w:r w:rsidR="001568E7" w:rsidRPr="006C1C2A">
        <w:rPr>
          <w:sz w:val="24"/>
          <w:szCs w:val="24"/>
        </w:rPr>
        <w:lastRenderedPageBreak/>
        <w:t xml:space="preserve">I am thinking, for example, of price controls, </w:t>
      </w:r>
      <w:r w:rsidR="006C1C2A" w:rsidRPr="006C1C2A">
        <w:rPr>
          <w:sz w:val="24"/>
          <w:szCs w:val="24"/>
        </w:rPr>
        <w:t xml:space="preserve">commodity marketing </w:t>
      </w:r>
      <w:r w:rsidR="001568E7" w:rsidRPr="006C1C2A">
        <w:rPr>
          <w:sz w:val="24"/>
          <w:szCs w:val="24"/>
        </w:rPr>
        <w:t xml:space="preserve">boards, </w:t>
      </w:r>
      <w:r w:rsidR="003F4763" w:rsidRPr="006C1C2A">
        <w:rPr>
          <w:sz w:val="24"/>
          <w:szCs w:val="24"/>
        </w:rPr>
        <w:t xml:space="preserve">and </w:t>
      </w:r>
      <w:r w:rsidR="001568E7" w:rsidRPr="006C1C2A">
        <w:rPr>
          <w:sz w:val="24"/>
          <w:szCs w:val="24"/>
        </w:rPr>
        <w:t>c</w:t>
      </w:r>
      <w:r w:rsidR="003F4763" w:rsidRPr="006C1C2A">
        <w:rPr>
          <w:sz w:val="24"/>
          <w:szCs w:val="24"/>
        </w:rPr>
        <w:t>ontrols on exports</w:t>
      </w:r>
      <w:r w:rsidR="001568E7" w:rsidRPr="006C1C2A">
        <w:rPr>
          <w:sz w:val="24"/>
          <w:szCs w:val="24"/>
        </w:rPr>
        <w:t xml:space="preserve">.    </w:t>
      </w:r>
      <w:r w:rsidR="001568E7" w:rsidRPr="00B96359">
        <w:rPr>
          <w:sz w:val="24"/>
          <w:szCs w:val="24"/>
        </w:rPr>
        <w:t>Better to accept fluctuations in demand and supply as a fact of life, and to devise</w:t>
      </w:r>
      <w:r w:rsidR="003F4763" w:rsidRPr="00B96359">
        <w:rPr>
          <w:sz w:val="24"/>
          <w:szCs w:val="24"/>
        </w:rPr>
        <w:t xml:space="preserve"> policies and institutions to</w:t>
      </w:r>
      <w:r w:rsidR="001568E7" w:rsidRPr="00B96359">
        <w:rPr>
          <w:sz w:val="24"/>
          <w:szCs w:val="24"/>
        </w:rPr>
        <w:t xml:space="preserve"> equip the economy to cope with them.</w:t>
      </w:r>
      <w:r w:rsidR="00AF1465">
        <w:rPr>
          <w:sz w:val="24"/>
          <w:szCs w:val="24"/>
        </w:rPr>
        <w:br/>
      </w:r>
    </w:p>
    <w:p w:rsidR="001568E7" w:rsidRPr="00B96359" w:rsidRDefault="00B038B1" w:rsidP="00CE360D">
      <w:pPr>
        <w:pStyle w:val="ListParagraph"/>
        <w:numPr>
          <w:ilvl w:val="0"/>
          <w:numId w:val="1"/>
        </w:numPr>
        <w:rPr>
          <w:b/>
          <w:sz w:val="24"/>
          <w:szCs w:val="24"/>
        </w:rPr>
      </w:pPr>
      <w:r>
        <w:rPr>
          <w:b/>
          <w:sz w:val="24"/>
          <w:szCs w:val="24"/>
        </w:rPr>
        <w:t>I</w:t>
      </w:r>
      <w:r w:rsidR="00CE360D" w:rsidRPr="00B96359">
        <w:rPr>
          <w:b/>
          <w:sz w:val="24"/>
          <w:szCs w:val="24"/>
        </w:rPr>
        <w:t>dea for financial hedging</w:t>
      </w:r>
      <w:r>
        <w:rPr>
          <w:b/>
          <w:sz w:val="24"/>
          <w:szCs w:val="24"/>
        </w:rPr>
        <w:t xml:space="preserve"> of short-term risk</w:t>
      </w:r>
      <w:r w:rsidR="00E400E5" w:rsidRPr="00B96359">
        <w:rPr>
          <w:b/>
          <w:sz w:val="24"/>
          <w:szCs w:val="24"/>
        </w:rPr>
        <w:t>: Options</w:t>
      </w:r>
      <w:r w:rsidR="00CE360D" w:rsidRPr="00B96359">
        <w:rPr>
          <w:b/>
          <w:sz w:val="24"/>
          <w:szCs w:val="24"/>
        </w:rPr>
        <w:t xml:space="preserve"> </w:t>
      </w:r>
    </w:p>
    <w:p w:rsidR="00B6469C" w:rsidRDefault="009E58FC" w:rsidP="00F76B78">
      <w:pPr>
        <w:ind w:firstLine="72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F76B78">
      <w:pPr>
        <w:ind w:firstLine="720"/>
        <w:rPr>
          <w:sz w:val="24"/>
          <w:szCs w:val="24"/>
        </w:rPr>
      </w:pPr>
      <w:r w:rsidRPr="00B96359">
        <w:rPr>
          <w:sz w:val="24"/>
          <w:szCs w:val="24"/>
        </w:rPr>
        <w:t>Of my two sugge</w:t>
      </w:r>
      <w:r w:rsidR="00AF1465">
        <w:rPr>
          <w:sz w:val="24"/>
          <w:szCs w:val="24"/>
        </w:rPr>
        <w:t>stions for ways to hedge risk</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AF1465">
        <w:rPr>
          <w:sz w:val="24"/>
          <w:szCs w:val="24"/>
        </w:rPr>
        <w:t xml:space="preserve"> in protecting against short-term declines </w:t>
      </w:r>
      <w:r w:rsidR="00AF1465" w:rsidRPr="00B96359">
        <w:rPr>
          <w:sz w:val="24"/>
          <w:szCs w:val="24"/>
        </w:rPr>
        <w:t>in the world price of the export commodity</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0B33BC">
        <w:rPr>
          <w:sz w:val="24"/>
          <w:szCs w:val="24"/>
        </w:rPr>
        <w:t xml:space="preserve"> or to hedge the asset-value of existing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038B1" w:rsidP="003B4809">
      <w:pPr>
        <w:pStyle w:val="ListParagraph"/>
        <w:numPr>
          <w:ilvl w:val="0"/>
          <w:numId w:val="1"/>
        </w:numPr>
        <w:rPr>
          <w:b/>
          <w:sz w:val="24"/>
          <w:szCs w:val="24"/>
        </w:rPr>
      </w:pPr>
      <w:r>
        <w:rPr>
          <w:b/>
          <w:sz w:val="24"/>
          <w:szCs w:val="24"/>
        </w:rPr>
        <w:t>I</w:t>
      </w:r>
      <w:r w:rsidR="00B93290" w:rsidRPr="00B96359">
        <w:rPr>
          <w:b/>
          <w:sz w:val="24"/>
          <w:szCs w:val="24"/>
        </w:rPr>
        <w:t>dea for financial hedging</w:t>
      </w:r>
      <w:r>
        <w:rPr>
          <w:b/>
          <w:sz w:val="24"/>
          <w:szCs w:val="24"/>
        </w:rPr>
        <w:t xml:space="preserve"> of long-term risk</w:t>
      </w:r>
      <w:r w:rsidR="00E400E5" w:rsidRPr="00B96359">
        <w:rPr>
          <w:b/>
          <w:sz w:val="24"/>
          <w:szCs w:val="24"/>
        </w:rPr>
        <w:t xml:space="preserve">: </w:t>
      </w:r>
      <w:r w:rsidR="00CE3636">
        <w:rPr>
          <w:b/>
          <w:sz w:val="24"/>
          <w:szCs w:val="24"/>
        </w:rPr>
        <w:t>Index</w:t>
      </w:r>
      <w:r w:rsidR="00E400E5" w:rsidRPr="00B96359">
        <w:rPr>
          <w:b/>
          <w:sz w:val="24"/>
          <w:szCs w:val="24"/>
        </w:rPr>
        <w:t>ing debt to the commodity price</w:t>
      </w:r>
    </w:p>
    <w:p w:rsidR="003B4809" w:rsidRPr="00370394" w:rsidRDefault="003B4809" w:rsidP="00370394">
      <w:pPr>
        <w:ind w:firstLine="720"/>
      </w:pPr>
      <w:r>
        <w:rPr>
          <w:sz w:val="24"/>
          <w:szCs w:val="24"/>
        </w:rPr>
        <w:t xml:space="preserve">  </w:t>
      </w:r>
      <w:r w:rsidRPr="003B4809">
        <w:rPr>
          <w:sz w:val="24"/>
          <w:szCs w:val="24"/>
        </w:rPr>
        <w:t xml:space="preserve">For those countries that borrow, e.g., a West African country that is developing new deposits of iron ore or offshore oil, I propose </w:t>
      </w:r>
      <w:r w:rsidR="00CE3636">
        <w:rPr>
          <w:sz w:val="24"/>
          <w:szCs w:val="24"/>
        </w:rPr>
        <w:t>indexi</w:t>
      </w:r>
      <w:r w:rsidRPr="003B4809">
        <w:rPr>
          <w:sz w:val="24"/>
          <w:szCs w:val="24"/>
        </w:rPr>
        <w:t xml:space="preserve">ng the terms of the loan, not to dollars nor </w:t>
      </w:r>
      <w:r w:rsidRPr="003B4809">
        <w:rPr>
          <w:sz w:val="24"/>
          <w:szCs w:val="24"/>
        </w:rPr>
        <w:lastRenderedPageBreak/>
        <w:t>to the local currency, but to the price of the commodity itself.</w:t>
      </w:r>
      <w:r w:rsidRPr="00B96359">
        <w:rPr>
          <w:rStyle w:val="FootnoteReference"/>
          <w:sz w:val="24"/>
          <w:szCs w:val="24"/>
        </w:rPr>
        <w:footnoteReference w:id="6"/>
      </w:r>
      <w:r w:rsidRPr="003B4809">
        <w:rPr>
          <w:sz w:val="24"/>
          <w:szCs w:val="24"/>
        </w:rPr>
        <w:t xml:space="preserve">  </w:t>
      </w:r>
      <w:r w:rsidR="00370394" w:rsidRPr="00370394">
        <w:rPr>
          <w:sz w:val="24"/>
          <w:szCs w:val="24"/>
        </w:rPr>
        <w:t xml:space="preserve">The advantage of such bonds is that in the event of a decline in the world price of the underlying commodity, the debt-to-export ratio need not rise. The cost of debt service adjusts automatically, without the severe disruption that </w:t>
      </w:r>
      <w:r w:rsidR="008D3130">
        <w:rPr>
          <w:sz w:val="24"/>
          <w:szCs w:val="24"/>
        </w:rPr>
        <w:t xml:space="preserve">so often </w:t>
      </w:r>
      <w:r w:rsidR="00370394" w:rsidRPr="00370394">
        <w:rPr>
          <w:sz w:val="24"/>
          <w:szCs w:val="24"/>
        </w:rPr>
        <w:t xml:space="preserve">results from crisis, debt restructuring, </w:t>
      </w:r>
      <w:r w:rsidR="008D3130" w:rsidRPr="00370394">
        <w:rPr>
          <w:sz w:val="24"/>
          <w:szCs w:val="24"/>
        </w:rPr>
        <w:t xml:space="preserve">loss of confidence, </w:t>
      </w:r>
      <w:r w:rsidR="00370394" w:rsidRPr="00370394">
        <w:rPr>
          <w:sz w:val="24"/>
          <w:szCs w:val="24"/>
        </w:rPr>
        <w:t>and so forth.</w:t>
      </w:r>
      <w:r w:rsidR="00370394">
        <w:t xml:space="preserve">  </w:t>
      </w:r>
      <w:r w:rsidRPr="003B4809">
        <w:rPr>
          <w:sz w:val="24"/>
          <w:szCs w:val="24"/>
        </w:rPr>
        <w:t>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FA13DD" w:rsidP="00F76B78">
      <w:pPr>
        <w:pStyle w:val="ListParagraph"/>
        <w:ind w:left="0" w:firstLine="720"/>
        <w:rPr>
          <w:sz w:val="24"/>
          <w:szCs w:val="24"/>
        </w:rPr>
      </w:pPr>
      <w:r w:rsidRPr="00B96359">
        <w:rPr>
          <w:sz w:val="24"/>
          <w:szCs w:val="24"/>
        </w:rPr>
        <w:t>Th</w:t>
      </w:r>
      <w:r w:rsidR="003B4809">
        <w:rPr>
          <w:sz w:val="24"/>
          <w:szCs w:val="24"/>
        </w:rPr>
        <w:t>e indexation</w:t>
      </w:r>
      <w:r w:rsidRPr="00B96359">
        <w:rPr>
          <w:sz w:val="24"/>
          <w:szCs w:val="24"/>
        </w:rPr>
        <w:t xml:space="preserve"> idea has been around for a long time</w:t>
      </w:r>
      <w:r w:rsidR="00CE3636">
        <w:rPr>
          <w:rStyle w:val="FootnoteReference"/>
          <w:sz w:val="24"/>
          <w:szCs w:val="24"/>
        </w:rPr>
        <w:footnoteReference w:id="7"/>
      </w:r>
      <w:r w:rsidR="008D3130">
        <w:rPr>
          <w:sz w:val="24"/>
          <w:szCs w:val="24"/>
        </w:rPr>
        <w:t xml:space="preserve">, but has </w:t>
      </w:r>
      <w:r w:rsidRPr="00B96359">
        <w:rPr>
          <w:sz w:val="24"/>
          <w:szCs w:val="24"/>
        </w:rPr>
        <w:t>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Who would want to take the other side of the trade</w:t>
      </w:r>
      <w:r w:rsidR="003B4809">
        <w:rPr>
          <w:sz w:val="24"/>
          <w:szCs w:val="24"/>
        </w:rPr>
        <w:t>, they ask</w:t>
      </w:r>
      <w:r w:rsidR="00B93290" w:rsidRPr="00B96359">
        <w:rPr>
          <w:sz w:val="24"/>
          <w:szCs w:val="24"/>
        </w:rPr>
        <w:t xml:space="preserve">?  </w:t>
      </w:r>
      <w:r w:rsidR="002B0741">
        <w:rPr>
          <w:sz w:val="24"/>
          <w:szCs w:val="24"/>
        </w:rPr>
        <w:t xml:space="preserve"> There is a good answer to the question </w:t>
      </w:r>
      <w:proofErr w:type="gramStart"/>
      <w:r w:rsidR="00B93290" w:rsidRPr="00B96359">
        <w:rPr>
          <w:sz w:val="24"/>
          <w:szCs w:val="24"/>
        </w:rPr>
        <w:t>who</w:t>
      </w:r>
      <w:proofErr w:type="gramEnd"/>
      <w:r w:rsidR="00B93290" w:rsidRPr="00B96359">
        <w:rPr>
          <w:sz w:val="24"/>
          <w:szCs w:val="24"/>
        </w:rPr>
        <w:t xml:space="preserve"> the ultimate 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 xml:space="preserve">have reason to go long in </w:t>
      </w:r>
      <w:proofErr w:type="gramStart"/>
      <w:r w:rsidR="008517AB" w:rsidRPr="00B96359">
        <w:rPr>
          <w:sz w:val="24"/>
          <w:szCs w:val="24"/>
        </w:rPr>
        <w:t>oil,</w:t>
      </w:r>
      <w:proofErr w:type="gramEnd"/>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w:t>
      </w:r>
      <w:r w:rsidR="002B0741">
        <w:rPr>
          <w:rStyle w:val="FootnoteReference"/>
          <w:sz w:val="24"/>
          <w:szCs w:val="24"/>
        </w:rPr>
        <w:footnoteReference w:id="8"/>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 xml:space="preserve">then offset its collective exposure to oil </w:t>
      </w:r>
      <w:r w:rsidR="008D3130">
        <w:rPr>
          <w:sz w:val="24"/>
          <w:szCs w:val="24"/>
        </w:rPr>
        <w:t>market</w:t>
      </w:r>
      <w:r w:rsidRPr="00B96359">
        <w:rPr>
          <w:sz w:val="24"/>
          <w:szCs w:val="24"/>
        </w:rPr>
        <w:t>s by selling to investors a World Bank bond denominated in a standard oil price index.</w:t>
      </w:r>
      <w:r w:rsidR="001C500F" w:rsidRPr="00B96359">
        <w:rPr>
          <w:sz w:val="24"/>
          <w:szCs w:val="24"/>
        </w:rPr>
        <w:t xml:space="preserve">  </w:t>
      </w:r>
      <w:r w:rsidR="008D3130">
        <w:rPr>
          <w:sz w:val="24"/>
          <w:szCs w:val="24"/>
        </w:rPr>
        <w:t>(</w:t>
      </w:r>
      <w:r w:rsidR="008D3130">
        <w:rPr>
          <w:sz w:val="24"/>
          <w:szCs w:val="24"/>
        </w:rPr>
        <w:t>Certain major private banks might also be able to play this role</w:t>
      </w:r>
      <w:r w:rsidR="008D3130">
        <w:rPr>
          <w:sz w:val="24"/>
          <w:szCs w:val="24"/>
        </w:rPr>
        <w:t xml:space="preserve"> of intermediary</w:t>
      </w:r>
      <w:r w:rsidR="008D3130">
        <w:rPr>
          <w:sz w:val="24"/>
          <w:szCs w:val="24"/>
        </w:rPr>
        <w:t>.</w:t>
      </w:r>
      <w:r w:rsidR="008D3130">
        <w:rPr>
          <w:sz w:val="24"/>
          <w:szCs w:val="24"/>
        </w:rPr>
        <w:t xml:space="preserve">)  </w:t>
      </w:r>
      <w:r w:rsidR="001C500F" w:rsidRPr="00B96359">
        <w:rPr>
          <w:sz w:val="24"/>
          <w:szCs w:val="24"/>
        </w:rPr>
        <w:t>Similarly</w:t>
      </w:r>
      <w:r w:rsidR="008D3130">
        <w:rPr>
          <w:sz w:val="24"/>
          <w:szCs w:val="24"/>
        </w:rPr>
        <w:t>, countries that export</w:t>
      </w:r>
      <w:r w:rsidR="001C500F" w:rsidRPr="00B96359">
        <w:rPr>
          <w:sz w:val="24"/>
          <w:szCs w:val="24"/>
        </w:rPr>
        <w:t xml:space="preserve">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r w:rsidR="008D3130">
        <w:rPr>
          <w:sz w:val="24"/>
          <w:szCs w:val="24"/>
        </w:rPr>
        <w:t xml:space="preserve"> would borrow from the intermediary in terms linked to the price of the commodity in question and the intermediary would then lay off that commodity risk</w:t>
      </w:r>
      <w:r w:rsidR="001C500F" w:rsidRPr="00B96359">
        <w:rPr>
          <w:sz w:val="24"/>
          <w:szCs w:val="24"/>
        </w:rPr>
        <w:t>.</w:t>
      </w:r>
      <w:r w:rsidR="0061279D">
        <w:rPr>
          <w:sz w:val="24"/>
          <w:szCs w:val="24"/>
        </w:rPr>
        <w:t xml:space="preserve"> </w:t>
      </w:r>
      <w:r w:rsidR="008D3130">
        <w:rPr>
          <w:sz w:val="24"/>
          <w:szCs w:val="24"/>
        </w:rPr>
        <w:t xml:space="preserve"> The ultimate holder of the commodity exposure would be someone, like a manufacturing corporation who has a good reason to go long in the commodity in question.</w:t>
      </w:r>
      <w:r w:rsidR="0061279D">
        <w:rPr>
          <w:sz w:val="24"/>
          <w:szCs w:val="24"/>
        </w:rPr>
        <w:t xml:space="preserve"> </w:t>
      </w:r>
      <w:r w:rsidR="008D3130">
        <w:rPr>
          <w:sz w:val="24"/>
          <w:szCs w:val="24"/>
        </w:rPr>
        <w:t xml:space="preserve">All three parties – the borrower, the intermediary, and the ultimate buyer – get exposure to what they want </w:t>
      </w:r>
      <w:r w:rsidR="008D3130">
        <w:rPr>
          <w:sz w:val="24"/>
          <w:szCs w:val="24"/>
        </w:rPr>
        <w:lastRenderedPageBreak/>
        <w:t>exposure in and protection against what they don’t.</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0E5F0A">
        <w:rPr>
          <w:sz w:val="24"/>
          <w:szCs w:val="24"/>
        </w:rPr>
        <w:t>proposal</w:t>
      </w:r>
      <w:r w:rsidR="00D64AAF" w:rsidRPr="00B96359">
        <w:rPr>
          <w:sz w:val="24"/>
          <w:szCs w:val="24"/>
        </w:rPr>
        <w:t xml:space="preserve"> </w:t>
      </w:r>
      <w:r w:rsidR="008440BC" w:rsidRPr="00B96359">
        <w:rPr>
          <w:sz w:val="24"/>
          <w:szCs w:val="24"/>
        </w:rPr>
        <w:t>i</w:t>
      </w:r>
      <w:r w:rsidRPr="00B96359">
        <w:rPr>
          <w:sz w:val="24"/>
          <w:szCs w:val="24"/>
        </w:rPr>
        <w:t xml:space="preserve">s </w:t>
      </w:r>
      <w:r w:rsidR="000E5F0A">
        <w:rPr>
          <w:sz w:val="24"/>
          <w:szCs w:val="24"/>
        </w:rPr>
        <w:t xml:space="preserve">in the area of </w:t>
      </w:r>
      <w:r w:rsidRPr="00B96359">
        <w:rPr>
          <w:sz w:val="24"/>
          <w:szCs w:val="24"/>
        </w:rPr>
        <w:t>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Many authors have documented this historical pro-cyclicality.</w:t>
      </w:r>
      <w:r w:rsidR="009B7C82" w:rsidRPr="00B96359">
        <w:rPr>
          <w:rStyle w:val="FootnoteReference"/>
          <w:sz w:val="24"/>
          <w:szCs w:val="24"/>
        </w:rPr>
        <w:footnoteReference w:id="9"/>
      </w:r>
      <w:r w:rsidR="009B7C82" w:rsidRPr="00B96359">
        <w:rPr>
          <w:sz w:val="24"/>
          <w:szCs w:val="24"/>
        </w:rPr>
        <w:t xml:space="preserve">    An important cause of procyclical spending is that government receipts from taxes or royalties rise in booms, and the government cannot resist the temptation or political pressure to increase spending </w:t>
      </w:r>
      <w:proofErr w:type="gramStart"/>
      <w:r w:rsidR="009B7C82" w:rsidRPr="00B96359">
        <w:rPr>
          <w:sz w:val="24"/>
          <w:szCs w:val="24"/>
        </w:rPr>
        <w:t>proportionately,</w:t>
      </w:r>
      <w:proofErr w:type="gramEnd"/>
      <w:r w:rsidR="009B7C82" w:rsidRPr="00B96359">
        <w:rPr>
          <w:sz w:val="24"/>
          <w:szCs w:val="24"/>
        </w:rPr>
        <w:t xml:space="preserve">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10"/>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AC3842">
        <w:rPr>
          <w:sz w:val="24"/>
          <w:szCs w:val="24"/>
        </w:rPr>
        <w:t xml:space="preserve">future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w:t>
      </w:r>
      <w:proofErr w:type="gramStart"/>
      <w:r w:rsidRPr="00B96359">
        <w:rPr>
          <w:sz w:val="24"/>
          <w:szCs w:val="24"/>
        </w:rPr>
        <w:t>frailties</w:t>
      </w:r>
      <w:r w:rsidR="00C01833" w:rsidRPr="00B96359">
        <w:rPr>
          <w:sz w:val="24"/>
          <w:szCs w:val="24"/>
        </w:rPr>
        <w:t>.</w:t>
      </w:r>
      <w:proofErr w:type="gramEnd"/>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E072A">
        <w:rPr>
          <w:sz w:val="24"/>
          <w:szCs w:val="24"/>
        </w:rPr>
        <w:t xml:space="preserve"> to overcome </w:t>
      </w:r>
      <w:proofErr w:type="spellStart"/>
      <w:r w:rsidR="003E072A">
        <w:rPr>
          <w:sz w:val="24"/>
          <w:szCs w:val="24"/>
        </w:rPr>
        <w:t>thieir</w:t>
      </w:r>
      <w:proofErr w:type="spellEnd"/>
      <w:r w:rsidR="003E072A">
        <w:rPr>
          <w:sz w:val="24"/>
          <w:szCs w:val="24"/>
        </w:rPr>
        <w:t xml:space="preserve"> </w:t>
      </w:r>
      <w:r w:rsidR="00335C6F" w:rsidRPr="00B96359">
        <w:rPr>
          <w:sz w:val="24"/>
          <w:szCs w:val="24"/>
        </w:rPr>
        <w:t xml:space="preserve">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proofErr w:type="gramStart"/>
      <w:r w:rsidR="00335C6F" w:rsidRPr="00B96359">
        <w:rPr>
          <w:sz w:val="24"/>
          <w:szCs w:val="24"/>
        </w:rPr>
        <w:t>Generally t</w:t>
      </w:r>
      <w:r w:rsidRPr="00B96359">
        <w:rPr>
          <w:sz w:val="24"/>
          <w:szCs w:val="24"/>
        </w:rPr>
        <w:t>hose with “good institutions”</w:t>
      </w:r>
      <w:r w:rsidR="00105DA4" w:rsidRPr="00B96359">
        <w:rPr>
          <w:sz w:val="24"/>
          <w:szCs w:val="24"/>
        </w:rPr>
        <w:t xml:space="preserve"> </w:t>
      </w:r>
      <w:r w:rsidR="003E072A">
        <w:rPr>
          <w:sz w:val="24"/>
          <w:szCs w:val="24"/>
        </w:rPr>
        <w:t xml:space="preserve">judged by the standard measures </w:t>
      </w:r>
      <w:r w:rsidR="00105DA4" w:rsidRPr="00B96359">
        <w:rPr>
          <w:sz w:val="24"/>
          <w:szCs w:val="24"/>
        </w:rPr>
        <w:t>such as the rule of law.</w:t>
      </w:r>
      <w:proofErr w:type="gramEnd"/>
      <w:r w:rsidR="005C54A9" w:rsidRPr="00B96359">
        <w:rPr>
          <w:rStyle w:val="FootnoteReference"/>
          <w:sz w:val="24"/>
          <w:szCs w:val="24"/>
        </w:rPr>
        <w:footnoteReference w:id="11"/>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w:t>
      </w:r>
      <w:r w:rsidR="003E072A">
        <w:rPr>
          <w:sz w:val="24"/>
          <w:szCs w:val="24"/>
        </w:rPr>
        <w:t>ve</w:t>
      </w:r>
      <w:r w:rsidR="00486625" w:rsidRPr="00B96359">
        <w:rPr>
          <w:sz w:val="24"/>
          <w:szCs w:val="24"/>
        </w:rPr>
        <w:t xml:space="preserve">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xml:space="preserve">:  when the economy is hit by a recession and so the budget is hit by a loss in tax </w:t>
      </w:r>
      <w:r w:rsidR="00CD1908" w:rsidRPr="00B96359">
        <w:rPr>
          <w:sz w:val="24"/>
          <w:szCs w:val="24"/>
        </w:rPr>
        <w:lastRenderedPageBreak/>
        <w:t>rev</w:t>
      </w:r>
      <w:r w:rsidR="008F6312">
        <w:rPr>
          <w:sz w:val="24"/>
          <w:szCs w:val="24"/>
        </w:rPr>
        <w:t>enue, a budget balance rule will</w:t>
      </w:r>
      <w:r w:rsidR="00CD1908" w:rsidRPr="00B96359">
        <w:rPr>
          <w:sz w:val="24"/>
          <w:szCs w:val="24"/>
        </w:rPr>
        <w:t xml:space="preserve"> force the government to cut spending or raise tax rates</w:t>
      </w:r>
      <w:r w:rsidR="003E072A">
        <w:rPr>
          <w:sz w:val="24"/>
          <w:szCs w:val="24"/>
        </w:rPr>
        <w:t xml:space="preserve"> which will worsen the recession</w:t>
      </w:r>
      <w:r w:rsidR="00CD1908" w:rsidRPr="00B96359">
        <w:rPr>
          <w:sz w:val="24"/>
          <w:szCs w:val="24"/>
        </w:rPr>
        <w:t xml:space="preserve">.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w:t>
      </w:r>
      <w:r w:rsidR="00AB596F">
        <w:rPr>
          <w:sz w:val="24"/>
          <w:szCs w:val="24"/>
        </w:rPr>
        <w:t>developing</w:t>
      </w:r>
      <w:r w:rsidR="00886249" w:rsidRPr="00B96359">
        <w:rPr>
          <w:sz w:val="24"/>
          <w:szCs w:val="24"/>
        </w:rPr>
        <w:t xml:space="preserve">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2"/>
      </w:r>
    </w:p>
    <w:p w:rsidR="0075348A" w:rsidRPr="00B96359" w:rsidRDefault="008F6312" w:rsidP="00D8711C">
      <w:pPr>
        <w:pStyle w:val="ListParagraph"/>
        <w:ind w:left="0" w:firstLine="720"/>
        <w:rPr>
          <w:sz w:val="24"/>
          <w:szCs w:val="24"/>
        </w:rPr>
      </w:pPr>
      <w:r>
        <w:rPr>
          <w:sz w:val="24"/>
          <w:szCs w:val="24"/>
        </w:rPr>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3"/>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23645D" w:rsidRDefault="0023645D">
      <w:pPr>
        <w:rPr>
          <w:b/>
          <w:sz w:val="24"/>
          <w:szCs w:val="24"/>
        </w:rPr>
      </w:pPr>
    </w:p>
    <w:p w:rsidR="00C3156A" w:rsidRPr="00B96359" w:rsidRDefault="00371DFF" w:rsidP="00371DFF">
      <w:pPr>
        <w:rPr>
          <w:b/>
          <w:sz w:val="24"/>
          <w:szCs w:val="24"/>
        </w:rPr>
      </w:pPr>
      <w:r w:rsidRPr="00B96359">
        <w:rPr>
          <w:b/>
          <w:sz w:val="24"/>
          <w:szCs w:val="24"/>
        </w:rPr>
        <w:t>References</w:t>
      </w:r>
    </w:p>
    <w:p w:rsidR="007862DA" w:rsidRPr="007862DA" w:rsidRDefault="00A30CB0" w:rsidP="007862DA">
      <w:pPr>
        <w:jc w:val="both"/>
        <w:rPr>
          <w:sz w:val="20"/>
        </w:rPr>
      </w:pPr>
      <w:bookmarkStart w:id="2" w:name="articles"/>
      <w:r w:rsidRPr="00A30CB0">
        <w:rPr>
          <w:rFonts w:cs="Arial"/>
          <w:color w:val="222222"/>
          <w:sz w:val="20"/>
          <w:szCs w:val="20"/>
          <w:shd w:val="clear" w:color="auto" w:fill="FFFFFF"/>
        </w:rPr>
        <w:t>Aghion, Philippe, George-Marios Angeletos, Abhijit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r w:rsidRPr="001314E5">
        <w:rPr>
          <w:sz w:val="20"/>
        </w:rPr>
        <w:br/>
      </w:r>
      <w:r w:rsidRPr="001314E5">
        <w:rPr>
          <w:sz w:val="20"/>
        </w:rPr>
        <w:br/>
      </w:r>
      <w:proofErr w:type="gramStart"/>
      <w:r w:rsidR="00FC5A27" w:rsidRPr="001314E5">
        <w:rPr>
          <w:sz w:val="20"/>
        </w:rPr>
        <w:t>Alesina, Alberto, Filipe Campante, and Guido Tabellini, 2008, “Why is Fiscal Policy Often Procyclical?”</w:t>
      </w:r>
      <w:proofErr w:type="gramEnd"/>
      <w:r w:rsidR="00FC5A27" w:rsidRPr="001314E5">
        <w:rPr>
          <w:sz w:val="20"/>
        </w:rPr>
        <w:t xml:space="preserve"> </w:t>
      </w:r>
      <w:proofErr w:type="gramStart"/>
      <w:r w:rsidR="00FC5A27" w:rsidRPr="001314E5">
        <w:rPr>
          <w:i/>
          <w:iCs/>
          <w:sz w:val="20"/>
        </w:rPr>
        <w:t>Journal of the European Economic Association</w:t>
      </w:r>
      <w:r w:rsidR="00FC5A27" w:rsidRPr="001314E5">
        <w:rPr>
          <w:sz w:val="20"/>
        </w:rPr>
        <w:t>, 6, no. 5, September, 1006-1036.</w:t>
      </w:r>
      <w:proofErr w:type="gramEnd"/>
    </w:p>
    <w:p w:rsidR="007862DA" w:rsidRDefault="007862DA" w:rsidP="007862DA">
      <w:pPr>
        <w:rPr>
          <w:sz w:val="18"/>
          <w:szCs w:val="18"/>
        </w:rPr>
      </w:pPr>
      <w:r w:rsidRPr="00C51F83">
        <w:rPr>
          <w:sz w:val="18"/>
          <w:szCs w:val="18"/>
        </w:rPr>
        <w:t xml:space="preserve">Arezki, Rabah, and Markus </w:t>
      </w:r>
      <w:proofErr w:type="spellStart"/>
      <w:r w:rsidRPr="00C51F83">
        <w:rPr>
          <w:sz w:val="18"/>
          <w:szCs w:val="18"/>
        </w:rPr>
        <w:t>Brückner</w:t>
      </w:r>
      <w:proofErr w:type="spellEnd"/>
      <w:r w:rsidRPr="00C51F83">
        <w:rPr>
          <w:sz w:val="18"/>
          <w:szCs w:val="18"/>
        </w:rPr>
        <w:t>, 20</w:t>
      </w:r>
      <w:r>
        <w:rPr>
          <w:sz w:val="18"/>
          <w:szCs w:val="18"/>
        </w:rPr>
        <w:t>12</w:t>
      </w:r>
      <w:r w:rsidR="006C3FDB">
        <w:rPr>
          <w:sz w:val="18"/>
          <w:szCs w:val="18"/>
        </w:rPr>
        <w:t>a</w:t>
      </w:r>
      <w:r w:rsidRPr="00C51F83">
        <w:rPr>
          <w:sz w:val="18"/>
          <w:szCs w:val="18"/>
        </w:rPr>
        <w:t xml:space="preserve">, “Resource Windfalls and Emerging Market Sovereign Bond Spreads: The Role of Political Institutions” </w:t>
      </w:r>
      <w:r w:rsidRPr="007862DA">
        <w:rPr>
          <w:rStyle w:val="Emphasis"/>
          <w:rFonts w:cs="Arial"/>
          <w:color w:val="2A2A2A"/>
          <w:sz w:val="20"/>
          <w:szCs w:val="20"/>
          <w:bdr w:val="none" w:sz="0" w:space="0" w:color="auto" w:frame="1"/>
          <w:shd w:val="clear" w:color="auto" w:fill="FFFFFF"/>
        </w:rPr>
        <w:t>The World Bank Economic Review</w:t>
      </w:r>
      <w:r w:rsidRPr="007862DA">
        <w:rPr>
          <w:rFonts w:cs="Arial"/>
          <w:color w:val="2A2A2A"/>
          <w:sz w:val="20"/>
          <w:szCs w:val="20"/>
          <w:shd w:val="clear" w:color="auto" w:fill="FFFFFF"/>
        </w:rPr>
        <w:t>, Volume 26, Issue 1, 1 January: 78–99,</w:t>
      </w:r>
    </w:p>
    <w:p w:rsidR="007862DA" w:rsidRPr="007862DA" w:rsidRDefault="007862DA" w:rsidP="007862DA">
      <w:pPr>
        <w:rPr>
          <w:rFonts w:cs="Arial"/>
          <w:color w:val="333333"/>
          <w:sz w:val="18"/>
          <w:szCs w:val="18"/>
          <w:shd w:val="clear" w:color="auto" w:fill="FFFFFF"/>
        </w:rPr>
      </w:pPr>
      <w:proofErr w:type="gramStart"/>
      <w:r w:rsidRPr="00C51F83">
        <w:rPr>
          <w:sz w:val="18"/>
          <w:szCs w:val="18"/>
        </w:rPr>
        <w:t xml:space="preserve">Arezki, Rabah, and Markus </w:t>
      </w:r>
      <w:proofErr w:type="spellStart"/>
      <w:r w:rsidRPr="00C51F83">
        <w:rPr>
          <w:sz w:val="18"/>
          <w:szCs w:val="18"/>
        </w:rPr>
        <w:t>Brückner</w:t>
      </w:r>
      <w:proofErr w:type="spellEnd"/>
      <w:r w:rsidRPr="00C51F83">
        <w:rPr>
          <w:sz w:val="18"/>
          <w:szCs w:val="18"/>
        </w:rPr>
        <w:t>, 201</w:t>
      </w:r>
      <w:r>
        <w:rPr>
          <w:sz w:val="18"/>
          <w:szCs w:val="18"/>
        </w:rPr>
        <w:t>2</w:t>
      </w:r>
      <w:r w:rsidR="006C3FDB">
        <w:rPr>
          <w:sz w:val="18"/>
          <w:szCs w:val="18"/>
        </w:rPr>
        <w:t>b</w:t>
      </w:r>
      <w:r w:rsidRPr="00C51F83">
        <w:rPr>
          <w:sz w:val="18"/>
          <w:szCs w:val="18"/>
        </w:rPr>
        <w:t>, “</w:t>
      </w:r>
      <w:r w:rsidRPr="007862DA">
        <w:rPr>
          <w:rFonts w:cs="Arial"/>
          <w:color w:val="333333"/>
          <w:sz w:val="18"/>
          <w:szCs w:val="18"/>
          <w:shd w:val="clear" w:color="auto" w:fill="FFFFFF"/>
        </w:rPr>
        <w:t>Commodity Windfalls, Democracy and External Debt</w:t>
      </w:r>
      <w:r w:rsidRPr="007862DA">
        <w:rPr>
          <w:rFonts w:cs="Arial"/>
          <w:color w:val="333333"/>
          <w:sz w:val="18"/>
          <w:szCs w:val="18"/>
          <w:shd w:val="clear" w:color="auto" w:fill="FFFFFF"/>
        </w:rPr>
        <w:t>,”</w:t>
      </w:r>
      <w:r w:rsidRPr="007862DA">
        <w:rPr>
          <w:rFonts w:cs="Arial"/>
          <w:color w:val="333333"/>
          <w:sz w:val="18"/>
          <w:szCs w:val="18"/>
          <w:shd w:val="clear" w:color="auto" w:fill="FFFFFF"/>
        </w:rPr>
        <w:t xml:space="preserve"> </w:t>
      </w:r>
      <w:r w:rsidRPr="007862DA">
        <w:rPr>
          <w:rFonts w:cs="Arial"/>
          <w:i/>
          <w:color w:val="333333"/>
          <w:sz w:val="18"/>
          <w:szCs w:val="18"/>
          <w:shd w:val="clear" w:color="auto" w:fill="FFFFFF"/>
        </w:rPr>
        <w:t>The Economic Journal</w:t>
      </w:r>
      <w:r w:rsidRPr="007862DA">
        <w:rPr>
          <w:rFonts w:cs="Arial"/>
          <w:color w:val="333333"/>
          <w:sz w:val="18"/>
          <w:szCs w:val="18"/>
          <w:shd w:val="clear" w:color="auto" w:fill="FFFFFF"/>
        </w:rPr>
        <w:t>, 122: 848–866.</w:t>
      </w:r>
      <w:proofErr w:type="gramEnd"/>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w:t>
      </w:r>
      <w:r w:rsidR="00F637E9">
        <w:rPr>
          <w:sz w:val="20"/>
          <w:szCs w:val="20"/>
        </w:rPr>
        <w:t xml:space="preserve"> Role of Political Institutions</w:t>
      </w:r>
      <w:r w:rsidRPr="00B96359">
        <w:rPr>
          <w:sz w:val="20"/>
          <w:szCs w:val="20"/>
        </w:rPr>
        <w:t>” (International Mone</w:t>
      </w:r>
      <w:r w:rsidR="00A30CB0">
        <w:rPr>
          <w:sz w:val="20"/>
          <w:szCs w:val="20"/>
        </w:rPr>
        <w:t>tary Fund: Washington DC), May.</w:t>
      </w:r>
    </w:p>
    <w:p w:rsidR="00CE3636" w:rsidRDefault="00CE3636" w:rsidP="00371DFF">
      <w:pPr>
        <w:rPr>
          <w:sz w:val="20"/>
          <w:szCs w:val="20"/>
        </w:rPr>
      </w:pPr>
      <w:r>
        <w:rPr>
          <w:sz w:val="20"/>
          <w:szCs w:val="20"/>
        </w:rPr>
        <w:t>Atta-Mensah, Joseph, 2004, “Commodity-Linked Bonds: A Potential Means for Less-Developed Countries to Raise Foreign Capital,” Bank of Canada Working Paper 2004-20, June.</w:t>
      </w:r>
    </w:p>
    <w:p w:rsidR="00A52774" w:rsidRPr="002E79F3" w:rsidRDefault="00A52774" w:rsidP="00371DFF">
      <w:pPr>
        <w:rPr>
          <w:rFonts w:cstheme="minorHAnsi"/>
          <w:color w:val="222222"/>
          <w:sz w:val="20"/>
          <w:szCs w:val="20"/>
          <w:shd w:val="clear" w:color="auto" w:fill="FFFFFF"/>
        </w:rPr>
      </w:pPr>
      <w:proofErr w:type="spellStart"/>
      <w:proofErr w:type="gramStart"/>
      <w:r w:rsidRPr="00AB46A3">
        <w:rPr>
          <w:rFonts w:cstheme="minorHAnsi"/>
          <w:color w:val="222222"/>
          <w:sz w:val="20"/>
          <w:szCs w:val="20"/>
          <w:shd w:val="clear" w:color="auto" w:fill="FFFFFF"/>
        </w:rPr>
        <w:t>Avellan</w:t>
      </w:r>
      <w:proofErr w:type="spellEnd"/>
      <w:r w:rsidRPr="00AB46A3">
        <w:rPr>
          <w:rFonts w:cstheme="minorHAnsi"/>
          <w:color w:val="222222"/>
          <w:sz w:val="20"/>
          <w:szCs w:val="20"/>
          <w:shd w:val="clear" w:color="auto" w:fill="FFFFFF"/>
        </w:rPr>
        <w:t>, Leopoldo, and Guillermo Vuletin.</w:t>
      </w:r>
      <w:proofErr w:type="gramEnd"/>
      <w:r w:rsidRPr="00AB46A3">
        <w:rPr>
          <w:rFonts w:cstheme="minorHAnsi"/>
          <w:color w:val="222222"/>
          <w:sz w:val="20"/>
          <w:szCs w:val="20"/>
          <w:shd w:val="clear" w:color="auto" w:fill="FFFFFF"/>
        </w:rPr>
        <w:t xml:space="preserve"> </w:t>
      </w:r>
      <w:r w:rsidR="007862DA">
        <w:rPr>
          <w:rFonts w:cstheme="minorHAnsi"/>
          <w:color w:val="222222"/>
          <w:sz w:val="20"/>
          <w:szCs w:val="20"/>
          <w:shd w:val="clear" w:color="auto" w:fill="FFFFFF"/>
        </w:rPr>
        <w:t xml:space="preserve">2015, </w:t>
      </w:r>
      <w:r w:rsidRPr="00AB46A3">
        <w:rPr>
          <w:rFonts w:cstheme="minorHAnsi"/>
          <w:color w:val="222222"/>
          <w:sz w:val="20"/>
          <w:szCs w:val="20"/>
          <w:shd w:val="clear" w:color="auto" w:fill="FFFFFF"/>
        </w:rPr>
        <w:t>"Fiscal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007862DA">
        <w:rPr>
          <w:rFonts w:cstheme="minorHAnsi"/>
          <w:color w:val="222222"/>
          <w:sz w:val="20"/>
          <w:szCs w:val="20"/>
          <w:shd w:val="clear" w:color="auto" w:fill="FFFFFF"/>
        </w:rPr>
        <w:t>55</w:t>
      </w:r>
      <w:r w:rsidRPr="002E79F3">
        <w:rPr>
          <w:rFonts w:cstheme="minorHAnsi"/>
          <w:color w:val="222222"/>
          <w:sz w:val="20"/>
          <w:szCs w:val="20"/>
          <w:shd w:val="clear" w:color="auto" w:fill="FFFFFF"/>
        </w:rPr>
        <w:t>: 193-204.</w:t>
      </w:r>
    </w:p>
    <w:p w:rsidR="00C3156A" w:rsidRDefault="00C3156A" w:rsidP="00371DFF">
      <w:pPr>
        <w:rPr>
          <w:sz w:val="20"/>
          <w:szCs w:val="20"/>
        </w:rPr>
      </w:pPr>
      <w:proofErr w:type="spellStart"/>
      <w:r w:rsidRPr="00B96359">
        <w:rPr>
          <w:sz w:val="20"/>
          <w:szCs w:val="20"/>
        </w:rPr>
        <w:t>Blattman</w:t>
      </w:r>
      <w:proofErr w:type="spellEnd"/>
      <w:r w:rsidRPr="00B96359">
        <w:rPr>
          <w:sz w:val="20"/>
          <w:szCs w:val="20"/>
        </w:rPr>
        <w:t>, Christopher, Jason Hwang, and Jeffrey Williamson, 2007, "</w:t>
      </w:r>
      <w:bookmarkEnd w:id="2"/>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w:t>
      </w:r>
      <w:r w:rsidR="007862DA" w:rsidRPr="00B96359">
        <w:rPr>
          <w:sz w:val="20"/>
          <w:szCs w:val="20"/>
        </w:rPr>
        <w:t>January</w:t>
      </w:r>
      <w:r w:rsidR="007862DA">
        <w:rPr>
          <w:sz w:val="20"/>
          <w:szCs w:val="20"/>
        </w:rPr>
        <w:t>:</w:t>
      </w:r>
      <w:r w:rsidRPr="00B96359">
        <w:rPr>
          <w:sz w:val="20"/>
          <w:szCs w:val="20"/>
        </w:rPr>
        <w:t xml:space="preserve"> 156-179</w:t>
      </w:r>
      <w:proofErr w:type="gramStart"/>
      <w:r w:rsidRPr="00B96359">
        <w:rPr>
          <w:sz w:val="20"/>
          <w:szCs w:val="20"/>
        </w:rPr>
        <w:t>,.</w:t>
      </w:r>
      <w:proofErr w:type="gramEnd"/>
      <w:r w:rsidRPr="00B96359">
        <w:rPr>
          <w:sz w:val="20"/>
          <w:szCs w:val="20"/>
        </w:rPr>
        <w:t xml:space="preserve">  </w:t>
      </w:r>
      <w:proofErr w:type="gramStart"/>
      <w:r w:rsidRPr="00B96359">
        <w:rPr>
          <w:sz w:val="20"/>
          <w:szCs w:val="20"/>
        </w:rPr>
        <w:t>NBER WP 10600.</w:t>
      </w:r>
      <w:proofErr w:type="gramEnd"/>
    </w:p>
    <w:p w:rsidR="00B6469C" w:rsidRPr="0054005B" w:rsidRDefault="00B6469C" w:rsidP="00371DFF">
      <w:pPr>
        <w:rPr>
          <w:sz w:val="20"/>
          <w:szCs w:val="20"/>
        </w:rPr>
      </w:pPr>
      <w:proofErr w:type="gramStart"/>
      <w:r w:rsidRPr="00B6469C">
        <w:rPr>
          <w:sz w:val="20"/>
          <w:szCs w:val="20"/>
        </w:rPr>
        <w:lastRenderedPageBreak/>
        <w:t xml:space="preserve">Borensztein, Eduardo, </w:t>
      </w:r>
      <w:r>
        <w:rPr>
          <w:sz w:val="20"/>
          <w:szCs w:val="20"/>
        </w:rPr>
        <w:t>Olivier Jeanne and</w:t>
      </w:r>
      <w:r w:rsidRPr="00B6469C">
        <w:rPr>
          <w:sz w:val="20"/>
          <w:szCs w:val="20"/>
        </w:rPr>
        <w:t xml:space="preserve"> </w:t>
      </w:r>
      <w:proofErr w:type="spellStart"/>
      <w:r w:rsidRPr="00B6469C">
        <w:rPr>
          <w:sz w:val="20"/>
          <w:szCs w:val="20"/>
        </w:rPr>
        <w:t>Damiano</w:t>
      </w:r>
      <w:proofErr w:type="spellEnd"/>
      <w:r w:rsidRPr="00B6469C">
        <w:rPr>
          <w:sz w:val="20"/>
          <w:szCs w:val="20"/>
        </w:rPr>
        <w:t xml:space="preserve"> </w:t>
      </w:r>
      <w:proofErr w:type="spellStart"/>
      <w:r w:rsidRPr="00B6469C">
        <w:rPr>
          <w:sz w:val="20"/>
          <w:szCs w:val="20"/>
        </w:rPr>
        <w:t>Sandri</w:t>
      </w:r>
      <w:proofErr w:type="spellEnd"/>
      <w:r w:rsidRPr="00B6469C">
        <w:rPr>
          <w:sz w:val="20"/>
          <w:szCs w:val="20"/>
        </w:rPr>
        <w:t xml:space="preserve">, 2013, "Macro-hedging for commodity exporters," </w:t>
      </w:r>
      <w:r w:rsidRPr="0054005B">
        <w:rPr>
          <w:i/>
          <w:iCs/>
          <w:sz w:val="20"/>
          <w:szCs w:val="20"/>
        </w:rPr>
        <w:t>Journal of Development E</w:t>
      </w:r>
      <w:r w:rsidRPr="0054005B">
        <w:rPr>
          <w:sz w:val="20"/>
          <w:szCs w:val="20"/>
        </w:rPr>
        <w:t>conomics.</w:t>
      </w:r>
      <w:proofErr w:type="gramEnd"/>
    </w:p>
    <w:p w:rsidR="0054005B" w:rsidRPr="0054005B" w:rsidRDefault="0054005B" w:rsidP="00371DFF">
      <w:pPr>
        <w:rPr>
          <w:sz w:val="20"/>
          <w:szCs w:val="20"/>
        </w:rPr>
      </w:pPr>
      <w:proofErr w:type="gramStart"/>
      <w:r w:rsidRPr="0054005B">
        <w:rPr>
          <w:rFonts w:cs="Arial"/>
          <w:color w:val="222222"/>
          <w:sz w:val="20"/>
          <w:szCs w:val="20"/>
          <w:shd w:val="clear" w:color="auto" w:fill="FFFFFF"/>
        </w:rPr>
        <w:t>Borensztein, Eduard</w:t>
      </w:r>
      <w:r w:rsidR="00AB596F">
        <w:rPr>
          <w:rFonts w:cs="Arial"/>
          <w:color w:val="222222"/>
          <w:sz w:val="20"/>
          <w:szCs w:val="20"/>
          <w:shd w:val="clear" w:color="auto" w:fill="FFFFFF"/>
        </w:rPr>
        <w:t>o, and Paolo Mauro, 2004, "The C</w:t>
      </w:r>
      <w:r w:rsidRPr="0054005B">
        <w:rPr>
          <w:rFonts w:cs="Arial"/>
          <w:color w:val="222222"/>
          <w:sz w:val="20"/>
          <w:szCs w:val="20"/>
          <w:shd w:val="clear" w:color="auto" w:fill="FFFFFF"/>
        </w:rPr>
        <w:t>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 xml:space="preserve">indexed </w:t>
      </w:r>
      <w:r w:rsidR="00AB596F">
        <w:rPr>
          <w:rFonts w:cs="Arial"/>
          <w:color w:val="222222"/>
          <w:sz w:val="20"/>
          <w:szCs w:val="20"/>
          <w:shd w:val="clear" w:color="auto" w:fill="FFFFFF"/>
        </w:rPr>
        <w:t>B</w:t>
      </w:r>
      <w:r w:rsidRPr="0054005B">
        <w:rPr>
          <w:rFonts w:cs="Arial"/>
          <w:color w:val="222222"/>
          <w:sz w:val="20"/>
          <w:szCs w:val="20"/>
          <w:shd w:val="clear" w:color="auto" w:fill="FFFFFF"/>
        </w:rPr>
        <w:t>onds."</w:t>
      </w:r>
      <w:proofErr w:type="gramEnd"/>
      <w:r w:rsidRPr="0054005B">
        <w:rPr>
          <w:rFonts w:cs="Arial"/>
          <w:color w:val="222222"/>
          <w:sz w:val="20"/>
          <w:szCs w:val="20"/>
          <w:shd w:val="clear" w:color="auto" w:fill="FFFFFF"/>
        </w:rPr>
        <w:t>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A30CB0" w:rsidRDefault="00A30CB0" w:rsidP="00A30CB0">
      <w:proofErr w:type="spellStart"/>
      <w:proofErr w:type="gramStart"/>
      <w:r w:rsidRPr="00A30CB0">
        <w:rPr>
          <w:sz w:val="20"/>
          <w:szCs w:val="20"/>
        </w:rPr>
        <w:t>Brueckner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2016, “Terms of Trade Volatility, Government Spending Cyclicality, and Economic Growth,” CAMA Working Paper 36/2016, Australia National University, June</w:t>
      </w:r>
      <w:r w:rsidRPr="00C3156A">
        <w:t>.</w:t>
      </w:r>
      <w:proofErr w:type="gramEnd"/>
      <w:r w:rsidRPr="00C3156A">
        <w:t xml:space="preserve">  </w:t>
      </w:r>
      <w:r>
        <w:t xml:space="preserve"> </w:t>
      </w:r>
    </w:p>
    <w:p w:rsidR="00CE3636" w:rsidRPr="00CE3636" w:rsidRDefault="00CE3636" w:rsidP="00A30CB0">
      <w:pPr>
        <w:rPr>
          <w:sz w:val="20"/>
          <w:szCs w:val="20"/>
        </w:rPr>
      </w:pPr>
      <w:r w:rsidRPr="00CA60E0">
        <w:rPr>
          <w:sz w:val="20"/>
          <w:szCs w:val="20"/>
        </w:rPr>
        <w:t xml:space="preserve">Caballero, Ricardo, 2002, “Coping with Chile’s External Vulnerability: A Financial Problem,” in </w:t>
      </w:r>
      <w:r w:rsidRPr="00CA60E0">
        <w:rPr>
          <w:i/>
          <w:iCs/>
          <w:sz w:val="20"/>
          <w:szCs w:val="20"/>
        </w:rPr>
        <w:t>Econo</w:t>
      </w:r>
      <w:r>
        <w:rPr>
          <w:i/>
          <w:iCs/>
          <w:sz w:val="20"/>
          <w:szCs w:val="20"/>
        </w:rPr>
        <w:t>m</w:t>
      </w:r>
      <w:r w:rsidRPr="00CA60E0">
        <w:rPr>
          <w:i/>
          <w:iCs/>
          <w:sz w:val="20"/>
          <w:szCs w:val="20"/>
        </w:rPr>
        <w:t>ic Growth: Sources, Trends, and Cycles</w:t>
      </w:r>
      <w:r w:rsidRPr="00CA60E0">
        <w:rPr>
          <w:sz w:val="20"/>
          <w:szCs w:val="20"/>
        </w:rPr>
        <w:t xml:space="preserve">, edited by Norman </w:t>
      </w:r>
      <w:proofErr w:type="spellStart"/>
      <w:r w:rsidRPr="00CA60E0">
        <w:rPr>
          <w:sz w:val="20"/>
          <w:szCs w:val="20"/>
        </w:rPr>
        <w:t>Loayza</w:t>
      </w:r>
      <w:proofErr w:type="spellEnd"/>
      <w:r w:rsidRPr="00CA60E0">
        <w:rPr>
          <w:sz w:val="20"/>
          <w:szCs w:val="20"/>
        </w:rPr>
        <w:t xml:space="preserve"> and </w:t>
      </w:r>
      <w:proofErr w:type="spellStart"/>
      <w:r w:rsidRPr="00CA60E0">
        <w:rPr>
          <w:sz w:val="20"/>
          <w:szCs w:val="20"/>
        </w:rPr>
        <w:t>Raimundo</w:t>
      </w:r>
      <w:proofErr w:type="spellEnd"/>
      <w:r w:rsidRPr="00CA60E0">
        <w:rPr>
          <w:sz w:val="20"/>
          <w:szCs w:val="20"/>
        </w:rPr>
        <w:t xml:space="preserve"> Soto (Central Bank of Chile: Santiago), pp.  </w:t>
      </w:r>
      <w:proofErr w:type="gramStart"/>
      <w:r w:rsidRPr="00CA60E0">
        <w:rPr>
          <w:sz w:val="20"/>
          <w:szCs w:val="20"/>
        </w:rPr>
        <w:t>377-416.</w:t>
      </w:r>
      <w:proofErr w:type="gramEnd"/>
      <w:r>
        <w:rPr>
          <w:sz w:val="20"/>
          <w:szCs w:val="20"/>
        </w:rPr>
        <w:t xml:space="preserve">  </w:t>
      </w:r>
    </w:p>
    <w:p w:rsidR="00335C6F" w:rsidRDefault="00335C6F" w:rsidP="00371DFF">
      <w:pPr>
        <w:rPr>
          <w:rFonts w:cs="Times New Roman"/>
          <w:sz w:val="20"/>
          <w:szCs w:val="20"/>
        </w:rPr>
      </w:pPr>
      <w:r w:rsidRPr="00B96359">
        <w:rPr>
          <w:rFonts w:cs="Times New Roman"/>
          <w:sz w:val="20"/>
          <w:szCs w:val="20"/>
        </w:rPr>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F00042" w:rsidRPr="00B96359" w:rsidRDefault="00F00042" w:rsidP="008464B1">
      <w:pPr>
        <w:rPr>
          <w:sz w:val="20"/>
          <w:szCs w:val="20"/>
        </w:rPr>
      </w:pPr>
      <w:proofErr w:type="spellStart"/>
      <w:r w:rsidRPr="00B96359">
        <w:rPr>
          <w:sz w:val="20"/>
          <w:szCs w:val="20"/>
        </w:rPr>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54616E" w:rsidRPr="0054616E" w:rsidRDefault="007563A9" w:rsidP="0054616E">
      <w:pPr>
        <w:rPr>
          <w:color w:val="000000"/>
          <w:sz w:val="20"/>
          <w:szCs w:val="20"/>
          <w:shd w:val="clear" w:color="auto" w:fill="FFFFFF"/>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w:t>
      </w:r>
      <w:r w:rsidR="00B9278E">
        <w:rPr>
          <w:rFonts w:cs="Times New Roman"/>
          <w:sz w:val="20"/>
          <w:szCs w:val="20"/>
        </w:rPr>
        <w:t>2</w:t>
      </w:r>
      <w:r w:rsidRPr="00B96359">
        <w:rPr>
          <w:rFonts w:cs="Times New Roman"/>
          <w:sz w:val="20"/>
          <w:szCs w:val="20"/>
        </w:rPr>
        <w:t>, “Mexico´s Oil Price Hedging Progra</w:t>
      </w:r>
      <w:r w:rsidR="00B9278E">
        <w:rPr>
          <w:rFonts w:cs="Times New Roman"/>
          <w:sz w:val="20"/>
          <w:szCs w:val="20"/>
        </w:rPr>
        <w:t>m</w:t>
      </w:r>
      <w:r w:rsidR="00B9278E" w:rsidRPr="00A30CB0">
        <w:rPr>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in</w:t>
      </w:r>
      <w:r w:rsidR="00B9278E">
        <w:rPr>
          <w:rStyle w:val="apple-converted-space"/>
          <w:color w:val="000000"/>
          <w:sz w:val="20"/>
          <w:szCs w:val="20"/>
          <w:shd w:val="clear" w:color="auto" w:fill="FFFFFF"/>
        </w:rPr>
        <w:t xml:space="preserve"> </w:t>
      </w:r>
      <w:r w:rsidR="00B9278E" w:rsidRPr="001F2F1B">
        <w:rPr>
          <w:i/>
          <w:iCs/>
          <w:sz w:val="20"/>
          <w:szCs w:val="20"/>
          <w:shd w:val="clear" w:color="auto" w:fill="FFFFFF"/>
        </w:rPr>
        <w:t>Commodity Price Volatility and Inclusive Growth in Low-Income Countries</w:t>
      </w:r>
      <w:r w:rsidR="00B9278E" w:rsidRPr="00A30CB0">
        <w:rPr>
          <w:i/>
          <w:iCs/>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edited by Rabah Arezki, C</w:t>
      </w:r>
      <w:r w:rsidR="00B9278E">
        <w:rPr>
          <w:color w:val="000000"/>
          <w:sz w:val="20"/>
          <w:szCs w:val="20"/>
          <w:shd w:val="clear" w:color="auto" w:fill="FFFFFF"/>
        </w:rPr>
        <w:t>atherine Patillo, Marc Quintyn and</w:t>
      </w:r>
      <w:r w:rsidR="00B9278E" w:rsidRPr="00A30CB0">
        <w:rPr>
          <w:color w:val="000000"/>
          <w:sz w:val="20"/>
          <w:szCs w:val="20"/>
          <w:shd w:val="clear" w:color="auto" w:fill="FFFFFF"/>
        </w:rPr>
        <w:t xml:space="preserve"> Min Zhu (International Monetary Fund: Washington DC)</w:t>
      </w:r>
      <w:r w:rsidR="00B9278E">
        <w:rPr>
          <w:color w:val="000000"/>
          <w:sz w:val="20"/>
          <w:szCs w:val="20"/>
          <w:shd w:val="clear" w:color="auto" w:fill="FFFFFF"/>
        </w:rPr>
        <w:t>.</w:t>
      </w:r>
    </w:p>
    <w:p w:rsidR="00411961" w:rsidRPr="00AB596F" w:rsidRDefault="00DF422C" w:rsidP="007563A9">
      <w:pPr>
        <w:rPr>
          <w:bCs/>
          <w:spacing w:val="-3"/>
          <w:sz w:val="20"/>
          <w:szCs w:val="20"/>
        </w:rPr>
      </w:pPr>
      <w:r>
        <w:rPr>
          <w:rFonts w:cs="Arial"/>
          <w:sz w:val="20"/>
          <w:szCs w:val="20"/>
          <w:shd w:val="clear" w:color="auto" w:fill="FFFFFF"/>
        </w:rPr>
        <w:t xml:space="preserve">Erbil, </w:t>
      </w:r>
      <w:proofErr w:type="spellStart"/>
      <w:r>
        <w:rPr>
          <w:rFonts w:cs="Arial"/>
          <w:sz w:val="20"/>
          <w:szCs w:val="20"/>
          <w:shd w:val="clear" w:color="auto" w:fill="FFFFFF"/>
        </w:rPr>
        <w:t>Nese</w:t>
      </w:r>
      <w:proofErr w:type="spellEnd"/>
      <w:r>
        <w:rPr>
          <w:rFonts w:cs="Arial"/>
          <w:sz w:val="20"/>
          <w:szCs w:val="20"/>
          <w:shd w:val="clear" w:color="auto" w:fill="FFFFFF"/>
        </w:rPr>
        <w:t>,</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proofErr w:type="gramStart"/>
      <w:r w:rsidR="009706B3">
        <w:rPr>
          <w:rFonts w:cs="Arial"/>
          <w:sz w:val="20"/>
          <w:szCs w:val="20"/>
          <w:shd w:val="clear" w:color="auto" w:fill="FFFFFF"/>
        </w:rPr>
        <w:t xml:space="preserve">IMF Working Papers </w:t>
      </w:r>
      <w:r w:rsidR="00A5654E" w:rsidRPr="00AB596F">
        <w:rPr>
          <w:rFonts w:cs="Arial"/>
          <w:sz w:val="20"/>
          <w:szCs w:val="20"/>
          <w:shd w:val="clear" w:color="auto" w:fill="FFFFFF"/>
        </w:rPr>
        <w:t>(International Monetary Fund).</w:t>
      </w:r>
      <w:proofErr w:type="gramEnd"/>
      <w:r w:rsidR="00C86ED0" w:rsidRPr="00AB596F">
        <w:rPr>
          <w:bCs/>
          <w:spacing w:val="-3"/>
          <w:sz w:val="20"/>
          <w:szCs w:val="20"/>
        </w:rPr>
        <w:t xml:space="preserve"> </w:t>
      </w:r>
    </w:p>
    <w:p w:rsidR="00AB596F" w:rsidRPr="00AB596F" w:rsidRDefault="00AB596F" w:rsidP="007563A9">
      <w:pPr>
        <w:rPr>
          <w:bCs/>
          <w:spacing w:val="-3"/>
          <w:sz w:val="20"/>
          <w:szCs w:val="20"/>
        </w:rPr>
      </w:pPr>
      <w:r w:rsidRPr="00AB596F">
        <w:rPr>
          <w:color w:val="1E1E1E"/>
          <w:sz w:val="20"/>
          <w:szCs w:val="20"/>
          <w:shd w:val="clear" w:color="auto" w:fill="FFFFFF"/>
        </w:rPr>
        <w:t xml:space="preserve">Frankel, Jeffrey, 2011, </w:t>
      </w:r>
      <w:r w:rsidRPr="00AB596F">
        <w:rPr>
          <w:color w:val="1E1E1E"/>
          <w:sz w:val="20"/>
          <w:szCs w:val="20"/>
          <w:shd w:val="clear" w:color="auto" w:fill="FFFFFF"/>
        </w:rPr>
        <w:t>"</w:t>
      </w:r>
      <w:r w:rsidRPr="00AB596F">
        <w:rPr>
          <w:sz w:val="20"/>
          <w:szCs w:val="20"/>
          <w:shd w:val="clear" w:color="auto" w:fill="FFFFFF"/>
        </w:rPr>
        <w:t>Over-optimism in Forecasts by Official Budget Agencies and Its Implications</w:t>
      </w:r>
      <w:r>
        <w:rPr>
          <w:color w:val="1E1E1E"/>
          <w:sz w:val="20"/>
          <w:szCs w:val="20"/>
          <w:shd w:val="clear" w:color="auto" w:fill="FFFFFF"/>
        </w:rPr>
        <w:t>,"</w:t>
      </w:r>
      <w:r w:rsidRPr="00AB596F">
        <w:rPr>
          <w:color w:val="1E1E1E"/>
          <w:sz w:val="20"/>
          <w:szCs w:val="20"/>
          <w:shd w:val="clear" w:color="auto" w:fill="FFFFFF"/>
        </w:rPr>
        <w:t> </w:t>
      </w:r>
      <w:r w:rsidRPr="00AB596F">
        <w:rPr>
          <w:i/>
          <w:sz w:val="20"/>
          <w:szCs w:val="20"/>
          <w:shd w:val="clear" w:color="auto" w:fill="FFFFFF"/>
        </w:rPr>
        <w:t>Oxford Review of Economic Policy</w:t>
      </w:r>
      <w:proofErr w:type="gramStart"/>
      <w:r w:rsidRPr="00AB596F">
        <w:rPr>
          <w:color w:val="1E1E1E"/>
          <w:sz w:val="20"/>
          <w:szCs w:val="20"/>
          <w:shd w:val="clear" w:color="auto" w:fill="FFFFFF"/>
        </w:rPr>
        <w:t>  </w:t>
      </w:r>
      <w:r w:rsidRPr="00AB596F">
        <w:rPr>
          <w:sz w:val="20"/>
          <w:szCs w:val="20"/>
          <w:shd w:val="clear" w:color="auto" w:fill="FFFFFF"/>
        </w:rPr>
        <w:t>Vol.27</w:t>
      </w:r>
      <w:proofErr w:type="gramEnd"/>
      <w:r w:rsidRPr="00AB596F">
        <w:rPr>
          <w:sz w:val="20"/>
          <w:szCs w:val="20"/>
          <w:shd w:val="clear" w:color="auto" w:fill="FFFFFF"/>
        </w:rPr>
        <w:t>, Issue 4</w:t>
      </w:r>
      <w:hyperlink r:id="rId9" w:history="1">
        <w:r w:rsidRPr="00AB596F">
          <w:rPr>
            <w:rStyle w:val="Hyperlink"/>
            <w:color w:val="215990"/>
            <w:sz w:val="20"/>
            <w:szCs w:val="20"/>
            <w:shd w:val="clear" w:color="auto" w:fill="FFFFFF"/>
          </w:rPr>
          <w:t>,</w:t>
        </w:r>
      </w:hyperlink>
      <w:r w:rsidRPr="00AB596F">
        <w:rPr>
          <w:color w:val="1E1E1E"/>
          <w:sz w:val="20"/>
          <w:szCs w:val="20"/>
          <w:shd w:val="clear" w:color="auto" w:fill="FFFFFF"/>
        </w:rPr>
        <w:t> 2011, 536-562.</w:t>
      </w:r>
      <w:r w:rsidRPr="00AB596F">
        <w:rPr>
          <w:color w:val="1E1E1E"/>
          <w:sz w:val="20"/>
          <w:szCs w:val="20"/>
          <w:shd w:val="clear" w:color="auto" w:fill="FFFFFF"/>
        </w:rPr>
        <w:t> NBER WP</w:t>
      </w:r>
      <w:r w:rsidRPr="00AB596F">
        <w:rPr>
          <w:sz w:val="20"/>
          <w:szCs w:val="20"/>
          <w:shd w:val="clear" w:color="auto" w:fill="FFFFFF"/>
        </w:rPr>
        <w:t> 17239</w:t>
      </w:r>
      <w:r w:rsidRPr="00AB596F">
        <w:rPr>
          <w:color w:val="1E1E1E"/>
          <w:sz w:val="20"/>
          <w:szCs w:val="20"/>
          <w:shd w:val="clear" w:color="auto" w:fill="FFFFFF"/>
        </w:rPr>
        <w:t>;</w:t>
      </w:r>
    </w:p>
    <w:p w:rsidR="00A30CB0" w:rsidRPr="00A30CB0" w:rsidRDefault="00A30CB0" w:rsidP="00371DFF">
      <w:pPr>
        <w:rPr>
          <w:color w:val="000000"/>
          <w:sz w:val="20"/>
          <w:szCs w:val="20"/>
          <w:shd w:val="clear" w:color="auto" w:fill="FFFFFF"/>
        </w:rPr>
      </w:pPr>
      <w:r w:rsidRPr="00A30CB0">
        <w:rPr>
          <w:sz w:val="20"/>
          <w:szCs w:val="20"/>
        </w:rPr>
        <w:t>Frankel, Jeffrey, 2012,</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atherine Patillo, Marc Quintyn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Luis Felipe Céspedes and</w:t>
      </w:r>
      <w:r w:rsidRPr="00B96359">
        <w:rPr>
          <w:sz w:val="20"/>
          <w:szCs w:val="20"/>
          <w:shd w:val="clear" w:color="auto" w:fill="FFFFFF"/>
          <w:lang w:val="en"/>
        </w:rPr>
        <w:t xml:space="preserve"> Jordi Galí</w:t>
      </w:r>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proofErr w:type="gramStart"/>
      <w:r w:rsidRPr="001F2F1B">
        <w:rPr>
          <w:sz w:val="20"/>
          <w:szCs w:val="20"/>
          <w:shd w:val="clear" w:color="auto" w:fill="FFFFFF"/>
        </w:rPr>
        <w:t>Also in Spanish translation</w:t>
      </w:r>
      <w:r w:rsidRPr="00B96359">
        <w:rPr>
          <w:sz w:val="20"/>
          <w:szCs w:val="20"/>
          <w:shd w:val="clear" w:color="auto" w:fill="FFFFFF"/>
        </w:rPr>
        <w:t>,</w:t>
      </w:r>
      <w:hyperlink r:id="rId10" w:history="1">
        <w:r w:rsidRPr="00B96359">
          <w:rPr>
            <w:rStyle w:val="apple-converted-space"/>
            <w:i/>
            <w:iCs/>
            <w:sz w:val="20"/>
            <w:szCs w:val="20"/>
            <w:shd w:val="clear" w:color="auto" w:fill="FFFFFF"/>
          </w:rPr>
          <w:t> </w:t>
        </w:r>
      </w:hyperlink>
      <w:r w:rsidRPr="001F2F1B">
        <w:rPr>
          <w:i/>
          <w:iCs/>
          <w:sz w:val="20"/>
          <w:szCs w:val="20"/>
          <w:shd w:val="clear" w:color="auto" w:fill="FFFFFF"/>
        </w:rPr>
        <w:t xml:space="preserve">Journal </w:t>
      </w:r>
      <w:proofErr w:type="spellStart"/>
      <w:r w:rsidRPr="001F2F1B">
        <w:rPr>
          <w:i/>
          <w:iCs/>
          <w:sz w:val="20"/>
          <w:szCs w:val="20"/>
          <w:shd w:val="clear" w:color="auto" w:fill="FFFFFF"/>
        </w:rPr>
        <w:t>Economía</w:t>
      </w:r>
      <w:proofErr w:type="spellEnd"/>
      <w:r w:rsidRPr="001F2F1B">
        <w:rPr>
          <w:i/>
          <w:iCs/>
          <w:sz w:val="20"/>
          <w:szCs w:val="20"/>
          <w:shd w:val="clear" w:color="auto" w:fill="FFFFFF"/>
        </w:rPr>
        <w:t xml:space="preserve"> </w:t>
      </w:r>
      <w:proofErr w:type="spellStart"/>
      <w:r w:rsidRPr="001F2F1B">
        <w:rPr>
          <w:i/>
          <w:iCs/>
          <w:sz w:val="20"/>
          <w:szCs w:val="20"/>
          <w:shd w:val="clear" w:color="auto" w:fill="FFFFFF"/>
        </w:rPr>
        <w:t>Chilena</w:t>
      </w:r>
      <w:proofErr w:type="spellEnd"/>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proofErr w:type="gramEnd"/>
      <w:r w:rsidRPr="00B96359">
        <w:rPr>
          <w:rStyle w:val="apple-converted-space"/>
          <w:shd w:val="clear" w:color="auto" w:fill="FFFFFF"/>
        </w:rPr>
        <w:t> </w:t>
      </w:r>
    </w:p>
    <w:p w:rsidR="00486625" w:rsidRPr="00B96359" w:rsidRDefault="00486625" w:rsidP="00371DFF">
      <w:pPr>
        <w:rPr>
          <w:rFonts w:cs="Times New Roman"/>
          <w:sz w:val="20"/>
          <w:szCs w:val="20"/>
        </w:rPr>
      </w:pPr>
      <w:r w:rsidRPr="00B96359">
        <w:rPr>
          <w:sz w:val="20"/>
          <w:szCs w:val="20"/>
        </w:rPr>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Natural Resources and the Macroe</w:t>
      </w:r>
      <w:r w:rsidR="007716AC" w:rsidRPr="001F2F1B">
        <w:rPr>
          <w:bCs/>
          <w:i/>
          <w:sz w:val="20"/>
          <w:szCs w:val="20"/>
        </w:rPr>
        <w:t>conomy</w:t>
      </w:r>
      <w:r w:rsidR="007716AC" w:rsidRPr="001F2F1B">
        <w:rPr>
          <w:bCs/>
          <w:sz w:val="20"/>
          <w:szCs w:val="20"/>
        </w:rPr>
        <w:t>,</w:t>
      </w:r>
      <w:r w:rsidRPr="001F2F1B">
        <w:rPr>
          <w:bCs/>
          <w:sz w:val="20"/>
          <w:szCs w:val="20"/>
        </w:rPr>
        <w:t xml:space="preserve"> </w:t>
      </w:r>
      <w:proofErr w:type="spellStart"/>
      <w:r w:rsidRPr="001F2F1B">
        <w:rPr>
          <w:bCs/>
          <w:sz w:val="20"/>
          <w:szCs w:val="20"/>
        </w:rPr>
        <w:t>J.Peter</w:t>
      </w:r>
      <w:proofErr w:type="spellEnd"/>
      <w:r w:rsidRPr="001F2F1B">
        <w:rPr>
          <w:bCs/>
          <w:sz w:val="20"/>
          <w:szCs w:val="20"/>
        </w:rPr>
        <w:t xml:space="preserve"> Neary and van </w:t>
      </w:r>
      <w:proofErr w:type="spellStart"/>
      <w:r w:rsidRPr="001F2F1B">
        <w:rPr>
          <w:bCs/>
          <w:sz w:val="20"/>
          <w:szCs w:val="20"/>
        </w:rPr>
        <w:t>Sweder</w:t>
      </w:r>
      <w:proofErr w:type="spellEnd"/>
      <w:r w:rsidRPr="001F2F1B">
        <w:rPr>
          <w:bCs/>
          <w:sz w:val="20"/>
          <w:szCs w:val="20"/>
        </w:rPr>
        <w:t xml:space="preserve"> </w:t>
      </w:r>
      <w:proofErr w:type="spellStart"/>
      <w:r w:rsidRPr="001F2F1B">
        <w:rPr>
          <w:bCs/>
          <w:sz w:val="20"/>
          <w:szCs w:val="20"/>
        </w:rPr>
        <w:t>Wijnbergen</w:t>
      </w:r>
      <w:proofErr w:type="spellEnd"/>
      <w:r w:rsidRPr="001F2F1B">
        <w:rPr>
          <w:bCs/>
          <w:sz w:val="20"/>
          <w:szCs w:val="20"/>
        </w:rPr>
        <w:t>, eds. (MIT Press: Cambridge), 54-93.</w:t>
      </w:r>
    </w:p>
    <w:p w:rsidR="00C3156A" w:rsidRPr="001F2F1B" w:rsidRDefault="00C3156A" w:rsidP="00C3156A">
      <w:pPr>
        <w:jc w:val="both"/>
        <w:rPr>
          <w:sz w:val="20"/>
          <w:szCs w:val="20"/>
        </w:rPr>
      </w:pPr>
      <w:r w:rsidRPr="001F2F1B">
        <w:rPr>
          <w:sz w:val="20"/>
          <w:szCs w:val="20"/>
        </w:rPr>
        <w:lastRenderedPageBreak/>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  pp;.12-44.</w:t>
      </w:r>
    </w:p>
    <w:p w:rsidR="00594934" w:rsidRPr="00B96359" w:rsidRDefault="00594934" w:rsidP="00594934">
      <w:pPr>
        <w:rPr>
          <w:sz w:val="20"/>
          <w:szCs w:val="20"/>
        </w:rPr>
      </w:pPr>
      <w:r w:rsidRPr="00B96359">
        <w:rPr>
          <w:sz w:val="20"/>
          <w:szCs w:val="20"/>
        </w:rPr>
        <w:t xml:space="preserve">Ilzetski,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r w:rsidRPr="00B96359">
        <w:rPr>
          <w:sz w:val="20"/>
          <w:szCs w:val="20"/>
        </w:rPr>
        <w:t xml:space="preserve">Kaminsky,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7857D2" w:rsidRDefault="007857D2" w:rsidP="007857D2">
      <w:pPr>
        <w:rPr>
          <w:bCs/>
          <w:sz w:val="20"/>
          <w:szCs w:val="20"/>
        </w:rPr>
      </w:pPr>
      <w:proofErr w:type="spellStart"/>
      <w:proofErr w:type="gram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roofErr w:type="gramEnd"/>
    </w:p>
    <w:p w:rsidR="00CE3636" w:rsidRPr="00CE3636" w:rsidRDefault="006C1C2A" w:rsidP="007857D2">
      <w:pPr>
        <w:rPr>
          <w:rFonts w:cs="Arial"/>
          <w:color w:val="222222"/>
          <w:sz w:val="20"/>
          <w:szCs w:val="20"/>
          <w:shd w:val="clear" w:color="auto" w:fill="FFFFFF"/>
        </w:rPr>
      </w:pPr>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 xml:space="preserve">Mendoza, Enrique, and P. Marcelo Oviedo, </w:t>
      </w:r>
      <w:r w:rsidR="00AB596F">
        <w:rPr>
          <w:rFonts w:asciiTheme="minorHAnsi" w:hAnsiTheme="minorHAnsi"/>
          <w:spacing w:val="-3"/>
          <w:sz w:val="20"/>
          <w:szCs w:val="20"/>
        </w:rPr>
        <w:t xml:space="preserve">2006, </w:t>
      </w:r>
      <w:r w:rsidRPr="00B96359">
        <w:rPr>
          <w:rFonts w:asciiTheme="minorHAnsi" w:hAnsiTheme="minorHAnsi"/>
          <w:spacing w:val="-3"/>
          <w:sz w:val="20"/>
          <w:szCs w:val="20"/>
        </w:rPr>
        <w:t>“Fiscal Policy and Macroeconomic Uncertainty in Developing Countries: The Tale of the Tormented Insurer,” NBER Working Paper No. 12586, October.</w:t>
      </w:r>
    </w:p>
    <w:p w:rsidR="002A03BE" w:rsidRPr="001F2F1B" w:rsidRDefault="00BF11AD" w:rsidP="002A03BE">
      <w:pPr>
        <w:rPr>
          <w:sz w:val="20"/>
          <w:szCs w:val="20"/>
        </w:rPr>
      </w:pPr>
      <w:proofErr w:type="spellStart"/>
      <w:proofErr w:type="gramStart"/>
      <w:r w:rsidRPr="001F2F1B">
        <w:rPr>
          <w:sz w:val="20"/>
          <w:szCs w:val="20"/>
        </w:rPr>
        <w:t>Poelhekke</w:t>
      </w:r>
      <w:proofErr w:type="spellEnd"/>
      <w:r w:rsidR="00583637">
        <w:rPr>
          <w:sz w:val="20"/>
          <w:szCs w:val="20"/>
        </w:rPr>
        <w:t>, Steven, and</w:t>
      </w:r>
      <w:r w:rsidRPr="001F2F1B">
        <w:rPr>
          <w:sz w:val="20"/>
          <w:szCs w:val="20"/>
        </w:rPr>
        <w:t xml:space="preserve"> Frederick van der Ploeg, 2007, “Volatility, Financial Development and the Natural Resource Curse,” CEPR DP6513, October.</w:t>
      </w:r>
      <w:proofErr w:type="gramEnd"/>
      <w:r w:rsidRPr="001F2F1B">
        <w:rPr>
          <w:sz w:val="20"/>
          <w:szCs w:val="20"/>
        </w:rPr>
        <w:t xml:space="preserve">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BD5C17" w:rsidRPr="005E1008" w:rsidRDefault="003B4F8B" w:rsidP="00BD5C17">
      <w:pPr>
        <w:rPr>
          <w:sz w:val="20"/>
          <w:szCs w:val="20"/>
        </w:rPr>
      </w:pPr>
      <w:proofErr w:type="spellStart"/>
      <w:r w:rsidRPr="00B96359">
        <w:rPr>
          <w:sz w:val="20"/>
          <w:szCs w:val="20"/>
        </w:rPr>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5E1008" w:rsidRPr="005E1008" w:rsidRDefault="00BD5C17">
      <w:pPr>
        <w:rPr>
          <w:sz w:val="20"/>
          <w:szCs w:val="20"/>
        </w:rPr>
      </w:pPr>
      <w:proofErr w:type="spellStart"/>
      <w:r w:rsidRPr="00B96359">
        <w:rPr>
          <w:sz w:val="20"/>
          <w:szCs w:val="20"/>
        </w:rPr>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bookmarkEnd w:id="0"/>
    </w:p>
    <w:sectPr w:rsidR="005E1008" w:rsidRPr="005E1008" w:rsidSect="004A37C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8FC" w:rsidRDefault="009E58FC" w:rsidP="005F36E6">
      <w:pPr>
        <w:spacing w:after="0" w:line="240" w:lineRule="auto"/>
      </w:pPr>
      <w:r>
        <w:separator/>
      </w:r>
    </w:p>
  </w:endnote>
  <w:endnote w:type="continuationSeparator" w:id="0">
    <w:p w:rsidR="009E58FC" w:rsidRDefault="009E58FC"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5E55FE">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8FC" w:rsidRDefault="009E58FC" w:rsidP="005F36E6">
      <w:pPr>
        <w:spacing w:after="0" w:line="240" w:lineRule="auto"/>
      </w:pPr>
      <w:r>
        <w:separator/>
      </w:r>
    </w:p>
  </w:footnote>
  <w:footnote w:type="continuationSeparator" w:id="0">
    <w:p w:rsidR="009E58FC" w:rsidRDefault="009E58FC"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00F74F96">
        <w:t>Blattman</w:t>
      </w:r>
      <w:proofErr w:type="spellEnd"/>
      <w:r w:rsidR="00F74F96">
        <w:t xml:space="preserve">, </w:t>
      </w:r>
      <w:r w:rsidRPr="00C3156A">
        <w:t>Hwang, and Williamson (2007), Hausmann and Rigobon (2003)</w:t>
      </w:r>
      <w:r w:rsidR="00F74F96">
        <w:t xml:space="preserve">, </w:t>
      </w:r>
      <w:r w:rsidR="006C1C2A" w:rsidRPr="0006057F">
        <w:t xml:space="preserve">Mendoza </w:t>
      </w:r>
      <w:r w:rsidR="00F74F96">
        <w:t>(</w:t>
      </w:r>
      <w:r w:rsidR="006C1C2A" w:rsidRPr="0006057F">
        <w:t>1997</w:t>
      </w:r>
      <w:proofErr w:type="gramStart"/>
      <w:r w:rsidR="006C1C2A">
        <w:t xml:space="preserve">) </w:t>
      </w:r>
      <w:r w:rsidRPr="00C3156A">
        <w:t xml:space="preserve"> and</w:t>
      </w:r>
      <w:proofErr w:type="gramEnd"/>
      <w:r w:rsidRPr="00C3156A">
        <w:t xml:space="preserve"> </w:t>
      </w:r>
      <w:proofErr w:type="spellStart"/>
      <w:r w:rsidRPr="0006057F">
        <w:t>Poelhekke</w:t>
      </w:r>
      <w:proofErr w:type="spellEnd"/>
      <w:r w:rsidRPr="00C3156A">
        <w:t xml:space="preserve"> and </w:t>
      </w:r>
      <w:r w:rsidRPr="0006057F">
        <w:t>van</w:t>
      </w:r>
      <w:r w:rsidR="0006057F">
        <w:t xml:space="preserve"> </w:t>
      </w:r>
      <w:r w:rsidRPr="00C3156A">
        <w:t>der Ploeg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Aghion, Angeletos, Banerjee &amp; Manova, 2010</w:t>
      </w:r>
      <w:r w:rsidR="0006057F">
        <w:t xml:space="preserve">).   Frankel </w:t>
      </w:r>
      <w:r w:rsidR="00A30CB0">
        <w:t xml:space="preserve">(2012) </w:t>
      </w:r>
      <w:r w:rsidR="0006057F">
        <w:t>surveys the Natural Resource Curse.</w:t>
      </w:r>
    </w:p>
  </w:footnote>
  <w:footnote w:id="2">
    <w:p w:rsidR="00663BB5" w:rsidRDefault="00663BB5">
      <w:pPr>
        <w:pStyle w:val="FootnoteText"/>
      </w:pPr>
      <w:r>
        <w:rPr>
          <w:rStyle w:val="FootnoteReference"/>
        </w:rPr>
        <w:footnoteRef/>
      </w:r>
      <w:r>
        <w:t xml:space="preserve"> </w:t>
      </w:r>
      <w:proofErr w:type="gramStart"/>
      <w:r w:rsidR="00B6469C">
        <w:t xml:space="preserve">E.g., </w:t>
      </w:r>
      <w:r>
        <w:t>Kaminsky, Reinhart and</w:t>
      </w:r>
      <w:r w:rsidR="008D3130">
        <w:t xml:space="preserve"> Végh (</w:t>
      </w:r>
      <w:r w:rsidRPr="00663BB5">
        <w:t>200</w:t>
      </w:r>
      <w:r>
        <w:t>5</w:t>
      </w:r>
      <w:r w:rsidRPr="00663BB5">
        <w:t>).</w:t>
      </w:r>
      <w:proofErr w:type="gramEnd"/>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w:t>
      </w:r>
      <w:proofErr w:type="gramStart"/>
      <w:r w:rsidRPr="00B6469C">
        <w:rPr>
          <w:sz w:val="20"/>
          <w:szCs w:val="20"/>
        </w:rPr>
        <w:t>E.g., Borensztein, Jeanne and Sandri (2013).</w:t>
      </w:r>
      <w:proofErr w:type="gramEnd"/>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proofErr w:type="gram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w:t>
      </w:r>
      <w:r w:rsidR="00B9278E">
        <w:rPr>
          <w:rFonts w:cs="Times New Roman"/>
        </w:rPr>
        <w:t>2</w:t>
      </w:r>
      <w:r w:rsidRPr="005B3F30">
        <w:rPr>
          <w:rFonts w:cs="Times New Roman"/>
        </w:rPr>
        <w:t>).</w:t>
      </w:r>
      <w:proofErr w:type="gramEnd"/>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w:t>
      </w:r>
      <w:proofErr w:type="gramStart"/>
      <w:r w:rsidRPr="005B3F30">
        <w:rPr>
          <w:sz w:val="20"/>
          <w:szCs w:val="20"/>
        </w:rPr>
        <w:t>IMF SPRD and World Bank PREM (2011, p.47).</w:t>
      </w:r>
      <w:proofErr w:type="gramEnd"/>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CE3636" w:rsidRDefault="00CE3636">
      <w:pPr>
        <w:pStyle w:val="FootnoteText"/>
      </w:pPr>
      <w:r>
        <w:rPr>
          <w:rStyle w:val="FootnoteReference"/>
        </w:rPr>
        <w:footnoteRef/>
      </w:r>
      <w:r>
        <w:t xml:space="preserve"> </w:t>
      </w:r>
      <w:proofErr w:type="spellStart"/>
      <w:r>
        <w:t>E.g</w:t>
      </w:r>
      <w:proofErr w:type="spellEnd"/>
      <w:proofErr w:type="gramStart"/>
      <w:r>
        <w:t>,</w:t>
      </w:r>
      <w:r w:rsidR="009D6413">
        <w:t>,</w:t>
      </w:r>
      <w:proofErr w:type="gramEnd"/>
      <w:r>
        <w:t xml:space="preserve"> Caballero (2002)</w:t>
      </w:r>
      <w:r w:rsidR="009D6413">
        <w:t xml:space="preserve"> or Attah-Mensah (2004).  T</w:t>
      </w:r>
      <w:r>
        <w:t>here are earlier precedents.</w:t>
      </w:r>
      <w:r>
        <w:br/>
      </w:r>
    </w:p>
  </w:footnote>
  <w:footnote w:id="8">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r w:rsidR="0054005B" w:rsidRPr="0054005B">
        <w:rPr>
          <w:rFonts w:cs="Arial"/>
          <w:color w:val="222222"/>
          <w:shd w:val="clear" w:color="auto" w:fill="FFFFFF"/>
        </w:rPr>
        <w:t>Borensztein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w:t>
      </w:r>
      <w:r w:rsidR="00A44F7E">
        <w:rPr>
          <w:rFonts w:cs="Arial"/>
          <w:color w:val="222222"/>
          <w:shd w:val="clear" w:color="auto" w:fill="FFFFFF"/>
        </w:rPr>
        <w:t xml:space="preserve">or inflation </w:t>
      </w:r>
      <w:r w:rsidR="0054005B">
        <w:rPr>
          <w:rFonts w:cs="Arial"/>
          <w:color w:val="222222"/>
          <w:shd w:val="clear" w:color="auto" w:fill="FFFFFF"/>
        </w:rPr>
        <w:t>statistics.</w:t>
      </w:r>
      <w:r w:rsidR="0023645D">
        <w:rPr>
          <w:rFonts w:cs="Arial"/>
          <w:color w:val="222222"/>
          <w:shd w:val="clear" w:color="auto" w:fill="FFFFFF"/>
        </w:rPr>
        <w:br/>
      </w:r>
    </w:p>
  </w:footnote>
  <w:footnote w:id="9">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Kaminsky, Reinhart, and Vegh (2004), </w:t>
      </w:r>
      <w:proofErr w:type="spellStart"/>
      <w:r w:rsidRPr="00F00042">
        <w:rPr>
          <w:sz w:val="20"/>
          <w:szCs w:val="20"/>
        </w:rPr>
        <w:t>Talvi</w:t>
      </w:r>
      <w:proofErr w:type="spellEnd"/>
      <w:r w:rsidRPr="00F00042">
        <w:rPr>
          <w:sz w:val="20"/>
          <w:szCs w:val="20"/>
        </w:rPr>
        <w:t xml:space="preserve"> and </w:t>
      </w:r>
      <w:proofErr w:type="gramStart"/>
      <w:r w:rsidRPr="00F00042">
        <w:rPr>
          <w:sz w:val="20"/>
          <w:szCs w:val="20"/>
        </w:rPr>
        <w:t>Végh</w:t>
      </w:r>
      <w:bookmarkStart w:id="1" w:name="bcor1"/>
      <w:bookmarkEnd w:id="1"/>
      <w:r w:rsidRPr="00F00042">
        <w:rPr>
          <w:sz w:val="20"/>
          <w:szCs w:val="20"/>
        </w:rPr>
        <w:t xml:space="preserve">  (</w:t>
      </w:r>
      <w:proofErr w:type="gramEnd"/>
      <w:r w:rsidRPr="00F00042">
        <w:rPr>
          <w:sz w:val="20"/>
          <w:szCs w:val="20"/>
        </w:rPr>
        <w:t xml:space="preserve">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2008), Mendoza and Oviedo (2006), Il</w:t>
      </w:r>
      <w:r w:rsidR="00F00042" w:rsidRPr="00F00042">
        <w:rPr>
          <w:sz w:val="20"/>
          <w:szCs w:val="20"/>
        </w:rPr>
        <w:t>zetski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w:t>
      </w:r>
      <w:r w:rsidR="00F637E9">
        <w:rPr>
          <w:sz w:val="18"/>
          <w:szCs w:val="18"/>
        </w:rPr>
        <w:t xml:space="preserve">Arezki </w:t>
      </w:r>
      <w:r w:rsidR="00F637E9" w:rsidRPr="00C51F83">
        <w:rPr>
          <w:sz w:val="18"/>
          <w:szCs w:val="18"/>
        </w:rPr>
        <w:t xml:space="preserve">and </w:t>
      </w:r>
      <w:proofErr w:type="spellStart"/>
      <w:r w:rsidR="00F637E9">
        <w:rPr>
          <w:sz w:val="18"/>
          <w:szCs w:val="18"/>
        </w:rPr>
        <w:t>Brückner</w:t>
      </w:r>
      <w:proofErr w:type="spellEnd"/>
      <w:r w:rsidR="00F637E9">
        <w:rPr>
          <w:sz w:val="18"/>
          <w:szCs w:val="18"/>
        </w:rPr>
        <w:t xml:space="preserve"> (2012a,</w:t>
      </w:r>
      <w:r w:rsidR="00F637E9" w:rsidRPr="00C51F83">
        <w:rPr>
          <w:sz w:val="18"/>
          <w:szCs w:val="18"/>
        </w:rPr>
        <w:t xml:space="preserve"> 20</w:t>
      </w:r>
      <w:r w:rsidR="00F637E9">
        <w:rPr>
          <w:sz w:val="18"/>
          <w:szCs w:val="18"/>
        </w:rPr>
        <w:t>12</w:t>
      </w:r>
      <w:r w:rsidR="00F637E9">
        <w:rPr>
          <w:sz w:val="18"/>
          <w:szCs w:val="18"/>
        </w:rPr>
        <w:t>b)</w:t>
      </w:r>
      <w:r w:rsidR="00F637E9">
        <w:rPr>
          <w:sz w:val="20"/>
          <w:szCs w:val="20"/>
        </w:rPr>
        <w:t xml:space="preserve">, </w:t>
      </w:r>
      <w:r w:rsidR="00A5654E">
        <w:rPr>
          <w:sz w:val="20"/>
          <w:szCs w:val="20"/>
        </w:rPr>
        <w:t>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p>
  </w:footnote>
  <w:footnote w:id="10">
    <w:p w:rsidR="009B7C82" w:rsidRPr="00F00042" w:rsidRDefault="009B7C82" w:rsidP="009B7C82">
      <w:pPr>
        <w:pStyle w:val="FootnoteText"/>
      </w:pPr>
      <w:r w:rsidRPr="00F00042">
        <w:rPr>
          <w:rStyle w:val="FootnoteReference"/>
        </w:rPr>
        <w:footnoteRef/>
      </w:r>
      <w:r w:rsidRPr="00F00042">
        <w:t xml:space="preserve">  </w:t>
      </w:r>
      <w:proofErr w:type="gramStart"/>
      <w:r w:rsidRPr="00F00042">
        <w:t xml:space="preserve">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proofErr w:type="gramEnd"/>
      <w:r w:rsidR="00F00042" w:rsidRPr="00F00042">
        <w:br/>
      </w:r>
    </w:p>
  </w:footnote>
  <w:footnote w:id="11">
    <w:p w:rsidR="004A37C3" w:rsidRDefault="004A37C3" w:rsidP="004A37C3">
      <w:pPr>
        <w:pStyle w:val="FootnoteText"/>
      </w:pPr>
      <w:r w:rsidRPr="00F00042">
        <w:rPr>
          <w:rStyle w:val="FootnoteReference"/>
        </w:rPr>
        <w:footnoteRef/>
      </w:r>
      <w:r w:rsidRPr="00F00042">
        <w:t xml:space="preserve"> </w:t>
      </w:r>
      <w:r w:rsidR="00F00042" w:rsidRPr="00F00042">
        <w:t xml:space="preserve"> </w:t>
      </w:r>
      <w:proofErr w:type="gramStart"/>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roofErr w:type="gramEnd"/>
      <w:r w:rsidR="00A52774">
        <w:rPr>
          <w:rFonts w:cs="Times New Roman"/>
        </w:rPr>
        <w:br/>
      </w:r>
    </w:p>
  </w:footnote>
  <w:footnote w:id="12">
    <w:p w:rsidR="004A37C3" w:rsidRDefault="004A37C3" w:rsidP="004A37C3">
      <w:pPr>
        <w:pStyle w:val="FootnoteText"/>
      </w:pPr>
      <w:r>
        <w:rPr>
          <w:rStyle w:val="FootnoteReference"/>
        </w:rPr>
        <w:footnoteRef/>
      </w:r>
      <w:r>
        <w:t xml:space="preserve"> </w:t>
      </w:r>
      <w:proofErr w:type="gramStart"/>
      <w:r w:rsidR="00AB596F">
        <w:t xml:space="preserve">Frankel (2011) and </w:t>
      </w:r>
      <w:r w:rsidRPr="00486625">
        <w:t>Frankel</w:t>
      </w:r>
      <w:r>
        <w:t xml:space="preserve"> and Schreger</w:t>
      </w:r>
      <w:r w:rsidRPr="00486625">
        <w:t xml:space="preserve"> </w:t>
      </w:r>
      <w:r>
        <w:t>(2013).</w:t>
      </w:r>
      <w:proofErr w:type="gramEnd"/>
      <w:r w:rsidR="00FF4DB0">
        <w:br/>
      </w:r>
    </w:p>
  </w:footnote>
  <w:footnote w:id="13">
    <w:p w:rsidR="004A37C3" w:rsidRPr="00E40C4F" w:rsidRDefault="004A37C3" w:rsidP="004A37C3">
      <w:pPr>
        <w:pStyle w:val="FootnoteText"/>
      </w:pPr>
      <w:r w:rsidRPr="00E40C4F">
        <w:rPr>
          <w:rStyle w:val="FootnoteReference"/>
        </w:rPr>
        <w:footnoteRef/>
      </w:r>
      <w:r w:rsidRPr="00E40C4F">
        <w:t xml:space="preserve"> </w:t>
      </w:r>
      <w:proofErr w:type="gramStart"/>
      <w:r w:rsidRPr="00E40C4F">
        <w:t>Frankel (2013).</w:t>
      </w:r>
      <w:proofErr w:type="gramEnd"/>
      <w:r w:rsidRPr="00E40C4F">
        <w:rPr>
          <w:rStyle w:val="apple-converted-space"/>
          <w:color w:val="000000"/>
          <w:shd w:val="clear" w:color="auto" w:fill="FFFFFF"/>
        </w:rPr>
        <w:t> </w:t>
      </w:r>
      <w:r w:rsidRPr="00E40C4F">
        <w:rPr>
          <w:rStyle w:val="apple-converted-space"/>
          <w:color w:val="333333"/>
          <w:shd w:val="clear" w:color="auto" w:fill="FFFFFF"/>
        </w:rPr>
        <w:t xml:space="preserve"> </w:t>
      </w:r>
      <w:proofErr w:type="gramStart"/>
      <w:r w:rsidRPr="00E40C4F">
        <w:rPr>
          <w:rStyle w:val="apple-converted-space"/>
          <w:color w:val="333333"/>
          <w:shd w:val="clear" w:color="auto" w:fill="FFFFFF"/>
        </w:rPr>
        <w:t>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proofErr w:type="gramEnd"/>
      <w:r w:rsidR="00262DEE">
        <w:rPr>
          <w:color w:val="000000"/>
          <w:shd w:val="clear" w:color="auto" w:fill="FFFFFF"/>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1B4C"/>
    <w:rsid w:val="000136DA"/>
    <w:rsid w:val="00014870"/>
    <w:rsid w:val="00055748"/>
    <w:rsid w:val="0006057F"/>
    <w:rsid w:val="00062128"/>
    <w:rsid w:val="00071C42"/>
    <w:rsid w:val="000A6649"/>
    <w:rsid w:val="000B070F"/>
    <w:rsid w:val="000B33BC"/>
    <w:rsid w:val="000C1531"/>
    <w:rsid w:val="000D7054"/>
    <w:rsid w:val="000E5F0A"/>
    <w:rsid w:val="00105DA4"/>
    <w:rsid w:val="001148F5"/>
    <w:rsid w:val="0011586E"/>
    <w:rsid w:val="00116854"/>
    <w:rsid w:val="001314E5"/>
    <w:rsid w:val="00131C91"/>
    <w:rsid w:val="001476CA"/>
    <w:rsid w:val="001568E7"/>
    <w:rsid w:val="00160205"/>
    <w:rsid w:val="00160547"/>
    <w:rsid w:val="0016354A"/>
    <w:rsid w:val="001676EE"/>
    <w:rsid w:val="00174A75"/>
    <w:rsid w:val="001776CB"/>
    <w:rsid w:val="00185F4C"/>
    <w:rsid w:val="00186BD4"/>
    <w:rsid w:val="00193C40"/>
    <w:rsid w:val="001A001A"/>
    <w:rsid w:val="001B10F6"/>
    <w:rsid w:val="001B7F27"/>
    <w:rsid w:val="001C500F"/>
    <w:rsid w:val="001D2F43"/>
    <w:rsid w:val="001F2F1B"/>
    <w:rsid w:val="001F799A"/>
    <w:rsid w:val="001F7ADE"/>
    <w:rsid w:val="002040C1"/>
    <w:rsid w:val="00222C4E"/>
    <w:rsid w:val="002242CA"/>
    <w:rsid w:val="00235ABC"/>
    <w:rsid w:val="0023645D"/>
    <w:rsid w:val="00242DB3"/>
    <w:rsid w:val="002438B7"/>
    <w:rsid w:val="00262DEE"/>
    <w:rsid w:val="00271A81"/>
    <w:rsid w:val="00273A07"/>
    <w:rsid w:val="00281557"/>
    <w:rsid w:val="00290D18"/>
    <w:rsid w:val="002A03BE"/>
    <w:rsid w:val="002A5074"/>
    <w:rsid w:val="002B0741"/>
    <w:rsid w:val="002D5CF9"/>
    <w:rsid w:val="002E2339"/>
    <w:rsid w:val="002E63C6"/>
    <w:rsid w:val="002E79F3"/>
    <w:rsid w:val="002F04E9"/>
    <w:rsid w:val="00313958"/>
    <w:rsid w:val="0032269B"/>
    <w:rsid w:val="00335C6F"/>
    <w:rsid w:val="00335DE6"/>
    <w:rsid w:val="00337E56"/>
    <w:rsid w:val="00343C4A"/>
    <w:rsid w:val="003570D0"/>
    <w:rsid w:val="0036184F"/>
    <w:rsid w:val="00361B8B"/>
    <w:rsid w:val="00370394"/>
    <w:rsid w:val="003704A0"/>
    <w:rsid w:val="00371DFF"/>
    <w:rsid w:val="00385FD2"/>
    <w:rsid w:val="00391B3A"/>
    <w:rsid w:val="003B4809"/>
    <w:rsid w:val="003B4F8B"/>
    <w:rsid w:val="003C634F"/>
    <w:rsid w:val="003C7A12"/>
    <w:rsid w:val="003C7A5E"/>
    <w:rsid w:val="003D646B"/>
    <w:rsid w:val="003E072A"/>
    <w:rsid w:val="003F0D55"/>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32915"/>
    <w:rsid w:val="0054005B"/>
    <w:rsid w:val="00540DDB"/>
    <w:rsid w:val="0054616E"/>
    <w:rsid w:val="00566C39"/>
    <w:rsid w:val="00570628"/>
    <w:rsid w:val="00581D36"/>
    <w:rsid w:val="00583637"/>
    <w:rsid w:val="0058581F"/>
    <w:rsid w:val="005869E9"/>
    <w:rsid w:val="00586F10"/>
    <w:rsid w:val="00594934"/>
    <w:rsid w:val="005A6A15"/>
    <w:rsid w:val="005B3F30"/>
    <w:rsid w:val="005C54A9"/>
    <w:rsid w:val="005D310D"/>
    <w:rsid w:val="005E1008"/>
    <w:rsid w:val="005E55FE"/>
    <w:rsid w:val="005E6D9E"/>
    <w:rsid w:val="005F15AF"/>
    <w:rsid w:val="005F36E6"/>
    <w:rsid w:val="005F3FC1"/>
    <w:rsid w:val="0061279D"/>
    <w:rsid w:val="00622F27"/>
    <w:rsid w:val="006430F8"/>
    <w:rsid w:val="006527F0"/>
    <w:rsid w:val="00663BB5"/>
    <w:rsid w:val="006668BD"/>
    <w:rsid w:val="0067352A"/>
    <w:rsid w:val="0068354B"/>
    <w:rsid w:val="006B2393"/>
    <w:rsid w:val="006B5832"/>
    <w:rsid w:val="006C1C2A"/>
    <w:rsid w:val="006C3FDB"/>
    <w:rsid w:val="006C510F"/>
    <w:rsid w:val="006D0215"/>
    <w:rsid w:val="006D5AF5"/>
    <w:rsid w:val="006D6E0C"/>
    <w:rsid w:val="006E3626"/>
    <w:rsid w:val="006E4F7E"/>
    <w:rsid w:val="006E787D"/>
    <w:rsid w:val="00705362"/>
    <w:rsid w:val="007066A9"/>
    <w:rsid w:val="00707C2F"/>
    <w:rsid w:val="00707E5E"/>
    <w:rsid w:val="007154D7"/>
    <w:rsid w:val="00744E5E"/>
    <w:rsid w:val="007522C1"/>
    <w:rsid w:val="0075348A"/>
    <w:rsid w:val="007563A9"/>
    <w:rsid w:val="007716AC"/>
    <w:rsid w:val="00775AE6"/>
    <w:rsid w:val="007839B3"/>
    <w:rsid w:val="007857D2"/>
    <w:rsid w:val="007862DA"/>
    <w:rsid w:val="007863DF"/>
    <w:rsid w:val="007936E9"/>
    <w:rsid w:val="0079412C"/>
    <w:rsid w:val="007A5AF7"/>
    <w:rsid w:val="007C531E"/>
    <w:rsid w:val="007C778B"/>
    <w:rsid w:val="007D2562"/>
    <w:rsid w:val="007E6799"/>
    <w:rsid w:val="007F5CCF"/>
    <w:rsid w:val="00801A23"/>
    <w:rsid w:val="00803156"/>
    <w:rsid w:val="00804D77"/>
    <w:rsid w:val="00825A54"/>
    <w:rsid w:val="008345CB"/>
    <w:rsid w:val="008440BC"/>
    <w:rsid w:val="008464B1"/>
    <w:rsid w:val="008517AB"/>
    <w:rsid w:val="00860D89"/>
    <w:rsid w:val="0087067B"/>
    <w:rsid w:val="00886249"/>
    <w:rsid w:val="008915F8"/>
    <w:rsid w:val="008A0E0D"/>
    <w:rsid w:val="008B20A5"/>
    <w:rsid w:val="008C5590"/>
    <w:rsid w:val="008D0427"/>
    <w:rsid w:val="008D3130"/>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3785"/>
    <w:rsid w:val="009B7C82"/>
    <w:rsid w:val="009D6413"/>
    <w:rsid w:val="009E1F2F"/>
    <w:rsid w:val="009E58FC"/>
    <w:rsid w:val="00A14FD3"/>
    <w:rsid w:val="00A17395"/>
    <w:rsid w:val="00A30CB0"/>
    <w:rsid w:val="00A32057"/>
    <w:rsid w:val="00A3233A"/>
    <w:rsid w:val="00A36947"/>
    <w:rsid w:val="00A36C17"/>
    <w:rsid w:val="00A44F7E"/>
    <w:rsid w:val="00A52774"/>
    <w:rsid w:val="00A5654E"/>
    <w:rsid w:val="00A60AF2"/>
    <w:rsid w:val="00A66755"/>
    <w:rsid w:val="00A83D67"/>
    <w:rsid w:val="00AA46B7"/>
    <w:rsid w:val="00AA5EB3"/>
    <w:rsid w:val="00AB3D3C"/>
    <w:rsid w:val="00AB3F40"/>
    <w:rsid w:val="00AB46A3"/>
    <w:rsid w:val="00AB596F"/>
    <w:rsid w:val="00AC3842"/>
    <w:rsid w:val="00AC38CF"/>
    <w:rsid w:val="00AD4E42"/>
    <w:rsid w:val="00AD796F"/>
    <w:rsid w:val="00AE5BB9"/>
    <w:rsid w:val="00AF013C"/>
    <w:rsid w:val="00AF1465"/>
    <w:rsid w:val="00AF7402"/>
    <w:rsid w:val="00B027A6"/>
    <w:rsid w:val="00B038B1"/>
    <w:rsid w:val="00B07355"/>
    <w:rsid w:val="00B113BB"/>
    <w:rsid w:val="00B26440"/>
    <w:rsid w:val="00B516BB"/>
    <w:rsid w:val="00B53A60"/>
    <w:rsid w:val="00B5671B"/>
    <w:rsid w:val="00B63485"/>
    <w:rsid w:val="00B6469C"/>
    <w:rsid w:val="00B9278E"/>
    <w:rsid w:val="00B92E56"/>
    <w:rsid w:val="00B92F55"/>
    <w:rsid w:val="00B93290"/>
    <w:rsid w:val="00B95998"/>
    <w:rsid w:val="00B96359"/>
    <w:rsid w:val="00B96BAE"/>
    <w:rsid w:val="00BA357D"/>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3341A"/>
    <w:rsid w:val="00C40B0D"/>
    <w:rsid w:val="00C51602"/>
    <w:rsid w:val="00C57E45"/>
    <w:rsid w:val="00C6263E"/>
    <w:rsid w:val="00C72954"/>
    <w:rsid w:val="00C8275E"/>
    <w:rsid w:val="00C8294E"/>
    <w:rsid w:val="00C86ED0"/>
    <w:rsid w:val="00C9271C"/>
    <w:rsid w:val="00CA2BCD"/>
    <w:rsid w:val="00CC4DD0"/>
    <w:rsid w:val="00CD1908"/>
    <w:rsid w:val="00CD1AC3"/>
    <w:rsid w:val="00CE360D"/>
    <w:rsid w:val="00CE3636"/>
    <w:rsid w:val="00CF11BB"/>
    <w:rsid w:val="00D017BB"/>
    <w:rsid w:val="00D20990"/>
    <w:rsid w:val="00D64AAF"/>
    <w:rsid w:val="00D755FB"/>
    <w:rsid w:val="00D76B4E"/>
    <w:rsid w:val="00D80591"/>
    <w:rsid w:val="00D8711C"/>
    <w:rsid w:val="00D95EC7"/>
    <w:rsid w:val="00D976CD"/>
    <w:rsid w:val="00DA162F"/>
    <w:rsid w:val="00DA60A9"/>
    <w:rsid w:val="00DC149D"/>
    <w:rsid w:val="00DC1F6D"/>
    <w:rsid w:val="00DF422C"/>
    <w:rsid w:val="00E010F2"/>
    <w:rsid w:val="00E04FC5"/>
    <w:rsid w:val="00E07D5C"/>
    <w:rsid w:val="00E107AF"/>
    <w:rsid w:val="00E17A79"/>
    <w:rsid w:val="00E37626"/>
    <w:rsid w:val="00E400E5"/>
    <w:rsid w:val="00E40C4F"/>
    <w:rsid w:val="00E46451"/>
    <w:rsid w:val="00E504B2"/>
    <w:rsid w:val="00E5063A"/>
    <w:rsid w:val="00E539C9"/>
    <w:rsid w:val="00E65CEB"/>
    <w:rsid w:val="00E8154E"/>
    <w:rsid w:val="00E90AEF"/>
    <w:rsid w:val="00EA0EFA"/>
    <w:rsid w:val="00EA2ED5"/>
    <w:rsid w:val="00EC2495"/>
    <w:rsid w:val="00EE4353"/>
    <w:rsid w:val="00EE5527"/>
    <w:rsid w:val="00EF000E"/>
    <w:rsid w:val="00F00042"/>
    <w:rsid w:val="00F15CEF"/>
    <w:rsid w:val="00F35AA5"/>
    <w:rsid w:val="00F42C1B"/>
    <w:rsid w:val="00F46286"/>
    <w:rsid w:val="00F578D4"/>
    <w:rsid w:val="00F637E9"/>
    <w:rsid w:val="00F74F96"/>
    <w:rsid w:val="00F76B78"/>
    <w:rsid w:val="00F81676"/>
    <w:rsid w:val="00F9027C"/>
    <w:rsid w:val="00FA13DD"/>
    <w:rsid w:val="00FB1B03"/>
    <w:rsid w:val="00FB3C02"/>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deas.repec.org/s/chb/bcchec.html" TargetMode="External"/><Relationship Id="rId4" Type="http://schemas.microsoft.com/office/2007/relationships/stylesWithEffects" Target="stylesWithEffects.xml"/><Relationship Id="rId9" Type="http://schemas.openxmlformats.org/officeDocument/2006/relationships/hyperlink" Target="http://oxrep.oxfordjournals.org/content/27/4.to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FAF09-9911-41B2-A45C-5C3D7C1F2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2697</Words>
  <Characters>15593</Characters>
  <Application>Microsoft Office Word</Application>
  <DocSecurity>0</DocSecurity>
  <Lines>371</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2017-10-08T21:00:00Z</cp:lastPrinted>
  <dcterms:created xsi:type="dcterms:W3CDTF">2018-02-11T22:23:00Z</dcterms:created>
  <dcterms:modified xsi:type="dcterms:W3CDTF">2018-02-11T22:23:00Z</dcterms:modified>
</cp:coreProperties>
</file>