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26" w:rsidRPr="00B96359" w:rsidRDefault="00B027A6" w:rsidP="00B027A6">
      <w:pPr>
        <w:ind w:left="720"/>
        <w:jc w:val="right"/>
        <w:rPr>
          <w:sz w:val="20"/>
          <w:szCs w:val="20"/>
        </w:rPr>
      </w:pPr>
      <w:bookmarkStart w:id="0" w:name="_GoBack"/>
      <w:bookmarkEnd w:id="0"/>
      <w:r>
        <w:rPr>
          <w:sz w:val="20"/>
          <w:szCs w:val="20"/>
        </w:rPr>
        <w:t xml:space="preserve">Revised </w:t>
      </w:r>
      <w:r w:rsidR="00FB3C02">
        <w:rPr>
          <w:sz w:val="20"/>
          <w:szCs w:val="20"/>
        </w:rPr>
        <w:t>10/1/2017</w:t>
      </w:r>
      <w:r w:rsidR="00B9278E">
        <w:rPr>
          <w:sz w:val="20"/>
          <w:szCs w:val="20"/>
        </w:rPr>
        <w:t>+</w:t>
      </w:r>
    </w:p>
    <w:p w:rsidR="001476CA" w:rsidRPr="00B92E56" w:rsidRDefault="0032269B" w:rsidP="002438B7">
      <w:pPr>
        <w:jc w:val="center"/>
        <w:rPr>
          <w:b/>
          <w:sz w:val="26"/>
          <w:szCs w:val="26"/>
        </w:rPr>
      </w:pPr>
      <w:r w:rsidRPr="00B92E56">
        <w:rPr>
          <w:b/>
          <w:sz w:val="26"/>
          <w:szCs w:val="26"/>
        </w:rPr>
        <w:t>“</w:t>
      </w:r>
      <w:r w:rsidR="00BF11AD" w:rsidRPr="00B92E56">
        <w:rPr>
          <w:b/>
          <w:sz w:val="26"/>
          <w:szCs w:val="26"/>
        </w:rPr>
        <w:t xml:space="preserve">How to </w:t>
      </w:r>
      <w:r w:rsidR="00CE360D" w:rsidRPr="00B92E56">
        <w:rPr>
          <w:b/>
          <w:sz w:val="26"/>
          <w:szCs w:val="26"/>
        </w:rPr>
        <w:t>Cop</w:t>
      </w:r>
      <w:r w:rsidR="00BF11AD" w:rsidRPr="00B92E56">
        <w:rPr>
          <w:b/>
          <w:sz w:val="26"/>
          <w:szCs w:val="26"/>
        </w:rPr>
        <w:t>e</w:t>
      </w:r>
      <w:r w:rsidR="00CE360D" w:rsidRPr="00B92E56">
        <w:rPr>
          <w:b/>
          <w:sz w:val="26"/>
          <w:szCs w:val="26"/>
        </w:rPr>
        <w:t xml:space="preserve"> with </w:t>
      </w:r>
      <w:r w:rsidRPr="00B92E56">
        <w:rPr>
          <w:b/>
          <w:sz w:val="26"/>
          <w:szCs w:val="26"/>
        </w:rPr>
        <w:t>Volatile Commodity Export Prices</w:t>
      </w:r>
      <w:r w:rsidR="00BF11AD" w:rsidRPr="00B92E56">
        <w:rPr>
          <w:b/>
          <w:sz w:val="26"/>
          <w:szCs w:val="26"/>
        </w:rPr>
        <w:t xml:space="preserve">: Four </w:t>
      </w:r>
      <w:r w:rsidR="00F578D4" w:rsidRPr="00B92E56">
        <w:rPr>
          <w:b/>
          <w:sz w:val="26"/>
          <w:szCs w:val="26"/>
        </w:rPr>
        <w:t>Proposals</w:t>
      </w:r>
      <w:r w:rsidRPr="00B92E56">
        <w:rPr>
          <w:b/>
          <w:sz w:val="26"/>
          <w:szCs w:val="26"/>
        </w:rPr>
        <w:t>”</w:t>
      </w:r>
      <w:r w:rsidR="00B95998" w:rsidRPr="00B92E56">
        <w:rPr>
          <w:b/>
          <w:sz w:val="26"/>
          <w:szCs w:val="26"/>
        </w:rPr>
        <w:br/>
      </w:r>
      <w:r w:rsidR="001476CA" w:rsidRPr="00B92E56">
        <w:rPr>
          <w:b/>
          <w:sz w:val="26"/>
          <w:szCs w:val="26"/>
        </w:rPr>
        <w:br/>
        <w:t>Jeffrey Frankel, Harvard Kennedy School</w:t>
      </w:r>
    </w:p>
    <w:p w:rsidR="00E46451" w:rsidRPr="00B92E56" w:rsidRDefault="00BA357D" w:rsidP="0016354A">
      <w:pPr>
        <w:spacing w:after="0" w:line="240" w:lineRule="auto"/>
        <w:rPr>
          <w:bCs/>
          <w:color w:val="000000"/>
          <w:sz w:val="24"/>
          <w:szCs w:val="24"/>
          <w:shd w:val="clear" w:color="auto" w:fill="FFFFFF"/>
        </w:rPr>
      </w:pPr>
      <w:r w:rsidRPr="00B92E56">
        <w:rPr>
          <w:color w:val="000000"/>
          <w:sz w:val="24"/>
          <w:szCs w:val="24"/>
          <w:shd w:val="clear" w:color="auto" w:fill="FFFFFF"/>
        </w:rPr>
        <w:t xml:space="preserve">Forthcoming in an e-book edited by Rabah Arezki and </w:t>
      </w:r>
      <w:proofErr w:type="spellStart"/>
      <w:r w:rsidRPr="00B92E56">
        <w:rPr>
          <w:color w:val="000000"/>
          <w:sz w:val="24"/>
          <w:szCs w:val="24"/>
          <w:shd w:val="clear" w:color="auto" w:fill="FFFFFF"/>
        </w:rPr>
        <w:t>Raouf</w:t>
      </w:r>
      <w:proofErr w:type="spellEnd"/>
      <w:r w:rsidRPr="00B92E56">
        <w:rPr>
          <w:color w:val="000000"/>
          <w:sz w:val="24"/>
          <w:szCs w:val="24"/>
          <w:shd w:val="clear" w:color="auto" w:fill="FFFFFF"/>
        </w:rPr>
        <w:t xml:space="preserve"> </w:t>
      </w:r>
      <w:proofErr w:type="spellStart"/>
      <w:r w:rsidRPr="00B92E56">
        <w:rPr>
          <w:color w:val="000000"/>
          <w:sz w:val="24"/>
          <w:szCs w:val="24"/>
          <w:shd w:val="clear" w:color="auto" w:fill="FFFFFF"/>
        </w:rPr>
        <w:t>Boucekkine</w:t>
      </w:r>
      <w:proofErr w:type="spellEnd"/>
      <w:r w:rsidRPr="00B92E56">
        <w:rPr>
          <w:color w:val="000000"/>
          <w:sz w:val="24"/>
          <w:szCs w:val="24"/>
          <w:shd w:val="clear" w:color="auto" w:fill="FFFFFF"/>
        </w:rPr>
        <w:t>.</w:t>
      </w:r>
      <w:r>
        <w:rPr>
          <w:color w:val="000000"/>
          <w:sz w:val="24"/>
          <w:szCs w:val="24"/>
          <w:shd w:val="clear" w:color="auto" w:fill="FFFFFF"/>
        </w:rPr>
        <w:t xml:space="preserve">  This chapter is based on a k</w:t>
      </w:r>
      <w:r w:rsidR="0032269B" w:rsidRPr="00B92E56">
        <w:rPr>
          <w:sz w:val="24"/>
          <w:szCs w:val="24"/>
        </w:rPr>
        <w:t xml:space="preserve">eynote </w:t>
      </w:r>
      <w:r>
        <w:rPr>
          <w:sz w:val="24"/>
          <w:szCs w:val="24"/>
        </w:rPr>
        <w:t>a</w:t>
      </w:r>
      <w:r w:rsidR="0032269B" w:rsidRPr="00B92E56">
        <w:rPr>
          <w:sz w:val="24"/>
          <w:szCs w:val="24"/>
        </w:rPr>
        <w:t>ddress</w:t>
      </w:r>
      <w:r w:rsidR="001476CA" w:rsidRPr="00B92E56">
        <w:rPr>
          <w:sz w:val="24"/>
          <w:szCs w:val="24"/>
        </w:rPr>
        <w:t xml:space="preserve">, </w:t>
      </w:r>
      <w:r w:rsidR="0006057F" w:rsidRPr="00B92E56">
        <w:rPr>
          <w:color w:val="000000"/>
          <w:sz w:val="24"/>
          <w:szCs w:val="24"/>
          <w:shd w:val="clear" w:color="auto" w:fill="FFFFFF"/>
        </w:rPr>
        <w:t>High Level Seminar,</w:t>
      </w:r>
      <w:r w:rsidR="0006057F" w:rsidRPr="00B92E56">
        <w:rPr>
          <w:rStyle w:val="apple-converted-space"/>
          <w:color w:val="000000"/>
          <w:sz w:val="24"/>
          <w:szCs w:val="24"/>
          <w:shd w:val="clear" w:color="auto" w:fill="FFFFFF"/>
        </w:rPr>
        <w:t> </w:t>
      </w:r>
      <w:r w:rsidR="001B10F6" w:rsidRPr="00B92E56">
        <w:rPr>
          <w:i/>
          <w:iCs/>
          <w:color w:val="000000"/>
          <w:sz w:val="24"/>
          <w:szCs w:val="24"/>
          <w:shd w:val="clear" w:color="auto" w:fill="FFFFFF"/>
        </w:rPr>
        <w:t>Natural Resources, Finance and</w:t>
      </w:r>
      <w:r w:rsidR="0006057F" w:rsidRPr="00B92E56">
        <w:rPr>
          <w:i/>
          <w:iCs/>
          <w:color w:val="000000"/>
          <w:sz w:val="24"/>
          <w:szCs w:val="24"/>
          <w:shd w:val="clear" w:color="auto" w:fill="FFFFFF"/>
        </w:rPr>
        <w:t xml:space="preserve"> Growth</w:t>
      </w:r>
      <w:r w:rsidR="001B10F6" w:rsidRPr="00B92E56">
        <w:rPr>
          <w:i/>
          <w:iCs/>
          <w:color w:val="000000"/>
          <w:sz w:val="24"/>
          <w:szCs w:val="24"/>
          <w:shd w:val="clear" w:color="auto" w:fill="FFFFFF"/>
        </w:rPr>
        <w:t xml:space="preserve">, </w:t>
      </w:r>
      <w:r w:rsidR="0006057F" w:rsidRPr="00B92E56">
        <w:rPr>
          <w:color w:val="000000"/>
          <w:sz w:val="24"/>
          <w:szCs w:val="24"/>
          <w:shd w:val="clear" w:color="auto" w:fill="FFFFFF"/>
        </w:rPr>
        <w:t xml:space="preserve">sponsored by </w:t>
      </w:r>
      <w:r w:rsidR="001B10F6" w:rsidRPr="00B92E56">
        <w:rPr>
          <w:color w:val="000000"/>
          <w:sz w:val="24"/>
          <w:szCs w:val="24"/>
          <w:shd w:val="clear" w:color="auto" w:fill="FFFFFF"/>
        </w:rPr>
        <w:t xml:space="preserve">the </w:t>
      </w:r>
      <w:r w:rsidR="0006057F" w:rsidRPr="00B92E56">
        <w:rPr>
          <w:color w:val="000000"/>
          <w:sz w:val="24"/>
          <w:szCs w:val="24"/>
          <w:shd w:val="clear" w:color="auto" w:fill="FFFFFF"/>
        </w:rPr>
        <w:t>Bank of Algeria, Algiers, May 28-29, 2016.</w:t>
      </w:r>
      <w:r w:rsidR="001B10F6" w:rsidRPr="00B92E56">
        <w:rPr>
          <w:color w:val="000000"/>
          <w:sz w:val="24"/>
          <w:szCs w:val="24"/>
          <w:shd w:val="clear" w:color="auto" w:fill="FFFFFF"/>
        </w:rPr>
        <w:t xml:space="preserve">  The author would like to thank participants at the Bank of Algeria conference; the annual research conference of the Bank of Chile, Santiago, Oct. 23, 2014; a seminar of the OCP</w:t>
      </w:r>
      <w:r w:rsidR="00160205" w:rsidRPr="00B92E56">
        <w:rPr>
          <w:color w:val="000000"/>
          <w:sz w:val="24"/>
          <w:szCs w:val="24"/>
          <w:shd w:val="clear" w:color="auto" w:fill="FFFFFF"/>
        </w:rPr>
        <w:t xml:space="preserve"> Policy Center</w:t>
      </w:r>
      <w:r w:rsidR="001B10F6" w:rsidRPr="00B92E56">
        <w:rPr>
          <w:color w:val="000000"/>
          <w:sz w:val="24"/>
          <w:szCs w:val="24"/>
          <w:shd w:val="clear" w:color="auto" w:fill="FFFFFF"/>
        </w:rPr>
        <w:t xml:space="preserve">, Casablanca, Morocco, </w:t>
      </w:r>
      <w:r w:rsidR="00F76B78" w:rsidRPr="00B92E56">
        <w:rPr>
          <w:color w:val="000000"/>
          <w:sz w:val="24"/>
          <w:szCs w:val="24"/>
          <w:shd w:val="clear" w:color="auto" w:fill="FFFFFF"/>
        </w:rPr>
        <w:t xml:space="preserve">June 3, 2016; </w:t>
      </w:r>
      <w:r w:rsidR="001B10F6" w:rsidRPr="00B92E56">
        <w:rPr>
          <w:color w:val="000000"/>
          <w:sz w:val="24"/>
          <w:szCs w:val="24"/>
          <w:shd w:val="clear" w:color="auto" w:fill="FFFFFF"/>
        </w:rPr>
        <w:t xml:space="preserve">the annual meeting of the </w:t>
      </w:r>
      <w:r w:rsidR="001B10F6" w:rsidRPr="00B92E56">
        <w:rPr>
          <w:bCs/>
          <w:color w:val="000000"/>
          <w:sz w:val="24"/>
          <w:szCs w:val="24"/>
          <w:shd w:val="clear" w:color="auto" w:fill="FFFFFF"/>
        </w:rPr>
        <w:t>Agricultural and Applied Economics Association, Boston, August 1, 2016</w:t>
      </w:r>
      <w:r w:rsidR="00E46451" w:rsidRPr="00B92E56">
        <w:rPr>
          <w:bCs/>
          <w:color w:val="000000"/>
          <w:sz w:val="24"/>
          <w:szCs w:val="24"/>
          <w:shd w:val="clear" w:color="auto" w:fill="FFFFFF"/>
        </w:rPr>
        <w:t xml:space="preserve">; </w:t>
      </w:r>
      <w:r w:rsidR="004A469C" w:rsidRPr="00B92E56">
        <w:rPr>
          <w:bCs/>
          <w:color w:val="000000"/>
          <w:sz w:val="24"/>
          <w:szCs w:val="24"/>
          <w:shd w:val="clear" w:color="auto" w:fill="FFFFFF"/>
        </w:rPr>
        <w:t>and a co</w:t>
      </w:r>
      <w:r w:rsidR="00E46451" w:rsidRPr="00B92E56">
        <w:rPr>
          <w:bCs/>
          <w:iCs/>
          <w:color w:val="000000"/>
          <w:sz w:val="24"/>
          <w:szCs w:val="24"/>
          <w:shd w:val="clear" w:color="auto" w:fill="FFFFFF"/>
        </w:rPr>
        <w:t xml:space="preserve">nference </w:t>
      </w:r>
      <w:r w:rsidR="004A469C" w:rsidRPr="00B92E56">
        <w:rPr>
          <w:bCs/>
          <w:iCs/>
          <w:color w:val="000000"/>
          <w:sz w:val="24"/>
          <w:szCs w:val="24"/>
          <w:shd w:val="clear" w:color="auto" w:fill="FFFFFF"/>
        </w:rPr>
        <w:t xml:space="preserve">at the </w:t>
      </w:r>
      <w:r w:rsidR="00E46451" w:rsidRPr="00B92E56">
        <w:rPr>
          <w:bCs/>
          <w:color w:val="000000"/>
          <w:sz w:val="24"/>
          <w:szCs w:val="24"/>
          <w:shd w:val="clear" w:color="auto" w:fill="FFFFFF"/>
        </w:rPr>
        <w:t>Inter-American Development Bank</w:t>
      </w:r>
      <w:r w:rsidR="004A469C" w:rsidRPr="00B92E56">
        <w:rPr>
          <w:bCs/>
          <w:color w:val="000000"/>
          <w:sz w:val="24"/>
          <w:szCs w:val="24"/>
          <w:shd w:val="clear" w:color="auto" w:fill="FFFFFF"/>
        </w:rPr>
        <w:t xml:space="preserve">, </w:t>
      </w:r>
      <w:r w:rsidR="00E46451" w:rsidRPr="00B92E56">
        <w:rPr>
          <w:bCs/>
          <w:color w:val="000000"/>
          <w:sz w:val="24"/>
          <w:szCs w:val="24"/>
          <w:shd w:val="clear" w:color="auto" w:fill="FFFFFF"/>
        </w:rPr>
        <w:t>April 18, 2017</w:t>
      </w:r>
      <w:r w:rsidR="004A469C" w:rsidRPr="00B92E56">
        <w:rPr>
          <w:bCs/>
          <w:color w:val="000000"/>
          <w:sz w:val="24"/>
          <w:szCs w:val="24"/>
          <w:shd w:val="clear" w:color="auto" w:fill="FFFFFF"/>
        </w:rPr>
        <w:t>.</w:t>
      </w:r>
    </w:p>
    <w:p w:rsidR="004E6837" w:rsidRPr="001B10F6" w:rsidRDefault="00EE4353" w:rsidP="00EE4353">
      <w:pPr>
        <w:rPr>
          <w:color w:val="000000"/>
          <w:sz w:val="20"/>
          <w:szCs w:val="20"/>
          <w:shd w:val="clear" w:color="auto" w:fill="FFFFFF"/>
        </w:rPr>
      </w:pPr>
      <w:r>
        <w:rPr>
          <w:bCs/>
          <w:color w:val="000000"/>
          <w:sz w:val="20"/>
          <w:szCs w:val="20"/>
          <w:shd w:val="clear" w:color="auto" w:fill="FFFFFF"/>
        </w:rPr>
        <w:br/>
      </w:r>
    </w:p>
    <w:tbl>
      <w:tblPr>
        <w:tblW w:w="0" w:type="dxa"/>
        <w:shd w:val="clear" w:color="auto" w:fill="FFFFFF"/>
        <w:tblCellMar>
          <w:left w:w="0" w:type="dxa"/>
          <w:right w:w="0" w:type="dxa"/>
        </w:tblCellMar>
        <w:tblLook w:val="04A0" w:firstRow="1" w:lastRow="0" w:firstColumn="1" w:lastColumn="0" w:noHBand="0" w:noVBand="1"/>
      </w:tblPr>
      <w:tblGrid>
        <w:gridCol w:w="8595"/>
      </w:tblGrid>
      <w:tr w:rsidR="004E6837" w:rsidRPr="004E6837" w:rsidTr="004E6837">
        <w:trPr>
          <w:trHeight w:val="240"/>
        </w:trPr>
        <w:tc>
          <w:tcPr>
            <w:tcW w:w="8475" w:type="dxa"/>
            <w:shd w:val="clear" w:color="auto" w:fill="FFFFFF"/>
            <w:noWrap/>
            <w:tcMar>
              <w:top w:w="0" w:type="dxa"/>
              <w:left w:w="0" w:type="dxa"/>
              <w:bottom w:w="0" w:type="dxa"/>
              <w:right w:w="120" w:type="dxa"/>
            </w:tcMar>
            <w:hideMark/>
          </w:tcPr>
          <w:tbl>
            <w:tblPr>
              <w:tblW w:w="8475" w:type="dxa"/>
              <w:tblCellMar>
                <w:left w:w="0" w:type="dxa"/>
                <w:right w:w="0" w:type="dxa"/>
              </w:tblCellMar>
              <w:tblLook w:val="04A0" w:firstRow="1" w:lastRow="0" w:firstColumn="1" w:lastColumn="0" w:noHBand="0" w:noVBand="1"/>
            </w:tblPr>
            <w:tblGrid>
              <w:gridCol w:w="8475"/>
            </w:tblGrid>
            <w:tr w:rsidR="004E6837" w:rsidRPr="004E6837">
              <w:tc>
                <w:tcPr>
                  <w:tcW w:w="0" w:type="auto"/>
                  <w:vAlign w:val="center"/>
                  <w:hideMark/>
                </w:tcPr>
                <w:p w:rsidR="004E6837" w:rsidRPr="004E6837" w:rsidRDefault="004E6837" w:rsidP="004E6837">
                  <w:pPr>
                    <w:spacing w:before="100" w:beforeAutospacing="1" w:after="100" w:afterAutospacing="1" w:line="240" w:lineRule="auto"/>
                    <w:outlineLvl w:val="2"/>
                    <w:rPr>
                      <w:rFonts w:ascii="Arial" w:eastAsia="Times New Roman" w:hAnsi="Arial" w:cs="Arial"/>
                      <w:b/>
                      <w:bCs/>
                      <w:sz w:val="27"/>
                      <w:szCs w:val="27"/>
                      <w:lang w:eastAsia="en-US"/>
                    </w:rPr>
                  </w:pPr>
                </w:p>
              </w:tc>
            </w:tr>
          </w:tbl>
          <w:p w:rsidR="004E6837" w:rsidRPr="004E6837" w:rsidRDefault="004E6837" w:rsidP="004E6837">
            <w:pPr>
              <w:spacing w:after="0" w:line="240" w:lineRule="auto"/>
              <w:rPr>
                <w:rFonts w:ascii="Arial" w:eastAsia="Times New Roman" w:hAnsi="Arial" w:cs="Arial"/>
                <w:color w:val="222222"/>
                <w:sz w:val="24"/>
                <w:szCs w:val="24"/>
                <w:lang w:eastAsia="en-US"/>
              </w:rPr>
            </w:pPr>
          </w:p>
        </w:tc>
      </w:tr>
    </w:tbl>
    <w:p w:rsidR="00BD77BA" w:rsidRPr="007E6799" w:rsidRDefault="007E6799" w:rsidP="0016354A">
      <w:pPr>
        <w:spacing w:after="120" w:line="240" w:lineRule="auto"/>
        <w:jc w:val="center"/>
        <w:rPr>
          <w:b/>
          <w:sz w:val="24"/>
          <w:szCs w:val="24"/>
        </w:rPr>
      </w:pPr>
      <w:r w:rsidRPr="007E6799">
        <w:rPr>
          <w:b/>
          <w:sz w:val="24"/>
          <w:szCs w:val="24"/>
        </w:rPr>
        <w:t>Abstract</w:t>
      </w:r>
    </w:p>
    <w:p w:rsidR="007E6799" w:rsidRDefault="007E6799" w:rsidP="0016354A">
      <w:pPr>
        <w:spacing w:after="120" w:line="240" w:lineRule="auto"/>
        <w:rPr>
          <w:sz w:val="24"/>
          <w:szCs w:val="24"/>
        </w:rPr>
      </w:pPr>
      <w:r>
        <w:rPr>
          <w:sz w:val="24"/>
          <w:szCs w:val="24"/>
        </w:rPr>
        <w:t>Countries that specialize in commodities have in recent years be</w:t>
      </w:r>
      <w:r w:rsidR="005A6A15">
        <w:rPr>
          <w:sz w:val="24"/>
          <w:szCs w:val="24"/>
        </w:rPr>
        <w:t>en hit by high volatility in</w:t>
      </w:r>
      <w:r>
        <w:rPr>
          <w:sz w:val="24"/>
          <w:szCs w:val="24"/>
        </w:rPr>
        <w:t xml:space="preserve"> world prices for their exports.</w:t>
      </w:r>
      <w:r w:rsidR="0023645D">
        <w:rPr>
          <w:sz w:val="24"/>
          <w:szCs w:val="24"/>
        </w:rPr>
        <w:t xml:space="preserve"> </w:t>
      </w:r>
      <w:r>
        <w:rPr>
          <w:sz w:val="24"/>
          <w:szCs w:val="24"/>
        </w:rPr>
        <w:t>This paper suggests four ways that commodity-exporters ca</w:t>
      </w:r>
      <w:r w:rsidR="005A6A15">
        <w:rPr>
          <w:sz w:val="24"/>
          <w:szCs w:val="24"/>
        </w:rPr>
        <w:t xml:space="preserve">n </w:t>
      </w:r>
      <w:r>
        <w:rPr>
          <w:sz w:val="24"/>
          <w:szCs w:val="24"/>
        </w:rPr>
        <w:t>ma</w:t>
      </w:r>
      <w:r w:rsidR="0023645D">
        <w:rPr>
          <w:sz w:val="24"/>
          <w:szCs w:val="24"/>
        </w:rPr>
        <w:t xml:space="preserve">ke themselves less vulnerable. </w:t>
      </w:r>
      <w:r>
        <w:rPr>
          <w:sz w:val="24"/>
          <w:szCs w:val="24"/>
        </w:rPr>
        <w:t xml:space="preserve">(1) </w:t>
      </w:r>
      <w:r w:rsidR="0016354A">
        <w:rPr>
          <w:sz w:val="24"/>
          <w:szCs w:val="24"/>
        </w:rPr>
        <w:t>They can use o</w:t>
      </w:r>
      <w:r>
        <w:rPr>
          <w:sz w:val="24"/>
          <w:szCs w:val="24"/>
        </w:rPr>
        <w:t>ption</w:t>
      </w:r>
      <w:r w:rsidR="005A6A15">
        <w:rPr>
          <w:sz w:val="24"/>
          <w:szCs w:val="24"/>
        </w:rPr>
        <w:t xml:space="preserve"> contracts</w:t>
      </w:r>
      <w:r>
        <w:rPr>
          <w:sz w:val="24"/>
          <w:szCs w:val="24"/>
        </w:rPr>
        <w:t xml:space="preserve"> to hedge against short-term declines in the commodity price without giving up the upside, as Mexico has</w:t>
      </w:r>
      <w:r w:rsidR="0023645D">
        <w:rPr>
          <w:sz w:val="24"/>
          <w:szCs w:val="24"/>
        </w:rPr>
        <w:t xml:space="preserve"> shown.</w:t>
      </w:r>
      <w:r>
        <w:rPr>
          <w:sz w:val="24"/>
          <w:szCs w:val="24"/>
        </w:rPr>
        <w:t xml:space="preserve"> (2) Comm</w:t>
      </w:r>
      <w:r w:rsidR="005A6A15">
        <w:rPr>
          <w:sz w:val="24"/>
          <w:szCs w:val="24"/>
        </w:rPr>
        <w:t>odity-linked bonds can hedge</w:t>
      </w:r>
      <w:r>
        <w:rPr>
          <w:sz w:val="24"/>
          <w:szCs w:val="24"/>
        </w:rPr>
        <w:t xml:space="preserve"> longer-term risk, and often have a natural ultimate counter-party in multinational corporations</w:t>
      </w:r>
      <w:r w:rsidR="00B26440">
        <w:rPr>
          <w:sz w:val="24"/>
          <w:szCs w:val="24"/>
        </w:rPr>
        <w:t xml:space="preserve"> that depend on the commodity as an input</w:t>
      </w:r>
      <w:r>
        <w:rPr>
          <w:sz w:val="24"/>
          <w:szCs w:val="24"/>
        </w:rPr>
        <w:t>.</w:t>
      </w:r>
      <w:r w:rsidR="00B26440">
        <w:rPr>
          <w:sz w:val="24"/>
          <w:szCs w:val="24"/>
        </w:rPr>
        <w:t xml:space="preserve"> (3) The well-documented pro-cyclicality of fiscal policy among commodity exporters can be reduced by insulating official forecasters against optimism bias</w:t>
      </w:r>
      <w:r w:rsidR="0023645D">
        <w:rPr>
          <w:sz w:val="24"/>
          <w:szCs w:val="24"/>
        </w:rPr>
        <w:t>, as Chile has shown. (4)</w:t>
      </w:r>
      <w:r w:rsidR="00B26440">
        <w:rPr>
          <w:sz w:val="24"/>
          <w:szCs w:val="24"/>
        </w:rPr>
        <w:t xml:space="preserve"> Monetary policy can be made automatically more counter-cyclical, judged by the criterion of currency appreciation in reaction to positive terms-of-trad</w:t>
      </w:r>
      <w:r w:rsidR="0023645D">
        <w:rPr>
          <w:sz w:val="24"/>
          <w:szCs w:val="24"/>
        </w:rPr>
        <w:t>e</w:t>
      </w:r>
      <w:r w:rsidR="00B26440">
        <w:rPr>
          <w:sz w:val="24"/>
          <w:szCs w:val="24"/>
        </w:rPr>
        <w:t xml:space="preserve"> shocks, under either of two regimes:   </w:t>
      </w:r>
      <w:r w:rsidR="0016354A">
        <w:rPr>
          <w:sz w:val="24"/>
          <w:szCs w:val="24"/>
        </w:rPr>
        <w:t>P</w:t>
      </w:r>
      <w:r w:rsidR="00B26440">
        <w:rPr>
          <w:sz w:val="24"/>
          <w:szCs w:val="24"/>
        </w:rPr>
        <w:t xml:space="preserve">eggers can add the </w:t>
      </w:r>
      <w:r w:rsidR="0023645D">
        <w:rPr>
          <w:sz w:val="24"/>
          <w:szCs w:val="24"/>
        </w:rPr>
        <w:t xml:space="preserve">export </w:t>
      </w:r>
      <w:r w:rsidR="00B26440">
        <w:rPr>
          <w:sz w:val="24"/>
          <w:szCs w:val="24"/>
        </w:rPr>
        <w:t>commodity to a currency basket (CCB, for “Currency-plus-Commodity Basket”) and others can target</w:t>
      </w:r>
      <w:r w:rsidR="005A6A15">
        <w:rPr>
          <w:sz w:val="24"/>
          <w:szCs w:val="24"/>
        </w:rPr>
        <w:t xml:space="preserve"> Nominal Income instead of the CPI.</w:t>
      </w:r>
    </w:p>
    <w:p w:rsidR="00B26440" w:rsidRDefault="00B26440" w:rsidP="00B26440">
      <w:pPr>
        <w:spacing w:after="0" w:line="240" w:lineRule="auto"/>
        <w:rPr>
          <w:sz w:val="24"/>
          <w:szCs w:val="24"/>
        </w:rPr>
      </w:pPr>
    </w:p>
    <w:p w:rsidR="00F76B78" w:rsidRDefault="00F76B78">
      <w:pPr>
        <w:rPr>
          <w:sz w:val="24"/>
          <w:szCs w:val="24"/>
        </w:rPr>
      </w:pPr>
    </w:p>
    <w:p w:rsidR="00F76B78" w:rsidRDefault="00F76B78">
      <w:pPr>
        <w:rPr>
          <w:sz w:val="24"/>
          <w:szCs w:val="24"/>
        </w:rPr>
      </w:pPr>
    </w:p>
    <w:p w:rsidR="00F76B78" w:rsidRDefault="00F76B78">
      <w:pPr>
        <w:rPr>
          <w:sz w:val="24"/>
          <w:szCs w:val="24"/>
        </w:rPr>
      </w:pPr>
      <w:r>
        <w:rPr>
          <w:bCs/>
          <w:color w:val="000000"/>
          <w:sz w:val="20"/>
          <w:szCs w:val="20"/>
          <w:shd w:val="clear" w:color="auto" w:fill="FFFFFF"/>
        </w:rPr>
        <w:t>AEA subject codes:  E, F, G, O.</w:t>
      </w:r>
      <w:r>
        <w:rPr>
          <w:bCs/>
          <w:color w:val="000000"/>
          <w:sz w:val="20"/>
          <w:szCs w:val="20"/>
          <w:shd w:val="clear" w:color="auto" w:fill="FFFFFF"/>
        </w:rPr>
        <w:br/>
        <w:t>Keywords: agriculture, commodities, currency basket, fiscal, hedging, indexed bonds, minerals, monetary, oil.</w:t>
      </w:r>
      <w:r>
        <w:rPr>
          <w:sz w:val="24"/>
          <w:szCs w:val="24"/>
        </w:rPr>
        <w:br w:type="page"/>
      </w:r>
    </w:p>
    <w:p w:rsidR="00F76B78" w:rsidRDefault="00F76B78" w:rsidP="00F76B78">
      <w:pPr>
        <w:jc w:val="center"/>
        <w:rPr>
          <w:sz w:val="24"/>
          <w:szCs w:val="24"/>
        </w:rPr>
      </w:pPr>
      <w:r w:rsidRPr="00B96359">
        <w:rPr>
          <w:b/>
          <w:sz w:val="24"/>
          <w:szCs w:val="24"/>
        </w:rPr>
        <w:lastRenderedPageBreak/>
        <w:t>“How to Cope with Volatile Commodity Export Prices: Four Proposals”</w:t>
      </w:r>
      <w:r>
        <w:rPr>
          <w:b/>
          <w:sz w:val="24"/>
          <w:szCs w:val="24"/>
        </w:rPr>
        <w:br/>
      </w:r>
    </w:p>
    <w:p w:rsidR="00CE360D" w:rsidRPr="00B96359" w:rsidRDefault="003F4763" w:rsidP="00AB3D3C">
      <w:pPr>
        <w:pStyle w:val="ListParagraph"/>
        <w:ind w:left="1080"/>
        <w:rPr>
          <w:b/>
          <w:sz w:val="24"/>
          <w:szCs w:val="24"/>
        </w:rPr>
      </w:pPr>
      <w:r w:rsidRPr="00B96359">
        <w:rPr>
          <w:b/>
          <w:sz w:val="24"/>
          <w:szCs w:val="24"/>
        </w:rPr>
        <w:t>Introduction</w:t>
      </w:r>
    </w:p>
    <w:p w:rsidR="00BF11AD" w:rsidRPr="00B96359" w:rsidRDefault="0075348A" w:rsidP="00F76B78">
      <w:pPr>
        <w:ind w:firstLine="720"/>
        <w:rPr>
          <w:sz w:val="24"/>
          <w:szCs w:val="24"/>
        </w:rPr>
      </w:pPr>
      <w:r w:rsidRPr="00B96359">
        <w:rPr>
          <w:sz w:val="24"/>
          <w:szCs w:val="24"/>
        </w:rPr>
        <w:t xml:space="preserve">Countries </w:t>
      </w:r>
      <w:r w:rsidR="00271A81" w:rsidRPr="00B96359">
        <w:rPr>
          <w:sz w:val="24"/>
          <w:szCs w:val="24"/>
        </w:rPr>
        <w:t xml:space="preserve">where exports </w:t>
      </w:r>
      <w:r w:rsidR="00F578D4" w:rsidRPr="00B96359">
        <w:rPr>
          <w:sz w:val="24"/>
          <w:szCs w:val="24"/>
        </w:rPr>
        <w:t xml:space="preserve">are relatively concentrated in oil, gas, minerals and agricultural commodities experience </w:t>
      </w:r>
      <w:r w:rsidRPr="00B96359">
        <w:rPr>
          <w:sz w:val="24"/>
          <w:szCs w:val="24"/>
        </w:rPr>
        <w:t>terms of trade</w:t>
      </w:r>
      <w:r w:rsidR="003F798F">
        <w:rPr>
          <w:sz w:val="24"/>
          <w:szCs w:val="24"/>
        </w:rPr>
        <w:t xml:space="preserve"> that are highly volatile.  </w:t>
      </w:r>
      <w:r w:rsidR="00F578D4" w:rsidRPr="00B96359">
        <w:rPr>
          <w:sz w:val="24"/>
          <w:szCs w:val="24"/>
        </w:rPr>
        <w:t>This volatility is one of the possible explanations for the famous Natural Resource Curse.</w:t>
      </w:r>
      <w:r w:rsidR="00273A07" w:rsidRPr="00B96359">
        <w:rPr>
          <w:rStyle w:val="FootnoteReference"/>
        </w:rPr>
        <w:footnoteReference w:id="1"/>
      </w:r>
      <w:r w:rsidR="00273A07" w:rsidRPr="00B96359">
        <w:t xml:space="preserve">  </w:t>
      </w:r>
      <w:r w:rsidR="00F578D4" w:rsidRPr="00B96359">
        <w:rPr>
          <w:sz w:val="24"/>
          <w:szCs w:val="24"/>
        </w:rPr>
        <w:t xml:space="preserve">  </w:t>
      </w:r>
    </w:p>
    <w:p w:rsidR="004400D4" w:rsidRPr="00B96359" w:rsidRDefault="003F798F" w:rsidP="00F76B78">
      <w:pPr>
        <w:ind w:firstLine="720"/>
        <w:rPr>
          <w:sz w:val="24"/>
          <w:szCs w:val="24"/>
        </w:rPr>
      </w:pPr>
      <w:r>
        <w:rPr>
          <w:sz w:val="24"/>
          <w:szCs w:val="24"/>
        </w:rPr>
        <w:t>The</w:t>
      </w:r>
      <w:r w:rsidR="00E17A79">
        <w:rPr>
          <w:sz w:val="24"/>
          <w:szCs w:val="24"/>
        </w:rPr>
        <w:t xml:space="preserve"> aim in this short paper</w:t>
      </w:r>
      <w:r w:rsidR="00F578D4" w:rsidRPr="00B96359">
        <w:rPr>
          <w:sz w:val="24"/>
          <w:szCs w:val="24"/>
        </w:rPr>
        <w:t xml:space="preserve"> is to offer f</w:t>
      </w:r>
      <w:r w:rsidR="00CE360D" w:rsidRPr="00B96359">
        <w:rPr>
          <w:sz w:val="24"/>
          <w:szCs w:val="24"/>
        </w:rPr>
        <w:t xml:space="preserve">our </w:t>
      </w:r>
      <w:r w:rsidR="00271A81" w:rsidRPr="00B96359">
        <w:rPr>
          <w:sz w:val="24"/>
          <w:szCs w:val="24"/>
        </w:rPr>
        <w:t xml:space="preserve">policy </w:t>
      </w:r>
      <w:r w:rsidR="00F578D4" w:rsidRPr="00B96359">
        <w:rPr>
          <w:sz w:val="24"/>
          <w:szCs w:val="24"/>
        </w:rPr>
        <w:t xml:space="preserve">proposals </w:t>
      </w:r>
      <w:r>
        <w:rPr>
          <w:sz w:val="24"/>
          <w:szCs w:val="24"/>
        </w:rPr>
        <w:t xml:space="preserve">to </w:t>
      </w:r>
      <w:r w:rsidR="00F578D4" w:rsidRPr="00B96359">
        <w:rPr>
          <w:sz w:val="24"/>
          <w:szCs w:val="24"/>
        </w:rPr>
        <w:t>help</w:t>
      </w:r>
      <w:r>
        <w:rPr>
          <w:sz w:val="24"/>
          <w:szCs w:val="24"/>
        </w:rPr>
        <w:t xml:space="preserve"> countries</w:t>
      </w:r>
      <w:r w:rsidR="00B516BB" w:rsidRPr="00B96359">
        <w:rPr>
          <w:sz w:val="24"/>
          <w:szCs w:val="24"/>
        </w:rPr>
        <w:t xml:space="preserve"> </w:t>
      </w:r>
      <w:r w:rsidR="00F578D4" w:rsidRPr="00B96359">
        <w:rPr>
          <w:sz w:val="24"/>
          <w:szCs w:val="24"/>
        </w:rPr>
        <w:t>m</w:t>
      </w:r>
      <w:r w:rsidR="00A17395" w:rsidRPr="00B96359">
        <w:rPr>
          <w:sz w:val="24"/>
          <w:szCs w:val="24"/>
        </w:rPr>
        <w:t>anage commodity volatility</w:t>
      </w:r>
      <w:r w:rsidR="00F578D4" w:rsidRPr="00B96359">
        <w:rPr>
          <w:sz w:val="24"/>
          <w:szCs w:val="24"/>
        </w:rPr>
        <w:t xml:space="preserve"> and thereby help make sure that commodity wealth is a </w:t>
      </w:r>
      <w:r>
        <w:rPr>
          <w:sz w:val="24"/>
          <w:szCs w:val="24"/>
        </w:rPr>
        <w:t xml:space="preserve">blessing rather than a curse.  </w:t>
      </w:r>
      <w:r w:rsidR="00F578D4" w:rsidRPr="00B96359">
        <w:rPr>
          <w:sz w:val="24"/>
          <w:szCs w:val="24"/>
        </w:rPr>
        <w:t>Two of the ideas fall in the area of microeconomic policy</w:t>
      </w:r>
      <w:r w:rsidR="00BF11AD" w:rsidRPr="00B96359">
        <w:rPr>
          <w:sz w:val="24"/>
          <w:szCs w:val="24"/>
        </w:rPr>
        <w:t>:</w:t>
      </w:r>
      <w:r w:rsidR="00F578D4" w:rsidRPr="00B96359">
        <w:rPr>
          <w:sz w:val="24"/>
          <w:szCs w:val="24"/>
        </w:rPr>
        <w:t xml:space="preserve"> specific </w:t>
      </w:r>
      <w:r w:rsidR="00BF11AD" w:rsidRPr="00B96359">
        <w:rPr>
          <w:sz w:val="24"/>
          <w:szCs w:val="24"/>
        </w:rPr>
        <w:t xml:space="preserve">financial </w:t>
      </w:r>
      <w:r w:rsidR="00F578D4" w:rsidRPr="00B96359">
        <w:rPr>
          <w:sz w:val="24"/>
          <w:szCs w:val="24"/>
        </w:rPr>
        <w:t xml:space="preserve">contracts </w:t>
      </w:r>
      <w:r w:rsidR="00BF11AD" w:rsidRPr="00B96359">
        <w:rPr>
          <w:sz w:val="24"/>
          <w:szCs w:val="24"/>
        </w:rPr>
        <w:t xml:space="preserve">structured so </w:t>
      </w:r>
      <w:r>
        <w:rPr>
          <w:sz w:val="24"/>
          <w:szCs w:val="24"/>
        </w:rPr>
        <w:t xml:space="preserve">as to hedge risk.  </w:t>
      </w:r>
      <w:r w:rsidR="00F578D4" w:rsidRPr="00B96359">
        <w:rPr>
          <w:sz w:val="24"/>
          <w:szCs w:val="24"/>
        </w:rPr>
        <w:t>Two of the ideas fall in the area of ma</w:t>
      </w:r>
      <w:r w:rsidR="00BF11AD" w:rsidRPr="00B96359">
        <w:rPr>
          <w:sz w:val="24"/>
          <w:szCs w:val="24"/>
        </w:rPr>
        <w:t xml:space="preserve">croeconomic policy institutions:  ways </w:t>
      </w:r>
      <w:r w:rsidR="00F578D4" w:rsidRPr="00B96359">
        <w:rPr>
          <w:sz w:val="24"/>
          <w:szCs w:val="24"/>
        </w:rPr>
        <w:t xml:space="preserve">to make fiscal and monetary policy counter-cyclical rather than pro-cyclical.  </w:t>
      </w:r>
    </w:p>
    <w:p w:rsidR="001568E7" w:rsidRDefault="004400D4" w:rsidP="00F76B78">
      <w:pPr>
        <w:ind w:firstLine="720"/>
        <w:rPr>
          <w:sz w:val="24"/>
          <w:szCs w:val="24"/>
        </w:rPr>
      </w:pPr>
      <w:r w:rsidRPr="00B96359">
        <w:rPr>
          <w:sz w:val="24"/>
          <w:szCs w:val="24"/>
        </w:rPr>
        <w:t>It is always hard to make policy proposals that are convincing and at the same time are original.  I will</w:t>
      </w:r>
      <w:r w:rsidR="006C1C2A">
        <w:rPr>
          <w:sz w:val="24"/>
          <w:szCs w:val="24"/>
        </w:rPr>
        <w:t xml:space="preserve"> try to strike a balance</w:t>
      </w:r>
      <w:r w:rsidRPr="00B96359">
        <w:rPr>
          <w:sz w:val="24"/>
          <w:szCs w:val="24"/>
        </w:rPr>
        <w:t xml:space="preserve"> between </w:t>
      </w:r>
      <w:r w:rsidR="006C1C2A">
        <w:rPr>
          <w:sz w:val="24"/>
          <w:szCs w:val="24"/>
        </w:rPr>
        <w:t xml:space="preserve">being </w:t>
      </w:r>
      <w:r w:rsidRPr="00B96359">
        <w:rPr>
          <w:sz w:val="24"/>
          <w:szCs w:val="24"/>
        </w:rPr>
        <w:t xml:space="preserve">convincing and </w:t>
      </w:r>
      <w:r w:rsidR="006C1C2A">
        <w:rPr>
          <w:sz w:val="24"/>
          <w:szCs w:val="24"/>
        </w:rPr>
        <w:t xml:space="preserve">being </w:t>
      </w:r>
      <w:r w:rsidRPr="00B96359">
        <w:rPr>
          <w:sz w:val="24"/>
          <w:szCs w:val="24"/>
        </w:rPr>
        <w:t xml:space="preserve">original.  </w:t>
      </w:r>
      <w:r w:rsidR="00F578D4" w:rsidRPr="00B96359">
        <w:rPr>
          <w:sz w:val="24"/>
          <w:szCs w:val="24"/>
        </w:rPr>
        <w:t xml:space="preserve">Of the four </w:t>
      </w:r>
      <w:r w:rsidRPr="00B96359">
        <w:rPr>
          <w:sz w:val="24"/>
          <w:szCs w:val="24"/>
        </w:rPr>
        <w:t>idea</w:t>
      </w:r>
      <w:r w:rsidR="00F578D4" w:rsidRPr="00B96359">
        <w:rPr>
          <w:sz w:val="24"/>
          <w:szCs w:val="24"/>
        </w:rPr>
        <w:t>s, t</w:t>
      </w:r>
      <w:r w:rsidR="00CE360D" w:rsidRPr="00B96359">
        <w:rPr>
          <w:sz w:val="24"/>
          <w:szCs w:val="24"/>
        </w:rPr>
        <w:t xml:space="preserve">wo </w:t>
      </w:r>
      <w:r w:rsidRPr="00B96359">
        <w:rPr>
          <w:sz w:val="24"/>
          <w:szCs w:val="24"/>
        </w:rPr>
        <w:t xml:space="preserve">are tried and tested. </w:t>
      </w:r>
      <w:r w:rsidR="00F578D4" w:rsidRPr="00B96359">
        <w:rPr>
          <w:sz w:val="24"/>
          <w:szCs w:val="24"/>
        </w:rPr>
        <w:t xml:space="preserve"> T</w:t>
      </w:r>
      <w:r w:rsidR="00CE360D" w:rsidRPr="00B96359">
        <w:rPr>
          <w:sz w:val="24"/>
          <w:szCs w:val="24"/>
        </w:rPr>
        <w:t xml:space="preserve">wo </w:t>
      </w:r>
      <w:r w:rsidR="00F578D4" w:rsidRPr="00B96359">
        <w:rPr>
          <w:sz w:val="24"/>
          <w:szCs w:val="24"/>
        </w:rPr>
        <w:t>have not been tried</w:t>
      </w:r>
      <w:r w:rsidR="003F4763" w:rsidRPr="00B96359">
        <w:rPr>
          <w:sz w:val="24"/>
          <w:szCs w:val="24"/>
        </w:rPr>
        <w:t xml:space="preserve"> much</w:t>
      </w:r>
      <w:r w:rsidR="00BF11AD" w:rsidRPr="00B96359">
        <w:rPr>
          <w:sz w:val="24"/>
          <w:szCs w:val="24"/>
        </w:rPr>
        <w:t xml:space="preserve">.  </w:t>
      </w:r>
      <w:r w:rsidR="00B516BB" w:rsidRPr="00B96359">
        <w:rPr>
          <w:sz w:val="24"/>
          <w:szCs w:val="24"/>
        </w:rPr>
        <w:t xml:space="preserve">The </w:t>
      </w:r>
      <w:r w:rsidR="00F578D4" w:rsidRPr="00B96359">
        <w:rPr>
          <w:sz w:val="24"/>
          <w:szCs w:val="24"/>
        </w:rPr>
        <w:t xml:space="preserve">question </w:t>
      </w:r>
      <w:r w:rsidR="00BF11AD" w:rsidRPr="00B96359">
        <w:rPr>
          <w:sz w:val="24"/>
          <w:szCs w:val="24"/>
        </w:rPr>
        <w:t xml:space="preserve">then </w:t>
      </w:r>
      <w:r w:rsidR="00B516BB" w:rsidRPr="00B96359">
        <w:rPr>
          <w:sz w:val="24"/>
          <w:szCs w:val="24"/>
        </w:rPr>
        <w:t>become</w:t>
      </w:r>
      <w:r w:rsidR="00BF11AD" w:rsidRPr="00B96359">
        <w:rPr>
          <w:sz w:val="24"/>
          <w:szCs w:val="24"/>
        </w:rPr>
        <w:t>s: why not?</w:t>
      </w:r>
    </w:p>
    <w:p w:rsidR="00663BB5" w:rsidRPr="00B96359" w:rsidRDefault="00663BB5" w:rsidP="00F76B78">
      <w:pPr>
        <w:ind w:firstLine="720"/>
        <w:rPr>
          <w:sz w:val="24"/>
          <w:szCs w:val="24"/>
        </w:rPr>
      </w:pPr>
      <w:r>
        <w:rPr>
          <w:sz w:val="24"/>
          <w:szCs w:val="24"/>
        </w:rPr>
        <w:t xml:space="preserve">Let us first pause to ask: </w:t>
      </w:r>
      <w:r w:rsidR="00B6469C">
        <w:rPr>
          <w:sz w:val="24"/>
          <w:szCs w:val="24"/>
        </w:rPr>
        <w:t>Do</w:t>
      </w:r>
      <w:r w:rsidR="009E58FC" w:rsidRPr="00663BB5">
        <w:rPr>
          <w:sz w:val="24"/>
          <w:szCs w:val="24"/>
        </w:rPr>
        <w:t xml:space="preserve">n’t commodity-exporters </w:t>
      </w:r>
      <w:r w:rsidR="00B6469C">
        <w:rPr>
          <w:sz w:val="24"/>
          <w:szCs w:val="24"/>
        </w:rPr>
        <w:t xml:space="preserve">already </w:t>
      </w:r>
      <w:r w:rsidR="009E58FC" w:rsidRPr="00663BB5">
        <w:rPr>
          <w:sz w:val="24"/>
          <w:szCs w:val="24"/>
        </w:rPr>
        <w:t>use financial markets to smooth trade fluctuations?</w:t>
      </w:r>
      <w:r>
        <w:rPr>
          <w:sz w:val="24"/>
          <w:szCs w:val="24"/>
        </w:rPr>
        <w:t xml:space="preserve">  </w:t>
      </w:r>
      <w:r w:rsidR="009E58FC" w:rsidRPr="00663BB5">
        <w:rPr>
          <w:sz w:val="24"/>
          <w:szCs w:val="24"/>
        </w:rPr>
        <w:t>I</w:t>
      </w:r>
      <w:r w:rsidR="00E17A79">
        <w:rPr>
          <w:sz w:val="24"/>
          <w:szCs w:val="24"/>
        </w:rPr>
        <w:t>t is true that i</w:t>
      </w:r>
      <w:r w:rsidR="009E58FC" w:rsidRPr="00663BB5">
        <w:rPr>
          <w:sz w:val="24"/>
          <w:szCs w:val="24"/>
        </w:rPr>
        <w:t>f international financial markets worked well, countries facing temporary adverse trade shocks could borrow to finance current account deficits, and vice versa.</w:t>
      </w:r>
      <w:r w:rsidRPr="00663BB5">
        <w:rPr>
          <w:sz w:val="24"/>
          <w:szCs w:val="24"/>
        </w:rPr>
        <w:t xml:space="preserve">  </w:t>
      </w:r>
      <w:r w:rsidR="009E58FC" w:rsidRPr="00663BB5">
        <w:rPr>
          <w:sz w:val="24"/>
          <w:szCs w:val="24"/>
        </w:rPr>
        <w:t>But they don’t work that well.  Capital flows to developing countries tend</w:t>
      </w:r>
      <w:r w:rsidR="00E17A79">
        <w:rPr>
          <w:sz w:val="24"/>
          <w:szCs w:val="24"/>
        </w:rPr>
        <w:t xml:space="preserve"> not to be counter-cyclical, as in intertemporal optimization theory</w:t>
      </w:r>
      <w:r w:rsidR="009E58FC" w:rsidRPr="00663BB5">
        <w:rPr>
          <w:sz w:val="24"/>
          <w:szCs w:val="24"/>
        </w:rPr>
        <w:t xml:space="preserve">, </w:t>
      </w:r>
      <w:r w:rsidR="00E17A79">
        <w:rPr>
          <w:sz w:val="24"/>
          <w:szCs w:val="24"/>
        </w:rPr>
        <w:t xml:space="preserve">but rather to </w:t>
      </w:r>
      <w:r w:rsidR="009E58FC" w:rsidRPr="00663BB5">
        <w:rPr>
          <w:sz w:val="24"/>
          <w:szCs w:val="24"/>
        </w:rPr>
        <w:t>be pro-cyclical.</w:t>
      </w:r>
      <w:r>
        <w:rPr>
          <w:rStyle w:val="FootnoteReference"/>
          <w:sz w:val="24"/>
          <w:szCs w:val="24"/>
        </w:rPr>
        <w:footnoteReference w:id="2"/>
      </w:r>
      <w:r w:rsidR="00B6469C">
        <w:rPr>
          <w:sz w:val="24"/>
          <w:szCs w:val="24"/>
        </w:rPr>
        <w:t xml:space="preserve">  </w:t>
      </w:r>
      <w:r w:rsidR="009E58FC" w:rsidRPr="00663BB5">
        <w:rPr>
          <w:sz w:val="24"/>
          <w:szCs w:val="24"/>
        </w:rPr>
        <w:t xml:space="preserve">The </w:t>
      </w:r>
      <w:r w:rsidR="00E17A79">
        <w:rPr>
          <w:sz w:val="24"/>
          <w:szCs w:val="24"/>
        </w:rPr>
        <w:t xml:space="preserve">more realistic </w:t>
      </w:r>
      <w:r w:rsidR="009E58FC" w:rsidRPr="00663BB5">
        <w:rPr>
          <w:sz w:val="24"/>
          <w:szCs w:val="24"/>
        </w:rPr>
        <w:t>theory</w:t>
      </w:r>
      <w:r w:rsidRPr="00663BB5">
        <w:rPr>
          <w:sz w:val="24"/>
          <w:szCs w:val="24"/>
        </w:rPr>
        <w:t xml:space="preserve"> usually builds on the assumption that </w:t>
      </w:r>
      <w:r w:rsidR="00E17A79">
        <w:rPr>
          <w:sz w:val="24"/>
          <w:szCs w:val="24"/>
        </w:rPr>
        <w:t xml:space="preserve">creditworthiness is imperfect and therefore </w:t>
      </w:r>
      <w:r w:rsidRPr="00663BB5">
        <w:rPr>
          <w:sz w:val="24"/>
          <w:szCs w:val="24"/>
        </w:rPr>
        <w:t>b</w:t>
      </w:r>
      <w:r w:rsidR="009E58FC" w:rsidRPr="00663BB5">
        <w:rPr>
          <w:sz w:val="24"/>
          <w:szCs w:val="24"/>
        </w:rPr>
        <w:t>orrowing requires collateral, in the form of commodity export proceeds.</w:t>
      </w:r>
      <w:r w:rsidRPr="00663BB5">
        <w:rPr>
          <w:sz w:val="24"/>
          <w:szCs w:val="24"/>
        </w:rPr>
        <w:t xml:space="preserve">  The important po</w:t>
      </w:r>
      <w:r w:rsidR="00B6469C">
        <w:rPr>
          <w:sz w:val="24"/>
          <w:szCs w:val="24"/>
        </w:rPr>
        <w:t>i</w:t>
      </w:r>
      <w:r w:rsidRPr="00663BB5">
        <w:rPr>
          <w:sz w:val="24"/>
          <w:szCs w:val="24"/>
        </w:rPr>
        <w:t xml:space="preserve">nt for policy-makers is that </w:t>
      </w:r>
      <w:r w:rsidR="009E58FC" w:rsidRPr="00663BB5">
        <w:rPr>
          <w:sz w:val="24"/>
          <w:szCs w:val="24"/>
        </w:rPr>
        <w:t xml:space="preserve">some </w:t>
      </w:r>
      <w:r w:rsidRPr="00663BB5">
        <w:rPr>
          <w:sz w:val="24"/>
          <w:szCs w:val="24"/>
        </w:rPr>
        <w:t xml:space="preserve">careful </w:t>
      </w:r>
      <w:r w:rsidR="009E58FC" w:rsidRPr="00663BB5">
        <w:rPr>
          <w:sz w:val="24"/>
          <w:szCs w:val="24"/>
        </w:rPr>
        <w:t>thought is required</w:t>
      </w:r>
      <w:r>
        <w:rPr>
          <w:sz w:val="24"/>
          <w:szCs w:val="24"/>
        </w:rPr>
        <w:t xml:space="preserve"> </w:t>
      </w:r>
      <w:r w:rsidR="009E58FC" w:rsidRPr="00663BB5">
        <w:rPr>
          <w:sz w:val="24"/>
          <w:szCs w:val="24"/>
        </w:rPr>
        <w:t>to design institutions that can protect against the volatility.</w:t>
      </w:r>
    </w:p>
    <w:p w:rsidR="00CE360D" w:rsidRPr="00B96359" w:rsidRDefault="00E17A79" w:rsidP="00F76B78">
      <w:pPr>
        <w:ind w:firstLine="720"/>
        <w:rPr>
          <w:sz w:val="24"/>
          <w:szCs w:val="24"/>
        </w:rPr>
      </w:pPr>
      <w:r>
        <w:rPr>
          <w:sz w:val="24"/>
          <w:szCs w:val="24"/>
        </w:rPr>
        <w:t>A variety of</w:t>
      </w:r>
      <w:r w:rsidR="001568E7" w:rsidRPr="00B96359">
        <w:rPr>
          <w:sz w:val="24"/>
          <w:szCs w:val="24"/>
        </w:rPr>
        <w:t xml:space="preserve"> policies and institutions for dealing with commodity volatility have been proposed and tried</w:t>
      </w:r>
      <w:r w:rsidR="003F4763" w:rsidRPr="00B96359">
        <w:rPr>
          <w:sz w:val="24"/>
          <w:szCs w:val="24"/>
        </w:rPr>
        <w:t xml:space="preserve"> in various countries</w:t>
      </w:r>
      <w:r>
        <w:rPr>
          <w:sz w:val="24"/>
          <w:szCs w:val="24"/>
        </w:rPr>
        <w:t>.  S</w:t>
      </w:r>
      <w:r w:rsidR="001568E7" w:rsidRPr="00B96359">
        <w:rPr>
          <w:sz w:val="24"/>
          <w:szCs w:val="24"/>
        </w:rPr>
        <w:t xml:space="preserve">ome </w:t>
      </w:r>
      <w:r>
        <w:rPr>
          <w:sz w:val="24"/>
          <w:szCs w:val="24"/>
        </w:rPr>
        <w:t xml:space="preserve">have been </w:t>
      </w:r>
      <w:r w:rsidR="001568E7" w:rsidRPr="00B96359">
        <w:rPr>
          <w:sz w:val="24"/>
          <w:szCs w:val="24"/>
        </w:rPr>
        <w:t xml:space="preserve">successful, some much less so.  </w:t>
      </w:r>
      <w:r w:rsidR="001568E7" w:rsidRPr="006C1C2A">
        <w:rPr>
          <w:sz w:val="24"/>
          <w:szCs w:val="24"/>
        </w:rPr>
        <w:t xml:space="preserve">Many of the </w:t>
      </w:r>
      <w:r w:rsidR="003F4763" w:rsidRPr="006C1C2A">
        <w:rPr>
          <w:sz w:val="24"/>
          <w:szCs w:val="24"/>
        </w:rPr>
        <w:t>idea</w:t>
      </w:r>
      <w:r w:rsidR="001568E7" w:rsidRPr="006C1C2A">
        <w:rPr>
          <w:sz w:val="24"/>
          <w:szCs w:val="24"/>
        </w:rPr>
        <w:t xml:space="preserve">s that tend to work </w:t>
      </w:r>
      <w:r w:rsidR="006C1C2A" w:rsidRPr="006C1C2A">
        <w:rPr>
          <w:sz w:val="24"/>
          <w:szCs w:val="24"/>
        </w:rPr>
        <w:t>poorly</w:t>
      </w:r>
      <w:r w:rsidR="001568E7" w:rsidRPr="006C1C2A">
        <w:rPr>
          <w:sz w:val="24"/>
          <w:szCs w:val="24"/>
        </w:rPr>
        <w:t xml:space="preserve"> can be described as seeking to suppress price volatility rather than manage it.  I see them as akin to King Canute commanding the tide not to come in.  </w:t>
      </w:r>
      <w:r w:rsidR="001568E7" w:rsidRPr="006C1C2A">
        <w:rPr>
          <w:sz w:val="24"/>
          <w:szCs w:val="24"/>
        </w:rPr>
        <w:lastRenderedPageBreak/>
        <w:t xml:space="preserve">I am thinking, for example, of price controls, </w:t>
      </w:r>
      <w:r w:rsidR="006C1C2A" w:rsidRPr="006C1C2A">
        <w:rPr>
          <w:sz w:val="24"/>
          <w:szCs w:val="24"/>
        </w:rPr>
        <w:t xml:space="preserve">commodity marketing </w:t>
      </w:r>
      <w:r w:rsidR="001568E7" w:rsidRPr="006C1C2A">
        <w:rPr>
          <w:sz w:val="24"/>
          <w:szCs w:val="24"/>
        </w:rPr>
        <w:t xml:space="preserve">boards, </w:t>
      </w:r>
      <w:r w:rsidR="003F4763" w:rsidRPr="006C1C2A">
        <w:rPr>
          <w:sz w:val="24"/>
          <w:szCs w:val="24"/>
        </w:rPr>
        <w:t xml:space="preserve">and </w:t>
      </w:r>
      <w:r w:rsidR="001568E7" w:rsidRPr="006C1C2A">
        <w:rPr>
          <w:sz w:val="24"/>
          <w:szCs w:val="24"/>
        </w:rPr>
        <w:t>c</w:t>
      </w:r>
      <w:r w:rsidR="003F4763" w:rsidRPr="006C1C2A">
        <w:rPr>
          <w:sz w:val="24"/>
          <w:szCs w:val="24"/>
        </w:rPr>
        <w:t>ontrols on exports</w:t>
      </w:r>
      <w:r w:rsidR="001568E7" w:rsidRPr="006C1C2A">
        <w:rPr>
          <w:sz w:val="24"/>
          <w:szCs w:val="24"/>
        </w:rPr>
        <w:t xml:space="preserve">.    </w:t>
      </w:r>
      <w:r w:rsidR="001568E7" w:rsidRPr="00B96359">
        <w:rPr>
          <w:sz w:val="24"/>
          <w:szCs w:val="24"/>
        </w:rPr>
        <w:t>Better to accept fluctuations in demand and supply as a fact of life, and to devise</w:t>
      </w:r>
      <w:r w:rsidR="003F4763" w:rsidRPr="00B96359">
        <w:rPr>
          <w:sz w:val="24"/>
          <w:szCs w:val="24"/>
        </w:rPr>
        <w:t xml:space="preserve"> policies and institutions to</w:t>
      </w:r>
      <w:r w:rsidR="001568E7" w:rsidRPr="00B96359">
        <w:rPr>
          <w:sz w:val="24"/>
          <w:szCs w:val="24"/>
        </w:rPr>
        <w:t xml:space="preserve"> equip the economy to cope with them.</w:t>
      </w:r>
      <w:r w:rsidR="00AF1465">
        <w:rPr>
          <w:sz w:val="24"/>
          <w:szCs w:val="24"/>
        </w:rPr>
        <w:br/>
      </w:r>
    </w:p>
    <w:p w:rsidR="001568E7" w:rsidRPr="00B96359" w:rsidRDefault="00B038B1" w:rsidP="00CE360D">
      <w:pPr>
        <w:pStyle w:val="ListParagraph"/>
        <w:numPr>
          <w:ilvl w:val="0"/>
          <w:numId w:val="1"/>
        </w:numPr>
        <w:rPr>
          <w:b/>
          <w:sz w:val="24"/>
          <w:szCs w:val="24"/>
        </w:rPr>
      </w:pPr>
      <w:r>
        <w:rPr>
          <w:b/>
          <w:sz w:val="24"/>
          <w:szCs w:val="24"/>
        </w:rPr>
        <w:t>I</w:t>
      </w:r>
      <w:r w:rsidR="00CE360D" w:rsidRPr="00B96359">
        <w:rPr>
          <w:b/>
          <w:sz w:val="24"/>
          <w:szCs w:val="24"/>
        </w:rPr>
        <w:t>dea for financial hedging</w:t>
      </w:r>
      <w:r>
        <w:rPr>
          <w:b/>
          <w:sz w:val="24"/>
          <w:szCs w:val="24"/>
        </w:rPr>
        <w:t xml:space="preserve"> of short-term risk</w:t>
      </w:r>
      <w:r w:rsidR="00E400E5" w:rsidRPr="00B96359">
        <w:rPr>
          <w:b/>
          <w:sz w:val="24"/>
          <w:szCs w:val="24"/>
        </w:rPr>
        <w:t>: Options</w:t>
      </w:r>
      <w:r w:rsidR="00CE360D" w:rsidRPr="00B96359">
        <w:rPr>
          <w:b/>
          <w:sz w:val="24"/>
          <w:szCs w:val="24"/>
        </w:rPr>
        <w:t xml:space="preserve"> </w:t>
      </w:r>
    </w:p>
    <w:p w:rsidR="00B6469C" w:rsidRDefault="009E58FC" w:rsidP="00F76B78">
      <w:pPr>
        <w:ind w:firstLine="720"/>
      </w:pPr>
      <w:r w:rsidRPr="00B6469C">
        <w:rPr>
          <w:sz w:val="24"/>
          <w:szCs w:val="24"/>
        </w:rPr>
        <w:t>The general theoretical case for hedging is clear.</w:t>
      </w:r>
      <w:r w:rsidR="00B6469C">
        <w:rPr>
          <w:sz w:val="24"/>
          <w:szCs w:val="24"/>
        </w:rPr>
        <w:t xml:space="preserve">   </w:t>
      </w:r>
      <w:r w:rsidR="005B3F30" w:rsidRPr="00B96359">
        <w:rPr>
          <w:sz w:val="24"/>
          <w:szCs w:val="24"/>
        </w:rPr>
        <w:t>Hedging allows for efficient sharing of risk.</w:t>
      </w:r>
      <w:r w:rsidR="00B6469C">
        <w:rPr>
          <w:rStyle w:val="FootnoteReference"/>
          <w:sz w:val="24"/>
          <w:szCs w:val="24"/>
        </w:rPr>
        <w:footnoteReference w:id="3"/>
      </w:r>
      <w:r w:rsidR="005B3F30" w:rsidRPr="00B96359">
        <w:t xml:space="preserve">  </w:t>
      </w:r>
    </w:p>
    <w:p w:rsidR="004A37C3" w:rsidRPr="00B96359" w:rsidRDefault="001568E7" w:rsidP="00F76B78">
      <w:pPr>
        <w:ind w:firstLine="720"/>
        <w:rPr>
          <w:sz w:val="24"/>
          <w:szCs w:val="24"/>
        </w:rPr>
      </w:pPr>
      <w:r w:rsidRPr="00B96359">
        <w:rPr>
          <w:sz w:val="24"/>
          <w:szCs w:val="24"/>
        </w:rPr>
        <w:t>Of my two sugge</w:t>
      </w:r>
      <w:r w:rsidR="00AF1465">
        <w:rPr>
          <w:sz w:val="24"/>
          <w:szCs w:val="24"/>
        </w:rPr>
        <w:t>stions for ways to hedge risk</w:t>
      </w:r>
      <w:r w:rsidR="005B3F30" w:rsidRPr="00B96359">
        <w:rPr>
          <w:sz w:val="24"/>
          <w:szCs w:val="24"/>
        </w:rPr>
        <w:t>,</w:t>
      </w:r>
      <w:r w:rsidRPr="00B96359">
        <w:rPr>
          <w:sz w:val="24"/>
          <w:szCs w:val="24"/>
        </w:rPr>
        <w:t xml:space="preserve"> </w:t>
      </w:r>
      <w:r w:rsidR="00434F44" w:rsidRPr="00B96359">
        <w:rPr>
          <w:sz w:val="24"/>
          <w:szCs w:val="24"/>
        </w:rPr>
        <w:t>one</w:t>
      </w:r>
      <w:r w:rsidR="005B3F30" w:rsidRPr="00B96359">
        <w:rPr>
          <w:sz w:val="24"/>
          <w:szCs w:val="24"/>
        </w:rPr>
        <w:t xml:space="preserve"> having to do with derivatives</w:t>
      </w:r>
      <w:r w:rsidR="00434F44" w:rsidRPr="00B96359">
        <w:rPr>
          <w:sz w:val="24"/>
          <w:szCs w:val="24"/>
        </w:rPr>
        <w:t xml:space="preserve"> </w:t>
      </w:r>
      <w:r w:rsidR="00DA162F" w:rsidRPr="00B96359">
        <w:rPr>
          <w:sz w:val="24"/>
          <w:szCs w:val="24"/>
        </w:rPr>
        <w:t>has been</w:t>
      </w:r>
      <w:r w:rsidR="00434F44" w:rsidRPr="00B96359">
        <w:rPr>
          <w:sz w:val="24"/>
          <w:szCs w:val="24"/>
        </w:rPr>
        <w:t xml:space="preserve"> t</w:t>
      </w:r>
      <w:r w:rsidR="00CE360D" w:rsidRPr="00B96359">
        <w:rPr>
          <w:sz w:val="24"/>
          <w:szCs w:val="24"/>
        </w:rPr>
        <w:t>ried</w:t>
      </w:r>
      <w:r w:rsidR="00434F44" w:rsidRPr="00B96359">
        <w:rPr>
          <w:sz w:val="24"/>
          <w:szCs w:val="24"/>
        </w:rPr>
        <w:t xml:space="preserve"> and </w:t>
      </w:r>
      <w:r w:rsidR="00DA162F" w:rsidRPr="00B96359">
        <w:rPr>
          <w:sz w:val="24"/>
          <w:szCs w:val="24"/>
        </w:rPr>
        <w:t>proven successful</w:t>
      </w:r>
      <w:r w:rsidR="00AF1465">
        <w:rPr>
          <w:sz w:val="24"/>
          <w:szCs w:val="24"/>
        </w:rPr>
        <w:t xml:space="preserve"> in protecting against short-term declines </w:t>
      </w:r>
      <w:r w:rsidR="00AF1465" w:rsidRPr="00B96359">
        <w:rPr>
          <w:sz w:val="24"/>
          <w:szCs w:val="24"/>
        </w:rPr>
        <w:t>in the world price of the export commodity</w:t>
      </w:r>
      <w:r w:rsidR="00586F10" w:rsidRPr="00B96359">
        <w:rPr>
          <w:sz w:val="24"/>
          <w:szCs w:val="24"/>
        </w:rPr>
        <w:t xml:space="preserve">. </w:t>
      </w:r>
      <w:r w:rsidR="001F799A" w:rsidRPr="00B96359">
        <w:rPr>
          <w:sz w:val="24"/>
          <w:szCs w:val="24"/>
        </w:rPr>
        <w:t xml:space="preserve"> </w:t>
      </w:r>
      <w:r w:rsidR="005B3F30" w:rsidRPr="00B96359">
        <w:rPr>
          <w:sz w:val="24"/>
          <w:szCs w:val="24"/>
        </w:rPr>
        <w:t xml:space="preserve">I have in mind </w:t>
      </w:r>
      <w:r w:rsidR="00CE360D" w:rsidRPr="00B96359">
        <w:rPr>
          <w:sz w:val="24"/>
          <w:szCs w:val="24"/>
        </w:rPr>
        <w:t>the options market</w:t>
      </w:r>
      <w:r w:rsidR="005B3F30" w:rsidRPr="00B96359">
        <w:rPr>
          <w:sz w:val="24"/>
          <w:szCs w:val="24"/>
        </w:rPr>
        <w:t xml:space="preserve">. </w:t>
      </w:r>
      <w:r w:rsidR="00CE360D" w:rsidRPr="00B96359">
        <w:rPr>
          <w:sz w:val="24"/>
          <w:szCs w:val="24"/>
        </w:rPr>
        <w:t xml:space="preserve"> Mexico </w:t>
      </w:r>
      <w:r w:rsidR="003C7A12" w:rsidRPr="00B96359">
        <w:rPr>
          <w:sz w:val="24"/>
          <w:szCs w:val="24"/>
        </w:rPr>
        <w:t>annual</w:t>
      </w:r>
      <w:r w:rsidR="00371DFF" w:rsidRPr="00B96359">
        <w:rPr>
          <w:sz w:val="24"/>
          <w:szCs w:val="24"/>
        </w:rPr>
        <w:t>ly</w:t>
      </w:r>
      <w:r w:rsidR="005B3F30" w:rsidRPr="00B96359">
        <w:rPr>
          <w:sz w:val="24"/>
          <w:szCs w:val="24"/>
        </w:rPr>
        <w:t xml:space="preserve"> </w:t>
      </w:r>
      <w:r w:rsidR="00385FD2" w:rsidRPr="00B96359">
        <w:rPr>
          <w:sz w:val="24"/>
          <w:szCs w:val="24"/>
        </w:rPr>
        <w:t xml:space="preserve">buys </w:t>
      </w:r>
      <w:r w:rsidR="00B113BB">
        <w:rPr>
          <w:sz w:val="24"/>
          <w:szCs w:val="24"/>
        </w:rPr>
        <w:t xml:space="preserve">contracts for </w:t>
      </w:r>
      <w:r w:rsidR="00385FD2" w:rsidRPr="00B96359">
        <w:rPr>
          <w:sz w:val="24"/>
          <w:szCs w:val="24"/>
        </w:rPr>
        <w:t xml:space="preserve">put </w:t>
      </w:r>
      <w:r w:rsidR="00B113BB">
        <w:rPr>
          <w:sz w:val="24"/>
          <w:szCs w:val="24"/>
        </w:rPr>
        <w:t xml:space="preserve">options </w:t>
      </w:r>
      <w:r w:rsidR="003C7A12" w:rsidRPr="00B96359">
        <w:rPr>
          <w:sz w:val="24"/>
          <w:szCs w:val="24"/>
        </w:rPr>
        <w:t>on a large scale to protect</w:t>
      </w:r>
      <w:r w:rsidR="005B3F30" w:rsidRPr="00B96359">
        <w:rPr>
          <w:sz w:val="24"/>
          <w:szCs w:val="24"/>
        </w:rPr>
        <w:t xml:space="preserve"> itself against a decline in the dollar price of oil.</w:t>
      </w:r>
      <w:r w:rsidR="005B3F30" w:rsidRPr="00B96359">
        <w:rPr>
          <w:rStyle w:val="FootnoteReference"/>
          <w:sz w:val="24"/>
          <w:szCs w:val="24"/>
        </w:rPr>
        <w:footnoteReference w:id="4"/>
      </w:r>
      <w:r w:rsidR="003C7A12" w:rsidRPr="00B96359">
        <w:rPr>
          <w:sz w:val="24"/>
          <w:szCs w:val="24"/>
        </w:rPr>
        <w:t xml:space="preserve">  This </w:t>
      </w:r>
      <w:r w:rsidR="005B3F30" w:rsidRPr="00B96359">
        <w:rPr>
          <w:sz w:val="24"/>
          <w:szCs w:val="24"/>
        </w:rPr>
        <w:t xml:space="preserve">strategy proved especially useful </w:t>
      </w:r>
      <w:r w:rsidR="003C7A12" w:rsidRPr="00B96359">
        <w:rPr>
          <w:sz w:val="24"/>
          <w:szCs w:val="24"/>
        </w:rPr>
        <w:t xml:space="preserve">when global commodity prices fell abruptly </w:t>
      </w:r>
      <w:r w:rsidR="005B3F30" w:rsidRPr="00B96359">
        <w:rPr>
          <w:sz w:val="24"/>
          <w:szCs w:val="24"/>
        </w:rPr>
        <w:t>in 2009</w:t>
      </w:r>
      <w:r w:rsidR="00B113BB">
        <w:rPr>
          <w:sz w:val="24"/>
          <w:szCs w:val="24"/>
        </w:rPr>
        <w:t xml:space="preserve"> and 2014-15</w:t>
      </w:r>
      <w:r w:rsidR="00CE360D" w:rsidRPr="00B96359">
        <w:rPr>
          <w:sz w:val="24"/>
          <w:szCs w:val="24"/>
        </w:rPr>
        <w:t>.</w:t>
      </w:r>
      <w:r w:rsidR="00CD1908" w:rsidRPr="00B96359">
        <w:rPr>
          <w:sz w:val="24"/>
          <w:szCs w:val="24"/>
        </w:rPr>
        <w:t xml:space="preserve"> </w:t>
      </w:r>
    </w:p>
    <w:p w:rsidR="004A37C3" w:rsidRPr="00B96359" w:rsidRDefault="008517AB" w:rsidP="004A37C3">
      <w:pPr>
        <w:ind w:firstLine="720"/>
        <w:rPr>
          <w:sz w:val="24"/>
          <w:szCs w:val="24"/>
        </w:rPr>
      </w:pPr>
      <w:r w:rsidRPr="00B96359">
        <w:rPr>
          <w:sz w:val="24"/>
          <w:szCs w:val="24"/>
        </w:rPr>
        <w:t>Why not use the futures or forward market?</w:t>
      </w:r>
      <w:r w:rsidR="00622F27" w:rsidRPr="00B96359">
        <w:rPr>
          <w:sz w:val="24"/>
          <w:szCs w:val="24"/>
        </w:rPr>
        <w:t xml:space="preserve">  </w:t>
      </w:r>
      <w:r w:rsidRPr="00B96359">
        <w:rPr>
          <w:sz w:val="24"/>
          <w:szCs w:val="24"/>
        </w:rPr>
        <w:t xml:space="preserve">Ghana has </w:t>
      </w:r>
      <w:r w:rsidR="00622F27" w:rsidRPr="00B96359">
        <w:rPr>
          <w:sz w:val="24"/>
          <w:szCs w:val="24"/>
        </w:rPr>
        <w:t xml:space="preserve">apparently </w:t>
      </w:r>
      <w:r w:rsidR="00371DFF" w:rsidRPr="00B96359">
        <w:rPr>
          <w:sz w:val="24"/>
          <w:szCs w:val="24"/>
        </w:rPr>
        <w:t>tried</w:t>
      </w:r>
      <w:r w:rsidRPr="00B96359">
        <w:rPr>
          <w:sz w:val="24"/>
          <w:szCs w:val="24"/>
        </w:rPr>
        <w:t xml:space="preserve"> this </w:t>
      </w:r>
      <w:r w:rsidR="004701DC" w:rsidRPr="00B96359">
        <w:rPr>
          <w:sz w:val="24"/>
          <w:szCs w:val="24"/>
        </w:rPr>
        <w:t>for cocoa</w:t>
      </w:r>
      <w:r w:rsidR="00622F27" w:rsidRPr="00B96359">
        <w:rPr>
          <w:sz w:val="24"/>
          <w:szCs w:val="24"/>
        </w:rPr>
        <w:t>, with some success</w:t>
      </w:r>
      <w:r w:rsidR="00371DFF" w:rsidRPr="00B96359">
        <w:rPr>
          <w:sz w:val="24"/>
          <w:szCs w:val="24"/>
        </w:rPr>
        <w:t>.</w:t>
      </w:r>
      <w:r w:rsidR="00371DFF" w:rsidRPr="00B96359">
        <w:rPr>
          <w:rStyle w:val="FootnoteReference"/>
          <w:sz w:val="24"/>
          <w:szCs w:val="24"/>
        </w:rPr>
        <w:footnoteReference w:id="5"/>
      </w:r>
      <w:r w:rsidR="005B3F30" w:rsidRPr="00B96359">
        <w:rPr>
          <w:sz w:val="24"/>
          <w:szCs w:val="24"/>
        </w:rPr>
        <w:t xml:space="preserve">  </w:t>
      </w:r>
      <w:r w:rsidRPr="00B96359">
        <w:rPr>
          <w:sz w:val="24"/>
          <w:szCs w:val="24"/>
        </w:rPr>
        <w:t>But</w:t>
      </w:r>
      <w:r w:rsidR="005B3F30" w:rsidRPr="00B96359">
        <w:rPr>
          <w:sz w:val="24"/>
          <w:szCs w:val="24"/>
        </w:rPr>
        <w:t xml:space="preserve"> the futures strategy </w:t>
      </w:r>
      <w:r w:rsidR="00CD1908" w:rsidRPr="00B96359">
        <w:rPr>
          <w:sz w:val="24"/>
          <w:szCs w:val="24"/>
        </w:rPr>
        <w:t xml:space="preserve">has </w:t>
      </w:r>
      <w:r w:rsidR="005B3F30" w:rsidRPr="00B96359">
        <w:rPr>
          <w:sz w:val="24"/>
          <w:szCs w:val="24"/>
        </w:rPr>
        <w:t xml:space="preserve">a major </w:t>
      </w:r>
      <w:r w:rsidR="00CD1908" w:rsidRPr="00B96359">
        <w:rPr>
          <w:sz w:val="24"/>
          <w:szCs w:val="24"/>
        </w:rPr>
        <w:t xml:space="preserve">potential </w:t>
      </w:r>
      <w:r w:rsidR="005B3F30" w:rsidRPr="00B96359">
        <w:rPr>
          <w:sz w:val="24"/>
          <w:szCs w:val="24"/>
        </w:rPr>
        <w:t>drawback</w:t>
      </w:r>
      <w:r w:rsidR="007C531E" w:rsidRPr="00B96359">
        <w:rPr>
          <w:sz w:val="24"/>
          <w:szCs w:val="24"/>
        </w:rPr>
        <w:t>, which might be describ</w:t>
      </w:r>
      <w:r w:rsidR="00CD1908" w:rsidRPr="00B96359">
        <w:rPr>
          <w:sz w:val="24"/>
          <w:szCs w:val="24"/>
        </w:rPr>
        <w:t>ed as an incentive compatibility problem</w:t>
      </w:r>
      <w:r w:rsidR="005B3F30" w:rsidRPr="00B96359">
        <w:rPr>
          <w:sz w:val="24"/>
          <w:szCs w:val="24"/>
        </w:rPr>
        <w:t xml:space="preserve">. </w:t>
      </w:r>
      <w:r w:rsidRPr="00B96359">
        <w:rPr>
          <w:sz w:val="24"/>
          <w:szCs w:val="24"/>
        </w:rPr>
        <w:t xml:space="preserve"> The minister who sells </w:t>
      </w:r>
      <w:r w:rsidR="00371DFF" w:rsidRPr="00B96359">
        <w:rPr>
          <w:sz w:val="24"/>
          <w:szCs w:val="24"/>
        </w:rPr>
        <w:t>the commodity</w:t>
      </w:r>
      <w:r w:rsidRPr="00B96359">
        <w:rPr>
          <w:sz w:val="24"/>
          <w:szCs w:val="24"/>
        </w:rPr>
        <w:t xml:space="preserve"> forward </w:t>
      </w:r>
      <w:r w:rsidR="004701DC" w:rsidRPr="00B96359">
        <w:rPr>
          <w:sz w:val="24"/>
          <w:szCs w:val="24"/>
        </w:rPr>
        <w:t>is likely to</w:t>
      </w:r>
      <w:r w:rsidRPr="00B96359">
        <w:rPr>
          <w:sz w:val="24"/>
          <w:szCs w:val="24"/>
        </w:rPr>
        <w:t xml:space="preserve"> get </w:t>
      </w:r>
      <w:r w:rsidR="00AD796F" w:rsidRPr="00B96359">
        <w:rPr>
          <w:sz w:val="24"/>
          <w:szCs w:val="24"/>
        </w:rPr>
        <w:t>meager credit if the dollar</w:t>
      </w:r>
      <w:r w:rsidRPr="00B96359">
        <w:rPr>
          <w:sz w:val="24"/>
          <w:szCs w:val="24"/>
        </w:rPr>
        <w:t xml:space="preserve"> price of </w:t>
      </w:r>
      <w:r w:rsidR="00AD796F" w:rsidRPr="00B96359">
        <w:rPr>
          <w:sz w:val="24"/>
          <w:szCs w:val="24"/>
        </w:rPr>
        <w:t>the commodity</w:t>
      </w:r>
      <w:r w:rsidR="00B6469C">
        <w:rPr>
          <w:sz w:val="24"/>
          <w:szCs w:val="24"/>
        </w:rPr>
        <w:t xml:space="preserve"> subsequently</w:t>
      </w:r>
      <w:r w:rsidRPr="00B96359">
        <w:rPr>
          <w:sz w:val="24"/>
          <w:szCs w:val="24"/>
        </w:rPr>
        <w:t xml:space="preserve"> goes down, but lots of blame if the price goes up.</w:t>
      </w:r>
      <w:r w:rsidR="004701DC" w:rsidRPr="00B96359">
        <w:rPr>
          <w:sz w:val="24"/>
          <w:szCs w:val="24"/>
        </w:rPr>
        <w:t xml:space="preserve">  Better to use options</w:t>
      </w:r>
      <w:r w:rsidR="001F799A" w:rsidRPr="00B96359">
        <w:rPr>
          <w:sz w:val="24"/>
          <w:szCs w:val="24"/>
        </w:rPr>
        <w:t xml:space="preserve"> to eliminate the downside </w:t>
      </w:r>
      <w:r w:rsidR="004701DC" w:rsidRPr="00B96359">
        <w:rPr>
          <w:sz w:val="24"/>
          <w:szCs w:val="24"/>
        </w:rPr>
        <w:t>risk whil</w:t>
      </w:r>
      <w:r w:rsidR="00185F4C">
        <w:rPr>
          <w:sz w:val="24"/>
          <w:szCs w:val="24"/>
        </w:rPr>
        <w:t xml:space="preserve">e keeping the upside potential, </w:t>
      </w:r>
      <w:r w:rsidR="004701DC" w:rsidRPr="00B96359">
        <w:rPr>
          <w:sz w:val="24"/>
          <w:szCs w:val="24"/>
        </w:rPr>
        <w:t xml:space="preserve">although of course one must pay </w:t>
      </w:r>
      <w:r w:rsidR="0044094A">
        <w:rPr>
          <w:sz w:val="24"/>
          <w:szCs w:val="24"/>
        </w:rPr>
        <w:t xml:space="preserve">a price </w:t>
      </w:r>
      <w:r w:rsidR="00185F4C">
        <w:rPr>
          <w:sz w:val="24"/>
          <w:szCs w:val="24"/>
        </w:rPr>
        <w:t>for the latter</w:t>
      </w:r>
      <w:r w:rsidR="004701DC" w:rsidRPr="00B96359">
        <w:rPr>
          <w:sz w:val="24"/>
          <w:szCs w:val="24"/>
        </w:rPr>
        <w:t>.</w:t>
      </w:r>
    </w:p>
    <w:p w:rsidR="000136DA" w:rsidRPr="00B96359" w:rsidRDefault="008517AB" w:rsidP="004A37C3">
      <w:pPr>
        <w:ind w:firstLine="720"/>
        <w:rPr>
          <w:sz w:val="24"/>
          <w:szCs w:val="24"/>
        </w:rPr>
      </w:pPr>
      <w:r w:rsidRPr="00B96359">
        <w:rPr>
          <w:sz w:val="24"/>
          <w:szCs w:val="24"/>
        </w:rPr>
        <w:t>A</w:t>
      </w:r>
      <w:r w:rsidR="000136DA" w:rsidRPr="00B96359">
        <w:rPr>
          <w:sz w:val="24"/>
          <w:szCs w:val="24"/>
        </w:rPr>
        <w:t xml:space="preserve"> </w:t>
      </w:r>
      <w:r w:rsidR="005B3F30" w:rsidRPr="00B96359">
        <w:rPr>
          <w:sz w:val="24"/>
          <w:szCs w:val="24"/>
        </w:rPr>
        <w:t xml:space="preserve">possible </w:t>
      </w:r>
      <w:r w:rsidR="000136DA" w:rsidRPr="00B96359">
        <w:rPr>
          <w:sz w:val="24"/>
          <w:szCs w:val="24"/>
        </w:rPr>
        <w:t xml:space="preserve">limitation </w:t>
      </w:r>
      <w:r w:rsidRPr="00B96359">
        <w:rPr>
          <w:sz w:val="24"/>
          <w:szCs w:val="24"/>
        </w:rPr>
        <w:t xml:space="preserve">in practice </w:t>
      </w:r>
      <w:r w:rsidR="000136DA" w:rsidRPr="00B96359">
        <w:rPr>
          <w:sz w:val="24"/>
          <w:szCs w:val="24"/>
        </w:rPr>
        <w:t xml:space="preserve">for both futures and options contracts is that they </w:t>
      </w:r>
      <w:r w:rsidR="00FA13DD" w:rsidRPr="00B96359">
        <w:rPr>
          <w:sz w:val="24"/>
          <w:szCs w:val="24"/>
        </w:rPr>
        <w:t xml:space="preserve">are </w:t>
      </w:r>
      <w:r w:rsidR="000136DA" w:rsidRPr="00B96359">
        <w:rPr>
          <w:sz w:val="24"/>
          <w:szCs w:val="24"/>
        </w:rPr>
        <w:t xml:space="preserve">not </w:t>
      </w:r>
      <w:r w:rsidR="00FA13DD" w:rsidRPr="00B96359">
        <w:rPr>
          <w:sz w:val="24"/>
          <w:szCs w:val="24"/>
        </w:rPr>
        <w:t xml:space="preserve">always </w:t>
      </w:r>
      <w:r w:rsidR="000136DA" w:rsidRPr="00B96359">
        <w:rPr>
          <w:sz w:val="24"/>
          <w:szCs w:val="24"/>
        </w:rPr>
        <w:t>readily available for some commodities, particularly at the long-term horizons needed to hedge development of new oil or mineral resources</w:t>
      </w:r>
      <w:r w:rsidR="00434F44" w:rsidRPr="00B96359">
        <w:rPr>
          <w:sz w:val="24"/>
          <w:szCs w:val="24"/>
        </w:rPr>
        <w:t>.</w:t>
      </w:r>
      <w:r w:rsidR="00D8711C">
        <w:rPr>
          <w:sz w:val="24"/>
          <w:szCs w:val="24"/>
        </w:rPr>
        <w:t xml:space="preserve">  This observation leads to</w:t>
      </w:r>
      <w:r w:rsidR="00185F4C">
        <w:rPr>
          <w:sz w:val="24"/>
          <w:szCs w:val="24"/>
        </w:rPr>
        <w:t xml:space="preserve"> proposal number two</w:t>
      </w:r>
      <w:r w:rsidR="0044094A">
        <w:rPr>
          <w:sz w:val="24"/>
          <w:szCs w:val="24"/>
        </w:rPr>
        <w:t>.</w:t>
      </w:r>
      <w:r w:rsidR="00D8711C">
        <w:rPr>
          <w:sz w:val="24"/>
          <w:szCs w:val="24"/>
        </w:rPr>
        <w:t xml:space="preserve"> </w:t>
      </w:r>
    </w:p>
    <w:p w:rsidR="00371DFF" w:rsidRPr="00B96359" w:rsidRDefault="00371DFF" w:rsidP="00371DFF">
      <w:pPr>
        <w:pStyle w:val="ListParagraph"/>
        <w:ind w:left="2160"/>
        <w:rPr>
          <w:sz w:val="24"/>
          <w:szCs w:val="24"/>
        </w:rPr>
      </w:pPr>
    </w:p>
    <w:p w:rsidR="003B4809" w:rsidRPr="003B4809" w:rsidRDefault="00B038B1" w:rsidP="003B4809">
      <w:pPr>
        <w:pStyle w:val="ListParagraph"/>
        <w:numPr>
          <w:ilvl w:val="0"/>
          <w:numId w:val="1"/>
        </w:numPr>
        <w:rPr>
          <w:b/>
          <w:sz w:val="24"/>
          <w:szCs w:val="24"/>
        </w:rPr>
      </w:pPr>
      <w:r>
        <w:rPr>
          <w:b/>
          <w:sz w:val="24"/>
          <w:szCs w:val="24"/>
        </w:rPr>
        <w:t>I</w:t>
      </w:r>
      <w:r w:rsidR="00B93290" w:rsidRPr="00B96359">
        <w:rPr>
          <w:b/>
          <w:sz w:val="24"/>
          <w:szCs w:val="24"/>
        </w:rPr>
        <w:t>dea for financial hedging</w:t>
      </w:r>
      <w:r>
        <w:rPr>
          <w:b/>
          <w:sz w:val="24"/>
          <w:szCs w:val="24"/>
        </w:rPr>
        <w:t xml:space="preserve"> of long-term risk</w:t>
      </w:r>
      <w:r w:rsidR="00E400E5" w:rsidRPr="00B96359">
        <w:rPr>
          <w:b/>
          <w:sz w:val="24"/>
          <w:szCs w:val="24"/>
        </w:rPr>
        <w:t xml:space="preserve">: </w:t>
      </w:r>
      <w:r w:rsidR="00CE3636">
        <w:rPr>
          <w:b/>
          <w:sz w:val="24"/>
          <w:szCs w:val="24"/>
        </w:rPr>
        <w:t>Index</w:t>
      </w:r>
      <w:r w:rsidR="00E400E5" w:rsidRPr="00B96359">
        <w:rPr>
          <w:b/>
          <w:sz w:val="24"/>
          <w:szCs w:val="24"/>
        </w:rPr>
        <w:t>ing debt to the commodity price</w:t>
      </w:r>
    </w:p>
    <w:p w:rsidR="003B4809" w:rsidRPr="003B4809" w:rsidRDefault="003B4809" w:rsidP="003B4809">
      <w:pPr>
        <w:ind w:firstLine="720"/>
        <w:rPr>
          <w:sz w:val="24"/>
          <w:szCs w:val="24"/>
        </w:rPr>
      </w:pPr>
      <w:r>
        <w:rPr>
          <w:sz w:val="24"/>
          <w:szCs w:val="24"/>
        </w:rPr>
        <w:t xml:space="preserve">  </w:t>
      </w:r>
      <w:r w:rsidRPr="003B4809">
        <w:rPr>
          <w:sz w:val="24"/>
          <w:szCs w:val="24"/>
        </w:rPr>
        <w:t xml:space="preserve">For those countries that borrow, e.g., a West African country that is developing new deposits of iron ore or offshore oil, I propose </w:t>
      </w:r>
      <w:r w:rsidR="00CE3636">
        <w:rPr>
          <w:sz w:val="24"/>
          <w:szCs w:val="24"/>
        </w:rPr>
        <w:t>indexi</w:t>
      </w:r>
      <w:r w:rsidRPr="003B4809">
        <w:rPr>
          <w:sz w:val="24"/>
          <w:szCs w:val="24"/>
        </w:rPr>
        <w:t xml:space="preserve">ng the terms of the loan, not to dollars nor </w:t>
      </w:r>
      <w:r w:rsidRPr="003B4809">
        <w:rPr>
          <w:sz w:val="24"/>
          <w:szCs w:val="24"/>
        </w:rPr>
        <w:lastRenderedPageBreak/>
        <w:t>to the local currency, but to the price of the commodity itself.</w:t>
      </w:r>
      <w:r w:rsidRPr="00B96359">
        <w:rPr>
          <w:rStyle w:val="FootnoteReference"/>
          <w:sz w:val="24"/>
          <w:szCs w:val="24"/>
        </w:rPr>
        <w:footnoteReference w:id="6"/>
      </w:r>
      <w:r w:rsidRPr="003B4809">
        <w:rPr>
          <w:sz w:val="24"/>
          <w:szCs w:val="24"/>
        </w:rPr>
        <w:t xml:space="preserve">  Then debt service obligations are matched to revenues: they automatically rise and fall with the value of the exports.   When debt crises hit Indonesia, Russia and Ecuador in 1998, or Ghana, Ecuador, Nigeria and Venezuela in 2015,</w:t>
      </w:r>
      <w:r>
        <w:rPr>
          <w:sz w:val="24"/>
          <w:szCs w:val="24"/>
        </w:rPr>
        <w:t xml:space="preserve"> </w:t>
      </w:r>
      <w:r w:rsidRPr="00B96359">
        <w:rPr>
          <w:sz w:val="24"/>
          <w:szCs w:val="24"/>
        </w:rPr>
        <w:t xml:space="preserve">one reason was that low dollar prices of their oil exports had driven up their debt service ratios. </w:t>
      </w:r>
      <w:r>
        <w:rPr>
          <w:sz w:val="24"/>
          <w:szCs w:val="24"/>
        </w:rPr>
        <w:t xml:space="preserve"> </w:t>
      </w:r>
      <w:r w:rsidRPr="00B96359">
        <w:rPr>
          <w:sz w:val="24"/>
          <w:szCs w:val="24"/>
        </w:rPr>
        <w:t xml:space="preserve">This would not have happened if their debts had been indexed to the oil price.  </w:t>
      </w:r>
    </w:p>
    <w:p w:rsidR="00D8711C" w:rsidRDefault="00FA13DD" w:rsidP="00F76B78">
      <w:pPr>
        <w:pStyle w:val="ListParagraph"/>
        <w:ind w:left="0" w:firstLine="720"/>
        <w:rPr>
          <w:sz w:val="24"/>
          <w:szCs w:val="24"/>
        </w:rPr>
      </w:pPr>
      <w:r w:rsidRPr="00B96359">
        <w:rPr>
          <w:sz w:val="24"/>
          <w:szCs w:val="24"/>
        </w:rPr>
        <w:t>Th</w:t>
      </w:r>
      <w:r w:rsidR="003B4809">
        <w:rPr>
          <w:sz w:val="24"/>
          <w:szCs w:val="24"/>
        </w:rPr>
        <w:t>e indexation</w:t>
      </w:r>
      <w:r w:rsidRPr="00B96359">
        <w:rPr>
          <w:sz w:val="24"/>
          <w:szCs w:val="24"/>
        </w:rPr>
        <w:t xml:space="preserve"> idea has been around for a long time</w:t>
      </w:r>
      <w:r w:rsidR="00CE3636">
        <w:rPr>
          <w:rStyle w:val="FootnoteReference"/>
          <w:sz w:val="24"/>
          <w:szCs w:val="24"/>
        </w:rPr>
        <w:footnoteReference w:id="7"/>
      </w:r>
      <w:r w:rsidRPr="00B96359">
        <w:rPr>
          <w:sz w:val="24"/>
          <w:szCs w:val="24"/>
        </w:rPr>
        <w:t>, but has very seldom been put into practice.   Why</w:t>
      </w:r>
      <w:r w:rsidR="00B93290" w:rsidRPr="00B96359">
        <w:rPr>
          <w:sz w:val="24"/>
          <w:szCs w:val="24"/>
        </w:rPr>
        <w:t xml:space="preserve"> not</w:t>
      </w:r>
      <w:r w:rsidRPr="00B96359">
        <w:rPr>
          <w:sz w:val="24"/>
          <w:szCs w:val="24"/>
        </w:rPr>
        <w:t>?</w:t>
      </w:r>
      <w:r w:rsidR="00B93290" w:rsidRPr="00B96359">
        <w:rPr>
          <w:sz w:val="24"/>
          <w:szCs w:val="24"/>
        </w:rPr>
        <w:t xml:space="preserve">  </w:t>
      </w:r>
      <w:r w:rsidRPr="00B96359">
        <w:rPr>
          <w:sz w:val="24"/>
          <w:szCs w:val="24"/>
        </w:rPr>
        <w:t xml:space="preserve">Potential issuers worry that there is not enough demand for such </w:t>
      </w:r>
      <w:r w:rsidR="001C500F" w:rsidRPr="00B96359">
        <w:rPr>
          <w:sz w:val="24"/>
          <w:szCs w:val="24"/>
        </w:rPr>
        <w:t xml:space="preserve">commodity </w:t>
      </w:r>
      <w:r w:rsidRPr="00B96359">
        <w:rPr>
          <w:sz w:val="24"/>
          <w:szCs w:val="24"/>
        </w:rPr>
        <w:t xml:space="preserve">bonds.   </w:t>
      </w:r>
      <w:r w:rsidR="00B93290" w:rsidRPr="00B96359">
        <w:rPr>
          <w:sz w:val="24"/>
          <w:szCs w:val="24"/>
        </w:rPr>
        <w:t>Who would want to take the other side of the trade</w:t>
      </w:r>
      <w:r w:rsidR="003B4809">
        <w:rPr>
          <w:sz w:val="24"/>
          <w:szCs w:val="24"/>
        </w:rPr>
        <w:t>, they ask</w:t>
      </w:r>
      <w:r w:rsidR="00B93290" w:rsidRPr="00B96359">
        <w:rPr>
          <w:sz w:val="24"/>
          <w:szCs w:val="24"/>
        </w:rPr>
        <w:t xml:space="preserve">?  </w:t>
      </w:r>
      <w:r w:rsidR="002B0741">
        <w:rPr>
          <w:sz w:val="24"/>
          <w:szCs w:val="24"/>
        </w:rPr>
        <w:t xml:space="preserve"> There is a good answer to the question </w:t>
      </w:r>
      <w:r w:rsidR="00B93290" w:rsidRPr="00B96359">
        <w:rPr>
          <w:sz w:val="24"/>
          <w:szCs w:val="24"/>
        </w:rPr>
        <w:t>who the ultimate potential customers are.   A</w:t>
      </w:r>
      <w:r w:rsidRPr="00B96359">
        <w:rPr>
          <w:sz w:val="24"/>
          <w:szCs w:val="24"/>
        </w:rPr>
        <w:t xml:space="preserve">irlines and </w:t>
      </w:r>
      <w:r w:rsidR="00D8711C">
        <w:rPr>
          <w:sz w:val="24"/>
          <w:szCs w:val="24"/>
        </w:rPr>
        <w:t xml:space="preserve">power </w:t>
      </w:r>
      <w:r w:rsidRPr="00B96359">
        <w:rPr>
          <w:sz w:val="24"/>
          <w:szCs w:val="24"/>
        </w:rPr>
        <w:t xml:space="preserve">utility companies </w:t>
      </w:r>
      <w:r w:rsidR="008517AB" w:rsidRPr="00B96359">
        <w:rPr>
          <w:sz w:val="24"/>
          <w:szCs w:val="24"/>
        </w:rPr>
        <w:t>have reason to go long in oil,</w:t>
      </w:r>
      <w:r w:rsidRPr="00B96359">
        <w:rPr>
          <w:sz w:val="24"/>
          <w:szCs w:val="24"/>
        </w:rPr>
        <w:t xml:space="preserve"> </w:t>
      </w:r>
      <w:r w:rsidR="008517AB" w:rsidRPr="00B96359">
        <w:rPr>
          <w:sz w:val="24"/>
          <w:szCs w:val="24"/>
        </w:rPr>
        <w:t xml:space="preserve">steelmakers have reason to go long in iron ore, </w:t>
      </w:r>
      <w:r w:rsidR="00D8711C">
        <w:rPr>
          <w:sz w:val="24"/>
          <w:szCs w:val="24"/>
        </w:rPr>
        <w:t>chocolate makers to go long in cocoa</w:t>
      </w:r>
      <w:r w:rsidR="008517AB" w:rsidRPr="00B96359">
        <w:rPr>
          <w:sz w:val="24"/>
          <w:szCs w:val="24"/>
        </w:rPr>
        <w:t>, etc</w:t>
      </w:r>
      <w:r w:rsidRPr="00B96359">
        <w:rPr>
          <w:sz w:val="24"/>
          <w:szCs w:val="24"/>
        </w:rPr>
        <w:t>.</w:t>
      </w:r>
      <w:r w:rsidR="002B0741">
        <w:rPr>
          <w:rStyle w:val="FootnoteReference"/>
          <w:sz w:val="24"/>
          <w:szCs w:val="24"/>
        </w:rPr>
        <w:footnoteReference w:id="8"/>
      </w:r>
      <w:r w:rsidRPr="00B96359">
        <w:rPr>
          <w:sz w:val="24"/>
          <w:szCs w:val="24"/>
        </w:rPr>
        <w:t xml:space="preserve">   </w:t>
      </w:r>
      <w:r w:rsidR="00B93290" w:rsidRPr="00B96359">
        <w:rPr>
          <w:sz w:val="24"/>
          <w:szCs w:val="24"/>
        </w:rPr>
        <w:t xml:space="preserve">  </w:t>
      </w:r>
    </w:p>
    <w:p w:rsidR="00CE360D" w:rsidRPr="00B96359" w:rsidRDefault="00FA13DD" w:rsidP="004A37C3">
      <w:pPr>
        <w:pStyle w:val="ListParagraph"/>
        <w:ind w:left="0" w:firstLine="720"/>
        <w:rPr>
          <w:sz w:val="24"/>
          <w:szCs w:val="24"/>
        </w:rPr>
      </w:pPr>
      <w:r w:rsidRPr="00B96359">
        <w:rPr>
          <w:sz w:val="24"/>
          <w:szCs w:val="24"/>
        </w:rPr>
        <w:t xml:space="preserve">It must be that bonds denominated in a particular kind of oil and carrying the credit risk of a particular country are too specialized a niche to generate the necessary liquidity to make a viable market. </w:t>
      </w:r>
      <w:r w:rsidR="009732F1">
        <w:rPr>
          <w:sz w:val="24"/>
          <w:szCs w:val="24"/>
        </w:rPr>
        <w:t xml:space="preserve">  A power company or airline wants to go long in oil, not long in exposure to Azerbaijan, Nigeria or Ecuador, whose credit risk it is not equipped to evaluate.  </w:t>
      </w:r>
      <w:r w:rsidRPr="00B96359">
        <w:rPr>
          <w:sz w:val="24"/>
          <w:szCs w:val="24"/>
        </w:rPr>
        <w:t xml:space="preserve"> But then the World Bank might be able to make the market:  It would lend to interested oil-producing countries </w:t>
      </w:r>
      <w:r w:rsidR="0061279D">
        <w:rPr>
          <w:sz w:val="24"/>
          <w:szCs w:val="24"/>
        </w:rPr>
        <w:t xml:space="preserve">– which is its job -- </w:t>
      </w:r>
      <w:r w:rsidRPr="00B96359">
        <w:rPr>
          <w:sz w:val="24"/>
          <w:szCs w:val="24"/>
        </w:rPr>
        <w:t>in terms of oil in place of lending to them in dollars</w:t>
      </w:r>
      <w:r w:rsidR="00D8711C">
        <w:rPr>
          <w:sz w:val="24"/>
          <w:szCs w:val="24"/>
        </w:rPr>
        <w:t xml:space="preserve">.  It would </w:t>
      </w:r>
      <w:r w:rsidRPr="00B96359">
        <w:rPr>
          <w:sz w:val="24"/>
          <w:szCs w:val="24"/>
        </w:rPr>
        <w:t>then offset its collective exposure to oil market conditions by selling to investors a World Bank bond denominated in a standard oil price index.</w:t>
      </w:r>
      <w:r w:rsidR="001C500F" w:rsidRPr="00B96359">
        <w:rPr>
          <w:sz w:val="24"/>
          <w:szCs w:val="24"/>
        </w:rPr>
        <w:t xml:space="preserve">  Similarly with iron ore, </w:t>
      </w:r>
      <w:r w:rsidR="00D8711C">
        <w:rPr>
          <w:sz w:val="24"/>
          <w:szCs w:val="24"/>
        </w:rPr>
        <w:t>cocoa</w:t>
      </w:r>
      <w:r w:rsidR="001C500F" w:rsidRPr="00B96359">
        <w:rPr>
          <w:sz w:val="24"/>
          <w:szCs w:val="24"/>
        </w:rPr>
        <w:t xml:space="preserve">, </w:t>
      </w:r>
      <w:r w:rsidR="00A14FD3" w:rsidRPr="00B96359">
        <w:rPr>
          <w:sz w:val="24"/>
          <w:szCs w:val="24"/>
        </w:rPr>
        <w:t xml:space="preserve">gold, </w:t>
      </w:r>
      <w:r w:rsidR="001C500F" w:rsidRPr="00B96359">
        <w:rPr>
          <w:sz w:val="24"/>
          <w:szCs w:val="24"/>
        </w:rPr>
        <w:t>coffee, and other commodities.</w:t>
      </w:r>
      <w:r w:rsidR="0061279D">
        <w:rPr>
          <w:sz w:val="24"/>
          <w:szCs w:val="24"/>
        </w:rPr>
        <w:t xml:space="preserve">  Ce</w:t>
      </w:r>
      <w:r w:rsidR="00CA2BCD">
        <w:rPr>
          <w:sz w:val="24"/>
          <w:szCs w:val="24"/>
        </w:rPr>
        <w:t>r</w:t>
      </w:r>
      <w:r w:rsidR="0061279D">
        <w:rPr>
          <w:sz w:val="24"/>
          <w:szCs w:val="24"/>
        </w:rPr>
        <w:t>tain major private banks might also be able to play this role.</w:t>
      </w:r>
      <w:r w:rsidR="00CE360D" w:rsidRPr="00B96359">
        <w:rPr>
          <w:sz w:val="24"/>
          <w:szCs w:val="24"/>
        </w:rPr>
        <w:br/>
      </w:r>
    </w:p>
    <w:p w:rsidR="00E400E5" w:rsidRPr="00B96359" w:rsidRDefault="00E400E5" w:rsidP="00E400E5">
      <w:pPr>
        <w:pStyle w:val="ListParagraph"/>
        <w:numPr>
          <w:ilvl w:val="0"/>
          <w:numId w:val="1"/>
        </w:numPr>
        <w:rPr>
          <w:b/>
          <w:sz w:val="24"/>
          <w:szCs w:val="24"/>
        </w:rPr>
      </w:pPr>
      <w:r w:rsidRPr="00B96359">
        <w:rPr>
          <w:b/>
          <w:sz w:val="24"/>
          <w:szCs w:val="24"/>
        </w:rPr>
        <w:t xml:space="preserve">Institutions to overcome pro-cyclical </w:t>
      </w:r>
      <w:r w:rsidR="00D8711C">
        <w:rPr>
          <w:b/>
          <w:sz w:val="24"/>
          <w:szCs w:val="24"/>
        </w:rPr>
        <w:t xml:space="preserve">fiscal </w:t>
      </w:r>
      <w:r w:rsidRPr="00B96359">
        <w:rPr>
          <w:b/>
          <w:sz w:val="24"/>
          <w:szCs w:val="24"/>
        </w:rPr>
        <w:t>policy in commodity-exporting countries.</w:t>
      </w:r>
      <w:r w:rsidRPr="00B96359">
        <w:rPr>
          <w:b/>
          <w:sz w:val="24"/>
          <w:szCs w:val="24"/>
        </w:rPr>
        <w:tab/>
      </w:r>
    </w:p>
    <w:p w:rsidR="00E400E5" w:rsidRPr="00B96359" w:rsidRDefault="00E400E5" w:rsidP="00E400E5">
      <w:pPr>
        <w:pStyle w:val="ListParagraph"/>
        <w:rPr>
          <w:sz w:val="24"/>
          <w:szCs w:val="24"/>
        </w:rPr>
      </w:pPr>
    </w:p>
    <w:p w:rsidR="009B7C82" w:rsidRPr="00B96359" w:rsidRDefault="00B93290" w:rsidP="00D8711C">
      <w:pPr>
        <w:pStyle w:val="ListParagraph"/>
        <w:ind w:left="0" w:firstLine="720"/>
        <w:rPr>
          <w:sz w:val="24"/>
          <w:szCs w:val="24"/>
        </w:rPr>
      </w:pPr>
      <w:r w:rsidRPr="00B96359">
        <w:rPr>
          <w:sz w:val="24"/>
          <w:szCs w:val="24"/>
        </w:rPr>
        <w:t xml:space="preserve">The third </w:t>
      </w:r>
      <w:r w:rsidR="00D8711C">
        <w:rPr>
          <w:sz w:val="24"/>
          <w:szCs w:val="24"/>
        </w:rPr>
        <w:t>area</w:t>
      </w:r>
      <w:r w:rsidR="00D64AAF" w:rsidRPr="00B96359">
        <w:rPr>
          <w:sz w:val="24"/>
          <w:szCs w:val="24"/>
        </w:rPr>
        <w:t xml:space="preserve"> </w:t>
      </w:r>
      <w:r w:rsidR="008440BC" w:rsidRPr="00B96359">
        <w:rPr>
          <w:sz w:val="24"/>
          <w:szCs w:val="24"/>
        </w:rPr>
        <w:t>i</w:t>
      </w:r>
      <w:r w:rsidRPr="00B96359">
        <w:rPr>
          <w:sz w:val="24"/>
          <w:szCs w:val="24"/>
        </w:rPr>
        <w:t>s fiscal policy</w:t>
      </w:r>
      <w:r w:rsidR="008440BC" w:rsidRPr="00B96359">
        <w:rPr>
          <w:sz w:val="24"/>
          <w:szCs w:val="24"/>
        </w:rPr>
        <w:t>.  Government spending</w:t>
      </w:r>
      <w:r w:rsidRPr="00B96359">
        <w:rPr>
          <w:sz w:val="24"/>
          <w:szCs w:val="24"/>
        </w:rPr>
        <w:t xml:space="preserve"> has historically been notoriously pro-cyclical in commodity-exporting countries</w:t>
      </w:r>
      <w:r w:rsidR="00D64AAF" w:rsidRPr="00B96359">
        <w:rPr>
          <w:sz w:val="24"/>
          <w:szCs w:val="24"/>
        </w:rPr>
        <w:t xml:space="preserve">.  Governments have tended to increase </w:t>
      </w:r>
      <w:r w:rsidRPr="00B96359">
        <w:rPr>
          <w:sz w:val="24"/>
          <w:szCs w:val="24"/>
        </w:rPr>
        <w:t xml:space="preserve">spending during the boom and </w:t>
      </w:r>
      <w:r w:rsidR="00D8711C">
        <w:rPr>
          <w:sz w:val="24"/>
          <w:szCs w:val="24"/>
        </w:rPr>
        <w:t xml:space="preserve">have </w:t>
      </w:r>
      <w:r w:rsidRPr="00B96359">
        <w:rPr>
          <w:sz w:val="24"/>
          <w:szCs w:val="24"/>
        </w:rPr>
        <w:t xml:space="preserve">then </w:t>
      </w:r>
      <w:r w:rsidR="00D64AAF" w:rsidRPr="00B96359">
        <w:rPr>
          <w:sz w:val="24"/>
          <w:szCs w:val="24"/>
        </w:rPr>
        <w:t xml:space="preserve">been </w:t>
      </w:r>
      <w:r w:rsidRPr="00B96359">
        <w:rPr>
          <w:sz w:val="24"/>
          <w:szCs w:val="24"/>
        </w:rPr>
        <w:t xml:space="preserve">forced to cut back when commodity prices go back down.  </w:t>
      </w:r>
      <w:r w:rsidR="009B7C82" w:rsidRPr="00B96359">
        <w:rPr>
          <w:sz w:val="24"/>
          <w:szCs w:val="24"/>
        </w:rPr>
        <w:t xml:space="preserve"> Many authors have documented this historical pro-cyclicality.</w:t>
      </w:r>
      <w:r w:rsidR="009B7C82" w:rsidRPr="00B96359">
        <w:rPr>
          <w:rStyle w:val="FootnoteReference"/>
          <w:sz w:val="24"/>
          <w:szCs w:val="24"/>
        </w:rPr>
        <w:footnoteReference w:id="9"/>
      </w:r>
      <w:r w:rsidR="009B7C82" w:rsidRPr="00B96359">
        <w:rPr>
          <w:sz w:val="24"/>
          <w:szCs w:val="24"/>
        </w:rPr>
        <w:t xml:space="preserve">    An important cause of </w:t>
      </w:r>
      <w:r w:rsidR="009B7C82" w:rsidRPr="00B96359">
        <w:rPr>
          <w:sz w:val="24"/>
          <w:szCs w:val="24"/>
        </w:rPr>
        <w:lastRenderedPageBreak/>
        <w:t>procyclical spending is that government receipts from taxes or royalties rise in booms, and the government cannot resist the temptation or political pressure to increase spending proportionately, or more than proportionately</w:t>
      </w:r>
      <w:r w:rsidR="00D8711C">
        <w:rPr>
          <w:sz w:val="24"/>
          <w:szCs w:val="24"/>
        </w:rPr>
        <w:t>, as if the boom will last forever</w:t>
      </w:r>
      <w:r w:rsidR="009B7C82" w:rsidRPr="00B96359">
        <w:rPr>
          <w:sz w:val="24"/>
          <w:szCs w:val="24"/>
        </w:rPr>
        <w:t>.    Two large budget items that account for much of the increased spendi</w:t>
      </w:r>
      <w:r w:rsidR="006527F0">
        <w:rPr>
          <w:sz w:val="24"/>
          <w:szCs w:val="24"/>
        </w:rPr>
        <w:t xml:space="preserve">ng from oil booms are </w:t>
      </w:r>
      <w:r w:rsidR="008F6312">
        <w:rPr>
          <w:sz w:val="24"/>
          <w:szCs w:val="24"/>
        </w:rPr>
        <w:t xml:space="preserve">big </w:t>
      </w:r>
      <w:r w:rsidR="006527F0">
        <w:rPr>
          <w:sz w:val="24"/>
          <w:szCs w:val="24"/>
        </w:rPr>
        <w:t>construction</w:t>
      </w:r>
      <w:r w:rsidR="009B7C82" w:rsidRPr="00B96359">
        <w:rPr>
          <w:sz w:val="24"/>
          <w:szCs w:val="24"/>
        </w:rPr>
        <w:t xml:space="preserve"> projects and the government wage bill.</w:t>
      </w:r>
      <w:r w:rsidR="009B7C82" w:rsidRPr="00B96359">
        <w:rPr>
          <w:rStyle w:val="FootnoteReference"/>
          <w:sz w:val="24"/>
          <w:szCs w:val="24"/>
        </w:rPr>
        <w:footnoteReference w:id="10"/>
      </w:r>
      <w:r w:rsidR="009B7C82" w:rsidRPr="00B96359">
        <w:t xml:space="preserve">    </w:t>
      </w:r>
    </w:p>
    <w:p w:rsidR="009B7C82" w:rsidRPr="00B96359" w:rsidRDefault="009B7C82" w:rsidP="00D8711C">
      <w:pPr>
        <w:pStyle w:val="ListParagraph"/>
        <w:ind w:left="0" w:firstLine="720"/>
        <w:rPr>
          <w:sz w:val="24"/>
          <w:szCs w:val="24"/>
        </w:rPr>
      </w:pPr>
    </w:p>
    <w:p w:rsidR="00C01833" w:rsidRPr="00B96359" w:rsidRDefault="00B93290" w:rsidP="00D8711C">
      <w:pPr>
        <w:pStyle w:val="ListParagraph"/>
        <w:ind w:left="0" w:firstLine="720"/>
        <w:rPr>
          <w:sz w:val="24"/>
          <w:szCs w:val="24"/>
        </w:rPr>
      </w:pPr>
      <w:r w:rsidRPr="00B96359">
        <w:rPr>
          <w:sz w:val="24"/>
          <w:szCs w:val="24"/>
        </w:rPr>
        <w:t>It is not enough to observe that policy-makers should follow wiser policies.  What i</w:t>
      </w:r>
      <w:r w:rsidR="00C8275E" w:rsidRPr="00B96359">
        <w:rPr>
          <w:sz w:val="24"/>
          <w:szCs w:val="24"/>
        </w:rPr>
        <w:t>s wanted are</w:t>
      </w:r>
      <w:r w:rsidRPr="00B96359">
        <w:rPr>
          <w:sz w:val="24"/>
          <w:szCs w:val="24"/>
        </w:rPr>
        <w:t xml:space="preserve"> institutions that make it more likely that </w:t>
      </w:r>
      <w:r w:rsidR="00C01833" w:rsidRPr="00B96359">
        <w:rPr>
          <w:sz w:val="24"/>
          <w:szCs w:val="24"/>
        </w:rPr>
        <w:t xml:space="preserve">fiscal policy will be counter-cyclical, or at least less pro-cyclical, </w:t>
      </w:r>
      <w:r w:rsidRPr="00B96359">
        <w:rPr>
          <w:sz w:val="24"/>
          <w:szCs w:val="24"/>
        </w:rPr>
        <w:t xml:space="preserve">even </w:t>
      </w:r>
      <w:r w:rsidR="00E400E5" w:rsidRPr="00B96359">
        <w:rPr>
          <w:sz w:val="24"/>
          <w:szCs w:val="24"/>
        </w:rPr>
        <w:t>when carried out</w:t>
      </w:r>
      <w:r w:rsidRPr="00B96359">
        <w:rPr>
          <w:sz w:val="24"/>
          <w:szCs w:val="24"/>
        </w:rPr>
        <w:t xml:space="preserve"> by officials who suffer from the </w:t>
      </w:r>
      <w:r w:rsidR="00C01833" w:rsidRPr="00B96359">
        <w:rPr>
          <w:sz w:val="24"/>
          <w:szCs w:val="24"/>
        </w:rPr>
        <w:t>common</w:t>
      </w:r>
      <w:r w:rsidRPr="00B96359">
        <w:rPr>
          <w:sz w:val="24"/>
          <w:szCs w:val="24"/>
        </w:rPr>
        <w:t xml:space="preserve"> political and human frailties</w:t>
      </w:r>
      <w:r w:rsidR="00C01833" w:rsidRPr="00B96359">
        <w:rPr>
          <w:sz w:val="24"/>
          <w:szCs w:val="24"/>
        </w:rPr>
        <w:t>.</w:t>
      </w:r>
    </w:p>
    <w:p w:rsidR="00486625" w:rsidRPr="00B96359" w:rsidRDefault="0075348A" w:rsidP="00D8711C">
      <w:pPr>
        <w:pStyle w:val="ListParagraph"/>
        <w:ind w:left="0" w:firstLine="720"/>
        <w:rPr>
          <w:sz w:val="24"/>
          <w:szCs w:val="24"/>
        </w:rPr>
      </w:pPr>
      <w:r w:rsidRPr="00B96359">
        <w:rPr>
          <w:sz w:val="24"/>
          <w:szCs w:val="24"/>
        </w:rPr>
        <w:t xml:space="preserve">Some </w:t>
      </w:r>
      <w:r w:rsidR="007154D7" w:rsidRPr="00B96359">
        <w:rPr>
          <w:sz w:val="24"/>
          <w:szCs w:val="24"/>
        </w:rPr>
        <w:t xml:space="preserve">commodity-exporting developing countries managed </w:t>
      </w:r>
      <w:r w:rsidRPr="00B96359">
        <w:rPr>
          <w:sz w:val="24"/>
          <w:szCs w:val="24"/>
        </w:rPr>
        <w:t>after 2000</w:t>
      </w:r>
      <w:r w:rsidR="00335C6F" w:rsidRPr="00B96359">
        <w:rPr>
          <w:sz w:val="24"/>
          <w:szCs w:val="24"/>
        </w:rPr>
        <w:t xml:space="preserve"> to overcome this historical pattern of pro-cyclicality.  They achieved fiscal counter-cyclicality: taking </w:t>
      </w:r>
      <w:r w:rsidR="0087067B" w:rsidRPr="00B96359">
        <w:rPr>
          <w:sz w:val="24"/>
          <w:szCs w:val="24"/>
        </w:rPr>
        <w:t>advantage of the 2002-08 expansion to strengthen their budget balances, which the</w:t>
      </w:r>
      <w:r w:rsidR="00335C6F" w:rsidRPr="00B96359">
        <w:rPr>
          <w:sz w:val="24"/>
          <w:szCs w:val="24"/>
        </w:rPr>
        <w:t>n</w:t>
      </w:r>
      <w:r w:rsidR="0087067B" w:rsidRPr="00B96359">
        <w:rPr>
          <w:sz w:val="24"/>
          <w:szCs w:val="24"/>
        </w:rPr>
        <w:t xml:space="preserve"> gave them the </w:t>
      </w:r>
      <w:r w:rsidR="00335C6F" w:rsidRPr="00B96359">
        <w:rPr>
          <w:sz w:val="24"/>
          <w:szCs w:val="24"/>
        </w:rPr>
        <w:t>“</w:t>
      </w:r>
      <w:r w:rsidR="0087067B" w:rsidRPr="00B96359">
        <w:rPr>
          <w:sz w:val="24"/>
          <w:szCs w:val="24"/>
        </w:rPr>
        <w:t>fiscal space” to ease up when the global recession hit in 2009.  Which countries managed this achievement</w:t>
      </w:r>
      <w:r w:rsidR="00335C6F" w:rsidRPr="00B96359">
        <w:rPr>
          <w:sz w:val="24"/>
          <w:szCs w:val="24"/>
        </w:rPr>
        <w:t>?</w:t>
      </w:r>
      <w:r w:rsidR="0087067B" w:rsidRPr="00B96359">
        <w:rPr>
          <w:sz w:val="24"/>
          <w:szCs w:val="24"/>
        </w:rPr>
        <w:t xml:space="preserve">  </w:t>
      </w:r>
      <w:r w:rsidR="00335C6F" w:rsidRPr="00B96359">
        <w:rPr>
          <w:sz w:val="24"/>
          <w:szCs w:val="24"/>
        </w:rPr>
        <w:t xml:space="preserve"> Generally t</w:t>
      </w:r>
      <w:r w:rsidRPr="00B96359">
        <w:rPr>
          <w:sz w:val="24"/>
          <w:szCs w:val="24"/>
        </w:rPr>
        <w:t>hose with “good institutions”</w:t>
      </w:r>
      <w:r w:rsidR="00105DA4" w:rsidRPr="00B96359">
        <w:rPr>
          <w:sz w:val="24"/>
          <w:szCs w:val="24"/>
        </w:rPr>
        <w:t xml:space="preserve"> such as the rule of law.</w:t>
      </w:r>
      <w:r w:rsidR="005C54A9" w:rsidRPr="00B96359">
        <w:rPr>
          <w:rStyle w:val="FootnoteReference"/>
          <w:sz w:val="24"/>
          <w:szCs w:val="24"/>
        </w:rPr>
        <w:footnoteReference w:id="11"/>
      </w:r>
      <w:r w:rsidR="00486625" w:rsidRPr="00B96359">
        <w:rPr>
          <w:sz w:val="24"/>
          <w:szCs w:val="24"/>
        </w:rPr>
        <w:br/>
      </w:r>
    </w:p>
    <w:p w:rsidR="00886249" w:rsidRPr="00B96359" w:rsidRDefault="00105DA4" w:rsidP="00D8711C">
      <w:pPr>
        <w:pStyle w:val="ListParagraph"/>
        <w:ind w:left="0" w:firstLine="720"/>
        <w:rPr>
          <w:sz w:val="24"/>
          <w:szCs w:val="24"/>
        </w:rPr>
      </w:pPr>
      <w:r w:rsidRPr="00B96359">
        <w:rPr>
          <w:sz w:val="24"/>
          <w:szCs w:val="24"/>
        </w:rPr>
        <w:t xml:space="preserve">What </w:t>
      </w:r>
      <w:r w:rsidR="0075348A" w:rsidRPr="00B96359">
        <w:rPr>
          <w:sz w:val="24"/>
          <w:szCs w:val="24"/>
        </w:rPr>
        <w:t>institutional innovations</w:t>
      </w:r>
      <w:r w:rsidRPr="00B96359">
        <w:rPr>
          <w:sz w:val="24"/>
          <w:szCs w:val="24"/>
        </w:rPr>
        <w:t>,</w:t>
      </w:r>
      <w:r w:rsidR="0075348A" w:rsidRPr="00B96359">
        <w:rPr>
          <w:sz w:val="24"/>
          <w:szCs w:val="24"/>
        </w:rPr>
        <w:t xml:space="preserve"> </w:t>
      </w:r>
      <w:r w:rsidRPr="00B96359">
        <w:rPr>
          <w:sz w:val="24"/>
          <w:szCs w:val="24"/>
        </w:rPr>
        <w:t xml:space="preserve">more specifically, </w:t>
      </w:r>
      <w:r w:rsidR="0075348A" w:rsidRPr="00B96359">
        <w:rPr>
          <w:sz w:val="24"/>
          <w:szCs w:val="24"/>
        </w:rPr>
        <w:t>can</w:t>
      </w:r>
      <w:r w:rsidRPr="00B96359">
        <w:rPr>
          <w:sz w:val="24"/>
          <w:szCs w:val="24"/>
        </w:rPr>
        <w:t xml:space="preserve"> a country adopt to fight fiscal pro-cyclicality</w:t>
      </w:r>
      <w:r w:rsidR="00CD1908" w:rsidRPr="00B96359">
        <w:rPr>
          <w:sz w:val="24"/>
          <w:szCs w:val="24"/>
        </w:rPr>
        <w:t>?</w:t>
      </w:r>
      <w:r w:rsidRPr="00B96359">
        <w:rPr>
          <w:sz w:val="24"/>
          <w:szCs w:val="24"/>
        </w:rPr>
        <w:t xml:space="preserve">   The conventional answer is b</w:t>
      </w:r>
      <w:r w:rsidR="0075348A" w:rsidRPr="00B96359">
        <w:rPr>
          <w:sz w:val="24"/>
          <w:szCs w:val="24"/>
        </w:rPr>
        <w:t>udget rules</w:t>
      </w:r>
      <w:r w:rsidRPr="00B96359">
        <w:rPr>
          <w:sz w:val="24"/>
          <w:szCs w:val="24"/>
        </w:rPr>
        <w:t>, for example</w:t>
      </w:r>
      <w:r w:rsidR="00486625" w:rsidRPr="00B96359">
        <w:rPr>
          <w:sz w:val="24"/>
          <w:szCs w:val="24"/>
        </w:rPr>
        <w:t xml:space="preserve"> </w:t>
      </w:r>
      <w:r w:rsidRPr="00B96359">
        <w:rPr>
          <w:sz w:val="24"/>
          <w:szCs w:val="24"/>
        </w:rPr>
        <w:t>legally entrenched ceilings on budget deficits.  But such rules</w:t>
      </w:r>
      <w:r w:rsidR="00886249" w:rsidRPr="00B96359">
        <w:rPr>
          <w:sz w:val="24"/>
          <w:szCs w:val="24"/>
        </w:rPr>
        <w:t xml:space="preserve"> alone won’t do the job</w:t>
      </w:r>
      <w:r w:rsidR="00486625" w:rsidRPr="00B96359">
        <w:rPr>
          <w:sz w:val="24"/>
          <w:szCs w:val="24"/>
        </w:rPr>
        <w:t>, as the failures of Europe’s Stability and Growth Pact has amply demonstrated</w:t>
      </w:r>
      <w:r w:rsidR="0075348A" w:rsidRPr="00B96359">
        <w:rPr>
          <w:sz w:val="24"/>
          <w:szCs w:val="24"/>
        </w:rPr>
        <w:t>.</w:t>
      </w:r>
      <w:r w:rsidR="00CD1908" w:rsidRPr="00B96359">
        <w:rPr>
          <w:sz w:val="24"/>
          <w:szCs w:val="24"/>
        </w:rPr>
        <w:t xml:space="preserve">  To be</w:t>
      </w:r>
      <w:r w:rsidR="008F6312">
        <w:rPr>
          <w:sz w:val="24"/>
          <w:szCs w:val="24"/>
        </w:rPr>
        <w:t>gin</w:t>
      </w:r>
      <w:r w:rsidR="00CD1908" w:rsidRPr="00B96359">
        <w:rPr>
          <w:sz w:val="24"/>
          <w:szCs w:val="24"/>
        </w:rPr>
        <w:t xml:space="preserve"> with, f</w:t>
      </w:r>
      <w:r w:rsidR="007154D7" w:rsidRPr="00B96359">
        <w:rPr>
          <w:sz w:val="24"/>
          <w:szCs w:val="24"/>
        </w:rPr>
        <w:t xml:space="preserve">ixed </w:t>
      </w:r>
      <w:r w:rsidR="0075348A" w:rsidRPr="00B96359">
        <w:rPr>
          <w:sz w:val="24"/>
          <w:szCs w:val="24"/>
        </w:rPr>
        <w:t xml:space="preserve">ceilings </w:t>
      </w:r>
      <w:r w:rsidR="00CD1908" w:rsidRPr="00B96359">
        <w:rPr>
          <w:sz w:val="24"/>
          <w:szCs w:val="24"/>
        </w:rPr>
        <w:t xml:space="preserve">on budget deficits </w:t>
      </w:r>
      <w:r w:rsidR="0075348A" w:rsidRPr="00B96359">
        <w:rPr>
          <w:sz w:val="24"/>
          <w:szCs w:val="24"/>
        </w:rPr>
        <w:t>operate pro</w:t>
      </w:r>
      <w:r w:rsidR="007154D7" w:rsidRPr="00B96359">
        <w:rPr>
          <w:sz w:val="24"/>
          <w:szCs w:val="24"/>
        </w:rPr>
        <w:t>-</w:t>
      </w:r>
      <w:r w:rsidR="0075348A" w:rsidRPr="00B96359">
        <w:rPr>
          <w:sz w:val="24"/>
          <w:szCs w:val="24"/>
        </w:rPr>
        <w:t>cyclically</w:t>
      </w:r>
      <w:r w:rsidR="00CD1908" w:rsidRPr="00B96359">
        <w:rPr>
          <w:sz w:val="24"/>
          <w:szCs w:val="24"/>
        </w:rPr>
        <w:t>:  when the economy is hit by a recession and so the budget is hit by a loss in tax rev</w:t>
      </w:r>
      <w:r w:rsidR="008F6312">
        <w:rPr>
          <w:sz w:val="24"/>
          <w:szCs w:val="24"/>
        </w:rPr>
        <w:t>enue, a budget balance rule will</w:t>
      </w:r>
      <w:r w:rsidR="00CD1908" w:rsidRPr="00B96359">
        <w:rPr>
          <w:sz w:val="24"/>
          <w:szCs w:val="24"/>
        </w:rPr>
        <w:t xml:space="preserve"> force the government to cut spending or raise tax rates.  </w:t>
      </w:r>
      <w:r w:rsidR="0075348A" w:rsidRPr="00B96359">
        <w:rPr>
          <w:sz w:val="24"/>
          <w:szCs w:val="24"/>
        </w:rPr>
        <w:t xml:space="preserve">Phrasing the target in cyclically adjusted terms </w:t>
      </w:r>
      <w:r w:rsidR="00D017BB" w:rsidRPr="00B96359">
        <w:rPr>
          <w:sz w:val="24"/>
          <w:szCs w:val="24"/>
        </w:rPr>
        <w:t xml:space="preserve">helps </w:t>
      </w:r>
      <w:r w:rsidR="0075348A" w:rsidRPr="00B96359">
        <w:rPr>
          <w:sz w:val="24"/>
          <w:szCs w:val="24"/>
        </w:rPr>
        <w:t>s</w:t>
      </w:r>
      <w:r w:rsidR="00486625" w:rsidRPr="00B96359">
        <w:rPr>
          <w:sz w:val="24"/>
          <w:szCs w:val="24"/>
        </w:rPr>
        <w:t xml:space="preserve">olves that problem in theory.  </w:t>
      </w:r>
      <w:r w:rsidR="00D017BB" w:rsidRPr="00B96359">
        <w:rPr>
          <w:sz w:val="24"/>
          <w:szCs w:val="24"/>
        </w:rPr>
        <w:t>B</w:t>
      </w:r>
      <w:r w:rsidR="0075348A" w:rsidRPr="00B96359">
        <w:rPr>
          <w:sz w:val="24"/>
          <w:szCs w:val="24"/>
        </w:rPr>
        <w:t xml:space="preserve">ut </w:t>
      </w:r>
      <w:r w:rsidR="00486625" w:rsidRPr="00B96359">
        <w:rPr>
          <w:sz w:val="24"/>
          <w:szCs w:val="24"/>
        </w:rPr>
        <w:t>most such rules are violated in practice</w:t>
      </w:r>
      <w:r w:rsidR="00886249" w:rsidRPr="00B96359">
        <w:rPr>
          <w:sz w:val="24"/>
          <w:szCs w:val="24"/>
        </w:rPr>
        <w:t xml:space="preserve">, even more so for EM countries than for advanced countries.  </w:t>
      </w:r>
      <w:r w:rsidR="00486625" w:rsidRPr="00B96359">
        <w:rPr>
          <w:sz w:val="24"/>
          <w:szCs w:val="24"/>
        </w:rPr>
        <w:t xml:space="preserve">One major reason is </w:t>
      </w:r>
      <w:r w:rsidR="0075348A" w:rsidRPr="00B96359">
        <w:rPr>
          <w:sz w:val="24"/>
          <w:szCs w:val="24"/>
        </w:rPr>
        <w:t>overly optimistic forecasts</w:t>
      </w:r>
      <w:r w:rsidR="007154D7" w:rsidRPr="00B96359">
        <w:rPr>
          <w:sz w:val="24"/>
          <w:szCs w:val="24"/>
        </w:rPr>
        <w:t xml:space="preserve"> by official agencies</w:t>
      </w:r>
      <w:r w:rsidR="00486625" w:rsidRPr="00B96359">
        <w:rPr>
          <w:sz w:val="24"/>
          <w:szCs w:val="24"/>
        </w:rPr>
        <w:t>.</w:t>
      </w:r>
      <w:r w:rsidR="00486625" w:rsidRPr="00B96359">
        <w:rPr>
          <w:rStyle w:val="FootnoteReference"/>
          <w:sz w:val="24"/>
          <w:szCs w:val="24"/>
        </w:rPr>
        <w:footnoteReference w:id="12"/>
      </w:r>
    </w:p>
    <w:p w:rsidR="0075348A" w:rsidRPr="00B96359" w:rsidRDefault="008F6312" w:rsidP="00D8711C">
      <w:pPr>
        <w:pStyle w:val="ListParagraph"/>
        <w:ind w:left="0" w:firstLine="720"/>
        <w:rPr>
          <w:sz w:val="24"/>
          <w:szCs w:val="24"/>
        </w:rPr>
      </w:pPr>
      <w:r>
        <w:rPr>
          <w:sz w:val="24"/>
          <w:szCs w:val="24"/>
        </w:rPr>
        <w:t>A study of</w:t>
      </w:r>
      <w:r w:rsidR="0075348A" w:rsidRPr="00B96359">
        <w:rPr>
          <w:sz w:val="24"/>
          <w:szCs w:val="24"/>
        </w:rPr>
        <w:t xml:space="preserve"> Chile’s </w:t>
      </w:r>
      <w:r w:rsidR="00705362" w:rsidRPr="00B96359">
        <w:rPr>
          <w:sz w:val="24"/>
          <w:szCs w:val="24"/>
        </w:rPr>
        <w:t xml:space="preserve">successful </w:t>
      </w:r>
      <w:r w:rsidR="0075348A" w:rsidRPr="00B96359">
        <w:rPr>
          <w:sz w:val="24"/>
          <w:szCs w:val="24"/>
        </w:rPr>
        <w:t>fiscal institutions</w:t>
      </w:r>
      <w:r w:rsidR="00886249" w:rsidRPr="00B96359">
        <w:rPr>
          <w:rStyle w:val="FootnoteReference"/>
          <w:sz w:val="24"/>
          <w:szCs w:val="24"/>
        </w:rPr>
        <w:footnoteReference w:id="13"/>
      </w:r>
      <w:r w:rsidR="00AB3D3C" w:rsidRPr="00B96359">
        <w:rPr>
          <w:sz w:val="24"/>
          <w:szCs w:val="24"/>
        </w:rPr>
        <w:t xml:space="preserve"> </w:t>
      </w:r>
      <w:r w:rsidR="004C1F1E">
        <w:rPr>
          <w:sz w:val="24"/>
          <w:szCs w:val="24"/>
        </w:rPr>
        <w:t>concluded that the key feature wa</w:t>
      </w:r>
      <w:r w:rsidR="0075348A" w:rsidRPr="00B96359">
        <w:rPr>
          <w:sz w:val="24"/>
          <w:szCs w:val="24"/>
        </w:rPr>
        <w:t>s</w:t>
      </w:r>
      <w:r w:rsidR="0068354B">
        <w:rPr>
          <w:sz w:val="24"/>
          <w:szCs w:val="24"/>
        </w:rPr>
        <w:t xml:space="preserve"> not by itself the adoption of cyclically adjusted budget balance.  Others have tried this and failed.  It was, rather,</w:t>
      </w:r>
      <w:r w:rsidR="0075348A" w:rsidRPr="00B96359">
        <w:rPr>
          <w:sz w:val="24"/>
          <w:szCs w:val="24"/>
        </w:rPr>
        <w:t xml:space="preserve"> the delegation to independent committees of the responsibility to estimate the long-run trends in the copper price and GDP</w:t>
      </w:r>
      <w:r w:rsidR="004C1F1E">
        <w:rPr>
          <w:sz w:val="24"/>
          <w:szCs w:val="24"/>
        </w:rPr>
        <w:t>.  T</w:t>
      </w:r>
      <w:r w:rsidR="00705362" w:rsidRPr="00B96359">
        <w:rPr>
          <w:sz w:val="24"/>
          <w:szCs w:val="24"/>
        </w:rPr>
        <w:t>h</w:t>
      </w:r>
      <w:r w:rsidR="004C1F1E">
        <w:rPr>
          <w:sz w:val="24"/>
          <w:szCs w:val="24"/>
        </w:rPr>
        <w:t>i</w:t>
      </w:r>
      <w:r w:rsidR="00705362" w:rsidRPr="00B96359">
        <w:rPr>
          <w:sz w:val="24"/>
          <w:szCs w:val="24"/>
        </w:rPr>
        <w:t xml:space="preserve">s </w:t>
      </w:r>
      <w:r w:rsidR="004C1F1E">
        <w:rPr>
          <w:sz w:val="24"/>
          <w:szCs w:val="24"/>
        </w:rPr>
        <w:t>delegation avoided</w:t>
      </w:r>
      <w:r w:rsidR="00705362" w:rsidRPr="00B96359">
        <w:rPr>
          <w:sz w:val="24"/>
          <w:szCs w:val="24"/>
        </w:rPr>
        <w:t xml:space="preserve"> the systematic over-</w:t>
      </w:r>
      <w:r w:rsidR="00705362" w:rsidRPr="00B96359">
        <w:rPr>
          <w:sz w:val="24"/>
          <w:szCs w:val="24"/>
        </w:rPr>
        <w:lastRenderedPageBreak/>
        <w:t>optimism that plagues official forecasts in most other countries</w:t>
      </w:r>
      <w:r w:rsidR="004C1F1E">
        <w:rPr>
          <w:sz w:val="24"/>
          <w:szCs w:val="24"/>
        </w:rPr>
        <w:t xml:space="preserve">. It </w:t>
      </w:r>
      <w:r w:rsidR="0075348A" w:rsidRPr="00B96359">
        <w:rPr>
          <w:sz w:val="24"/>
          <w:szCs w:val="24"/>
        </w:rPr>
        <w:t xml:space="preserve">could be </w:t>
      </w:r>
      <w:r w:rsidR="00AB3D3C" w:rsidRPr="00B96359">
        <w:rPr>
          <w:sz w:val="24"/>
          <w:szCs w:val="24"/>
        </w:rPr>
        <w:t xml:space="preserve">a </w:t>
      </w:r>
      <w:r w:rsidR="0075348A" w:rsidRPr="00B96359">
        <w:rPr>
          <w:sz w:val="24"/>
          <w:szCs w:val="24"/>
        </w:rPr>
        <w:t>useful model for others to emulate.</w:t>
      </w:r>
    </w:p>
    <w:p w:rsidR="00FF4DB0" w:rsidRPr="00B96359" w:rsidRDefault="00FF4DB0" w:rsidP="006C510F">
      <w:pPr>
        <w:ind w:left="360"/>
        <w:rPr>
          <w:sz w:val="24"/>
          <w:szCs w:val="24"/>
        </w:rPr>
      </w:pPr>
    </w:p>
    <w:p w:rsidR="0075348A" w:rsidRPr="00B96359" w:rsidRDefault="00B92E56" w:rsidP="0075348A">
      <w:pPr>
        <w:pStyle w:val="ListParagraph"/>
        <w:numPr>
          <w:ilvl w:val="0"/>
          <w:numId w:val="1"/>
        </w:numPr>
        <w:rPr>
          <w:b/>
          <w:sz w:val="24"/>
          <w:szCs w:val="24"/>
        </w:rPr>
      </w:pPr>
      <w:r>
        <w:rPr>
          <w:b/>
          <w:sz w:val="24"/>
          <w:szCs w:val="24"/>
        </w:rPr>
        <w:t>Ideas to overcome pro-cyclical m</w:t>
      </w:r>
      <w:r w:rsidR="0075348A" w:rsidRPr="00B96359">
        <w:rPr>
          <w:b/>
          <w:sz w:val="24"/>
          <w:szCs w:val="24"/>
        </w:rPr>
        <w:t>onetary policy</w:t>
      </w:r>
      <w:r>
        <w:rPr>
          <w:b/>
          <w:sz w:val="24"/>
          <w:szCs w:val="24"/>
        </w:rPr>
        <w:t xml:space="preserve"> in commodity-exporting countries</w:t>
      </w:r>
    </w:p>
    <w:p w:rsidR="00957318" w:rsidRPr="00B96359" w:rsidRDefault="00957318" w:rsidP="00D8711C">
      <w:pPr>
        <w:ind w:firstLine="720"/>
        <w:rPr>
          <w:sz w:val="24"/>
          <w:szCs w:val="24"/>
        </w:rPr>
      </w:pPr>
      <w:r w:rsidRPr="00B96359">
        <w:rPr>
          <w:sz w:val="24"/>
          <w:szCs w:val="24"/>
        </w:rPr>
        <w:t>The Fed and some other of the most important central banks may have</w:t>
      </w:r>
      <w:r w:rsidR="002D5CF9">
        <w:rPr>
          <w:sz w:val="24"/>
          <w:szCs w:val="24"/>
        </w:rPr>
        <w:t xml:space="preserve"> </w:t>
      </w:r>
      <w:r w:rsidR="002D5CF9" w:rsidRPr="00B96359">
        <w:rPr>
          <w:sz w:val="24"/>
          <w:szCs w:val="24"/>
        </w:rPr>
        <w:t>given up</w:t>
      </w:r>
      <w:r w:rsidRPr="00B96359">
        <w:rPr>
          <w:sz w:val="24"/>
          <w:szCs w:val="24"/>
        </w:rPr>
        <w:t xml:space="preserve">, </w:t>
      </w:r>
      <w:r w:rsidR="002D5CF9">
        <w:rPr>
          <w:sz w:val="24"/>
          <w:szCs w:val="24"/>
        </w:rPr>
        <w:t xml:space="preserve">at least </w:t>
      </w:r>
      <w:r w:rsidRPr="00B96359">
        <w:rPr>
          <w:sz w:val="24"/>
          <w:szCs w:val="24"/>
        </w:rPr>
        <w:t>for the time being, on the attempt to communicate monetary policy intentions in terms of a si</w:t>
      </w:r>
      <w:r w:rsidR="00AD4E42" w:rsidRPr="00B96359">
        <w:rPr>
          <w:sz w:val="24"/>
          <w:szCs w:val="24"/>
        </w:rPr>
        <w:t>ngle</w:t>
      </w:r>
      <w:r w:rsidRPr="00B96359">
        <w:rPr>
          <w:sz w:val="24"/>
          <w:szCs w:val="24"/>
        </w:rPr>
        <w:t xml:space="preserve"> v</w:t>
      </w:r>
      <w:r w:rsidR="00AB3D3C" w:rsidRPr="00B96359">
        <w:rPr>
          <w:sz w:val="24"/>
          <w:szCs w:val="24"/>
        </w:rPr>
        <w:t>ariable</w:t>
      </w:r>
      <w:r w:rsidR="002D5CF9">
        <w:rPr>
          <w:sz w:val="24"/>
          <w:szCs w:val="24"/>
        </w:rPr>
        <w:t>,</w:t>
      </w:r>
      <w:r w:rsidR="00AB3D3C" w:rsidRPr="00B96359">
        <w:rPr>
          <w:sz w:val="24"/>
          <w:szCs w:val="24"/>
        </w:rPr>
        <w:t xml:space="preserve"> </w:t>
      </w:r>
      <w:r w:rsidR="005869E9" w:rsidRPr="00B96359">
        <w:rPr>
          <w:sz w:val="24"/>
          <w:szCs w:val="24"/>
        </w:rPr>
        <w:t xml:space="preserve">even </w:t>
      </w:r>
      <w:r w:rsidRPr="00B96359">
        <w:rPr>
          <w:sz w:val="24"/>
          <w:szCs w:val="24"/>
        </w:rPr>
        <w:t xml:space="preserve">via </w:t>
      </w:r>
      <w:r w:rsidR="005D310D" w:rsidRPr="00B96359">
        <w:rPr>
          <w:sz w:val="24"/>
          <w:szCs w:val="24"/>
        </w:rPr>
        <w:t>forward guidance</w:t>
      </w:r>
      <w:r w:rsidR="005869E9" w:rsidRPr="00B96359">
        <w:rPr>
          <w:sz w:val="24"/>
          <w:szCs w:val="24"/>
        </w:rPr>
        <w:t>, let alone</w:t>
      </w:r>
      <w:r w:rsidR="005D310D" w:rsidRPr="00B96359">
        <w:rPr>
          <w:sz w:val="24"/>
          <w:szCs w:val="24"/>
        </w:rPr>
        <w:t xml:space="preserve"> </w:t>
      </w:r>
      <w:r w:rsidR="002D5CF9">
        <w:rPr>
          <w:sz w:val="24"/>
          <w:szCs w:val="24"/>
        </w:rPr>
        <w:t xml:space="preserve">via </w:t>
      </w:r>
      <w:r w:rsidR="005D310D" w:rsidRPr="00B96359">
        <w:rPr>
          <w:sz w:val="24"/>
          <w:szCs w:val="24"/>
        </w:rPr>
        <w:t>an explicit target</w:t>
      </w:r>
      <w:r w:rsidR="00BE1811" w:rsidRPr="00B96359">
        <w:rPr>
          <w:sz w:val="24"/>
          <w:szCs w:val="24"/>
        </w:rPr>
        <w:t>.  T</w:t>
      </w:r>
      <w:r w:rsidRPr="00B96359">
        <w:rPr>
          <w:sz w:val="24"/>
          <w:szCs w:val="24"/>
        </w:rPr>
        <w:t>he presumption</w:t>
      </w:r>
      <w:r w:rsidR="00055748">
        <w:rPr>
          <w:sz w:val="24"/>
          <w:szCs w:val="24"/>
        </w:rPr>
        <w:t xml:space="preserve">, </w:t>
      </w:r>
      <w:r w:rsidR="00014870" w:rsidRPr="00B96359">
        <w:rPr>
          <w:sz w:val="24"/>
          <w:szCs w:val="24"/>
        </w:rPr>
        <w:t>however</w:t>
      </w:r>
      <w:r w:rsidR="00014870">
        <w:rPr>
          <w:sz w:val="24"/>
          <w:szCs w:val="24"/>
        </w:rPr>
        <w:t>,</w:t>
      </w:r>
      <w:r w:rsidRPr="00B96359">
        <w:rPr>
          <w:sz w:val="24"/>
          <w:szCs w:val="24"/>
        </w:rPr>
        <w:t xml:space="preserve"> is still in favor of transparency and simple clear communication</w:t>
      </w:r>
      <w:r w:rsidR="00AB3D3C" w:rsidRPr="00B96359">
        <w:rPr>
          <w:sz w:val="24"/>
          <w:szCs w:val="24"/>
        </w:rPr>
        <w:t>. M</w:t>
      </w:r>
      <w:r w:rsidR="00AD4E42" w:rsidRPr="00B96359">
        <w:rPr>
          <w:sz w:val="24"/>
          <w:szCs w:val="24"/>
        </w:rPr>
        <w:t xml:space="preserve">any still feel the need </w:t>
      </w:r>
      <w:r w:rsidRPr="00B96359">
        <w:rPr>
          <w:sz w:val="24"/>
          <w:szCs w:val="24"/>
        </w:rPr>
        <w:t>to announce a specific target or anchor.</w:t>
      </w:r>
      <w:r w:rsidR="00F42C1B" w:rsidRPr="00B96359">
        <w:rPr>
          <w:sz w:val="24"/>
          <w:szCs w:val="24"/>
        </w:rPr>
        <w:t xml:space="preserve">  Most developing countries, in particular, need the reinforcement to credibility</w:t>
      </w:r>
      <w:r w:rsidR="00F42C1B" w:rsidRPr="00E010F2">
        <w:rPr>
          <w:sz w:val="24"/>
          <w:szCs w:val="24"/>
        </w:rPr>
        <w:t>.</w:t>
      </w:r>
      <w:r w:rsidR="00AB3D3C" w:rsidRPr="00E010F2">
        <w:rPr>
          <w:rStyle w:val="FootnoteReference"/>
          <w:sz w:val="24"/>
          <w:szCs w:val="24"/>
        </w:rPr>
        <w:footnoteReference w:id="14"/>
      </w:r>
      <w:r w:rsidR="002D5CF9">
        <w:rPr>
          <w:sz w:val="24"/>
          <w:szCs w:val="24"/>
        </w:rPr>
        <w:t xml:space="preserve"> </w:t>
      </w:r>
      <w:r w:rsidR="00AB3D3C" w:rsidRPr="00E010F2">
        <w:rPr>
          <w:sz w:val="24"/>
          <w:szCs w:val="24"/>
        </w:rPr>
        <w:t xml:space="preserve"> Monetary policy-makers in emerging market and developing countries often have more need for credibility than those in advanced countries due to high-inflation histories, absence of credible institutions, or political pressure to monetize big budget deficits.</w:t>
      </w:r>
      <w:r w:rsidR="00BE1811" w:rsidRPr="00B96359">
        <w:rPr>
          <w:sz w:val="24"/>
          <w:szCs w:val="24"/>
        </w:rPr>
        <w:t xml:space="preserve">  But </w:t>
      </w:r>
      <w:r w:rsidR="00F42C1B" w:rsidRPr="00B96359">
        <w:rPr>
          <w:sz w:val="24"/>
          <w:szCs w:val="24"/>
        </w:rPr>
        <w:t xml:space="preserve">announcing a target that one can expect </w:t>
      </w:r>
      <w:r w:rsidR="00B5671B" w:rsidRPr="00B96359">
        <w:rPr>
          <w:sz w:val="24"/>
          <w:szCs w:val="24"/>
        </w:rPr>
        <w:t xml:space="preserve">often </w:t>
      </w:r>
      <w:r w:rsidR="00F42C1B" w:rsidRPr="00B96359">
        <w:rPr>
          <w:sz w:val="24"/>
          <w:szCs w:val="24"/>
        </w:rPr>
        <w:t>to miss does little to enhance credibility.</w:t>
      </w:r>
    </w:p>
    <w:p w:rsidR="00B92E56" w:rsidRDefault="00957318" w:rsidP="00D8711C">
      <w:pPr>
        <w:ind w:firstLine="720"/>
        <w:rPr>
          <w:sz w:val="24"/>
          <w:szCs w:val="24"/>
        </w:rPr>
      </w:pPr>
      <w:r w:rsidRPr="00B96359">
        <w:rPr>
          <w:sz w:val="24"/>
          <w:szCs w:val="24"/>
        </w:rPr>
        <w:t>Commodity-exporting countries have bigger terms of trade shocks than industrialized countries.</w:t>
      </w:r>
      <w:r w:rsidR="00A3233A">
        <w:rPr>
          <w:sz w:val="24"/>
          <w:szCs w:val="24"/>
        </w:rPr>
        <w:t xml:space="preserve">  </w:t>
      </w:r>
      <w:r w:rsidRPr="00B96359">
        <w:rPr>
          <w:sz w:val="24"/>
          <w:szCs w:val="24"/>
        </w:rPr>
        <w:t xml:space="preserve">As </w:t>
      </w:r>
      <w:r w:rsidR="00A3233A">
        <w:rPr>
          <w:sz w:val="24"/>
          <w:szCs w:val="24"/>
        </w:rPr>
        <w:t xml:space="preserve">has long been </w:t>
      </w:r>
      <w:r w:rsidRPr="00B96359">
        <w:rPr>
          <w:sz w:val="24"/>
          <w:szCs w:val="24"/>
        </w:rPr>
        <w:t xml:space="preserve">understood, terms of trade volatility makes a country less suited to a fixed exchange rate and more </w:t>
      </w:r>
      <w:r w:rsidR="005F15AF" w:rsidRPr="00B96359">
        <w:rPr>
          <w:sz w:val="24"/>
          <w:szCs w:val="24"/>
        </w:rPr>
        <w:t xml:space="preserve">suited </w:t>
      </w:r>
      <w:r w:rsidRPr="00B96359">
        <w:rPr>
          <w:sz w:val="24"/>
          <w:szCs w:val="24"/>
        </w:rPr>
        <w:t>toward some form of floating so that the exchange rate can accommodate terms of trade shocks.</w:t>
      </w:r>
      <w:r w:rsidR="005F15AF" w:rsidRPr="00B96359">
        <w:rPr>
          <w:sz w:val="24"/>
          <w:szCs w:val="24"/>
        </w:rPr>
        <w:t xml:space="preserve">  </w:t>
      </w:r>
    </w:p>
    <w:p w:rsidR="003570D0" w:rsidRDefault="003570D0" w:rsidP="002D5CF9">
      <w:pPr>
        <w:ind w:firstLine="720"/>
        <w:rPr>
          <w:sz w:val="24"/>
          <w:szCs w:val="24"/>
        </w:rPr>
      </w:pPr>
      <w:r>
        <w:rPr>
          <w:sz w:val="24"/>
          <w:szCs w:val="24"/>
        </w:rPr>
        <w:t>One</w:t>
      </w:r>
      <w:r w:rsidR="00B92E56">
        <w:rPr>
          <w:sz w:val="24"/>
          <w:szCs w:val="24"/>
        </w:rPr>
        <w:t xml:space="preserve"> </w:t>
      </w:r>
      <w:r>
        <w:rPr>
          <w:sz w:val="24"/>
          <w:szCs w:val="24"/>
        </w:rPr>
        <w:t xml:space="preserve">good </w:t>
      </w:r>
      <w:r w:rsidR="00B92E56">
        <w:rPr>
          <w:sz w:val="24"/>
          <w:szCs w:val="24"/>
        </w:rPr>
        <w:t xml:space="preserve">criterion for judging whether monetary policy in a commodity-exporting country </w:t>
      </w:r>
      <w:r>
        <w:rPr>
          <w:sz w:val="24"/>
          <w:szCs w:val="24"/>
        </w:rPr>
        <w:t xml:space="preserve">is counter-cyclical is whether the currency is allowed to appreciate in the face of a positive terms-of-trade shock and depreciate in the face of a negative terms-of-trade shock.  By this criterion, a fixed exchange rate is </w:t>
      </w:r>
      <w:proofErr w:type="spellStart"/>
      <w:r>
        <w:rPr>
          <w:sz w:val="24"/>
          <w:szCs w:val="24"/>
        </w:rPr>
        <w:t>acyclical</w:t>
      </w:r>
      <w:proofErr w:type="spellEnd"/>
      <w:r>
        <w:rPr>
          <w:sz w:val="24"/>
          <w:szCs w:val="24"/>
        </w:rPr>
        <w:t xml:space="preserve">, by definition.  By other criteria, a currency peg can actually be </w:t>
      </w:r>
      <w:r w:rsidRPr="003570D0">
        <w:rPr>
          <w:i/>
          <w:sz w:val="24"/>
          <w:szCs w:val="24"/>
        </w:rPr>
        <w:t>pro-cyclical</w:t>
      </w:r>
      <w:r>
        <w:rPr>
          <w:sz w:val="24"/>
          <w:szCs w:val="24"/>
        </w:rPr>
        <w:t>:  Commodity booms are associated with money inflows, rapid credit expansion, an overheated real economy, inflation in non-traded goods and services, and bubbles in real estate and other assets.  C</w:t>
      </w:r>
      <w:r w:rsidR="002D5CF9">
        <w:rPr>
          <w:sz w:val="24"/>
          <w:szCs w:val="24"/>
        </w:rPr>
        <w:t>onversely, c</w:t>
      </w:r>
      <w:r>
        <w:rPr>
          <w:sz w:val="24"/>
          <w:szCs w:val="24"/>
        </w:rPr>
        <w:t>ommodity busts are associated with</w:t>
      </w:r>
      <w:r w:rsidR="002D5CF9">
        <w:rPr>
          <w:sz w:val="24"/>
          <w:szCs w:val="24"/>
        </w:rPr>
        <w:t xml:space="preserve"> balance of payments deficits,</w:t>
      </w:r>
      <w:r>
        <w:rPr>
          <w:sz w:val="24"/>
          <w:szCs w:val="24"/>
        </w:rPr>
        <w:t xml:space="preserve"> loss of reserves, credit shortage, recession, </w:t>
      </w:r>
      <w:r w:rsidR="002D5CF9">
        <w:rPr>
          <w:sz w:val="24"/>
          <w:szCs w:val="24"/>
        </w:rPr>
        <w:t xml:space="preserve">and currency or financial </w:t>
      </w:r>
      <w:r>
        <w:rPr>
          <w:sz w:val="24"/>
          <w:szCs w:val="24"/>
        </w:rPr>
        <w:t>cris</w:t>
      </w:r>
      <w:r w:rsidR="002D5CF9">
        <w:rPr>
          <w:sz w:val="24"/>
          <w:szCs w:val="24"/>
        </w:rPr>
        <w:t>e</w:t>
      </w:r>
      <w:r>
        <w:rPr>
          <w:sz w:val="24"/>
          <w:szCs w:val="24"/>
        </w:rPr>
        <w:t>s.</w:t>
      </w:r>
    </w:p>
    <w:p w:rsidR="007563A9" w:rsidRPr="00B96359" w:rsidRDefault="002D5CF9" w:rsidP="00D8711C">
      <w:pPr>
        <w:ind w:firstLine="720"/>
        <w:rPr>
          <w:sz w:val="24"/>
          <w:szCs w:val="24"/>
        </w:rPr>
      </w:pPr>
      <w:r>
        <w:rPr>
          <w:sz w:val="24"/>
          <w:szCs w:val="24"/>
        </w:rPr>
        <w:t>Flexible exchange rates allow accommodation of trade shocks and therefore a counter-cyclical monetary policy.  Under free floating, w</w:t>
      </w:r>
      <w:r w:rsidR="005F15AF" w:rsidRPr="00B96359">
        <w:rPr>
          <w:sz w:val="24"/>
          <w:szCs w:val="24"/>
        </w:rPr>
        <w:t>hen</w:t>
      </w:r>
      <w:r>
        <w:rPr>
          <w:sz w:val="24"/>
          <w:szCs w:val="24"/>
        </w:rPr>
        <w:t xml:space="preserve"> </w:t>
      </w:r>
      <w:r w:rsidRPr="00B96359">
        <w:rPr>
          <w:sz w:val="24"/>
          <w:szCs w:val="24"/>
        </w:rPr>
        <w:t>the global price of the export commodity rises, threatening overheating</w:t>
      </w:r>
      <w:r>
        <w:rPr>
          <w:sz w:val="24"/>
          <w:szCs w:val="24"/>
        </w:rPr>
        <w:t xml:space="preserve">, </w:t>
      </w:r>
      <w:r w:rsidRPr="00B96359">
        <w:rPr>
          <w:sz w:val="24"/>
          <w:szCs w:val="24"/>
        </w:rPr>
        <w:t xml:space="preserve">the currency automatically appreciates to mitigate the problem.  </w:t>
      </w:r>
      <w:r w:rsidR="005F15AF" w:rsidRPr="00B96359">
        <w:rPr>
          <w:sz w:val="24"/>
          <w:szCs w:val="24"/>
        </w:rPr>
        <w:t xml:space="preserve"> </w:t>
      </w:r>
      <w:r w:rsidRPr="00B96359">
        <w:rPr>
          <w:sz w:val="24"/>
          <w:szCs w:val="24"/>
        </w:rPr>
        <w:t xml:space="preserve">When </w:t>
      </w:r>
      <w:r w:rsidR="005F15AF" w:rsidRPr="00B96359">
        <w:rPr>
          <w:sz w:val="24"/>
          <w:szCs w:val="24"/>
        </w:rPr>
        <w:t>the global price of the export co</w:t>
      </w:r>
      <w:r w:rsidR="00532266">
        <w:rPr>
          <w:sz w:val="24"/>
          <w:szCs w:val="24"/>
        </w:rPr>
        <w:t>mmodity falls, threatening external</w:t>
      </w:r>
      <w:r w:rsidR="005F15AF" w:rsidRPr="00B96359">
        <w:rPr>
          <w:sz w:val="24"/>
          <w:szCs w:val="24"/>
        </w:rPr>
        <w:t xml:space="preserve"> balance difficulties and recession</w:t>
      </w:r>
      <w:r>
        <w:rPr>
          <w:sz w:val="24"/>
          <w:szCs w:val="24"/>
        </w:rPr>
        <w:t xml:space="preserve">, </w:t>
      </w:r>
      <w:r w:rsidR="005F15AF" w:rsidRPr="00B96359">
        <w:rPr>
          <w:sz w:val="24"/>
          <w:szCs w:val="24"/>
        </w:rPr>
        <w:t>the currency automatically depreciat</w:t>
      </w:r>
      <w:r w:rsidR="00532266">
        <w:rPr>
          <w:sz w:val="24"/>
          <w:szCs w:val="24"/>
        </w:rPr>
        <w:t xml:space="preserve">es to mitigate those problems. </w:t>
      </w:r>
    </w:p>
    <w:p w:rsidR="00957318" w:rsidRPr="00B96359" w:rsidRDefault="007563A9" w:rsidP="00D8711C">
      <w:pPr>
        <w:ind w:firstLine="720"/>
        <w:rPr>
          <w:sz w:val="24"/>
          <w:szCs w:val="24"/>
        </w:rPr>
      </w:pPr>
      <w:r w:rsidRPr="00B96359">
        <w:rPr>
          <w:sz w:val="24"/>
          <w:szCs w:val="24"/>
        </w:rPr>
        <w:lastRenderedPageBreak/>
        <w:t>Examples of “commodity currency” countries include Australia, Canada, Chile, New Zealand and South Africa, among others.</w:t>
      </w:r>
      <w:r w:rsidRPr="00B96359">
        <w:rPr>
          <w:rStyle w:val="FootnoteReference"/>
          <w:sz w:val="24"/>
          <w:szCs w:val="24"/>
        </w:rPr>
        <w:footnoteReference w:id="15"/>
      </w:r>
      <w:r w:rsidRPr="00B96359">
        <w:rPr>
          <w:sz w:val="24"/>
          <w:szCs w:val="24"/>
        </w:rPr>
        <w:t xml:space="preserve"> </w:t>
      </w:r>
      <w:r w:rsidR="00F81676">
        <w:rPr>
          <w:sz w:val="24"/>
          <w:szCs w:val="24"/>
        </w:rPr>
        <w:t xml:space="preserve"> </w:t>
      </w:r>
      <w:r w:rsidR="00F81676" w:rsidRPr="002D5CF9">
        <w:rPr>
          <w:sz w:val="24"/>
          <w:szCs w:val="24"/>
        </w:rPr>
        <w:t xml:space="preserve">Empirically, floating delivers a high correlation between the exogenous price of the export commodity and the real effective exchange rate, thus accommodating terms of trade shocks, while fixing does not.  </w:t>
      </w:r>
      <w:r w:rsidRPr="002D5CF9">
        <w:rPr>
          <w:sz w:val="24"/>
          <w:szCs w:val="24"/>
        </w:rPr>
        <w:t xml:space="preserve"> A variety of e</w:t>
      </w:r>
      <w:r w:rsidR="00957318" w:rsidRPr="002D5CF9">
        <w:rPr>
          <w:sz w:val="24"/>
          <w:szCs w:val="24"/>
        </w:rPr>
        <w:t xml:space="preserve">mpirical </w:t>
      </w:r>
      <w:r w:rsidRPr="002D5CF9">
        <w:rPr>
          <w:sz w:val="24"/>
          <w:szCs w:val="24"/>
        </w:rPr>
        <w:t xml:space="preserve">studies confirm </w:t>
      </w:r>
      <w:r w:rsidR="001476CA" w:rsidRPr="002D5CF9">
        <w:rPr>
          <w:sz w:val="24"/>
          <w:szCs w:val="24"/>
        </w:rPr>
        <w:t xml:space="preserve">that floating works better for countries exposed to volatility in the world prices of their export </w:t>
      </w:r>
      <w:r w:rsidR="00EA0EFA" w:rsidRPr="002D5CF9">
        <w:rPr>
          <w:sz w:val="24"/>
          <w:szCs w:val="24"/>
        </w:rPr>
        <w:t>commodities</w:t>
      </w:r>
      <w:r w:rsidR="00957318" w:rsidRPr="002D5CF9">
        <w:rPr>
          <w:sz w:val="24"/>
          <w:szCs w:val="24"/>
        </w:rPr>
        <w:t>:</w:t>
      </w:r>
      <w:r w:rsidR="00957318" w:rsidRPr="00B96359">
        <w:rPr>
          <w:sz w:val="24"/>
          <w:szCs w:val="24"/>
        </w:rPr>
        <w:t xml:space="preserve"> </w:t>
      </w:r>
      <w:r w:rsidR="00EA0EFA" w:rsidRPr="00B96359">
        <w:rPr>
          <w:sz w:val="24"/>
          <w:szCs w:val="24"/>
        </w:rPr>
        <w:t>Broda</w:t>
      </w:r>
      <w:r w:rsidR="00C05C49" w:rsidRPr="00B96359">
        <w:rPr>
          <w:sz w:val="24"/>
          <w:szCs w:val="24"/>
        </w:rPr>
        <w:t xml:space="preserve"> (2004), Edwards </w:t>
      </w:r>
      <w:r w:rsidR="00C86ED0" w:rsidRPr="00B96359">
        <w:rPr>
          <w:sz w:val="24"/>
          <w:szCs w:val="24"/>
        </w:rPr>
        <w:t>and</w:t>
      </w:r>
      <w:r w:rsidR="00957318" w:rsidRPr="00B96359">
        <w:rPr>
          <w:sz w:val="24"/>
          <w:szCs w:val="24"/>
        </w:rPr>
        <w:t xml:space="preserve"> L</w:t>
      </w:r>
      <w:r w:rsidR="00D95EC7">
        <w:rPr>
          <w:sz w:val="24"/>
          <w:szCs w:val="24"/>
        </w:rPr>
        <w:t>evy-</w:t>
      </w:r>
      <w:r w:rsidR="00957318" w:rsidRPr="00B96359">
        <w:rPr>
          <w:sz w:val="24"/>
          <w:szCs w:val="24"/>
        </w:rPr>
        <w:t>Yeyati (2005), Rafiq (2011),</w:t>
      </w:r>
      <w:r w:rsidR="00C86ED0" w:rsidRPr="00B96359">
        <w:rPr>
          <w:sz w:val="24"/>
          <w:szCs w:val="24"/>
        </w:rPr>
        <w:t xml:space="preserve"> Céspedes and</w:t>
      </w:r>
      <w:r w:rsidR="00C05C49" w:rsidRPr="00B96359">
        <w:rPr>
          <w:sz w:val="24"/>
          <w:szCs w:val="24"/>
        </w:rPr>
        <w:t xml:space="preserve"> Velasco (2012)</w:t>
      </w:r>
      <w:r w:rsidR="002E79F3">
        <w:rPr>
          <w:sz w:val="24"/>
          <w:szCs w:val="24"/>
        </w:rPr>
        <w:t xml:space="preserve"> and </w:t>
      </w:r>
      <w:r w:rsidR="002E79F3" w:rsidRPr="002E79F3">
        <w:rPr>
          <w:rFonts w:eastAsia="Times New Roman" w:cs="Arial"/>
          <w:color w:val="222222"/>
          <w:sz w:val="24"/>
          <w:szCs w:val="24"/>
          <w:lang w:eastAsia="en-US"/>
        </w:rPr>
        <w:t xml:space="preserve">Berg, </w:t>
      </w:r>
      <w:proofErr w:type="spellStart"/>
      <w:r w:rsidR="002E79F3" w:rsidRPr="002E79F3">
        <w:rPr>
          <w:rFonts w:eastAsia="Times New Roman" w:cs="Arial"/>
          <w:color w:val="222222"/>
          <w:sz w:val="24"/>
          <w:szCs w:val="24"/>
          <w:lang w:eastAsia="en-US"/>
        </w:rPr>
        <w:t>Goncalves</w:t>
      </w:r>
      <w:proofErr w:type="spellEnd"/>
      <w:r w:rsidR="002E79F3" w:rsidRPr="002E79F3">
        <w:rPr>
          <w:rFonts w:eastAsia="Times New Roman" w:cs="Arial"/>
          <w:color w:val="222222"/>
          <w:sz w:val="24"/>
          <w:szCs w:val="24"/>
          <w:lang w:eastAsia="en-US"/>
        </w:rPr>
        <w:t xml:space="preserve"> and Portillo (2016)</w:t>
      </w:r>
      <w:r w:rsidR="00C05C49" w:rsidRPr="002E79F3">
        <w:rPr>
          <w:sz w:val="24"/>
          <w:szCs w:val="24"/>
        </w:rPr>
        <w:t>.</w:t>
      </w:r>
      <w:r w:rsidRPr="00B96359">
        <w:rPr>
          <w:sz w:val="24"/>
          <w:szCs w:val="24"/>
        </w:rPr>
        <w:t xml:space="preserve">   </w:t>
      </w:r>
    </w:p>
    <w:p w:rsidR="00957318" w:rsidRPr="00B96359" w:rsidRDefault="00957318" w:rsidP="00A32057">
      <w:pPr>
        <w:ind w:firstLine="720"/>
        <w:rPr>
          <w:sz w:val="24"/>
          <w:szCs w:val="24"/>
        </w:rPr>
      </w:pPr>
      <w:r w:rsidRPr="00B96359">
        <w:rPr>
          <w:sz w:val="24"/>
          <w:szCs w:val="24"/>
        </w:rPr>
        <w:t xml:space="preserve">Of course the advantages of fixing are still likely to dominate for </w:t>
      </w:r>
      <w:r w:rsidR="00A32057">
        <w:rPr>
          <w:sz w:val="24"/>
          <w:szCs w:val="24"/>
        </w:rPr>
        <w:t xml:space="preserve">very small very open economies (or for </w:t>
      </w:r>
      <w:r w:rsidR="00931F84" w:rsidRPr="00B96359">
        <w:rPr>
          <w:sz w:val="24"/>
          <w:szCs w:val="24"/>
        </w:rPr>
        <w:t>low-income countries that lack developed financial markets)</w:t>
      </w:r>
      <w:r w:rsidRPr="00B96359">
        <w:rPr>
          <w:sz w:val="24"/>
          <w:szCs w:val="24"/>
        </w:rPr>
        <w:t>.</w:t>
      </w:r>
      <w:r w:rsidR="00931F84" w:rsidRPr="00B96359">
        <w:rPr>
          <w:sz w:val="24"/>
          <w:szCs w:val="24"/>
        </w:rPr>
        <w:t xml:space="preserve">  </w:t>
      </w:r>
      <w:r w:rsidRPr="00B96359">
        <w:rPr>
          <w:sz w:val="24"/>
          <w:szCs w:val="24"/>
        </w:rPr>
        <w:t>Examples</w:t>
      </w:r>
      <w:r w:rsidR="00A83D67" w:rsidRPr="00B96359">
        <w:rPr>
          <w:sz w:val="24"/>
          <w:szCs w:val="24"/>
        </w:rPr>
        <w:t xml:space="preserve"> among oil exporters include</w:t>
      </w:r>
      <w:r w:rsidRPr="00B96359">
        <w:rPr>
          <w:sz w:val="24"/>
          <w:szCs w:val="24"/>
        </w:rPr>
        <w:t xml:space="preserve"> Bahrain, Brunei, Cameroon, </w:t>
      </w:r>
      <w:r w:rsidR="00A83D67" w:rsidRPr="00B96359">
        <w:rPr>
          <w:sz w:val="24"/>
          <w:szCs w:val="24"/>
        </w:rPr>
        <w:t xml:space="preserve">and </w:t>
      </w:r>
      <w:r w:rsidRPr="00B96359">
        <w:rPr>
          <w:sz w:val="24"/>
          <w:szCs w:val="24"/>
        </w:rPr>
        <w:t>Trinidad.</w:t>
      </w:r>
    </w:p>
    <w:p w:rsidR="00957318" w:rsidRPr="00B96359" w:rsidRDefault="00A32057" w:rsidP="00A32057">
      <w:pPr>
        <w:ind w:firstLine="720"/>
        <w:rPr>
          <w:sz w:val="24"/>
          <w:szCs w:val="24"/>
        </w:rPr>
      </w:pPr>
      <w:r>
        <w:rPr>
          <w:sz w:val="24"/>
          <w:szCs w:val="24"/>
        </w:rPr>
        <w:t>F</w:t>
      </w:r>
      <w:r w:rsidR="004B6C62" w:rsidRPr="00B96359">
        <w:rPr>
          <w:sz w:val="24"/>
          <w:szCs w:val="24"/>
        </w:rPr>
        <w:t>or middle-sized middle-income commodity-exporting countries</w:t>
      </w:r>
      <w:r w:rsidR="00957318" w:rsidRPr="00B96359">
        <w:rPr>
          <w:sz w:val="24"/>
          <w:szCs w:val="24"/>
        </w:rPr>
        <w:t xml:space="preserve">, </w:t>
      </w:r>
      <w:r w:rsidR="00011B4C">
        <w:rPr>
          <w:sz w:val="24"/>
          <w:szCs w:val="24"/>
        </w:rPr>
        <w:t>i</w:t>
      </w:r>
      <w:r w:rsidRPr="00B96359">
        <w:rPr>
          <w:sz w:val="24"/>
          <w:szCs w:val="24"/>
        </w:rPr>
        <w:t>f the exchange rate is not to be the anchor</w:t>
      </w:r>
      <w:r>
        <w:rPr>
          <w:sz w:val="24"/>
          <w:szCs w:val="24"/>
        </w:rPr>
        <w:t>,</w:t>
      </w:r>
      <w:r w:rsidRPr="00B96359">
        <w:rPr>
          <w:sz w:val="24"/>
          <w:szCs w:val="24"/>
        </w:rPr>
        <w:t xml:space="preserve"> </w:t>
      </w:r>
      <w:r w:rsidR="00957318" w:rsidRPr="00B96359">
        <w:rPr>
          <w:sz w:val="24"/>
          <w:szCs w:val="24"/>
        </w:rPr>
        <w:t>what is?</w:t>
      </w:r>
      <w:r w:rsidR="004B6C62" w:rsidRPr="00B96359">
        <w:rPr>
          <w:sz w:val="24"/>
          <w:szCs w:val="24"/>
        </w:rPr>
        <w:t xml:space="preserve">  </w:t>
      </w:r>
      <w:r w:rsidR="00957318" w:rsidRPr="00B96359">
        <w:rPr>
          <w:sz w:val="24"/>
          <w:szCs w:val="24"/>
        </w:rPr>
        <w:t>The popular choice since the 1990s</w:t>
      </w:r>
      <w:r w:rsidR="004B6C62" w:rsidRPr="00B96359">
        <w:rPr>
          <w:sz w:val="24"/>
          <w:szCs w:val="24"/>
        </w:rPr>
        <w:t xml:space="preserve"> has been</w:t>
      </w:r>
      <w:r w:rsidR="004B4DDB" w:rsidRPr="00B96359">
        <w:rPr>
          <w:sz w:val="24"/>
          <w:szCs w:val="24"/>
        </w:rPr>
        <w:t xml:space="preserve"> </w:t>
      </w:r>
      <w:r w:rsidR="00957318" w:rsidRPr="00B96359">
        <w:rPr>
          <w:sz w:val="24"/>
          <w:szCs w:val="24"/>
        </w:rPr>
        <w:t>I</w:t>
      </w:r>
      <w:r w:rsidR="00801A23" w:rsidRPr="00B96359">
        <w:rPr>
          <w:sz w:val="24"/>
          <w:szCs w:val="24"/>
        </w:rPr>
        <w:t xml:space="preserve">nflation </w:t>
      </w:r>
      <w:r w:rsidR="00957318" w:rsidRPr="00B96359">
        <w:rPr>
          <w:sz w:val="24"/>
          <w:szCs w:val="24"/>
        </w:rPr>
        <w:t>T</w:t>
      </w:r>
      <w:r w:rsidR="00801A23" w:rsidRPr="00B96359">
        <w:rPr>
          <w:sz w:val="24"/>
          <w:szCs w:val="24"/>
        </w:rPr>
        <w:t>argeting (IT)</w:t>
      </w:r>
      <w:r w:rsidR="00957318" w:rsidRPr="00B96359">
        <w:rPr>
          <w:sz w:val="24"/>
          <w:szCs w:val="24"/>
        </w:rPr>
        <w:t>, meaning</w:t>
      </w:r>
      <w:r w:rsidR="00A83D67" w:rsidRPr="00B96359">
        <w:rPr>
          <w:sz w:val="24"/>
          <w:szCs w:val="24"/>
        </w:rPr>
        <w:t xml:space="preserve"> the announcement of a</w:t>
      </w:r>
      <w:r w:rsidR="00957318" w:rsidRPr="00B96359">
        <w:rPr>
          <w:sz w:val="24"/>
          <w:szCs w:val="24"/>
        </w:rPr>
        <w:t xml:space="preserve"> targeting </w:t>
      </w:r>
      <w:r w:rsidR="00A83D67" w:rsidRPr="00B96359">
        <w:rPr>
          <w:sz w:val="24"/>
          <w:szCs w:val="24"/>
        </w:rPr>
        <w:t xml:space="preserve">for </w:t>
      </w:r>
      <w:r w:rsidR="005D310D" w:rsidRPr="00B96359">
        <w:rPr>
          <w:sz w:val="24"/>
          <w:szCs w:val="24"/>
        </w:rPr>
        <w:t>the CPI in some form</w:t>
      </w:r>
      <w:r w:rsidR="004B6C62" w:rsidRPr="00B96359">
        <w:rPr>
          <w:sz w:val="24"/>
          <w:szCs w:val="24"/>
        </w:rPr>
        <w:t xml:space="preserve">.  </w:t>
      </w:r>
      <w:r>
        <w:rPr>
          <w:sz w:val="24"/>
          <w:szCs w:val="24"/>
        </w:rPr>
        <w:t>IT comes in v</w:t>
      </w:r>
      <w:r w:rsidR="00957318" w:rsidRPr="00B96359">
        <w:rPr>
          <w:sz w:val="24"/>
          <w:szCs w:val="24"/>
        </w:rPr>
        <w:t>ariations</w:t>
      </w:r>
      <w:r>
        <w:rPr>
          <w:sz w:val="24"/>
          <w:szCs w:val="24"/>
        </w:rPr>
        <w:t>.  Choices</w:t>
      </w:r>
      <w:r w:rsidR="00957318" w:rsidRPr="00B96359">
        <w:rPr>
          <w:sz w:val="24"/>
          <w:szCs w:val="24"/>
        </w:rPr>
        <w:t xml:space="preserve"> include </w:t>
      </w:r>
      <w:r w:rsidR="00A83D67" w:rsidRPr="00B96359">
        <w:rPr>
          <w:sz w:val="24"/>
          <w:szCs w:val="24"/>
        </w:rPr>
        <w:t xml:space="preserve">targeting the </w:t>
      </w:r>
      <w:r w:rsidR="00957318" w:rsidRPr="00B96359">
        <w:rPr>
          <w:sz w:val="24"/>
          <w:szCs w:val="24"/>
        </w:rPr>
        <w:t xml:space="preserve">level </w:t>
      </w:r>
      <w:r w:rsidR="00A83D67" w:rsidRPr="00B96359">
        <w:rPr>
          <w:sz w:val="24"/>
          <w:szCs w:val="24"/>
        </w:rPr>
        <w:t xml:space="preserve">of the CPI </w:t>
      </w:r>
      <w:r w:rsidR="00957318" w:rsidRPr="00B96359">
        <w:rPr>
          <w:sz w:val="24"/>
          <w:szCs w:val="24"/>
        </w:rPr>
        <w:t>v</w:t>
      </w:r>
      <w:r>
        <w:rPr>
          <w:sz w:val="24"/>
          <w:szCs w:val="24"/>
        </w:rPr>
        <w:t>ersus the</w:t>
      </w:r>
      <w:r w:rsidR="00957318" w:rsidRPr="00B96359">
        <w:rPr>
          <w:sz w:val="24"/>
          <w:szCs w:val="24"/>
        </w:rPr>
        <w:t xml:space="preserve"> </w:t>
      </w:r>
      <w:r w:rsidR="00A83D67" w:rsidRPr="00B96359">
        <w:rPr>
          <w:sz w:val="24"/>
          <w:szCs w:val="24"/>
        </w:rPr>
        <w:t xml:space="preserve">rate of </w:t>
      </w:r>
      <w:r w:rsidR="00957318" w:rsidRPr="00B96359">
        <w:rPr>
          <w:sz w:val="24"/>
          <w:szCs w:val="24"/>
        </w:rPr>
        <w:t>change, headline</w:t>
      </w:r>
      <w:r>
        <w:rPr>
          <w:sz w:val="24"/>
          <w:szCs w:val="24"/>
        </w:rPr>
        <w:t xml:space="preserve"> CPI</w:t>
      </w:r>
      <w:r w:rsidR="00957318" w:rsidRPr="00B96359">
        <w:rPr>
          <w:sz w:val="24"/>
          <w:szCs w:val="24"/>
        </w:rPr>
        <w:t xml:space="preserve"> v</w:t>
      </w:r>
      <w:r>
        <w:rPr>
          <w:sz w:val="24"/>
          <w:szCs w:val="24"/>
        </w:rPr>
        <w:t>ersus</w:t>
      </w:r>
      <w:r w:rsidR="00957318" w:rsidRPr="00B96359">
        <w:rPr>
          <w:sz w:val="24"/>
          <w:szCs w:val="24"/>
        </w:rPr>
        <w:t xml:space="preserve"> core, </w:t>
      </w:r>
      <w:r w:rsidR="00A83D67" w:rsidRPr="00B96359">
        <w:rPr>
          <w:sz w:val="24"/>
          <w:szCs w:val="24"/>
        </w:rPr>
        <w:t xml:space="preserve">and </w:t>
      </w:r>
      <w:r w:rsidR="00957318" w:rsidRPr="00B96359">
        <w:rPr>
          <w:sz w:val="24"/>
          <w:szCs w:val="24"/>
        </w:rPr>
        <w:t>f</w:t>
      </w:r>
      <w:r w:rsidR="00A83D67" w:rsidRPr="00B96359">
        <w:rPr>
          <w:sz w:val="24"/>
          <w:szCs w:val="24"/>
        </w:rPr>
        <w:t>orecasted inflation v</w:t>
      </w:r>
      <w:r>
        <w:rPr>
          <w:sz w:val="24"/>
          <w:szCs w:val="24"/>
        </w:rPr>
        <w:t>ersus</w:t>
      </w:r>
      <w:r w:rsidR="00A83D67" w:rsidRPr="00B96359">
        <w:rPr>
          <w:sz w:val="24"/>
          <w:szCs w:val="24"/>
        </w:rPr>
        <w:t xml:space="preserve"> actual.</w:t>
      </w:r>
    </w:p>
    <w:p w:rsidR="00E37626" w:rsidRDefault="004B6C62" w:rsidP="00F35AA5">
      <w:pPr>
        <w:ind w:firstLine="720"/>
        <w:rPr>
          <w:sz w:val="24"/>
          <w:szCs w:val="24"/>
        </w:rPr>
      </w:pPr>
      <w:r w:rsidRPr="00B96359">
        <w:rPr>
          <w:sz w:val="24"/>
          <w:szCs w:val="24"/>
        </w:rPr>
        <w:t>One point is n</w:t>
      </w:r>
      <w:r w:rsidR="00957318" w:rsidRPr="00B96359">
        <w:rPr>
          <w:sz w:val="24"/>
          <w:szCs w:val="24"/>
        </w:rPr>
        <w:t xml:space="preserve">ot widely enough </w:t>
      </w:r>
      <w:r w:rsidR="00A3233A">
        <w:rPr>
          <w:sz w:val="24"/>
          <w:szCs w:val="24"/>
        </w:rPr>
        <w:t>considered</w:t>
      </w:r>
      <w:r w:rsidR="00957318" w:rsidRPr="00B96359">
        <w:rPr>
          <w:sz w:val="24"/>
          <w:szCs w:val="24"/>
        </w:rPr>
        <w:t xml:space="preserve">:  </w:t>
      </w:r>
      <w:r w:rsidR="00071C42">
        <w:rPr>
          <w:sz w:val="24"/>
          <w:szCs w:val="24"/>
        </w:rPr>
        <w:t>Regardless which variation, t</w:t>
      </w:r>
      <w:r w:rsidR="00957318" w:rsidRPr="00B96359">
        <w:rPr>
          <w:sz w:val="24"/>
          <w:szCs w:val="24"/>
        </w:rPr>
        <w:t xml:space="preserve">he CPI is a bad choice </w:t>
      </w:r>
      <w:r w:rsidR="00A83D67" w:rsidRPr="00B96359">
        <w:rPr>
          <w:sz w:val="24"/>
          <w:szCs w:val="24"/>
        </w:rPr>
        <w:t xml:space="preserve">for targeted variable </w:t>
      </w:r>
      <w:r w:rsidR="00957318" w:rsidRPr="00B96359">
        <w:rPr>
          <w:sz w:val="24"/>
          <w:szCs w:val="24"/>
        </w:rPr>
        <w:t xml:space="preserve">with respect to terms of trade shocks.  </w:t>
      </w:r>
      <w:r w:rsidR="00A83D67" w:rsidRPr="00B96359">
        <w:rPr>
          <w:sz w:val="24"/>
          <w:szCs w:val="24"/>
        </w:rPr>
        <w:t xml:space="preserve">Assume a country that exports </w:t>
      </w:r>
      <w:r w:rsidR="00A3233A">
        <w:rPr>
          <w:sz w:val="24"/>
          <w:szCs w:val="24"/>
        </w:rPr>
        <w:t xml:space="preserve">oil </w:t>
      </w:r>
      <w:r w:rsidR="00A83D67" w:rsidRPr="00B96359">
        <w:rPr>
          <w:sz w:val="24"/>
          <w:szCs w:val="24"/>
        </w:rPr>
        <w:t xml:space="preserve">and imports </w:t>
      </w:r>
      <w:r w:rsidR="00A3233A">
        <w:rPr>
          <w:sz w:val="24"/>
          <w:szCs w:val="24"/>
        </w:rPr>
        <w:t>food</w:t>
      </w:r>
      <w:r w:rsidR="00A83D67" w:rsidRPr="00B96359">
        <w:rPr>
          <w:sz w:val="24"/>
          <w:szCs w:val="24"/>
        </w:rPr>
        <w:t xml:space="preserve">.  </w:t>
      </w:r>
      <w:r w:rsidR="00957318" w:rsidRPr="00B96359">
        <w:rPr>
          <w:sz w:val="24"/>
          <w:szCs w:val="24"/>
        </w:rPr>
        <w:t xml:space="preserve">If </w:t>
      </w:r>
      <w:r w:rsidR="00801A23" w:rsidRPr="00B96359">
        <w:rPr>
          <w:sz w:val="24"/>
          <w:szCs w:val="24"/>
        </w:rPr>
        <w:t>interpreted literally, a CPI target</w:t>
      </w:r>
      <w:r w:rsidR="00957318" w:rsidRPr="00B96359">
        <w:rPr>
          <w:sz w:val="24"/>
          <w:szCs w:val="24"/>
        </w:rPr>
        <w:t xml:space="preserve"> prevents the central bank from responding to a fall in the dollar price of </w:t>
      </w:r>
      <w:r w:rsidR="00A3233A">
        <w:rPr>
          <w:sz w:val="24"/>
          <w:szCs w:val="24"/>
        </w:rPr>
        <w:t>oil</w:t>
      </w:r>
      <w:r w:rsidR="00957318" w:rsidRPr="00B96359">
        <w:rPr>
          <w:sz w:val="24"/>
          <w:szCs w:val="24"/>
        </w:rPr>
        <w:t xml:space="preserve"> </w:t>
      </w:r>
      <w:r w:rsidR="00801A23" w:rsidRPr="00B96359">
        <w:rPr>
          <w:sz w:val="24"/>
          <w:szCs w:val="24"/>
        </w:rPr>
        <w:t xml:space="preserve">with easy enough money </w:t>
      </w:r>
      <w:r w:rsidR="00957318" w:rsidRPr="00B96359">
        <w:rPr>
          <w:sz w:val="24"/>
          <w:szCs w:val="24"/>
        </w:rPr>
        <w:t>to depreciate the currency</w:t>
      </w:r>
      <w:r w:rsidR="00071C42">
        <w:rPr>
          <w:sz w:val="24"/>
          <w:szCs w:val="24"/>
        </w:rPr>
        <w:t xml:space="preserve"> (otherwise the domestic price of food will rise, violating the CPI target)</w:t>
      </w:r>
      <w:r w:rsidR="00801A23" w:rsidRPr="00B96359">
        <w:rPr>
          <w:sz w:val="24"/>
          <w:szCs w:val="24"/>
        </w:rPr>
        <w:t>;</w:t>
      </w:r>
      <w:r w:rsidR="00957318" w:rsidRPr="00B96359">
        <w:rPr>
          <w:sz w:val="24"/>
          <w:szCs w:val="24"/>
        </w:rPr>
        <w:t xml:space="preserve"> and it requires the central bank to respond to a rise in the dollar price of import</w:t>
      </w:r>
      <w:r w:rsidR="00A83D67" w:rsidRPr="00B96359">
        <w:rPr>
          <w:sz w:val="24"/>
          <w:szCs w:val="24"/>
        </w:rPr>
        <w:t xml:space="preserve">ed </w:t>
      </w:r>
      <w:r w:rsidR="00A3233A">
        <w:rPr>
          <w:sz w:val="24"/>
          <w:szCs w:val="24"/>
        </w:rPr>
        <w:t>food</w:t>
      </w:r>
      <w:r w:rsidR="00957318" w:rsidRPr="00B96359">
        <w:rPr>
          <w:sz w:val="24"/>
          <w:szCs w:val="24"/>
        </w:rPr>
        <w:t xml:space="preserve"> by tightening enough to appreciate the currency</w:t>
      </w:r>
      <w:r w:rsidR="00071C42">
        <w:rPr>
          <w:sz w:val="24"/>
          <w:szCs w:val="24"/>
        </w:rPr>
        <w:t xml:space="preserve"> (for the same reason)</w:t>
      </w:r>
      <w:r w:rsidR="00957318" w:rsidRPr="00B96359">
        <w:rPr>
          <w:sz w:val="24"/>
          <w:szCs w:val="24"/>
        </w:rPr>
        <w:t>.</w:t>
      </w:r>
      <w:r w:rsidR="00E37626">
        <w:rPr>
          <w:sz w:val="24"/>
          <w:szCs w:val="24"/>
        </w:rPr>
        <w:t xml:space="preserve">  </w:t>
      </w:r>
      <w:r w:rsidR="00957318" w:rsidRPr="00B96359">
        <w:rPr>
          <w:sz w:val="24"/>
          <w:szCs w:val="24"/>
        </w:rPr>
        <w:t xml:space="preserve">This is backwards.  </w:t>
      </w:r>
      <w:r w:rsidR="00E37626">
        <w:rPr>
          <w:sz w:val="24"/>
          <w:szCs w:val="24"/>
        </w:rPr>
        <w:t>It exacerbates terms-of-trade shocks r</w:t>
      </w:r>
      <w:r w:rsidR="002D5CF9">
        <w:rPr>
          <w:sz w:val="24"/>
          <w:szCs w:val="24"/>
        </w:rPr>
        <w:t>ather than accommodating them.  A short-term CPI target</w:t>
      </w:r>
      <w:r w:rsidR="00E37626">
        <w:rPr>
          <w:sz w:val="24"/>
          <w:szCs w:val="24"/>
        </w:rPr>
        <w:t xml:space="preserve"> produces pro-cyclical monetary policy rather than counter-cyclical.</w:t>
      </w:r>
      <w:r w:rsidR="002D5CF9">
        <w:rPr>
          <w:sz w:val="24"/>
          <w:szCs w:val="24"/>
        </w:rPr>
        <w:t xml:space="preserve">  It is like the currency peg in this regard, but more so.</w:t>
      </w:r>
    </w:p>
    <w:p w:rsidR="00957318" w:rsidRDefault="00957318" w:rsidP="00F35AA5">
      <w:pPr>
        <w:ind w:firstLine="720"/>
        <w:rPr>
          <w:sz w:val="24"/>
          <w:szCs w:val="24"/>
        </w:rPr>
      </w:pPr>
      <w:r w:rsidRPr="00B96359">
        <w:rPr>
          <w:sz w:val="24"/>
          <w:szCs w:val="24"/>
        </w:rPr>
        <w:t xml:space="preserve">If </w:t>
      </w:r>
      <w:r w:rsidR="004B6C62" w:rsidRPr="00B96359">
        <w:rPr>
          <w:sz w:val="24"/>
          <w:szCs w:val="24"/>
        </w:rPr>
        <w:t xml:space="preserve">the authorities are </w:t>
      </w:r>
      <w:r w:rsidRPr="00B96359">
        <w:rPr>
          <w:sz w:val="24"/>
          <w:szCs w:val="24"/>
        </w:rPr>
        <w:t>going to target inflation, the price index should be one that leaves the import commodity</w:t>
      </w:r>
      <w:r w:rsidR="00801A23" w:rsidRPr="00B96359">
        <w:rPr>
          <w:sz w:val="24"/>
          <w:szCs w:val="24"/>
        </w:rPr>
        <w:t xml:space="preserve"> out of the basket</w:t>
      </w:r>
      <w:r w:rsidRPr="00B96359">
        <w:rPr>
          <w:sz w:val="24"/>
          <w:szCs w:val="24"/>
        </w:rPr>
        <w:t>, but includes th</w:t>
      </w:r>
      <w:r w:rsidR="007A5AF7">
        <w:rPr>
          <w:sz w:val="24"/>
          <w:szCs w:val="24"/>
        </w:rPr>
        <w:t>e price of the export commodity:</w:t>
      </w:r>
      <w:r w:rsidRPr="00B96359">
        <w:rPr>
          <w:sz w:val="24"/>
          <w:szCs w:val="24"/>
        </w:rPr>
        <w:t xml:space="preserve"> something </w:t>
      </w:r>
      <w:r w:rsidR="00A83D67" w:rsidRPr="00B96359">
        <w:rPr>
          <w:sz w:val="24"/>
          <w:szCs w:val="24"/>
        </w:rPr>
        <w:t>output</w:t>
      </w:r>
      <w:r w:rsidRPr="00B96359">
        <w:rPr>
          <w:sz w:val="24"/>
          <w:szCs w:val="24"/>
        </w:rPr>
        <w:t xml:space="preserve">-based, rather than </w:t>
      </w:r>
      <w:r w:rsidR="00A83D67" w:rsidRPr="00B96359">
        <w:rPr>
          <w:sz w:val="24"/>
          <w:szCs w:val="24"/>
        </w:rPr>
        <w:t>designed to reflect the consumption basket</w:t>
      </w:r>
      <w:r w:rsidRPr="00B96359">
        <w:rPr>
          <w:sz w:val="24"/>
          <w:szCs w:val="24"/>
        </w:rPr>
        <w:t xml:space="preserve">.   If the Bank of </w:t>
      </w:r>
      <w:r w:rsidR="00A3233A">
        <w:rPr>
          <w:sz w:val="24"/>
          <w:szCs w:val="24"/>
        </w:rPr>
        <w:t>Algeria</w:t>
      </w:r>
      <w:r w:rsidRPr="00B96359">
        <w:rPr>
          <w:sz w:val="24"/>
          <w:szCs w:val="24"/>
        </w:rPr>
        <w:t xml:space="preserve"> were to target the GDP deflator, it would automatically respond to declines in the world price of </w:t>
      </w:r>
      <w:r w:rsidR="00A3233A">
        <w:rPr>
          <w:sz w:val="24"/>
          <w:szCs w:val="24"/>
        </w:rPr>
        <w:t>oil</w:t>
      </w:r>
      <w:r w:rsidRPr="00B96359">
        <w:rPr>
          <w:sz w:val="24"/>
          <w:szCs w:val="24"/>
        </w:rPr>
        <w:t xml:space="preserve"> with monetary policy ea</w:t>
      </w:r>
      <w:r w:rsidR="00977BC0">
        <w:rPr>
          <w:sz w:val="24"/>
          <w:szCs w:val="24"/>
        </w:rPr>
        <w:t>sy enough to depreciate the dinar</w:t>
      </w:r>
      <w:r w:rsidRPr="00B96359">
        <w:rPr>
          <w:sz w:val="24"/>
          <w:szCs w:val="24"/>
        </w:rPr>
        <w:t xml:space="preserve">, which is what </w:t>
      </w:r>
      <w:r w:rsidR="00AF013C" w:rsidRPr="00B96359">
        <w:rPr>
          <w:sz w:val="24"/>
          <w:szCs w:val="24"/>
        </w:rPr>
        <w:t>one</w:t>
      </w:r>
      <w:r w:rsidRPr="00B96359">
        <w:rPr>
          <w:sz w:val="24"/>
          <w:szCs w:val="24"/>
        </w:rPr>
        <w:t xml:space="preserve"> </w:t>
      </w:r>
      <w:r w:rsidRPr="00B96359">
        <w:rPr>
          <w:sz w:val="24"/>
          <w:szCs w:val="24"/>
        </w:rPr>
        <w:lastRenderedPageBreak/>
        <w:t>want</w:t>
      </w:r>
      <w:r w:rsidR="00AF013C" w:rsidRPr="00B96359">
        <w:rPr>
          <w:sz w:val="24"/>
          <w:szCs w:val="24"/>
        </w:rPr>
        <w:t>s</w:t>
      </w:r>
      <w:r w:rsidRPr="00B96359">
        <w:rPr>
          <w:sz w:val="24"/>
          <w:szCs w:val="24"/>
        </w:rPr>
        <w:t xml:space="preserve">, and not when the price of the </w:t>
      </w:r>
      <w:r w:rsidRPr="00B96359">
        <w:rPr>
          <w:i/>
          <w:sz w:val="24"/>
          <w:szCs w:val="24"/>
        </w:rPr>
        <w:t>import</w:t>
      </w:r>
      <w:r w:rsidRPr="00B96359">
        <w:rPr>
          <w:sz w:val="24"/>
          <w:szCs w:val="24"/>
        </w:rPr>
        <w:t xml:space="preserve"> commodity falls </w:t>
      </w:r>
      <w:r w:rsidR="00F35AA5">
        <w:rPr>
          <w:sz w:val="24"/>
          <w:szCs w:val="24"/>
        </w:rPr>
        <w:t>which is what a CPI target does</w:t>
      </w:r>
      <w:r w:rsidRPr="00B96359">
        <w:rPr>
          <w:sz w:val="24"/>
          <w:szCs w:val="24"/>
        </w:rPr>
        <w:t>.</w:t>
      </w:r>
      <w:r w:rsidR="00A83D67" w:rsidRPr="00B96359">
        <w:rPr>
          <w:rStyle w:val="FootnoteReference"/>
          <w:sz w:val="24"/>
          <w:szCs w:val="24"/>
        </w:rPr>
        <w:footnoteReference w:id="16"/>
      </w:r>
      <w:r w:rsidRPr="00B96359">
        <w:rPr>
          <w:sz w:val="24"/>
          <w:szCs w:val="24"/>
        </w:rPr>
        <w:t xml:space="preserve">   </w:t>
      </w:r>
      <w:r w:rsidR="007A5AF7">
        <w:rPr>
          <w:sz w:val="24"/>
          <w:szCs w:val="24"/>
        </w:rPr>
        <w:t>Unfortunately, n</w:t>
      </w:r>
      <w:r w:rsidRPr="00B96359">
        <w:rPr>
          <w:sz w:val="24"/>
          <w:szCs w:val="24"/>
        </w:rPr>
        <w:t xml:space="preserve">obody has tried </w:t>
      </w:r>
      <w:r w:rsidR="00C06C2C" w:rsidRPr="00B96359">
        <w:rPr>
          <w:sz w:val="24"/>
          <w:szCs w:val="24"/>
        </w:rPr>
        <w:t>out th</w:t>
      </w:r>
      <w:r w:rsidR="00F35AA5">
        <w:rPr>
          <w:sz w:val="24"/>
          <w:szCs w:val="24"/>
        </w:rPr>
        <w:t>e</w:t>
      </w:r>
      <w:r w:rsidR="00C06C2C" w:rsidRPr="00B96359">
        <w:rPr>
          <w:sz w:val="24"/>
          <w:szCs w:val="24"/>
        </w:rPr>
        <w:t xml:space="preserve"> proposal</w:t>
      </w:r>
      <w:r w:rsidR="00F35AA5">
        <w:rPr>
          <w:sz w:val="24"/>
          <w:szCs w:val="24"/>
        </w:rPr>
        <w:t xml:space="preserve"> to target the GDP deflator</w:t>
      </w:r>
      <w:r w:rsidRPr="00B96359">
        <w:rPr>
          <w:sz w:val="24"/>
          <w:szCs w:val="24"/>
        </w:rPr>
        <w:t>.</w:t>
      </w:r>
    </w:p>
    <w:p w:rsidR="00F35AA5" w:rsidRPr="00B96359" w:rsidRDefault="00F35AA5" w:rsidP="007A5AF7">
      <w:pPr>
        <w:ind w:firstLine="720"/>
        <w:rPr>
          <w:sz w:val="24"/>
          <w:szCs w:val="24"/>
        </w:rPr>
      </w:pPr>
      <w:r>
        <w:rPr>
          <w:sz w:val="24"/>
          <w:szCs w:val="24"/>
        </w:rPr>
        <w:t xml:space="preserve">An alternative, especially for countries </w:t>
      </w:r>
      <w:r w:rsidR="00970F4D">
        <w:rPr>
          <w:sz w:val="24"/>
          <w:szCs w:val="24"/>
        </w:rPr>
        <w:t>like</w:t>
      </w:r>
      <w:r>
        <w:rPr>
          <w:sz w:val="24"/>
          <w:szCs w:val="24"/>
        </w:rPr>
        <w:t xml:space="preserve"> Kuwait that currently target a basket of major currencies such as the dollar and euro, is to add the export commodity to the basket.  If the Kuwaiti dinar were pegged to a basket that gave one-third weight to the dollar, one-third to the euro, and one third to oil, the value of the currency would again automatically move up and down with the value of a barrel of oil.</w:t>
      </w:r>
      <w:r w:rsidR="00707C2F">
        <w:rPr>
          <w:sz w:val="24"/>
          <w:szCs w:val="24"/>
        </w:rPr>
        <w:t xml:space="preserve">  </w:t>
      </w:r>
      <w:r w:rsidR="00707C2F">
        <w:t>Among Gulf countries, swings in external balance and in internal balance during 2001-16, are attributable to the inability of their exchange rates to adjust to the ups and downs in oil prices in a way that the</w:t>
      </w:r>
      <w:r w:rsidR="00F81676">
        <w:t xml:space="preserve"> proposal for a</w:t>
      </w:r>
      <w:r w:rsidR="00707C2F">
        <w:t xml:space="preserve"> Currency</w:t>
      </w:r>
      <w:r w:rsidR="00F81676">
        <w:t>-plus-</w:t>
      </w:r>
      <w:r w:rsidR="00707C2F">
        <w:t>Commodity Basket (CCB) would deliver automatically.</w:t>
      </w:r>
      <w:r w:rsidR="003D646B">
        <w:rPr>
          <w:rStyle w:val="FootnoteReference"/>
          <w:sz w:val="24"/>
          <w:szCs w:val="24"/>
        </w:rPr>
        <w:footnoteReference w:id="17"/>
      </w:r>
      <w:r w:rsidR="00581D36">
        <w:rPr>
          <w:sz w:val="24"/>
          <w:szCs w:val="24"/>
        </w:rPr>
        <w:t xml:space="preserve">  </w:t>
      </w:r>
      <w:r w:rsidR="00F81676">
        <w:rPr>
          <w:sz w:val="24"/>
          <w:szCs w:val="24"/>
        </w:rPr>
        <w:t>The argument in favor of CCB is that, for a commodity-exporting developing country, it delivers the best of floating – automatic accommodation of trade shocks – together with the best of fixed rates – a stable and transparent anchor.  This</w:t>
      </w:r>
      <w:r w:rsidR="00581D36">
        <w:rPr>
          <w:sz w:val="24"/>
          <w:szCs w:val="24"/>
        </w:rPr>
        <w:t xml:space="preserve"> proposal</w:t>
      </w:r>
      <w:r w:rsidR="00F81676">
        <w:rPr>
          <w:sz w:val="24"/>
          <w:szCs w:val="24"/>
        </w:rPr>
        <w:t>, too,</w:t>
      </w:r>
      <w:r w:rsidR="00581D36">
        <w:rPr>
          <w:sz w:val="24"/>
          <w:szCs w:val="24"/>
        </w:rPr>
        <w:t xml:space="preserve"> has yet to be tried.</w:t>
      </w:r>
    </w:p>
    <w:p w:rsidR="00581D36" w:rsidRDefault="00D95EC7" w:rsidP="007A5AF7">
      <w:pPr>
        <w:pStyle w:val="ListParagraph"/>
        <w:ind w:left="0" w:firstLine="720"/>
        <w:rPr>
          <w:sz w:val="24"/>
          <w:szCs w:val="24"/>
        </w:rPr>
      </w:pPr>
      <w:r>
        <w:rPr>
          <w:sz w:val="24"/>
          <w:szCs w:val="24"/>
        </w:rPr>
        <w:t>A more familiar recommendation is to</w:t>
      </w:r>
      <w:r w:rsidR="00957318" w:rsidRPr="00B96359">
        <w:rPr>
          <w:sz w:val="24"/>
          <w:szCs w:val="24"/>
        </w:rPr>
        <w:t xml:space="preserve"> target nominal GDP.</w:t>
      </w:r>
      <w:r w:rsidR="002A03BE" w:rsidRPr="00B96359">
        <w:rPr>
          <w:rStyle w:val="FootnoteReference"/>
          <w:sz w:val="24"/>
          <w:szCs w:val="24"/>
        </w:rPr>
        <w:footnoteReference w:id="18"/>
      </w:r>
      <w:r w:rsidR="00957318" w:rsidRPr="00B96359">
        <w:rPr>
          <w:sz w:val="24"/>
          <w:szCs w:val="24"/>
        </w:rPr>
        <w:t xml:space="preserve">  It has the same advantages as targeting the nominal GDP deflator (accommodating</w:t>
      </w:r>
      <w:r w:rsidR="00C06C2C" w:rsidRPr="00B96359">
        <w:rPr>
          <w:sz w:val="24"/>
          <w:szCs w:val="24"/>
        </w:rPr>
        <w:t xml:space="preserve"> shocks to</w:t>
      </w:r>
      <w:r w:rsidR="00957318" w:rsidRPr="00B96359">
        <w:rPr>
          <w:sz w:val="24"/>
          <w:szCs w:val="24"/>
        </w:rPr>
        <w:t xml:space="preserve"> the </w:t>
      </w:r>
      <w:r w:rsidR="006C510F" w:rsidRPr="00B96359">
        <w:rPr>
          <w:sz w:val="24"/>
          <w:szCs w:val="24"/>
        </w:rPr>
        <w:t>terms of trade better than a CPI target</w:t>
      </w:r>
      <w:r w:rsidR="00957318" w:rsidRPr="00B96359">
        <w:rPr>
          <w:sz w:val="24"/>
          <w:szCs w:val="24"/>
        </w:rPr>
        <w:t xml:space="preserve">), and </w:t>
      </w:r>
      <w:r w:rsidR="00D755FB" w:rsidRPr="00B96359">
        <w:rPr>
          <w:sz w:val="24"/>
          <w:szCs w:val="24"/>
        </w:rPr>
        <w:t xml:space="preserve">has </w:t>
      </w:r>
      <w:r w:rsidR="00957318" w:rsidRPr="00B96359">
        <w:rPr>
          <w:sz w:val="24"/>
          <w:szCs w:val="24"/>
        </w:rPr>
        <w:t>other advantages as well</w:t>
      </w:r>
      <w:r>
        <w:rPr>
          <w:sz w:val="24"/>
          <w:szCs w:val="24"/>
        </w:rPr>
        <w:t>:  I</w:t>
      </w:r>
      <w:r w:rsidR="00957318" w:rsidRPr="00B96359">
        <w:rPr>
          <w:sz w:val="24"/>
          <w:szCs w:val="24"/>
        </w:rPr>
        <w:t>t also beats CPI-targeting in case of supply shocks.</w:t>
      </w:r>
      <w:r w:rsidR="00FF4DB0" w:rsidRPr="00B96359">
        <w:rPr>
          <w:sz w:val="24"/>
          <w:szCs w:val="24"/>
        </w:rPr>
        <w:t xml:space="preserve"> </w:t>
      </w:r>
    </w:p>
    <w:p w:rsidR="00FF4DB0" w:rsidRPr="00B96359" w:rsidRDefault="00957318" w:rsidP="007A5AF7">
      <w:pPr>
        <w:pStyle w:val="ListParagraph"/>
        <w:ind w:left="0" w:firstLine="720"/>
        <w:rPr>
          <w:sz w:val="24"/>
          <w:szCs w:val="24"/>
        </w:rPr>
      </w:pPr>
      <w:r w:rsidRPr="00B96359">
        <w:rPr>
          <w:sz w:val="24"/>
          <w:szCs w:val="24"/>
        </w:rPr>
        <w:t xml:space="preserve">I am not alone in </w:t>
      </w:r>
      <w:r w:rsidR="00D95EC7">
        <w:rPr>
          <w:sz w:val="24"/>
          <w:szCs w:val="24"/>
        </w:rPr>
        <w:t>propos</w:t>
      </w:r>
      <w:r w:rsidRPr="00B96359">
        <w:rPr>
          <w:sz w:val="24"/>
          <w:szCs w:val="24"/>
        </w:rPr>
        <w:t>ing NGDP targeting</w:t>
      </w:r>
      <w:r w:rsidR="002E63C6">
        <w:rPr>
          <w:sz w:val="24"/>
          <w:szCs w:val="24"/>
        </w:rPr>
        <w:t>; many</w:t>
      </w:r>
      <w:r w:rsidRPr="00B96359">
        <w:rPr>
          <w:sz w:val="24"/>
          <w:szCs w:val="24"/>
        </w:rPr>
        <w:t xml:space="preserve"> other economists have done so.</w:t>
      </w:r>
      <w:r w:rsidR="00581D36">
        <w:rPr>
          <w:sz w:val="24"/>
          <w:szCs w:val="24"/>
        </w:rPr>
        <w:t xml:space="preserve">  </w:t>
      </w:r>
      <w:r w:rsidRPr="00B96359">
        <w:rPr>
          <w:sz w:val="24"/>
          <w:szCs w:val="24"/>
        </w:rPr>
        <w:t>The other supporters have almost always been thinking of major central banks like the Fed</w:t>
      </w:r>
      <w:r w:rsidR="002A03BE" w:rsidRPr="00B96359">
        <w:rPr>
          <w:sz w:val="24"/>
          <w:szCs w:val="24"/>
        </w:rPr>
        <w:t>eral Reserve</w:t>
      </w:r>
      <w:r w:rsidRPr="00B96359">
        <w:rPr>
          <w:sz w:val="24"/>
          <w:szCs w:val="24"/>
        </w:rPr>
        <w:t xml:space="preserve"> or the Bank of England.</w:t>
      </w:r>
      <w:r w:rsidR="001476CA" w:rsidRPr="00B96359">
        <w:rPr>
          <w:sz w:val="24"/>
          <w:szCs w:val="24"/>
        </w:rPr>
        <w:t xml:space="preserve">  </w:t>
      </w:r>
      <w:r w:rsidR="002A03BE" w:rsidRPr="00B96359">
        <w:rPr>
          <w:sz w:val="24"/>
          <w:szCs w:val="24"/>
        </w:rPr>
        <w:t xml:space="preserve">In the 1980s </w:t>
      </w:r>
      <w:r w:rsidR="001476CA" w:rsidRPr="00B96359">
        <w:rPr>
          <w:sz w:val="24"/>
          <w:szCs w:val="24"/>
        </w:rPr>
        <w:t>NGDP targeting</w:t>
      </w:r>
      <w:r w:rsidRPr="00B96359">
        <w:rPr>
          <w:sz w:val="24"/>
          <w:szCs w:val="24"/>
        </w:rPr>
        <w:t xml:space="preserve"> was proposed by Meade </w:t>
      </w:r>
      <w:r w:rsidR="004B4DDB" w:rsidRPr="00B96359">
        <w:rPr>
          <w:sz w:val="24"/>
          <w:szCs w:val="24"/>
        </w:rPr>
        <w:t xml:space="preserve">(1978) </w:t>
      </w:r>
      <w:r w:rsidRPr="00B96359">
        <w:rPr>
          <w:sz w:val="24"/>
          <w:szCs w:val="24"/>
        </w:rPr>
        <w:t>and Tobin</w:t>
      </w:r>
      <w:r w:rsidR="004B4DDB" w:rsidRPr="00B96359">
        <w:rPr>
          <w:sz w:val="24"/>
          <w:szCs w:val="24"/>
        </w:rPr>
        <w:t xml:space="preserve"> (1980)</w:t>
      </w:r>
      <w:r w:rsidRPr="00B96359">
        <w:rPr>
          <w:sz w:val="24"/>
          <w:szCs w:val="24"/>
        </w:rPr>
        <w:t xml:space="preserve"> and supported by many others</w:t>
      </w:r>
      <w:r w:rsidR="001476CA" w:rsidRPr="00B96359">
        <w:rPr>
          <w:sz w:val="24"/>
          <w:szCs w:val="24"/>
        </w:rPr>
        <w:t>.  T</w:t>
      </w:r>
      <w:r w:rsidRPr="00B96359">
        <w:rPr>
          <w:sz w:val="24"/>
          <w:szCs w:val="24"/>
        </w:rPr>
        <w:t>he point of a</w:t>
      </w:r>
      <w:r w:rsidR="001476CA" w:rsidRPr="00B96359">
        <w:rPr>
          <w:sz w:val="24"/>
          <w:szCs w:val="24"/>
        </w:rPr>
        <w:t>nnouncing a</w:t>
      </w:r>
      <w:r w:rsidRPr="00B96359">
        <w:rPr>
          <w:sz w:val="24"/>
          <w:szCs w:val="24"/>
        </w:rPr>
        <w:t>n explicit target at th</w:t>
      </w:r>
      <w:r w:rsidR="001476CA" w:rsidRPr="00B96359">
        <w:rPr>
          <w:sz w:val="24"/>
          <w:szCs w:val="24"/>
        </w:rPr>
        <w:t>at</w:t>
      </w:r>
      <w:r w:rsidRPr="00B96359">
        <w:rPr>
          <w:sz w:val="24"/>
          <w:szCs w:val="24"/>
        </w:rPr>
        <w:t xml:space="preserve"> time was to get expectations of inf</w:t>
      </w:r>
      <w:r w:rsidR="001476CA" w:rsidRPr="00B96359">
        <w:rPr>
          <w:sz w:val="24"/>
          <w:szCs w:val="24"/>
        </w:rPr>
        <w:t>lation down.  In recent years the proposal</w:t>
      </w:r>
      <w:r w:rsidRPr="00B96359">
        <w:rPr>
          <w:sz w:val="24"/>
          <w:szCs w:val="24"/>
        </w:rPr>
        <w:t xml:space="preserve"> has been revived (e.g., by Woodford, </w:t>
      </w:r>
      <w:r w:rsidR="004B4DDB" w:rsidRPr="00B96359">
        <w:rPr>
          <w:sz w:val="24"/>
          <w:szCs w:val="24"/>
        </w:rPr>
        <w:t xml:space="preserve">2012, </w:t>
      </w:r>
      <w:r w:rsidRPr="00B96359">
        <w:rPr>
          <w:sz w:val="24"/>
          <w:szCs w:val="24"/>
        </w:rPr>
        <w:t>plus a school that calls itself Market Monetarists)</w:t>
      </w:r>
      <w:r w:rsidR="001476CA" w:rsidRPr="00B96359">
        <w:rPr>
          <w:sz w:val="24"/>
          <w:szCs w:val="24"/>
        </w:rPr>
        <w:t>.  T</w:t>
      </w:r>
      <w:r w:rsidRPr="00B96359">
        <w:rPr>
          <w:sz w:val="24"/>
          <w:szCs w:val="24"/>
        </w:rPr>
        <w:t xml:space="preserve">he point </w:t>
      </w:r>
      <w:r w:rsidR="006C510F" w:rsidRPr="00B96359">
        <w:rPr>
          <w:sz w:val="24"/>
          <w:szCs w:val="24"/>
        </w:rPr>
        <w:t>nowa</w:t>
      </w:r>
      <w:r w:rsidRPr="00B96359">
        <w:rPr>
          <w:sz w:val="24"/>
          <w:szCs w:val="24"/>
        </w:rPr>
        <w:t>days has been to get expectations of inflation</w:t>
      </w:r>
      <w:r w:rsidRPr="00B96359">
        <w:rPr>
          <w:i/>
          <w:sz w:val="24"/>
          <w:szCs w:val="24"/>
        </w:rPr>
        <w:t xml:space="preserve"> up</w:t>
      </w:r>
      <w:r w:rsidRPr="00B96359">
        <w:rPr>
          <w:sz w:val="24"/>
          <w:szCs w:val="24"/>
        </w:rPr>
        <w:t xml:space="preserve">.  Either way, the argument in favor of </w:t>
      </w:r>
      <w:r w:rsidR="00C06C2C" w:rsidRPr="00B96359">
        <w:rPr>
          <w:sz w:val="24"/>
          <w:szCs w:val="24"/>
        </w:rPr>
        <w:t xml:space="preserve">phrasing the monetary stance in terms of </w:t>
      </w:r>
      <w:r w:rsidRPr="00B96359">
        <w:rPr>
          <w:sz w:val="24"/>
          <w:szCs w:val="24"/>
        </w:rPr>
        <w:t xml:space="preserve">NGDP </w:t>
      </w:r>
      <w:r w:rsidR="00C06C2C" w:rsidRPr="00B96359">
        <w:rPr>
          <w:sz w:val="24"/>
          <w:szCs w:val="24"/>
        </w:rPr>
        <w:t>is tha</w:t>
      </w:r>
      <w:r w:rsidRPr="00B96359">
        <w:rPr>
          <w:sz w:val="24"/>
          <w:szCs w:val="24"/>
        </w:rPr>
        <w:t xml:space="preserve">t </w:t>
      </w:r>
      <w:r w:rsidR="00C06C2C" w:rsidRPr="00B96359">
        <w:rPr>
          <w:sz w:val="24"/>
          <w:szCs w:val="24"/>
        </w:rPr>
        <w:t>this formulation</w:t>
      </w:r>
      <w:r w:rsidRPr="00B96359">
        <w:rPr>
          <w:sz w:val="24"/>
          <w:szCs w:val="24"/>
        </w:rPr>
        <w:t xml:space="preserve"> is robus</w:t>
      </w:r>
      <w:r w:rsidR="00FF4DB0" w:rsidRPr="00B96359">
        <w:rPr>
          <w:sz w:val="24"/>
          <w:szCs w:val="24"/>
        </w:rPr>
        <w:t>t with respect to supply shocks</w:t>
      </w:r>
    </w:p>
    <w:p w:rsidR="00FF4DB0" w:rsidRPr="00B96359" w:rsidRDefault="00957318" w:rsidP="007A5AF7">
      <w:pPr>
        <w:pStyle w:val="ListParagraph"/>
        <w:ind w:left="0" w:firstLine="720"/>
        <w:rPr>
          <w:sz w:val="24"/>
          <w:szCs w:val="24"/>
        </w:rPr>
      </w:pPr>
      <w:r w:rsidRPr="00B96359">
        <w:rPr>
          <w:sz w:val="24"/>
          <w:szCs w:val="24"/>
        </w:rPr>
        <w:t xml:space="preserve">One can show that if the ultimate objective is to achieve price stability and output stability, as represented by a quadratic loss function, then a NGDP target will give a better outcome </w:t>
      </w:r>
      <w:r w:rsidR="00C06C2C" w:rsidRPr="00B96359">
        <w:rPr>
          <w:sz w:val="24"/>
          <w:szCs w:val="24"/>
        </w:rPr>
        <w:t xml:space="preserve">in the presence of shocks </w:t>
      </w:r>
      <w:r w:rsidRPr="00B96359">
        <w:rPr>
          <w:sz w:val="24"/>
          <w:szCs w:val="24"/>
        </w:rPr>
        <w:t xml:space="preserve">than an inflation target unless the supply curve is very steep or the loss function puts extraordinarily high weight on stabilizing the CPI.  </w:t>
      </w:r>
    </w:p>
    <w:p w:rsidR="00FF4DB0" w:rsidRPr="00B96359" w:rsidRDefault="002040C1" w:rsidP="007A5AF7">
      <w:pPr>
        <w:pStyle w:val="ListParagraph"/>
        <w:ind w:left="0" w:firstLine="720"/>
        <w:rPr>
          <w:sz w:val="24"/>
          <w:szCs w:val="24"/>
        </w:rPr>
      </w:pPr>
      <w:r w:rsidRPr="00B96359">
        <w:rPr>
          <w:sz w:val="24"/>
          <w:szCs w:val="24"/>
        </w:rPr>
        <w:t xml:space="preserve">Under certain simplifying assumptions, the necessary condition for </w:t>
      </w:r>
      <w:r w:rsidR="00581D36">
        <w:rPr>
          <w:sz w:val="24"/>
          <w:szCs w:val="24"/>
        </w:rPr>
        <w:t xml:space="preserve">Nominal GDP </w:t>
      </w:r>
      <w:r w:rsidR="002E63C6">
        <w:rPr>
          <w:sz w:val="24"/>
          <w:szCs w:val="24"/>
        </w:rPr>
        <w:t>Targeting</w:t>
      </w:r>
      <w:r w:rsidR="00581D36">
        <w:rPr>
          <w:sz w:val="24"/>
          <w:szCs w:val="24"/>
        </w:rPr>
        <w:t xml:space="preserve"> (</w:t>
      </w:r>
      <w:r w:rsidRPr="00B96359">
        <w:rPr>
          <w:sz w:val="24"/>
          <w:szCs w:val="24"/>
        </w:rPr>
        <w:t>NGDPT</w:t>
      </w:r>
      <w:r w:rsidR="00581D36">
        <w:rPr>
          <w:sz w:val="24"/>
          <w:szCs w:val="24"/>
        </w:rPr>
        <w:t>)</w:t>
      </w:r>
      <w:r w:rsidRPr="00B96359">
        <w:rPr>
          <w:sz w:val="24"/>
          <w:szCs w:val="24"/>
        </w:rPr>
        <w:t xml:space="preserve"> to dominate </w:t>
      </w:r>
      <w:r w:rsidR="00581D36">
        <w:rPr>
          <w:sz w:val="24"/>
          <w:szCs w:val="24"/>
        </w:rPr>
        <w:t>Inflation Targeting (</w:t>
      </w:r>
      <w:r w:rsidRPr="00B96359">
        <w:rPr>
          <w:sz w:val="24"/>
          <w:szCs w:val="24"/>
        </w:rPr>
        <w:t>IT</w:t>
      </w:r>
      <w:r w:rsidR="00581D36">
        <w:rPr>
          <w:sz w:val="24"/>
          <w:szCs w:val="24"/>
        </w:rPr>
        <w:t>)</w:t>
      </w:r>
      <w:r w:rsidRPr="00B96359">
        <w:rPr>
          <w:sz w:val="24"/>
          <w:szCs w:val="24"/>
        </w:rPr>
        <w:t xml:space="preserve"> is</w:t>
      </w:r>
      <w:r w:rsidR="004964AB" w:rsidRPr="00B96359">
        <w:rPr>
          <w:sz w:val="24"/>
          <w:szCs w:val="24"/>
        </w:rPr>
        <w:t>:</w:t>
      </w:r>
      <w:r w:rsidR="004964AB" w:rsidRPr="00B96359">
        <w:rPr>
          <w:sz w:val="24"/>
          <w:szCs w:val="24"/>
        </w:rPr>
        <w:br/>
      </w:r>
      <w:r w:rsidR="00C51602" w:rsidRPr="00B96359">
        <w:rPr>
          <w:b/>
          <w:bCs/>
          <w:i/>
          <w:iCs/>
          <w:sz w:val="24"/>
          <w:szCs w:val="24"/>
        </w:rPr>
        <w:lastRenderedPageBreak/>
        <w:t xml:space="preserve">                                                  </w:t>
      </w:r>
      <w:r w:rsidR="00C05C49" w:rsidRPr="00B96359">
        <w:rPr>
          <w:b/>
          <w:bCs/>
          <w:i/>
          <w:iCs/>
          <w:sz w:val="24"/>
          <w:szCs w:val="24"/>
        </w:rPr>
        <w:t>a &lt; (2 + b)b</w:t>
      </w:r>
      <w:r w:rsidR="00C05C49" w:rsidRPr="00B96359">
        <w:rPr>
          <w:sz w:val="24"/>
          <w:szCs w:val="24"/>
        </w:rPr>
        <w:t>;</w:t>
      </w:r>
      <w:r w:rsidR="004964AB" w:rsidRPr="00B96359">
        <w:rPr>
          <w:sz w:val="24"/>
          <w:szCs w:val="24"/>
        </w:rPr>
        <w:br/>
        <w:t xml:space="preserve">where </w:t>
      </w:r>
      <w:r w:rsidR="004964AB" w:rsidRPr="00B96359">
        <w:rPr>
          <w:rFonts w:hint="cs"/>
          <w:b/>
          <w:i/>
          <w:iCs/>
          <w:sz w:val="24"/>
          <w:szCs w:val="24"/>
        </w:rPr>
        <w:t>a</w:t>
      </w:r>
      <w:r w:rsidR="00C06C2C" w:rsidRPr="00B96359">
        <w:rPr>
          <w:sz w:val="24"/>
          <w:szCs w:val="24"/>
        </w:rPr>
        <w:t xml:space="preserve">  ≡  the weight on</w:t>
      </w:r>
      <w:r w:rsidR="004964AB" w:rsidRPr="00B96359">
        <w:rPr>
          <w:sz w:val="24"/>
          <w:szCs w:val="24"/>
        </w:rPr>
        <w:t xml:space="preserve"> the price stability objective</w:t>
      </w:r>
      <w:r w:rsidR="00C06C2C" w:rsidRPr="00B96359">
        <w:rPr>
          <w:sz w:val="24"/>
          <w:szCs w:val="24"/>
        </w:rPr>
        <w:t xml:space="preserve"> in the loss function,</w:t>
      </w:r>
      <w:r w:rsidR="004964AB" w:rsidRPr="00B96359">
        <w:rPr>
          <w:sz w:val="24"/>
          <w:szCs w:val="24"/>
        </w:rPr>
        <w:t xml:space="preserve"> </w:t>
      </w:r>
      <w:r w:rsidR="004964AB" w:rsidRPr="00B96359">
        <w:rPr>
          <w:sz w:val="24"/>
          <w:szCs w:val="24"/>
        </w:rPr>
        <w:br/>
        <w:t xml:space="preserve">and </w:t>
      </w:r>
      <w:r w:rsidR="004964AB" w:rsidRPr="00B96359">
        <w:rPr>
          <w:b/>
          <w:i/>
          <w:sz w:val="24"/>
          <w:szCs w:val="24"/>
        </w:rPr>
        <w:t>b</w:t>
      </w:r>
      <w:r w:rsidR="00C06C2C" w:rsidRPr="00B96359">
        <w:rPr>
          <w:sz w:val="24"/>
          <w:szCs w:val="24"/>
        </w:rPr>
        <w:t xml:space="preserve"> </w:t>
      </w:r>
      <w:r w:rsidR="004964AB" w:rsidRPr="00B96359">
        <w:rPr>
          <w:sz w:val="24"/>
          <w:szCs w:val="24"/>
        </w:rPr>
        <w:t>≡ elasticity of output with respect to unexpected inflation</w:t>
      </w:r>
      <w:r w:rsidR="0058581F" w:rsidRPr="00B96359">
        <w:rPr>
          <w:sz w:val="24"/>
          <w:szCs w:val="24"/>
        </w:rPr>
        <w:t xml:space="preserve"> (i.e., inverse slope of A</w:t>
      </w:r>
      <w:r w:rsidR="00E504B2" w:rsidRPr="00B96359">
        <w:rPr>
          <w:sz w:val="24"/>
          <w:szCs w:val="24"/>
        </w:rPr>
        <w:t>ggregate Supply</w:t>
      </w:r>
      <w:r w:rsidR="0058581F" w:rsidRPr="00B96359">
        <w:rPr>
          <w:sz w:val="24"/>
          <w:szCs w:val="24"/>
        </w:rPr>
        <w:t xml:space="preserve"> curve)</w:t>
      </w:r>
      <w:r w:rsidR="004964AB" w:rsidRPr="00B96359">
        <w:rPr>
          <w:sz w:val="24"/>
          <w:szCs w:val="24"/>
        </w:rPr>
        <w:t xml:space="preserve">. </w:t>
      </w:r>
    </w:p>
    <w:p w:rsidR="00FF4DB0" w:rsidRPr="00B96359" w:rsidRDefault="00C51602" w:rsidP="007A5AF7">
      <w:pPr>
        <w:pStyle w:val="ListParagraph"/>
        <w:ind w:left="0" w:firstLine="720"/>
        <w:rPr>
          <w:sz w:val="24"/>
          <w:szCs w:val="24"/>
        </w:rPr>
      </w:pPr>
      <w:r w:rsidRPr="00B96359">
        <w:rPr>
          <w:sz w:val="24"/>
          <w:szCs w:val="24"/>
        </w:rPr>
        <w:t>The difference in welfare is especially large if supply shocks are especially large.</w:t>
      </w:r>
      <w:r w:rsidR="00D755FB" w:rsidRPr="00B96359">
        <w:rPr>
          <w:sz w:val="24"/>
          <w:szCs w:val="24"/>
        </w:rPr>
        <w:t xml:space="preserve">  There is good reason to think that supply shocks</w:t>
      </w:r>
      <w:r w:rsidR="00970F4D">
        <w:rPr>
          <w:sz w:val="24"/>
          <w:szCs w:val="24"/>
        </w:rPr>
        <w:t>,</w:t>
      </w:r>
      <w:r w:rsidR="00D755FB" w:rsidRPr="00B96359">
        <w:rPr>
          <w:sz w:val="24"/>
          <w:szCs w:val="24"/>
        </w:rPr>
        <w:t xml:space="preserve"> </w:t>
      </w:r>
      <w:r w:rsidR="00970F4D">
        <w:rPr>
          <w:sz w:val="24"/>
          <w:szCs w:val="24"/>
        </w:rPr>
        <w:t>like terms of trade shocks,</w:t>
      </w:r>
      <w:r w:rsidR="00D755FB" w:rsidRPr="00B96359">
        <w:rPr>
          <w:sz w:val="24"/>
          <w:szCs w:val="24"/>
        </w:rPr>
        <w:t xml:space="preserve"> are larger for commodity</w:t>
      </w:r>
      <w:r w:rsidR="001476CA" w:rsidRPr="00B96359">
        <w:rPr>
          <w:sz w:val="24"/>
          <w:szCs w:val="24"/>
        </w:rPr>
        <w:t xml:space="preserve"> producers</w:t>
      </w:r>
      <w:r w:rsidR="00D755FB" w:rsidRPr="00B96359">
        <w:rPr>
          <w:sz w:val="24"/>
          <w:szCs w:val="24"/>
        </w:rPr>
        <w:t xml:space="preserve"> and other developing countries</w:t>
      </w:r>
      <w:r w:rsidR="009743F2" w:rsidRPr="00B96359">
        <w:rPr>
          <w:rFonts w:ascii="Times New Roman" w:hAnsi="Times New Roman"/>
          <w:sz w:val="24"/>
          <w:szCs w:val="24"/>
        </w:rPr>
        <w:t>,</w:t>
      </w:r>
      <w:r w:rsidR="009743F2" w:rsidRPr="00B96359">
        <w:rPr>
          <w:sz w:val="24"/>
          <w:szCs w:val="24"/>
        </w:rPr>
        <w:t xml:space="preserve"> due to</w:t>
      </w:r>
      <w:r w:rsidR="00FF4DB0" w:rsidRPr="00B96359">
        <w:rPr>
          <w:sz w:val="24"/>
          <w:szCs w:val="24"/>
        </w:rPr>
        <w:t xml:space="preserve"> more strikes and social instability, </w:t>
      </w:r>
      <w:r w:rsidR="009743F2" w:rsidRPr="00B96359">
        <w:rPr>
          <w:sz w:val="24"/>
          <w:szCs w:val="24"/>
        </w:rPr>
        <w:t>greater vulnerability to severe weather events such as droughts and windstorms and other natural disasters such as earthquakes, and bigger productivity shocks.</w:t>
      </w:r>
      <w:r w:rsidR="002A03BE" w:rsidRPr="00B96359">
        <w:rPr>
          <w:rStyle w:val="FootnoteReference"/>
          <w:sz w:val="24"/>
          <w:szCs w:val="24"/>
        </w:rPr>
        <w:footnoteReference w:id="19"/>
      </w:r>
      <w:r w:rsidR="002A03BE" w:rsidRPr="00B96359">
        <w:rPr>
          <w:sz w:val="24"/>
          <w:szCs w:val="24"/>
        </w:rPr>
        <w:t xml:space="preserve">  </w:t>
      </w:r>
    </w:p>
    <w:p w:rsidR="00FF4DB0" w:rsidRPr="00B96359" w:rsidRDefault="00FF4DB0" w:rsidP="007A5AF7">
      <w:pPr>
        <w:pStyle w:val="ListParagraph"/>
        <w:ind w:left="0" w:firstLine="720"/>
        <w:rPr>
          <w:sz w:val="24"/>
          <w:szCs w:val="24"/>
        </w:rPr>
      </w:pPr>
      <w:r w:rsidRPr="00B96359">
        <w:rPr>
          <w:sz w:val="24"/>
          <w:szCs w:val="24"/>
        </w:rPr>
        <w:t>Does the inequality condition hold?  It does if the Aggregate Supply (AS) relationship is flat, as compared to the slope of the loss function lines. To simplify even further, consider two examples.</w:t>
      </w:r>
      <w:r w:rsidRPr="00B96359">
        <w:rPr>
          <w:sz w:val="24"/>
          <w:szCs w:val="24"/>
        </w:rPr>
        <w:br/>
        <w:t xml:space="preserve">• </w:t>
      </w:r>
      <w:r w:rsidR="00C05C49" w:rsidRPr="00B96359">
        <w:rPr>
          <w:sz w:val="24"/>
          <w:szCs w:val="24"/>
        </w:rPr>
        <w:t xml:space="preserve">Example 1:   </w:t>
      </w:r>
      <w:r w:rsidR="00E504B2" w:rsidRPr="00B96359">
        <w:rPr>
          <w:sz w:val="24"/>
          <w:szCs w:val="24"/>
        </w:rPr>
        <w:t>The condition</w:t>
      </w:r>
      <w:r w:rsidR="00D755FB" w:rsidRPr="00B96359">
        <w:rPr>
          <w:sz w:val="24"/>
          <w:szCs w:val="24"/>
        </w:rPr>
        <w:t xml:space="preserve"> </w:t>
      </w:r>
      <w:r w:rsidR="00C05C49" w:rsidRPr="00B96359">
        <w:rPr>
          <w:sz w:val="24"/>
          <w:szCs w:val="24"/>
        </w:rPr>
        <w:t xml:space="preserve">holds if </w:t>
      </w:r>
      <w:r w:rsidR="00C05C49" w:rsidRPr="00B96359">
        <w:rPr>
          <w:b/>
          <w:sz w:val="24"/>
          <w:szCs w:val="24"/>
        </w:rPr>
        <w:t>b</w:t>
      </w:r>
      <w:r w:rsidR="00C05C49" w:rsidRPr="00B96359">
        <w:rPr>
          <w:sz w:val="24"/>
          <w:szCs w:val="24"/>
        </w:rPr>
        <w:t>&gt;</w:t>
      </w:r>
      <w:r w:rsidR="002E63C6" w:rsidRPr="00B96359">
        <w:rPr>
          <w:b/>
          <w:bCs/>
          <w:i/>
          <w:iCs/>
          <w:sz w:val="24"/>
          <w:szCs w:val="24"/>
        </w:rPr>
        <w:t>a</w:t>
      </w:r>
      <w:r w:rsidR="002E63C6" w:rsidRPr="00B96359">
        <w:rPr>
          <w:sz w:val="24"/>
          <w:szCs w:val="24"/>
        </w:rPr>
        <w:t>.</w:t>
      </w:r>
      <w:r w:rsidRPr="00B96359">
        <w:rPr>
          <w:sz w:val="24"/>
          <w:szCs w:val="24"/>
        </w:rPr>
        <w:br/>
        <w:t xml:space="preserve">• </w:t>
      </w:r>
      <w:r w:rsidR="00E504B2" w:rsidRPr="00B96359">
        <w:rPr>
          <w:sz w:val="24"/>
          <w:szCs w:val="24"/>
        </w:rPr>
        <w:t>E</w:t>
      </w:r>
      <w:r w:rsidR="00C05C49" w:rsidRPr="00B96359">
        <w:rPr>
          <w:sz w:val="24"/>
          <w:szCs w:val="24"/>
        </w:rPr>
        <w:t xml:space="preserve">xample 2:   </w:t>
      </w:r>
      <w:r w:rsidR="00D755FB" w:rsidRPr="00B96359">
        <w:rPr>
          <w:sz w:val="24"/>
          <w:szCs w:val="24"/>
        </w:rPr>
        <w:t xml:space="preserve">It also </w:t>
      </w:r>
      <w:r w:rsidR="00C05C49" w:rsidRPr="00B96359">
        <w:rPr>
          <w:sz w:val="24"/>
          <w:szCs w:val="24"/>
        </w:rPr>
        <w:t xml:space="preserve">holds if </w:t>
      </w:r>
      <w:r w:rsidR="00C05C49" w:rsidRPr="00B96359">
        <w:rPr>
          <w:rFonts w:hint="cs"/>
          <w:b/>
          <w:bCs/>
          <w:i/>
          <w:iCs/>
          <w:sz w:val="24"/>
          <w:szCs w:val="24"/>
        </w:rPr>
        <w:t>a</w:t>
      </w:r>
      <w:r w:rsidR="00C05C49" w:rsidRPr="00B96359">
        <w:rPr>
          <w:sz w:val="24"/>
          <w:szCs w:val="24"/>
        </w:rPr>
        <w:t xml:space="preserve"> = 1 (as in </w:t>
      </w:r>
      <w:r w:rsidR="00D755FB" w:rsidRPr="00B96359">
        <w:rPr>
          <w:sz w:val="24"/>
          <w:szCs w:val="24"/>
        </w:rPr>
        <w:t xml:space="preserve">the original </w:t>
      </w:r>
      <w:r w:rsidR="00E504B2" w:rsidRPr="00B96359">
        <w:rPr>
          <w:sz w:val="24"/>
          <w:szCs w:val="24"/>
        </w:rPr>
        <w:t>Taylor rule)</w:t>
      </w:r>
      <w:r w:rsidR="00C05C49" w:rsidRPr="00B96359">
        <w:rPr>
          <w:sz w:val="24"/>
          <w:szCs w:val="24"/>
        </w:rPr>
        <w:t xml:space="preserve"> and </w:t>
      </w:r>
      <w:r w:rsidR="00E504B2" w:rsidRPr="00B96359">
        <w:rPr>
          <w:sz w:val="24"/>
          <w:szCs w:val="24"/>
        </w:rPr>
        <w:t xml:space="preserve">the </w:t>
      </w:r>
      <w:r w:rsidR="00C05C49" w:rsidRPr="00B96359">
        <w:rPr>
          <w:sz w:val="24"/>
          <w:szCs w:val="24"/>
        </w:rPr>
        <w:t>A</w:t>
      </w:r>
      <w:r w:rsidRPr="00B96359">
        <w:rPr>
          <w:sz w:val="24"/>
          <w:szCs w:val="24"/>
        </w:rPr>
        <w:t xml:space="preserve">S slope </w:t>
      </w:r>
      <w:r w:rsidR="00C05C49" w:rsidRPr="00B96359">
        <w:rPr>
          <w:sz w:val="24"/>
          <w:szCs w:val="24"/>
        </w:rPr>
        <w:t>1/</w:t>
      </w:r>
      <w:r w:rsidR="00C05C49" w:rsidRPr="00B96359">
        <w:rPr>
          <w:b/>
          <w:bCs/>
          <w:i/>
          <w:iCs/>
          <w:sz w:val="24"/>
          <w:szCs w:val="24"/>
        </w:rPr>
        <w:t>b</w:t>
      </w:r>
      <w:r w:rsidR="00C05C49" w:rsidRPr="00B96359">
        <w:rPr>
          <w:b/>
          <w:bCs/>
          <w:sz w:val="24"/>
          <w:szCs w:val="24"/>
        </w:rPr>
        <w:t xml:space="preserve"> </w:t>
      </w:r>
      <w:r w:rsidR="00C05C49" w:rsidRPr="00B96359">
        <w:rPr>
          <w:sz w:val="24"/>
          <w:szCs w:val="24"/>
        </w:rPr>
        <w:t>&lt; (1+</w:t>
      </w:r>
      <m:oMath>
        <m:rad>
          <m:radPr>
            <m:degHide m:val="1"/>
            <m:ctrlPr>
              <w:rPr>
                <w:rFonts w:ascii="Cambria Math" w:hAnsi="Cambria Math"/>
                <w:i/>
                <w:iCs/>
                <w:sz w:val="24"/>
                <w:szCs w:val="24"/>
              </w:rPr>
            </m:ctrlPr>
          </m:radPr>
          <m:deg/>
          <m:e>
            <m:r>
              <w:rPr>
                <w:rFonts w:ascii="Cambria Math" w:hAnsi="Cambria Math"/>
                <w:sz w:val="24"/>
                <w:szCs w:val="24"/>
              </w:rPr>
              <m:t>2</m:t>
            </m:r>
          </m:e>
        </m:rad>
      </m:oMath>
      <w:r w:rsidR="00C05C49" w:rsidRPr="00B96359">
        <w:rPr>
          <w:sz w:val="24"/>
          <w:szCs w:val="24"/>
        </w:rPr>
        <w:t xml:space="preserve"> ) = 2.414. </w:t>
      </w:r>
      <w:r w:rsidR="00E504B2" w:rsidRPr="00B96359">
        <w:rPr>
          <w:sz w:val="24"/>
          <w:szCs w:val="24"/>
        </w:rPr>
        <w:t xml:space="preserve">   </w:t>
      </w:r>
      <w:r w:rsidRPr="00B96359">
        <w:rPr>
          <w:sz w:val="24"/>
          <w:szCs w:val="24"/>
        </w:rPr>
        <w:br/>
      </w:r>
    </w:p>
    <w:p w:rsidR="00290D18" w:rsidRDefault="00C51602" w:rsidP="007A5AF7">
      <w:pPr>
        <w:pStyle w:val="ListParagraph"/>
        <w:ind w:left="0" w:firstLine="720"/>
        <w:rPr>
          <w:sz w:val="24"/>
          <w:szCs w:val="24"/>
        </w:rPr>
      </w:pPr>
      <w:r w:rsidRPr="00B96359">
        <w:rPr>
          <w:sz w:val="24"/>
          <w:szCs w:val="24"/>
        </w:rPr>
        <w:t xml:space="preserve">So </w:t>
      </w:r>
      <w:r w:rsidR="00C06C2C" w:rsidRPr="00B96359">
        <w:rPr>
          <w:sz w:val="24"/>
          <w:szCs w:val="24"/>
        </w:rPr>
        <w:t>NGDP targeting</w:t>
      </w:r>
      <w:r w:rsidRPr="00B96359">
        <w:rPr>
          <w:sz w:val="24"/>
          <w:szCs w:val="24"/>
        </w:rPr>
        <w:t xml:space="preserve"> dominates </w:t>
      </w:r>
      <w:r w:rsidR="00C06C2C" w:rsidRPr="00B96359">
        <w:rPr>
          <w:sz w:val="24"/>
          <w:szCs w:val="24"/>
        </w:rPr>
        <w:t>unless</w:t>
      </w:r>
      <w:r w:rsidR="00FF4DB0" w:rsidRPr="00B96359">
        <w:rPr>
          <w:sz w:val="24"/>
          <w:szCs w:val="24"/>
        </w:rPr>
        <w:t xml:space="preserve"> Aggregate Supply</w:t>
      </w:r>
      <w:r w:rsidRPr="00B96359">
        <w:rPr>
          <w:sz w:val="24"/>
          <w:szCs w:val="24"/>
        </w:rPr>
        <w:t xml:space="preserve"> is very steep (relative to the weight on price stability).</w:t>
      </w:r>
      <w:r w:rsidR="00775AE6">
        <w:rPr>
          <w:sz w:val="24"/>
          <w:szCs w:val="24"/>
        </w:rPr>
        <w:t xml:space="preserve"> </w:t>
      </w:r>
      <w:r w:rsidRPr="00B96359">
        <w:rPr>
          <w:sz w:val="24"/>
          <w:szCs w:val="24"/>
        </w:rPr>
        <w:t xml:space="preserve">I have estimated the </w:t>
      </w:r>
      <w:r w:rsidR="00E504B2" w:rsidRPr="00B96359">
        <w:rPr>
          <w:sz w:val="24"/>
          <w:szCs w:val="24"/>
        </w:rPr>
        <w:t>AS</w:t>
      </w:r>
      <w:r w:rsidR="0058581F" w:rsidRPr="00B96359">
        <w:rPr>
          <w:sz w:val="24"/>
          <w:szCs w:val="24"/>
        </w:rPr>
        <w:t xml:space="preserve"> </w:t>
      </w:r>
      <w:r w:rsidRPr="00B96359">
        <w:rPr>
          <w:sz w:val="24"/>
          <w:szCs w:val="24"/>
        </w:rPr>
        <w:t xml:space="preserve">slope for a few </w:t>
      </w:r>
      <w:r w:rsidR="00A36C17" w:rsidRPr="00B96359">
        <w:rPr>
          <w:sz w:val="24"/>
          <w:szCs w:val="24"/>
        </w:rPr>
        <w:t xml:space="preserve">middle-size middle-income </w:t>
      </w:r>
      <w:r w:rsidRPr="00B96359">
        <w:rPr>
          <w:sz w:val="24"/>
          <w:szCs w:val="24"/>
        </w:rPr>
        <w:t>countries where I could think of plausible instruments for A</w:t>
      </w:r>
      <w:r w:rsidR="00E504B2" w:rsidRPr="00B96359">
        <w:rPr>
          <w:sz w:val="24"/>
          <w:szCs w:val="24"/>
        </w:rPr>
        <w:t>ggregate Supply</w:t>
      </w:r>
      <w:r w:rsidRPr="00B96359">
        <w:rPr>
          <w:sz w:val="24"/>
          <w:szCs w:val="24"/>
        </w:rPr>
        <w:t xml:space="preserve"> shocks and A</w:t>
      </w:r>
      <w:r w:rsidR="00E504B2" w:rsidRPr="00B96359">
        <w:rPr>
          <w:sz w:val="24"/>
          <w:szCs w:val="24"/>
        </w:rPr>
        <w:t>ggregate Demand</w:t>
      </w:r>
      <w:r w:rsidRPr="00B96359">
        <w:rPr>
          <w:sz w:val="24"/>
          <w:szCs w:val="24"/>
        </w:rPr>
        <w:t xml:space="preserve"> shocks.  </w:t>
      </w:r>
      <w:r w:rsidR="00BF5DB1" w:rsidRPr="00B96359">
        <w:rPr>
          <w:sz w:val="24"/>
          <w:szCs w:val="24"/>
        </w:rPr>
        <w:t>A good one is</w:t>
      </w:r>
      <w:r w:rsidRPr="00B96359">
        <w:rPr>
          <w:sz w:val="24"/>
          <w:szCs w:val="24"/>
        </w:rPr>
        <w:t xml:space="preserve"> Kazakhstan</w:t>
      </w:r>
      <w:r w:rsidR="00D755FB" w:rsidRPr="00B96359">
        <w:rPr>
          <w:sz w:val="24"/>
          <w:szCs w:val="24"/>
        </w:rPr>
        <w:t>, over the period 1993-2012.</w:t>
      </w:r>
      <w:r w:rsidR="008A0E0D" w:rsidRPr="00B96359">
        <w:rPr>
          <w:sz w:val="24"/>
          <w:szCs w:val="24"/>
        </w:rPr>
        <w:t xml:space="preserve">  </w:t>
      </w:r>
      <w:r w:rsidR="00BF5DB1" w:rsidRPr="00B96359">
        <w:rPr>
          <w:sz w:val="24"/>
          <w:szCs w:val="24"/>
        </w:rPr>
        <w:t>(The e</w:t>
      </w:r>
      <w:r w:rsidR="008A0E0D" w:rsidRPr="00B96359">
        <w:rPr>
          <w:sz w:val="24"/>
          <w:szCs w:val="24"/>
        </w:rPr>
        <w:t>xogenous supply sho</w:t>
      </w:r>
      <w:r w:rsidR="00BF5DB1" w:rsidRPr="00B96359">
        <w:rPr>
          <w:sz w:val="24"/>
          <w:szCs w:val="24"/>
        </w:rPr>
        <w:t xml:space="preserve">cks are oil price fluctuations.  </w:t>
      </w:r>
      <w:r w:rsidR="008A0E0D" w:rsidRPr="00B96359">
        <w:rPr>
          <w:sz w:val="24"/>
          <w:szCs w:val="24"/>
        </w:rPr>
        <w:t xml:space="preserve">Exogenous demand shocks are </w:t>
      </w:r>
      <w:r w:rsidR="00A36C17" w:rsidRPr="00B96359">
        <w:rPr>
          <w:sz w:val="24"/>
          <w:szCs w:val="24"/>
        </w:rPr>
        <w:t xml:space="preserve">changes in </w:t>
      </w:r>
      <w:r w:rsidR="008A0E0D" w:rsidRPr="00B96359">
        <w:rPr>
          <w:sz w:val="24"/>
          <w:szCs w:val="24"/>
        </w:rPr>
        <w:t>income of major trading partners and military spending</w:t>
      </w:r>
      <w:r w:rsidR="00D755FB" w:rsidRPr="00B96359">
        <w:rPr>
          <w:sz w:val="24"/>
          <w:szCs w:val="24"/>
        </w:rPr>
        <w:t>.</w:t>
      </w:r>
      <w:r w:rsidR="00BF5DB1" w:rsidRPr="00B96359">
        <w:rPr>
          <w:sz w:val="24"/>
          <w:szCs w:val="24"/>
        </w:rPr>
        <w:t xml:space="preserve">)  </w:t>
      </w:r>
      <w:r w:rsidR="002E63C6" w:rsidRPr="00B96359">
        <w:rPr>
          <w:sz w:val="24"/>
          <w:szCs w:val="24"/>
        </w:rPr>
        <w:t>The estimated AS slope is 1.66</w:t>
      </w:r>
      <w:r w:rsidR="002E63C6">
        <w:rPr>
          <w:sz w:val="24"/>
          <w:szCs w:val="24"/>
        </w:rPr>
        <w:t xml:space="preserve">; </w:t>
      </w:r>
      <w:r w:rsidR="002E63C6" w:rsidRPr="00B96359">
        <w:rPr>
          <w:sz w:val="24"/>
          <w:szCs w:val="24"/>
        </w:rPr>
        <w:t>it is statistically less</w:t>
      </w:r>
      <w:r w:rsidR="002E63C6">
        <w:rPr>
          <w:sz w:val="24"/>
          <w:szCs w:val="24"/>
        </w:rPr>
        <w:t xml:space="preserve"> than</w:t>
      </w:r>
      <w:r w:rsidR="002E63C6" w:rsidRPr="00B96359">
        <w:rPr>
          <w:sz w:val="24"/>
          <w:szCs w:val="24"/>
        </w:rPr>
        <w:t xml:space="preserve"> 2.41.  </w:t>
      </w:r>
      <w:r w:rsidR="00D755FB" w:rsidRPr="00B96359">
        <w:rPr>
          <w:sz w:val="24"/>
          <w:szCs w:val="24"/>
        </w:rPr>
        <w:t>Th</w:t>
      </w:r>
      <w:r w:rsidR="00FF4DB0" w:rsidRPr="00B96359">
        <w:rPr>
          <w:sz w:val="24"/>
          <w:szCs w:val="24"/>
        </w:rPr>
        <w:t xml:space="preserve">e implication is that the </w:t>
      </w:r>
      <w:r w:rsidR="00D755FB" w:rsidRPr="00B96359">
        <w:rPr>
          <w:sz w:val="24"/>
          <w:szCs w:val="24"/>
        </w:rPr>
        <w:t>condition required for NGDPT to dominate IT apparently holds.</w:t>
      </w:r>
      <w:r w:rsidR="00BF5DB1" w:rsidRPr="00B96359">
        <w:rPr>
          <w:sz w:val="24"/>
          <w:szCs w:val="24"/>
        </w:rPr>
        <w:t xml:space="preserve">   </w:t>
      </w:r>
      <w:r w:rsidR="00F81676">
        <w:rPr>
          <w:sz w:val="24"/>
          <w:szCs w:val="24"/>
        </w:rPr>
        <w:br/>
      </w:r>
    </w:p>
    <w:p w:rsidR="00915875" w:rsidRPr="004E6837" w:rsidRDefault="00A36C17" w:rsidP="007A5AF7">
      <w:pPr>
        <w:pStyle w:val="ListParagraph"/>
        <w:ind w:left="0" w:firstLine="720"/>
        <w:rPr>
          <w:sz w:val="24"/>
          <w:szCs w:val="24"/>
        </w:rPr>
      </w:pPr>
      <w:r w:rsidRPr="00B96359">
        <w:rPr>
          <w:sz w:val="24"/>
          <w:szCs w:val="24"/>
        </w:rPr>
        <w:t>I conclude that m</w:t>
      </w:r>
      <w:r w:rsidR="00BD77BA" w:rsidRPr="00B96359">
        <w:rPr>
          <w:sz w:val="24"/>
          <w:szCs w:val="24"/>
        </w:rPr>
        <w:t xml:space="preserve">iddle-size middle-income commodity-exporting countries </w:t>
      </w:r>
      <w:r w:rsidR="00290D18">
        <w:rPr>
          <w:sz w:val="24"/>
          <w:szCs w:val="24"/>
        </w:rPr>
        <w:t xml:space="preserve">that currently favor targeting the CPI </w:t>
      </w:r>
      <w:r w:rsidR="00BD77BA" w:rsidRPr="00B96359">
        <w:rPr>
          <w:sz w:val="24"/>
          <w:szCs w:val="24"/>
        </w:rPr>
        <w:t>should consider using nomi</w:t>
      </w:r>
      <w:r w:rsidR="001476CA" w:rsidRPr="00B96359">
        <w:rPr>
          <w:sz w:val="24"/>
          <w:szCs w:val="24"/>
        </w:rPr>
        <w:t>n</w:t>
      </w:r>
      <w:r w:rsidR="00290D18">
        <w:rPr>
          <w:sz w:val="24"/>
          <w:szCs w:val="24"/>
        </w:rPr>
        <w:t>al GDP as their target instead</w:t>
      </w:r>
      <w:r w:rsidR="00BD77BA" w:rsidRPr="00B96359">
        <w:rPr>
          <w:sz w:val="24"/>
          <w:szCs w:val="24"/>
        </w:rPr>
        <w:t>.</w:t>
      </w:r>
      <w:r w:rsidR="00290D18">
        <w:rPr>
          <w:sz w:val="24"/>
          <w:szCs w:val="24"/>
        </w:rPr>
        <w:t xml:space="preserve">  C</w:t>
      </w:r>
      <w:r w:rsidR="00290D18" w:rsidRPr="00B96359">
        <w:rPr>
          <w:sz w:val="24"/>
          <w:szCs w:val="24"/>
        </w:rPr>
        <w:t>ommodity-exporting countries</w:t>
      </w:r>
      <w:r w:rsidR="00290D18">
        <w:rPr>
          <w:sz w:val="24"/>
          <w:szCs w:val="24"/>
        </w:rPr>
        <w:t xml:space="preserve"> that currently peg their exchange rates to one or more major currencies should consider adding the export commodity to the basket to which they peg.</w:t>
      </w:r>
      <w:r w:rsidR="00F81676">
        <w:rPr>
          <w:sz w:val="24"/>
          <w:szCs w:val="24"/>
        </w:rPr>
        <w:t xml:space="preserve">  In both cases the aim is to accommodate the trade shocks to which commodity-exporters are so often vulnerable.</w:t>
      </w:r>
    </w:p>
    <w:p w:rsidR="00915875" w:rsidRDefault="00915875" w:rsidP="00371DFF">
      <w:pPr>
        <w:rPr>
          <w:b/>
          <w:sz w:val="24"/>
          <w:szCs w:val="24"/>
        </w:rPr>
      </w:pPr>
    </w:p>
    <w:p w:rsidR="003704A0" w:rsidRPr="00B96359" w:rsidRDefault="00337E56" w:rsidP="00371DFF">
      <w:pPr>
        <w:rPr>
          <w:b/>
          <w:sz w:val="24"/>
          <w:szCs w:val="24"/>
        </w:rPr>
      </w:pPr>
      <w:r>
        <w:rPr>
          <w:b/>
          <w:sz w:val="24"/>
          <w:szCs w:val="24"/>
        </w:rPr>
        <w:t xml:space="preserve"> </w:t>
      </w:r>
    </w:p>
    <w:p w:rsidR="0023645D" w:rsidRDefault="0023645D">
      <w:pPr>
        <w:rPr>
          <w:b/>
          <w:sz w:val="24"/>
          <w:szCs w:val="24"/>
        </w:rPr>
      </w:pPr>
      <w:r>
        <w:rPr>
          <w:b/>
          <w:sz w:val="24"/>
          <w:szCs w:val="24"/>
        </w:rPr>
        <w:lastRenderedPageBreak/>
        <w:br w:type="page"/>
      </w:r>
    </w:p>
    <w:p w:rsidR="00C3156A" w:rsidRPr="00B96359" w:rsidRDefault="00371DFF" w:rsidP="00371DFF">
      <w:pPr>
        <w:rPr>
          <w:b/>
          <w:sz w:val="24"/>
          <w:szCs w:val="24"/>
        </w:rPr>
      </w:pPr>
      <w:r w:rsidRPr="00B96359">
        <w:rPr>
          <w:b/>
          <w:sz w:val="24"/>
          <w:szCs w:val="24"/>
        </w:rPr>
        <w:lastRenderedPageBreak/>
        <w:t>References</w:t>
      </w:r>
    </w:p>
    <w:p w:rsidR="001314E5" w:rsidRDefault="00A30CB0" w:rsidP="00FC5A27">
      <w:pPr>
        <w:jc w:val="both"/>
        <w:rPr>
          <w:rFonts w:cs="Arial"/>
          <w:color w:val="222222"/>
          <w:sz w:val="20"/>
          <w:szCs w:val="20"/>
          <w:shd w:val="clear" w:color="auto" w:fill="FFFFFF"/>
        </w:rPr>
      </w:pPr>
      <w:bookmarkStart w:id="2" w:name="articles"/>
      <w:r w:rsidRPr="00A30CB0">
        <w:rPr>
          <w:rFonts w:cs="Arial"/>
          <w:color w:val="222222"/>
          <w:sz w:val="20"/>
          <w:szCs w:val="20"/>
          <w:shd w:val="clear" w:color="auto" w:fill="FFFFFF"/>
        </w:rPr>
        <w:t>Aghion, Philippe, George-Marios Angeletos, Abhijit Ba</w:t>
      </w:r>
      <w:r w:rsidR="00581D36">
        <w:rPr>
          <w:rFonts w:cs="Arial"/>
          <w:color w:val="222222"/>
          <w:sz w:val="20"/>
          <w:szCs w:val="20"/>
          <w:shd w:val="clear" w:color="auto" w:fill="FFFFFF"/>
        </w:rPr>
        <w:t>nerjee, and Kalina Manova,</w:t>
      </w:r>
      <w:r w:rsidRPr="00A30CB0">
        <w:rPr>
          <w:rFonts w:cs="Arial"/>
          <w:color w:val="222222"/>
          <w:sz w:val="20"/>
          <w:szCs w:val="20"/>
          <w:shd w:val="clear" w:color="auto" w:fill="FFFFFF"/>
        </w:rPr>
        <w:t xml:space="preserve"> </w:t>
      </w:r>
      <w:r>
        <w:rPr>
          <w:rFonts w:cs="Arial"/>
          <w:color w:val="222222"/>
          <w:sz w:val="20"/>
          <w:szCs w:val="20"/>
          <w:shd w:val="clear" w:color="auto" w:fill="FFFFFF"/>
        </w:rPr>
        <w:t xml:space="preserve">2010, </w:t>
      </w:r>
      <w:r w:rsidR="00581D36">
        <w:rPr>
          <w:rFonts w:cs="Arial"/>
          <w:color w:val="222222"/>
          <w:sz w:val="20"/>
          <w:szCs w:val="20"/>
          <w:shd w:val="clear" w:color="auto" w:fill="FFFFFF"/>
        </w:rPr>
        <w:t>"Volatility and G</w:t>
      </w:r>
      <w:r w:rsidRPr="00A30CB0">
        <w:rPr>
          <w:rFonts w:cs="Arial"/>
          <w:color w:val="222222"/>
          <w:sz w:val="20"/>
          <w:szCs w:val="20"/>
          <w:shd w:val="clear" w:color="auto" w:fill="FFFFFF"/>
        </w:rPr>
        <w:t xml:space="preserve">rowth: Credit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onstraints and the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omposition of </w:t>
      </w:r>
      <w:r w:rsidR="00581D36">
        <w:rPr>
          <w:rFonts w:cs="Arial"/>
          <w:color w:val="222222"/>
          <w:sz w:val="20"/>
          <w:szCs w:val="20"/>
          <w:shd w:val="clear" w:color="auto" w:fill="FFFFFF"/>
        </w:rPr>
        <w:t>Investment,</w:t>
      </w:r>
      <w:r w:rsidRPr="00A30CB0">
        <w:rPr>
          <w:rFonts w:cs="Arial"/>
          <w:color w:val="222222"/>
          <w:sz w:val="20"/>
          <w:szCs w:val="20"/>
          <w:shd w:val="clear" w:color="auto" w:fill="FFFFFF"/>
        </w:rPr>
        <w:t>"</w:t>
      </w:r>
      <w:r w:rsidRPr="00A30CB0">
        <w:rPr>
          <w:rStyle w:val="apple-converted-space"/>
          <w:rFonts w:cs="Arial"/>
          <w:color w:val="222222"/>
          <w:sz w:val="20"/>
          <w:szCs w:val="20"/>
          <w:shd w:val="clear" w:color="auto" w:fill="FFFFFF"/>
        </w:rPr>
        <w:t> </w:t>
      </w:r>
      <w:r w:rsidRPr="00A30CB0">
        <w:rPr>
          <w:rFonts w:cs="Arial"/>
          <w:i/>
          <w:iCs/>
          <w:color w:val="222222"/>
          <w:sz w:val="20"/>
          <w:szCs w:val="20"/>
          <w:shd w:val="clear" w:color="auto" w:fill="FFFFFF"/>
        </w:rPr>
        <w:t>Journal of Monetary Economics</w:t>
      </w:r>
      <w:r w:rsidRPr="00A30CB0">
        <w:rPr>
          <w:rStyle w:val="apple-converted-space"/>
          <w:rFonts w:cs="Arial"/>
          <w:color w:val="222222"/>
          <w:sz w:val="20"/>
          <w:szCs w:val="20"/>
          <w:shd w:val="clear" w:color="auto" w:fill="FFFFFF"/>
        </w:rPr>
        <w:t> </w:t>
      </w:r>
      <w:r>
        <w:rPr>
          <w:rFonts w:cs="Arial"/>
          <w:color w:val="222222"/>
          <w:sz w:val="20"/>
          <w:szCs w:val="20"/>
          <w:shd w:val="clear" w:color="auto" w:fill="FFFFFF"/>
        </w:rPr>
        <w:t>57, no. 3</w:t>
      </w:r>
      <w:r w:rsidRPr="00A30CB0">
        <w:rPr>
          <w:rFonts w:cs="Arial"/>
          <w:color w:val="222222"/>
          <w:sz w:val="20"/>
          <w:szCs w:val="20"/>
          <w:shd w:val="clear" w:color="auto" w:fill="FFFFFF"/>
        </w:rPr>
        <w:t>: 246-265.</w:t>
      </w:r>
    </w:p>
    <w:p w:rsidR="00FC5A27" w:rsidRPr="001314E5" w:rsidRDefault="001314E5" w:rsidP="001314E5">
      <w:pPr>
        <w:pStyle w:val="BodyText"/>
        <w:rPr>
          <w:rFonts w:asciiTheme="minorHAnsi" w:hAnsiTheme="minorHAnsi"/>
          <w:color w:val="000000"/>
          <w:sz w:val="20"/>
        </w:rPr>
      </w:pPr>
      <w:r w:rsidRPr="001314E5">
        <w:rPr>
          <w:rFonts w:asciiTheme="minorHAnsi" w:hAnsiTheme="minorHAnsi"/>
          <w:sz w:val="20"/>
        </w:rPr>
        <w:t>Aguiar, Mark, and Gita Gopinath, 2007</w:t>
      </w:r>
      <w:r w:rsidRPr="001314E5">
        <w:rPr>
          <w:rFonts w:asciiTheme="minorHAnsi" w:hAnsiTheme="minorHAnsi"/>
          <w:color w:val="656565"/>
          <w:sz w:val="20"/>
        </w:rPr>
        <w:t>, “</w:t>
      </w:r>
      <w:r w:rsidRPr="001314E5">
        <w:rPr>
          <w:rFonts w:asciiTheme="minorHAnsi" w:hAnsiTheme="minorHAnsi"/>
          <w:sz w:val="20"/>
        </w:rPr>
        <w:t>Emerging Market Business Cycles: The Cycle is the Trend</w:t>
      </w:r>
      <w:r w:rsidRPr="001314E5">
        <w:rPr>
          <w:rFonts w:asciiTheme="minorHAnsi" w:hAnsiTheme="minorHAnsi"/>
          <w:color w:val="656565"/>
          <w:sz w:val="20"/>
        </w:rPr>
        <w:t>,”</w:t>
      </w:r>
      <w:r w:rsidRPr="001314E5">
        <w:rPr>
          <w:rFonts w:asciiTheme="minorHAnsi" w:hAnsiTheme="minorHAnsi"/>
          <w:color w:val="000000"/>
          <w:sz w:val="20"/>
        </w:rPr>
        <w:t xml:space="preserve"> </w:t>
      </w:r>
      <w:r w:rsidRPr="001314E5">
        <w:rPr>
          <w:rStyle w:val="Emphasis"/>
          <w:rFonts w:asciiTheme="minorHAnsi" w:hAnsiTheme="minorHAnsi"/>
          <w:color w:val="000000"/>
          <w:sz w:val="20"/>
        </w:rPr>
        <w:t xml:space="preserve">Journal of Political Economy 115, 1, </w:t>
      </w:r>
      <w:r w:rsidRPr="001314E5">
        <w:rPr>
          <w:rFonts w:asciiTheme="minorHAnsi" w:hAnsiTheme="minorHAnsi"/>
          <w:color w:val="000000"/>
          <w:sz w:val="20"/>
        </w:rPr>
        <w:t xml:space="preserve">February. </w:t>
      </w:r>
      <w:r w:rsidR="00A30CB0" w:rsidRPr="001314E5">
        <w:rPr>
          <w:rFonts w:asciiTheme="minorHAnsi" w:hAnsiTheme="minorHAnsi"/>
          <w:sz w:val="20"/>
        </w:rPr>
        <w:br/>
      </w:r>
      <w:r w:rsidR="00A30CB0" w:rsidRPr="001314E5">
        <w:rPr>
          <w:rFonts w:asciiTheme="minorHAnsi" w:hAnsiTheme="minorHAnsi"/>
          <w:sz w:val="20"/>
        </w:rPr>
        <w:br/>
      </w:r>
      <w:r w:rsidR="00FC5A27" w:rsidRPr="001314E5">
        <w:rPr>
          <w:rFonts w:asciiTheme="minorHAnsi" w:hAnsiTheme="minorHAnsi"/>
          <w:sz w:val="20"/>
        </w:rPr>
        <w:t xml:space="preserve">Alesina, Alberto, Filipe Campante, and Guido Tabellini, 2008, “Why is Fiscal Policy Often Procyclical?” </w:t>
      </w:r>
      <w:r w:rsidR="00FC5A27" w:rsidRPr="001314E5">
        <w:rPr>
          <w:rFonts w:asciiTheme="minorHAnsi" w:hAnsiTheme="minorHAnsi"/>
          <w:i/>
          <w:iCs/>
          <w:sz w:val="20"/>
        </w:rPr>
        <w:t>Journal of the European Economic Association</w:t>
      </w:r>
      <w:r w:rsidR="00FC5A27" w:rsidRPr="001314E5">
        <w:rPr>
          <w:rFonts w:asciiTheme="minorHAnsi" w:hAnsiTheme="minorHAnsi"/>
          <w:sz w:val="20"/>
        </w:rPr>
        <w:t>, 6, no. 5, September, 1006-1036.</w:t>
      </w:r>
      <w:r w:rsidRPr="001314E5">
        <w:rPr>
          <w:rFonts w:asciiTheme="minorHAnsi" w:hAnsiTheme="minorHAnsi"/>
          <w:sz w:val="20"/>
        </w:rPr>
        <w:br/>
      </w:r>
    </w:p>
    <w:p w:rsidR="00FC5A27" w:rsidRDefault="00FC5A27" w:rsidP="00371DFF">
      <w:pPr>
        <w:rPr>
          <w:sz w:val="20"/>
          <w:szCs w:val="20"/>
        </w:rPr>
      </w:pPr>
      <w:r w:rsidRPr="00B96359">
        <w:rPr>
          <w:sz w:val="20"/>
          <w:szCs w:val="20"/>
        </w:rPr>
        <w:t xml:space="preserve">Arezki, Rabah, Kirk Hamilton and </w:t>
      </w:r>
      <w:proofErr w:type="spellStart"/>
      <w:r w:rsidRPr="00B96359">
        <w:rPr>
          <w:sz w:val="20"/>
          <w:szCs w:val="20"/>
        </w:rPr>
        <w:t>Kazim</w:t>
      </w:r>
      <w:proofErr w:type="spellEnd"/>
      <w:r w:rsidRPr="00B96359">
        <w:rPr>
          <w:sz w:val="20"/>
          <w:szCs w:val="20"/>
        </w:rPr>
        <w:t xml:space="preserve"> </w:t>
      </w:r>
      <w:proofErr w:type="spellStart"/>
      <w:r w:rsidRPr="00B96359">
        <w:rPr>
          <w:sz w:val="20"/>
          <w:szCs w:val="20"/>
        </w:rPr>
        <w:t>Kazimov</w:t>
      </w:r>
      <w:proofErr w:type="spellEnd"/>
      <w:r w:rsidRPr="00B96359">
        <w:rPr>
          <w:sz w:val="20"/>
          <w:szCs w:val="20"/>
        </w:rPr>
        <w:t>, 2011, “Resource Windfalls, Macroeconomic Stability and Growth: The Role of Political Institutions,” (International Mone</w:t>
      </w:r>
      <w:r w:rsidR="00A30CB0">
        <w:rPr>
          <w:sz w:val="20"/>
          <w:szCs w:val="20"/>
        </w:rPr>
        <w:t>tary Fund: Washington DC), May.</w:t>
      </w:r>
    </w:p>
    <w:p w:rsidR="00CE3636" w:rsidRDefault="00CE3636" w:rsidP="00371DFF">
      <w:pPr>
        <w:rPr>
          <w:sz w:val="20"/>
          <w:szCs w:val="20"/>
        </w:rPr>
      </w:pPr>
      <w:r>
        <w:rPr>
          <w:sz w:val="20"/>
          <w:szCs w:val="20"/>
        </w:rPr>
        <w:t>Atta-Mensah, Joseph, 2004, “Commodity-Linked Bonds: A Potential Means for Less-Developed Countries to Raise Foreign Capital,” Bank of Canada Working Paper 2004-20, June.</w:t>
      </w:r>
    </w:p>
    <w:p w:rsidR="00A52774" w:rsidRPr="002E79F3" w:rsidRDefault="00A52774" w:rsidP="00371DFF">
      <w:pPr>
        <w:rPr>
          <w:rFonts w:cstheme="minorHAnsi"/>
          <w:color w:val="222222"/>
          <w:sz w:val="20"/>
          <w:szCs w:val="20"/>
          <w:shd w:val="clear" w:color="auto" w:fill="FFFFFF"/>
        </w:rPr>
      </w:pPr>
      <w:proofErr w:type="spellStart"/>
      <w:r w:rsidRPr="00AB46A3">
        <w:rPr>
          <w:rFonts w:cstheme="minorHAnsi"/>
          <w:color w:val="222222"/>
          <w:sz w:val="20"/>
          <w:szCs w:val="20"/>
          <w:shd w:val="clear" w:color="auto" w:fill="FFFFFF"/>
        </w:rPr>
        <w:t>Avellan</w:t>
      </w:r>
      <w:proofErr w:type="spellEnd"/>
      <w:r w:rsidRPr="00AB46A3">
        <w:rPr>
          <w:rFonts w:cstheme="minorHAnsi"/>
          <w:color w:val="222222"/>
          <w:sz w:val="20"/>
          <w:szCs w:val="20"/>
          <w:shd w:val="clear" w:color="auto" w:fill="FFFFFF"/>
        </w:rPr>
        <w:t>, Leopoldo, and Guillermo Vuletin. "Fiscal Procyclicality and output forecast errors."</w:t>
      </w:r>
      <w:r w:rsidRPr="00AB46A3">
        <w:rPr>
          <w:rStyle w:val="apple-converted-space"/>
          <w:rFonts w:cstheme="minorHAnsi"/>
          <w:color w:val="222222"/>
          <w:sz w:val="20"/>
          <w:szCs w:val="20"/>
          <w:shd w:val="clear" w:color="auto" w:fill="FFFFFF"/>
        </w:rPr>
        <w:t> </w:t>
      </w:r>
      <w:r w:rsidRPr="00AB46A3">
        <w:rPr>
          <w:rFonts w:cstheme="minorHAnsi"/>
          <w:i/>
          <w:iCs/>
          <w:color w:val="222222"/>
          <w:sz w:val="20"/>
          <w:szCs w:val="20"/>
          <w:shd w:val="clear" w:color="auto" w:fill="FFFFFF"/>
        </w:rPr>
        <w:t xml:space="preserve">Journal of International </w:t>
      </w:r>
      <w:r w:rsidRPr="002E79F3">
        <w:rPr>
          <w:rFonts w:cstheme="minorHAnsi"/>
          <w:i/>
          <w:iCs/>
          <w:color w:val="222222"/>
          <w:sz w:val="20"/>
          <w:szCs w:val="20"/>
          <w:shd w:val="clear" w:color="auto" w:fill="FFFFFF"/>
        </w:rPr>
        <w:t>Money and Finance</w:t>
      </w:r>
      <w:r w:rsidRPr="002E79F3">
        <w:rPr>
          <w:rStyle w:val="apple-converted-space"/>
          <w:rFonts w:cstheme="minorHAnsi"/>
          <w:color w:val="222222"/>
          <w:sz w:val="20"/>
          <w:szCs w:val="20"/>
          <w:shd w:val="clear" w:color="auto" w:fill="FFFFFF"/>
        </w:rPr>
        <w:t> </w:t>
      </w:r>
      <w:r w:rsidRPr="002E79F3">
        <w:rPr>
          <w:rFonts w:cstheme="minorHAnsi"/>
          <w:color w:val="222222"/>
          <w:sz w:val="20"/>
          <w:szCs w:val="20"/>
          <w:shd w:val="clear" w:color="auto" w:fill="FFFFFF"/>
        </w:rPr>
        <w:t>55 (2015): 193-204.</w:t>
      </w:r>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xml:space="preserve">Berg, Andrew, Carlos </w:t>
      </w:r>
      <w:proofErr w:type="spellStart"/>
      <w:r w:rsidRPr="002E79F3">
        <w:rPr>
          <w:rFonts w:eastAsia="Times New Roman" w:cs="Arial"/>
          <w:color w:val="222222"/>
          <w:sz w:val="20"/>
          <w:szCs w:val="20"/>
          <w:lang w:eastAsia="en-US"/>
        </w:rPr>
        <w:t>Goncalves</w:t>
      </w:r>
      <w:proofErr w:type="spellEnd"/>
      <w:r w:rsidRPr="002E79F3">
        <w:rPr>
          <w:rFonts w:eastAsia="Times New Roman" w:cs="Arial"/>
          <w:color w:val="222222"/>
          <w:sz w:val="20"/>
          <w:szCs w:val="20"/>
          <w:lang w:eastAsia="en-US"/>
        </w:rPr>
        <w:t xml:space="preserve"> and Rafael Portillo, 2016, “Another disconnect puzzle: should floaters fix and fixers float?” International Monetary Fund.</w:t>
      </w:r>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w:t>
      </w:r>
    </w:p>
    <w:p w:rsidR="00116854" w:rsidRPr="00116854" w:rsidRDefault="00116854" w:rsidP="00371DFF">
      <w:pPr>
        <w:rPr>
          <w:sz w:val="20"/>
          <w:szCs w:val="20"/>
          <w:shd w:val="clear" w:color="auto" w:fill="FFFFFF"/>
        </w:rPr>
      </w:pPr>
      <w:r w:rsidRPr="00116854">
        <w:rPr>
          <w:rFonts w:cs="Arial"/>
          <w:color w:val="1E1E1E"/>
          <w:sz w:val="20"/>
          <w:szCs w:val="20"/>
          <w:shd w:val="clear" w:color="auto" w:fill="FFFFFF"/>
        </w:rPr>
        <w:t xml:space="preserve">Bhandari, Pranjul, and </w:t>
      </w:r>
      <w:r w:rsidRPr="00116854">
        <w:rPr>
          <w:sz w:val="20"/>
          <w:szCs w:val="20"/>
        </w:rPr>
        <w:t>Frankel, Jeffrey, 2017,</w:t>
      </w:r>
      <w:r w:rsidRPr="00116854">
        <w:rPr>
          <w:rFonts w:cs="Arial"/>
          <w:color w:val="1E1E1E"/>
          <w:sz w:val="20"/>
          <w:szCs w:val="20"/>
          <w:shd w:val="clear" w:color="auto" w:fill="FFFFFF"/>
        </w:rPr>
        <w:t xml:space="preserve"> “</w:t>
      </w:r>
      <w:hyperlink r:id="rId9" w:history="1">
        <w:r w:rsidRPr="00116854">
          <w:rPr>
            <w:rStyle w:val="Hyperlink"/>
            <w:rFonts w:cs="Arial"/>
            <w:color w:val="215990"/>
            <w:sz w:val="20"/>
            <w:szCs w:val="20"/>
            <w:shd w:val="clear" w:color="auto" w:fill="FFFFFF"/>
          </w:rPr>
          <w:t>Nominal GDP Targeting for Developing Countries</w:t>
        </w:r>
      </w:hyperlink>
      <w:r w:rsidRPr="00116854">
        <w:rPr>
          <w:rFonts w:cs="Arial"/>
          <w:color w:val="1E1E1E"/>
          <w:sz w:val="20"/>
          <w:szCs w:val="20"/>
          <w:shd w:val="clear" w:color="auto" w:fill="FFFFFF"/>
        </w:rPr>
        <w:t xml:space="preserve">,” </w:t>
      </w:r>
      <w:hyperlink r:id="rId10" w:history="1">
        <w:r w:rsidRPr="00AE5BB9">
          <w:rPr>
            <w:rStyle w:val="Hyperlink"/>
            <w:rFonts w:cs="Arial"/>
            <w:i/>
            <w:sz w:val="20"/>
            <w:szCs w:val="20"/>
            <w:shd w:val="clear" w:color="auto" w:fill="FFFFFF"/>
          </w:rPr>
          <w:t>Research in Economics</w:t>
        </w:r>
      </w:hyperlink>
      <w:r w:rsidRPr="00116854">
        <w:rPr>
          <w:rStyle w:val="Emphasis"/>
          <w:rFonts w:cs="Arial"/>
          <w:color w:val="1E1E1E"/>
          <w:sz w:val="20"/>
          <w:szCs w:val="20"/>
          <w:shd w:val="clear" w:color="auto" w:fill="FFFFFF"/>
        </w:rPr>
        <w:t xml:space="preserve"> </w:t>
      </w:r>
      <w:r w:rsidRPr="00116854">
        <w:rPr>
          <w:rFonts w:cs="Arial"/>
          <w:color w:val="1E1E1E"/>
          <w:sz w:val="20"/>
          <w:szCs w:val="20"/>
          <w:shd w:val="clear" w:color="auto" w:fill="FFFFFF"/>
        </w:rPr>
        <w:t>(</w:t>
      </w:r>
      <w:r w:rsidRPr="007E6799">
        <w:rPr>
          <w:rFonts w:cs="Arial"/>
          <w:sz w:val="20"/>
          <w:szCs w:val="20"/>
          <w:shd w:val="clear" w:color="auto" w:fill="FFFFFF"/>
        </w:rPr>
        <w:t>Elsevier</w:t>
      </w:r>
      <w:r w:rsidRPr="00116854">
        <w:rPr>
          <w:rFonts w:cs="Arial"/>
          <w:color w:val="1E1E1E"/>
          <w:sz w:val="20"/>
          <w:szCs w:val="20"/>
          <w:shd w:val="clear" w:color="auto" w:fill="FFFFFF"/>
        </w:rPr>
        <w:t>),</w:t>
      </w:r>
      <w:r w:rsidR="00AE5BB9" w:rsidRPr="00AE5BB9">
        <w:rPr>
          <w:rFonts w:ascii="Arial" w:hAnsi="Arial" w:cs="Arial"/>
          <w:color w:val="222222"/>
          <w:shd w:val="clear" w:color="auto" w:fill="FFFFFF"/>
        </w:rPr>
        <w:t xml:space="preserve"> </w:t>
      </w:r>
      <w:r w:rsidR="00AE5BB9" w:rsidRPr="00AE5BB9">
        <w:rPr>
          <w:rFonts w:cs="Arial"/>
          <w:color w:val="222222"/>
          <w:sz w:val="20"/>
          <w:szCs w:val="20"/>
          <w:shd w:val="clear" w:color="auto" w:fill="FFFFFF"/>
        </w:rPr>
        <w:t>vol.71, no. 3, pp. 491-506,</w:t>
      </w:r>
      <w:r w:rsidR="00AE5BB9" w:rsidRPr="00AE5BB9">
        <w:rPr>
          <w:rFonts w:cs="Arial"/>
          <w:color w:val="1E1E1E"/>
          <w:sz w:val="20"/>
          <w:szCs w:val="20"/>
          <w:shd w:val="clear" w:color="auto" w:fill="FFFFFF"/>
        </w:rPr>
        <w:t xml:space="preserve"> </w:t>
      </w:r>
      <w:r w:rsidRPr="00AE5BB9">
        <w:rPr>
          <w:rFonts w:cs="Arial"/>
          <w:color w:val="1E1E1E"/>
          <w:sz w:val="20"/>
          <w:szCs w:val="20"/>
          <w:shd w:val="clear" w:color="auto" w:fill="FFFFFF"/>
        </w:rPr>
        <w:t xml:space="preserve"> September</w:t>
      </w:r>
      <w:r w:rsidRPr="00116854">
        <w:rPr>
          <w:rFonts w:cs="Arial"/>
          <w:color w:val="1E1E1E"/>
          <w:sz w:val="20"/>
          <w:szCs w:val="20"/>
          <w:shd w:val="clear" w:color="auto" w:fill="FFFFFF"/>
        </w:rPr>
        <w:t xml:space="preserve">. </w:t>
      </w:r>
      <w:r w:rsidRPr="00116854">
        <w:rPr>
          <w:sz w:val="20"/>
          <w:szCs w:val="20"/>
        </w:rPr>
        <w:t xml:space="preserve"> </w:t>
      </w:r>
      <w:hyperlink r:id="rId11" w:tooltip="Bhandari &amp; Frankel" w:history="1">
        <w:r w:rsidRPr="00116854">
          <w:rPr>
            <w:rStyle w:val="Hyperlink"/>
            <w:rFonts w:cs="Arial"/>
            <w:color w:val="215990"/>
            <w:sz w:val="20"/>
            <w:szCs w:val="20"/>
            <w:shd w:val="clear" w:color="auto" w:fill="FFFFFF"/>
          </w:rPr>
          <w:t>NBER WP 20898</w:t>
        </w:r>
      </w:hyperlink>
      <w:r w:rsidRPr="00116854">
        <w:rPr>
          <w:rFonts w:cs="Arial"/>
          <w:color w:val="1E1E1E"/>
          <w:sz w:val="20"/>
          <w:szCs w:val="20"/>
          <w:shd w:val="clear" w:color="auto" w:fill="FFFFFF"/>
        </w:rPr>
        <w:t>. </w:t>
      </w:r>
    </w:p>
    <w:p w:rsidR="00C3156A" w:rsidRDefault="00C3156A" w:rsidP="00371DFF">
      <w:pPr>
        <w:rPr>
          <w:sz w:val="20"/>
          <w:szCs w:val="20"/>
        </w:rPr>
      </w:pPr>
      <w:proofErr w:type="spellStart"/>
      <w:r w:rsidRPr="00B96359">
        <w:rPr>
          <w:sz w:val="20"/>
          <w:szCs w:val="20"/>
        </w:rPr>
        <w:t>Blattman</w:t>
      </w:r>
      <w:proofErr w:type="spellEnd"/>
      <w:r w:rsidRPr="00B96359">
        <w:rPr>
          <w:sz w:val="20"/>
          <w:szCs w:val="20"/>
        </w:rPr>
        <w:t>, Christopher, Jason Hwang, and Jeffrey Williamson, 2007, "</w:t>
      </w:r>
      <w:bookmarkEnd w:id="2"/>
      <w:r w:rsidRPr="001F2F1B">
        <w:rPr>
          <w:sz w:val="20"/>
          <w:szCs w:val="20"/>
        </w:rPr>
        <w:t>Winners and Losers in the Commodity Lottery: The Impact of Terms of Trade Growth and Volatility in the Periphery 1870-1939</w:t>
      </w:r>
      <w:r w:rsidRPr="00B96359">
        <w:rPr>
          <w:sz w:val="20"/>
          <w:szCs w:val="20"/>
        </w:rPr>
        <w:t xml:space="preserve">," </w:t>
      </w:r>
      <w:r w:rsidRPr="001F2F1B">
        <w:rPr>
          <w:i/>
          <w:iCs/>
          <w:sz w:val="20"/>
          <w:szCs w:val="20"/>
        </w:rPr>
        <w:t>Journal of Development Economics</w:t>
      </w:r>
      <w:r w:rsidRPr="00B96359">
        <w:rPr>
          <w:sz w:val="20"/>
          <w:szCs w:val="20"/>
        </w:rPr>
        <w:t xml:space="preserve"> (Elsevier), vol. 82, no.1, pages 156-179, January.  NBER WP 10600.</w:t>
      </w:r>
    </w:p>
    <w:p w:rsidR="00B6469C" w:rsidRPr="0054005B" w:rsidRDefault="00B6469C" w:rsidP="00371DFF">
      <w:pPr>
        <w:rPr>
          <w:sz w:val="20"/>
          <w:szCs w:val="20"/>
        </w:rPr>
      </w:pPr>
      <w:r w:rsidRPr="00B6469C">
        <w:rPr>
          <w:sz w:val="20"/>
          <w:szCs w:val="20"/>
        </w:rPr>
        <w:t xml:space="preserve">Borensztein, Eduardo, </w:t>
      </w:r>
      <w:r>
        <w:rPr>
          <w:sz w:val="20"/>
          <w:szCs w:val="20"/>
        </w:rPr>
        <w:t>Olivier Jeanne and</w:t>
      </w:r>
      <w:r w:rsidRPr="00B6469C">
        <w:rPr>
          <w:sz w:val="20"/>
          <w:szCs w:val="20"/>
        </w:rPr>
        <w:t xml:space="preserve"> </w:t>
      </w:r>
      <w:proofErr w:type="spellStart"/>
      <w:r w:rsidRPr="00B6469C">
        <w:rPr>
          <w:sz w:val="20"/>
          <w:szCs w:val="20"/>
        </w:rPr>
        <w:t>Damiano</w:t>
      </w:r>
      <w:proofErr w:type="spellEnd"/>
      <w:r w:rsidRPr="00B6469C">
        <w:rPr>
          <w:sz w:val="20"/>
          <w:szCs w:val="20"/>
        </w:rPr>
        <w:t xml:space="preserve"> Sandri, 2013, "Macro-hedging for commodity exporters," </w:t>
      </w:r>
      <w:r w:rsidRPr="0054005B">
        <w:rPr>
          <w:i/>
          <w:iCs/>
          <w:sz w:val="20"/>
          <w:szCs w:val="20"/>
        </w:rPr>
        <w:t>Journal of Development E</w:t>
      </w:r>
      <w:r w:rsidRPr="0054005B">
        <w:rPr>
          <w:sz w:val="20"/>
          <w:szCs w:val="20"/>
        </w:rPr>
        <w:t>conomics.</w:t>
      </w:r>
    </w:p>
    <w:p w:rsidR="0054005B" w:rsidRPr="0054005B" w:rsidRDefault="0054005B" w:rsidP="00371DFF">
      <w:pPr>
        <w:rPr>
          <w:sz w:val="20"/>
          <w:szCs w:val="20"/>
        </w:rPr>
      </w:pPr>
      <w:r w:rsidRPr="0054005B">
        <w:rPr>
          <w:rFonts w:cs="Arial"/>
          <w:color w:val="222222"/>
          <w:sz w:val="20"/>
          <w:szCs w:val="20"/>
          <w:shd w:val="clear" w:color="auto" w:fill="FFFFFF"/>
        </w:rPr>
        <w:t>Borensztein, Eduardo, and Paolo Mauro, 2004, "The case for GDP</w:t>
      </w:r>
      <w:r w:rsidRPr="0054005B">
        <w:rPr>
          <w:rFonts w:cs="Cambria Math"/>
          <w:color w:val="222222"/>
          <w:sz w:val="20"/>
          <w:szCs w:val="20"/>
          <w:shd w:val="clear" w:color="auto" w:fill="FFFFFF"/>
        </w:rPr>
        <w:t>‐</w:t>
      </w:r>
      <w:r w:rsidRPr="0054005B">
        <w:rPr>
          <w:rFonts w:cs="Arial"/>
          <w:color w:val="222222"/>
          <w:sz w:val="20"/>
          <w:szCs w:val="20"/>
          <w:shd w:val="clear" w:color="auto" w:fill="FFFFFF"/>
        </w:rPr>
        <w:t>indexed bonds." </w:t>
      </w:r>
      <w:r w:rsidRPr="0054005B">
        <w:rPr>
          <w:rFonts w:cs="Arial"/>
          <w:i/>
          <w:iCs/>
          <w:color w:val="222222"/>
          <w:sz w:val="20"/>
          <w:szCs w:val="20"/>
          <w:shd w:val="clear" w:color="auto" w:fill="FFFFFF"/>
        </w:rPr>
        <w:t>Economic Policy</w:t>
      </w:r>
      <w:r w:rsidRPr="0054005B">
        <w:rPr>
          <w:rFonts w:cs="Arial"/>
          <w:color w:val="222222"/>
          <w:sz w:val="20"/>
          <w:szCs w:val="20"/>
          <w:shd w:val="clear" w:color="auto" w:fill="FFFFFF"/>
        </w:rPr>
        <w:t> 19.38: 166-216.</w:t>
      </w:r>
    </w:p>
    <w:p w:rsidR="00C86ED0" w:rsidRDefault="00C86ED0" w:rsidP="00371DFF">
      <w:pPr>
        <w:rPr>
          <w:bCs/>
        </w:rPr>
      </w:pPr>
      <w:r w:rsidRPr="00B96359">
        <w:rPr>
          <w:bCs/>
          <w:sz w:val="20"/>
          <w:szCs w:val="20"/>
        </w:rPr>
        <w:t xml:space="preserve">Broda, Christian, 2004, "Terms of Trade and Exchange Rate Regimes in Developing Countries," </w:t>
      </w:r>
      <w:r w:rsidRPr="00B96359">
        <w:rPr>
          <w:bCs/>
          <w:i/>
          <w:iCs/>
          <w:sz w:val="20"/>
          <w:szCs w:val="20"/>
        </w:rPr>
        <w:t>Journal of International Economics</w:t>
      </w:r>
      <w:r w:rsidRPr="00B96359">
        <w:rPr>
          <w:bCs/>
          <w:sz w:val="20"/>
          <w:szCs w:val="20"/>
        </w:rPr>
        <w:t>, 63(1), pp. 31-58.</w:t>
      </w:r>
      <w:r w:rsidRPr="00B96359">
        <w:rPr>
          <w:bCs/>
        </w:rPr>
        <w:t xml:space="preserve">    </w:t>
      </w:r>
    </w:p>
    <w:p w:rsidR="00A30CB0" w:rsidRDefault="00A30CB0" w:rsidP="00A30CB0">
      <w:proofErr w:type="spellStart"/>
      <w:r w:rsidRPr="00A30CB0">
        <w:rPr>
          <w:sz w:val="20"/>
          <w:szCs w:val="20"/>
        </w:rPr>
        <w:t>Brueckner</w:t>
      </w:r>
      <w:proofErr w:type="spellEnd"/>
      <w:r w:rsidRPr="00A30CB0">
        <w:rPr>
          <w:sz w:val="20"/>
          <w:szCs w:val="20"/>
        </w:rPr>
        <w:t xml:space="preserve">, </w:t>
      </w:r>
      <w:proofErr w:type="spellStart"/>
      <w:r w:rsidRPr="00A30CB0">
        <w:rPr>
          <w:sz w:val="20"/>
          <w:szCs w:val="20"/>
        </w:rPr>
        <w:t>Markkus</w:t>
      </w:r>
      <w:proofErr w:type="spellEnd"/>
      <w:r w:rsidRPr="00A30CB0">
        <w:rPr>
          <w:sz w:val="20"/>
          <w:szCs w:val="20"/>
        </w:rPr>
        <w:t xml:space="preserve">, and Francisco </w:t>
      </w:r>
      <w:proofErr w:type="spellStart"/>
      <w:r w:rsidRPr="00A30CB0">
        <w:rPr>
          <w:sz w:val="20"/>
          <w:szCs w:val="20"/>
        </w:rPr>
        <w:t>Carneiro</w:t>
      </w:r>
      <w:proofErr w:type="spellEnd"/>
      <w:r w:rsidRPr="00A30CB0">
        <w:rPr>
          <w:sz w:val="20"/>
          <w:szCs w:val="20"/>
        </w:rPr>
        <w:t>, 2016, “Terms of Trade Volatility, Government Spending Cyclicality, and Economic Growth,” CAMA Working Paper 36/2016, Australia National University, June</w:t>
      </w:r>
      <w:r w:rsidRPr="00C3156A">
        <w:t xml:space="preserve">.  </w:t>
      </w:r>
      <w:r>
        <w:t xml:space="preserve"> </w:t>
      </w:r>
    </w:p>
    <w:p w:rsidR="00CE3636" w:rsidRPr="00CE3636" w:rsidRDefault="00CE3636" w:rsidP="00A30CB0">
      <w:pPr>
        <w:rPr>
          <w:sz w:val="20"/>
          <w:szCs w:val="20"/>
        </w:rPr>
      </w:pPr>
      <w:r w:rsidRPr="00CA60E0">
        <w:rPr>
          <w:sz w:val="20"/>
          <w:szCs w:val="20"/>
        </w:rPr>
        <w:t xml:space="preserve">Caballero, Ricardo, 2002, “Coping with </w:t>
      </w:r>
      <w:smartTag w:uri="urn:schemas-microsoft-com:office:smarttags" w:element="country-region">
        <w:r w:rsidRPr="00CA60E0">
          <w:rPr>
            <w:sz w:val="20"/>
            <w:szCs w:val="20"/>
          </w:rPr>
          <w:t>Chile</w:t>
        </w:r>
      </w:smartTag>
      <w:r w:rsidRPr="00CA60E0">
        <w:rPr>
          <w:sz w:val="20"/>
          <w:szCs w:val="20"/>
        </w:rPr>
        <w:t xml:space="preserve">’s External Vulnerability: A Financial Problem,” in </w:t>
      </w:r>
      <w:r w:rsidRPr="00CA60E0">
        <w:rPr>
          <w:i/>
          <w:iCs/>
          <w:sz w:val="20"/>
          <w:szCs w:val="20"/>
        </w:rPr>
        <w:t>Econo</w:t>
      </w:r>
      <w:r>
        <w:rPr>
          <w:i/>
          <w:iCs/>
          <w:sz w:val="20"/>
          <w:szCs w:val="20"/>
        </w:rPr>
        <w:t>m</w:t>
      </w:r>
      <w:r w:rsidRPr="00CA60E0">
        <w:rPr>
          <w:i/>
          <w:iCs/>
          <w:sz w:val="20"/>
          <w:szCs w:val="20"/>
        </w:rPr>
        <w:t>ic Growth: Sources, Trends, and Cycles</w:t>
      </w:r>
      <w:r w:rsidRPr="00CA60E0">
        <w:rPr>
          <w:sz w:val="20"/>
          <w:szCs w:val="20"/>
        </w:rPr>
        <w:t xml:space="preserve">, edited by Norman </w:t>
      </w:r>
      <w:proofErr w:type="spellStart"/>
      <w:r w:rsidRPr="00CA60E0">
        <w:rPr>
          <w:sz w:val="20"/>
          <w:szCs w:val="20"/>
        </w:rPr>
        <w:t>Loayza</w:t>
      </w:r>
      <w:proofErr w:type="spellEnd"/>
      <w:r w:rsidRPr="00CA60E0">
        <w:rPr>
          <w:sz w:val="20"/>
          <w:szCs w:val="20"/>
        </w:rPr>
        <w:t xml:space="preserve"> and </w:t>
      </w:r>
      <w:proofErr w:type="spellStart"/>
      <w:r w:rsidRPr="00CA60E0">
        <w:rPr>
          <w:sz w:val="20"/>
          <w:szCs w:val="20"/>
        </w:rPr>
        <w:t>Raimundo</w:t>
      </w:r>
      <w:proofErr w:type="spellEnd"/>
      <w:r w:rsidRPr="00CA60E0">
        <w:rPr>
          <w:sz w:val="20"/>
          <w:szCs w:val="20"/>
        </w:rPr>
        <w:t xml:space="preserve"> Soto (Central Bank of </w:t>
      </w:r>
      <w:smartTag w:uri="urn:schemas-microsoft-com:office:smarttags" w:element="country-region">
        <w:r w:rsidRPr="00CA60E0">
          <w:rPr>
            <w:sz w:val="20"/>
            <w:szCs w:val="20"/>
          </w:rPr>
          <w:t>Chile</w:t>
        </w:r>
      </w:smartTag>
      <w:r w:rsidRPr="00CA60E0">
        <w:rPr>
          <w:sz w:val="20"/>
          <w:szCs w:val="20"/>
        </w:rPr>
        <w:t xml:space="preserve">: </w:t>
      </w:r>
      <w:smartTag w:uri="urn:schemas-microsoft-com:office:smarttags" w:element="place">
        <w:smartTag w:uri="urn:schemas-microsoft-com:office:smarttags" w:element="City">
          <w:r w:rsidRPr="00CA60E0">
            <w:rPr>
              <w:sz w:val="20"/>
              <w:szCs w:val="20"/>
            </w:rPr>
            <w:t>Santiago</w:t>
          </w:r>
        </w:smartTag>
      </w:smartTag>
      <w:r w:rsidRPr="00CA60E0">
        <w:rPr>
          <w:sz w:val="20"/>
          <w:szCs w:val="20"/>
        </w:rPr>
        <w:t>), pp</w:t>
      </w:r>
      <w:smartTag w:uri="urn:schemas-microsoft-com:office:smarttags" w:element="PersonName">
        <w:r w:rsidRPr="00CA60E0">
          <w:rPr>
            <w:sz w:val="20"/>
            <w:szCs w:val="20"/>
          </w:rPr>
          <w:t>.</w:t>
        </w:r>
      </w:smartTag>
      <w:r w:rsidRPr="00CA60E0">
        <w:rPr>
          <w:sz w:val="20"/>
          <w:szCs w:val="20"/>
        </w:rPr>
        <w:t xml:space="preserve">  377-416.</w:t>
      </w:r>
      <w:r>
        <w:rPr>
          <w:sz w:val="20"/>
          <w:szCs w:val="20"/>
        </w:rPr>
        <w:t xml:space="preserve">  </w:t>
      </w:r>
    </w:p>
    <w:p w:rsidR="007563A9" w:rsidRPr="00B96359" w:rsidRDefault="007563A9" w:rsidP="00371DFF">
      <w:pPr>
        <w:rPr>
          <w:rFonts w:cs="Arial"/>
          <w:sz w:val="20"/>
          <w:szCs w:val="20"/>
          <w:shd w:val="clear" w:color="auto" w:fill="FFFFFF"/>
        </w:rPr>
      </w:pPr>
      <w:r w:rsidRPr="00B96359">
        <w:rPr>
          <w:rFonts w:cs="Arial"/>
          <w:sz w:val="20"/>
          <w:szCs w:val="20"/>
          <w:shd w:val="clear" w:color="auto" w:fill="FFFFFF"/>
        </w:rPr>
        <w:t>Cashin, Paul, Luis F. Céspedes, and Ratna Sahay, 2004,. "Commodity Currencies and the Real Exchange Rate."</w:t>
      </w:r>
      <w:r w:rsidRPr="00B96359">
        <w:rPr>
          <w:rStyle w:val="apple-converted-space"/>
          <w:rFonts w:cs="Arial"/>
          <w:sz w:val="20"/>
          <w:szCs w:val="20"/>
          <w:shd w:val="clear" w:color="auto" w:fill="FFFFFF"/>
        </w:rPr>
        <w:t> </w:t>
      </w:r>
      <w:r w:rsidR="002A5074" w:rsidRPr="00B96359">
        <w:rPr>
          <w:rFonts w:cs="Arial"/>
          <w:i/>
          <w:iCs/>
          <w:sz w:val="20"/>
          <w:szCs w:val="20"/>
          <w:shd w:val="clear" w:color="auto" w:fill="FFFFFF"/>
        </w:rPr>
        <w:t xml:space="preserve">Journal </w:t>
      </w:r>
      <w:r w:rsidRPr="00B96359">
        <w:rPr>
          <w:rFonts w:cs="Arial"/>
          <w:i/>
          <w:iCs/>
          <w:sz w:val="20"/>
          <w:szCs w:val="20"/>
          <w:shd w:val="clear" w:color="auto" w:fill="FFFFFF"/>
        </w:rPr>
        <w:t>of Development Economics</w:t>
      </w:r>
      <w:r w:rsidRPr="00B96359">
        <w:rPr>
          <w:rStyle w:val="apple-converted-space"/>
          <w:rFonts w:cs="Arial"/>
          <w:sz w:val="20"/>
          <w:szCs w:val="20"/>
          <w:shd w:val="clear" w:color="auto" w:fill="FFFFFF"/>
        </w:rPr>
        <w:t> </w:t>
      </w:r>
      <w:r w:rsidRPr="00B96359">
        <w:rPr>
          <w:rFonts w:cs="Arial"/>
          <w:sz w:val="20"/>
          <w:szCs w:val="20"/>
          <w:shd w:val="clear" w:color="auto" w:fill="FFFFFF"/>
        </w:rPr>
        <w:t xml:space="preserve">75,  no.1: 239-268.     </w:t>
      </w:r>
    </w:p>
    <w:p w:rsidR="00411961" w:rsidRPr="00B96359" w:rsidRDefault="00411961" w:rsidP="00411961">
      <w:pPr>
        <w:rPr>
          <w:rFonts w:cs="Times New Roman"/>
          <w:sz w:val="20"/>
          <w:szCs w:val="20"/>
        </w:rPr>
      </w:pPr>
      <w:r w:rsidRPr="00B96359">
        <w:rPr>
          <w:rFonts w:cs="Arial"/>
          <w:sz w:val="20"/>
          <w:szCs w:val="20"/>
          <w:shd w:val="clear" w:color="auto" w:fill="FFFFFF"/>
        </w:rPr>
        <w:t>Céspedes, Luis Felipe, and Andrés Velasco, 2012,"Macroeconomic Performance During Commodity Price Booms and Busts."</w:t>
      </w:r>
      <w:r w:rsidRPr="00B96359">
        <w:rPr>
          <w:rStyle w:val="apple-converted-space"/>
          <w:rFonts w:cs="Arial"/>
          <w:sz w:val="20"/>
          <w:szCs w:val="20"/>
          <w:shd w:val="clear" w:color="auto" w:fill="FFFFFF"/>
        </w:rPr>
        <w:t> </w:t>
      </w:r>
      <w:r w:rsidRPr="00B96359">
        <w:rPr>
          <w:rFonts w:cs="Arial"/>
          <w:i/>
          <w:iCs/>
          <w:sz w:val="20"/>
          <w:szCs w:val="20"/>
          <w:shd w:val="clear" w:color="auto" w:fill="FFFFFF"/>
        </w:rPr>
        <w:t>IMF Economic Review</w:t>
      </w:r>
      <w:r w:rsidRPr="00B96359">
        <w:rPr>
          <w:rStyle w:val="apple-converted-space"/>
          <w:rFonts w:cs="Arial"/>
          <w:sz w:val="20"/>
          <w:szCs w:val="20"/>
          <w:shd w:val="clear" w:color="auto" w:fill="FFFFFF"/>
        </w:rPr>
        <w:t> </w:t>
      </w:r>
      <w:r w:rsidRPr="00B96359">
        <w:rPr>
          <w:rFonts w:cs="Arial"/>
          <w:sz w:val="20"/>
          <w:szCs w:val="20"/>
          <w:shd w:val="clear" w:color="auto" w:fill="FFFFFF"/>
        </w:rPr>
        <w:t>60, no.4: 570-599.</w:t>
      </w:r>
    </w:p>
    <w:p w:rsidR="00335C6F" w:rsidRPr="00B96359" w:rsidRDefault="00335C6F" w:rsidP="00371DFF">
      <w:pPr>
        <w:rPr>
          <w:rFonts w:cs="Times New Roman"/>
          <w:sz w:val="20"/>
          <w:szCs w:val="20"/>
        </w:rPr>
      </w:pPr>
      <w:r w:rsidRPr="00B96359">
        <w:rPr>
          <w:rFonts w:cs="Times New Roman"/>
          <w:sz w:val="20"/>
          <w:szCs w:val="20"/>
        </w:rPr>
        <w:lastRenderedPageBreak/>
        <w:t>Céspedes, Luis Felipe, and Andrés Velasco, 2014, "</w:t>
      </w:r>
      <w:r w:rsidRPr="001F2F1B">
        <w:rPr>
          <w:rFonts w:cs="Times New Roman"/>
          <w:bCs/>
          <w:sz w:val="20"/>
          <w:szCs w:val="20"/>
        </w:rPr>
        <w:t>Was this Time Different? Fiscal Policy in Commodity Republics</w:t>
      </w:r>
      <w:r w:rsidRPr="00B96359">
        <w:rPr>
          <w:rFonts w:cs="Times New Roman"/>
          <w:sz w:val="20"/>
          <w:szCs w:val="20"/>
        </w:rPr>
        <w:t>,"</w:t>
      </w:r>
      <w:r w:rsidRPr="00B96359">
        <w:rPr>
          <w:rStyle w:val="apple-converted-space"/>
          <w:rFonts w:cs="Times New Roman"/>
          <w:sz w:val="20"/>
          <w:szCs w:val="20"/>
        </w:rPr>
        <w:t> </w:t>
      </w:r>
      <w:r w:rsidRPr="001F2F1B">
        <w:rPr>
          <w:rFonts w:cs="Times New Roman"/>
          <w:i/>
          <w:sz w:val="20"/>
          <w:szCs w:val="20"/>
        </w:rPr>
        <w:t>Journal of Development Economics</w:t>
      </w:r>
      <w:r w:rsidRPr="00B96359">
        <w:rPr>
          <w:rFonts w:cs="Times New Roman"/>
          <w:sz w:val="20"/>
          <w:szCs w:val="20"/>
        </w:rPr>
        <w:t xml:space="preserve"> (Elsevier), vol. 106 (C), pp. 92-106.    </w:t>
      </w:r>
    </w:p>
    <w:p w:rsidR="008464B1" w:rsidRPr="00B96359" w:rsidRDefault="008464B1" w:rsidP="008464B1">
      <w:pPr>
        <w:rPr>
          <w:rFonts w:cs="Arial"/>
          <w:sz w:val="20"/>
          <w:szCs w:val="20"/>
          <w:shd w:val="clear" w:color="auto" w:fill="FFFFFF"/>
        </w:rPr>
      </w:pPr>
      <w:r w:rsidRPr="00B96359">
        <w:rPr>
          <w:rFonts w:cs="Arial"/>
          <w:sz w:val="20"/>
          <w:szCs w:val="20"/>
          <w:shd w:val="clear" w:color="auto" w:fill="FFFFFF"/>
        </w:rPr>
        <w:t>Chen, Yu-chin, and Kenneth Rogoff, 2003, "Commodity Currencies</w:t>
      </w:r>
      <w:r w:rsidR="00C3156A" w:rsidRPr="00B96359">
        <w:rPr>
          <w:rFonts w:cs="Arial"/>
          <w:sz w:val="20"/>
          <w:szCs w:val="20"/>
          <w:shd w:val="clear" w:color="auto" w:fill="FFFFFF"/>
        </w:rPr>
        <w:t>,</w:t>
      </w:r>
      <w:r w:rsidRPr="00B96359">
        <w:rPr>
          <w:rFonts w:cs="Arial"/>
          <w:sz w:val="20"/>
          <w:szCs w:val="20"/>
          <w:shd w:val="clear" w:color="auto" w:fill="FFFFFF"/>
        </w:rPr>
        <w:t>"</w:t>
      </w:r>
      <w:r w:rsidRPr="00B96359">
        <w:rPr>
          <w:rStyle w:val="apple-converted-space"/>
          <w:rFonts w:cs="Arial"/>
          <w:sz w:val="20"/>
          <w:szCs w:val="20"/>
          <w:shd w:val="clear" w:color="auto" w:fill="FFFFFF"/>
        </w:rPr>
        <w:t> </w:t>
      </w:r>
      <w:r w:rsidRPr="00B96359">
        <w:rPr>
          <w:rFonts w:cs="Arial"/>
          <w:i/>
          <w:iCs/>
          <w:sz w:val="20"/>
          <w:szCs w:val="20"/>
          <w:shd w:val="clear" w:color="auto" w:fill="FFFFFF"/>
        </w:rPr>
        <w:t>Journal of International Economics</w:t>
      </w:r>
      <w:r w:rsidRPr="00B96359">
        <w:rPr>
          <w:rStyle w:val="apple-converted-space"/>
          <w:rFonts w:cs="Arial"/>
          <w:sz w:val="20"/>
          <w:szCs w:val="20"/>
          <w:shd w:val="clear" w:color="auto" w:fill="FFFFFF"/>
        </w:rPr>
        <w:t> </w:t>
      </w:r>
      <w:r w:rsidRPr="00B96359">
        <w:rPr>
          <w:rFonts w:cs="Arial"/>
          <w:sz w:val="20"/>
          <w:szCs w:val="20"/>
          <w:shd w:val="clear" w:color="auto" w:fill="FFFFFF"/>
        </w:rPr>
        <w:t>60</w:t>
      </w:r>
      <w:r w:rsidR="00FF4DB0" w:rsidRPr="00B96359">
        <w:rPr>
          <w:rFonts w:cs="Arial"/>
          <w:sz w:val="20"/>
          <w:szCs w:val="20"/>
          <w:shd w:val="clear" w:color="auto" w:fill="FFFFFF"/>
        </w:rPr>
        <w:t>, no</w:t>
      </w:r>
      <w:r w:rsidRPr="00B96359">
        <w:rPr>
          <w:rFonts w:cs="Arial"/>
          <w:sz w:val="20"/>
          <w:szCs w:val="20"/>
          <w:shd w:val="clear" w:color="auto" w:fill="FFFFFF"/>
        </w:rPr>
        <w:t>.1: 133-160.</w:t>
      </w:r>
    </w:p>
    <w:p w:rsidR="00F00042" w:rsidRPr="00B96359" w:rsidRDefault="00F00042" w:rsidP="008464B1">
      <w:pPr>
        <w:rPr>
          <w:sz w:val="20"/>
          <w:szCs w:val="20"/>
        </w:rPr>
      </w:pPr>
      <w:proofErr w:type="spellStart"/>
      <w:r w:rsidRPr="00B96359">
        <w:rPr>
          <w:sz w:val="20"/>
          <w:szCs w:val="20"/>
        </w:rPr>
        <w:t>Cuddington</w:t>
      </w:r>
      <w:proofErr w:type="spellEnd"/>
      <w:r w:rsidRPr="00B96359">
        <w:rPr>
          <w:sz w:val="20"/>
          <w:szCs w:val="20"/>
        </w:rPr>
        <w:t xml:space="preserve">, John, 1989, “Commodity Export Booms in Developing Countries,” </w:t>
      </w:r>
      <w:r w:rsidRPr="00B96359">
        <w:rPr>
          <w:i/>
          <w:iCs/>
          <w:sz w:val="20"/>
          <w:szCs w:val="20"/>
        </w:rPr>
        <w:t>World Bank Research Observer</w:t>
      </w:r>
      <w:r w:rsidRPr="00B96359">
        <w:rPr>
          <w:sz w:val="20"/>
          <w:szCs w:val="20"/>
        </w:rPr>
        <w:t xml:space="preserve"> 4, 143-165.</w:t>
      </w:r>
    </w:p>
    <w:p w:rsidR="007563A9" w:rsidRPr="00B9278E" w:rsidRDefault="007563A9" w:rsidP="007563A9">
      <w:pPr>
        <w:rPr>
          <w:color w:val="000000"/>
          <w:sz w:val="20"/>
          <w:szCs w:val="20"/>
          <w:shd w:val="clear" w:color="auto" w:fill="FFFFFF"/>
        </w:rPr>
      </w:pPr>
      <w:proofErr w:type="spellStart"/>
      <w:r w:rsidRPr="00B96359">
        <w:rPr>
          <w:rFonts w:cs="Times New Roman"/>
          <w:sz w:val="20"/>
          <w:szCs w:val="20"/>
        </w:rPr>
        <w:t>Duclaud</w:t>
      </w:r>
      <w:proofErr w:type="spellEnd"/>
      <w:r w:rsidRPr="00B96359">
        <w:rPr>
          <w:rFonts w:cs="Times New Roman"/>
          <w:sz w:val="20"/>
          <w:szCs w:val="20"/>
        </w:rPr>
        <w:t xml:space="preserve">, Javier, and Gerardo </w:t>
      </w:r>
      <w:proofErr w:type="spellStart"/>
      <w:r w:rsidRPr="00B96359">
        <w:rPr>
          <w:rFonts w:cs="Times New Roman"/>
          <w:sz w:val="20"/>
          <w:szCs w:val="20"/>
        </w:rPr>
        <w:t>García</w:t>
      </w:r>
      <w:proofErr w:type="spellEnd"/>
      <w:r w:rsidRPr="00B96359">
        <w:rPr>
          <w:rFonts w:cs="Times New Roman"/>
          <w:sz w:val="20"/>
          <w:szCs w:val="20"/>
        </w:rPr>
        <w:t>, 201</w:t>
      </w:r>
      <w:r w:rsidR="00B9278E">
        <w:rPr>
          <w:rFonts w:cs="Times New Roman"/>
          <w:sz w:val="20"/>
          <w:szCs w:val="20"/>
        </w:rPr>
        <w:t>2</w:t>
      </w:r>
      <w:r w:rsidRPr="00B96359">
        <w:rPr>
          <w:rFonts w:cs="Times New Roman"/>
          <w:sz w:val="20"/>
          <w:szCs w:val="20"/>
        </w:rPr>
        <w:t>, “Mexico´s Oil Price Hedging Progra</w:t>
      </w:r>
      <w:r w:rsidR="00B9278E">
        <w:rPr>
          <w:rFonts w:cs="Times New Roman"/>
          <w:sz w:val="20"/>
          <w:szCs w:val="20"/>
        </w:rPr>
        <w:t>m</w:t>
      </w:r>
      <w:r w:rsidR="00B9278E" w:rsidRPr="00A30CB0">
        <w:rPr>
          <w:color w:val="000000"/>
          <w:sz w:val="20"/>
          <w:szCs w:val="20"/>
          <w:shd w:val="clear" w:color="auto" w:fill="FFFFFF"/>
        </w:rPr>
        <w:t>,”</w:t>
      </w:r>
      <w:r w:rsidR="00B9278E" w:rsidRPr="00A30CB0">
        <w:rPr>
          <w:rStyle w:val="apple-converted-space"/>
          <w:color w:val="000000"/>
          <w:sz w:val="20"/>
          <w:szCs w:val="20"/>
          <w:shd w:val="clear" w:color="auto" w:fill="FFFFFF"/>
        </w:rPr>
        <w:t> </w:t>
      </w:r>
      <w:r w:rsidR="00B9278E" w:rsidRPr="00A30CB0">
        <w:rPr>
          <w:color w:val="000000"/>
          <w:sz w:val="20"/>
          <w:szCs w:val="20"/>
          <w:shd w:val="clear" w:color="auto" w:fill="FFFFFF"/>
        </w:rPr>
        <w:t>in</w:t>
      </w:r>
      <w:r w:rsidR="00B9278E">
        <w:rPr>
          <w:rStyle w:val="apple-converted-space"/>
          <w:color w:val="000000"/>
          <w:sz w:val="20"/>
          <w:szCs w:val="20"/>
          <w:shd w:val="clear" w:color="auto" w:fill="FFFFFF"/>
        </w:rPr>
        <w:t xml:space="preserve"> </w:t>
      </w:r>
      <w:r w:rsidR="00B9278E" w:rsidRPr="001F2F1B">
        <w:rPr>
          <w:i/>
          <w:iCs/>
          <w:sz w:val="20"/>
          <w:szCs w:val="20"/>
          <w:shd w:val="clear" w:color="auto" w:fill="FFFFFF"/>
        </w:rPr>
        <w:t>Commodity Price Volatility and Inclusive Growth in Low-Income Countries</w:t>
      </w:r>
      <w:r w:rsidR="00B9278E" w:rsidRPr="00A30CB0">
        <w:rPr>
          <w:i/>
          <w:iCs/>
          <w:color w:val="000000"/>
          <w:sz w:val="20"/>
          <w:szCs w:val="20"/>
          <w:shd w:val="clear" w:color="auto" w:fill="FFFFFF"/>
        </w:rPr>
        <w:t>,</w:t>
      </w:r>
      <w:r w:rsidR="00B9278E" w:rsidRPr="00A30CB0">
        <w:rPr>
          <w:rStyle w:val="apple-converted-space"/>
          <w:color w:val="000000"/>
          <w:sz w:val="20"/>
          <w:szCs w:val="20"/>
          <w:shd w:val="clear" w:color="auto" w:fill="FFFFFF"/>
        </w:rPr>
        <w:t> </w:t>
      </w:r>
      <w:r w:rsidR="00B9278E" w:rsidRPr="00A30CB0">
        <w:rPr>
          <w:color w:val="000000"/>
          <w:sz w:val="20"/>
          <w:szCs w:val="20"/>
          <w:shd w:val="clear" w:color="auto" w:fill="FFFFFF"/>
        </w:rPr>
        <w:t>edited by Rabah Arezki, C</w:t>
      </w:r>
      <w:r w:rsidR="00B9278E">
        <w:rPr>
          <w:color w:val="000000"/>
          <w:sz w:val="20"/>
          <w:szCs w:val="20"/>
          <w:shd w:val="clear" w:color="auto" w:fill="FFFFFF"/>
        </w:rPr>
        <w:t>atherine Patillo, Marc Quintyn and</w:t>
      </w:r>
      <w:r w:rsidR="00B9278E" w:rsidRPr="00A30CB0">
        <w:rPr>
          <w:color w:val="000000"/>
          <w:sz w:val="20"/>
          <w:szCs w:val="20"/>
          <w:shd w:val="clear" w:color="auto" w:fill="FFFFFF"/>
        </w:rPr>
        <w:t xml:space="preserve"> Min Zhu (International Monetary Fund: Washington DC)</w:t>
      </w:r>
      <w:r w:rsidR="00B9278E">
        <w:rPr>
          <w:color w:val="000000"/>
          <w:sz w:val="20"/>
          <w:szCs w:val="20"/>
          <w:shd w:val="clear" w:color="auto" w:fill="FFFFFF"/>
        </w:rPr>
        <w:t>.</w:t>
      </w:r>
    </w:p>
    <w:p w:rsidR="00A5654E" w:rsidRPr="00B96359" w:rsidRDefault="00C86ED0" w:rsidP="007563A9">
      <w:pPr>
        <w:rPr>
          <w:bCs/>
          <w:spacing w:val="-3"/>
        </w:rPr>
      </w:pPr>
      <w:r w:rsidRPr="00B96359">
        <w:rPr>
          <w:bCs/>
          <w:spacing w:val="-3"/>
          <w:sz w:val="20"/>
          <w:szCs w:val="20"/>
        </w:rPr>
        <w:t>Edwards, Sebastian, and Eduardo Levy Yeyati, 2005,  “</w:t>
      </w:r>
      <w:r w:rsidRPr="001F2F1B">
        <w:rPr>
          <w:bCs/>
          <w:spacing w:val="-3"/>
          <w:sz w:val="20"/>
          <w:szCs w:val="20"/>
        </w:rPr>
        <w:t>Flexible Exchange Rates as Shock Absorbers</w:t>
      </w:r>
      <w:r w:rsidRPr="00B96359">
        <w:rPr>
          <w:bCs/>
          <w:spacing w:val="-3"/>
          <w:sz w:val="20"/>
          <w:szCs w:val="20"/>
        </w:rPr>
        <w:t xml:space="preserve">,”   </w:t>
      </w:r>
      <w:r w:rsidRPr="00B96359">
        <w:rPr>
          <w:bCs/>
          <w:i/>
          <w:spacing w:val="-3"/>
          <w:sz w:val="20"/>
          <w:szCs w:val="20"/>
        </w:rPr>
        <w:t>European Economic Review</w:t>
      </w:r>
      <w:r w:rsidRPr="00B96359">
        <w:rPr>
          <w:bCs/>
          <w:spacing w:val="-3"/>
          <w:sz w:val="20"/>
          <w:szCs w:val="20"/>
        </w:rPr>
        <w:t>, Vol. 49, Issue 8, November, pp. 2079-05</w:t>
      </w:r>
      <w:r w:rsidRPr="00B96359">
        <w:rPr>
          <w:bCs/>
          <w:spacing w:val="-3"/>
        </w:rPr>
        <w:t xml:space="preserve">.      </w:t>
      </w:r>
    </w:p>
    <w:p w:rsidR="00411961" w:rsidRPr="00B96359" w:rsidRDefault="00DF422C" w:rsidP="007563A9">
      <w:pPr>
        <w:rPr>
          <w:bCs/>
          <w:spacing w:val="-3"/>
        </w:rPr>
      </w:pPr>
      <w:r>
        <w:rPr>
          <w:rFonts w:cs="Arial"/>
          <w:sz w:val="20"/>
          <w:szCs w:val="20"/>
          <w:shd w:val="clear" w:color="auto" w:fill="FFFFFF"/>
        </w:rPr>
        <w:t xml:space="preserve">Erbil, </w:t>
      </w:r>
      <w:proofErr w:type="spellStart"/>
      <w:r>
        <w:rPr>
          <w:rFonts w:cs="Arial"/>
          <w:sz w:val="20"/>
          <w:szCs w:val="20"/>
          <w:shd w:val="clear" w:color="auto" w:fill="FFFFFF"/>
        </w:rPr>
        <w:t>Nese</w:t>
      </w:r>
      <w:proofErr w:type="spellEnd"/>
      <w:r>
        <w:rPr>
          <w:rFonts w:cs="Arial"/>
          <w:sz w:val="20"/>
          <w:szCs w:val="20"/>
          <w:shd w:val="clear" w:color="auto" w:fill="FFFFFF"/>
        </w:rPr>
        <w:t>,</w:t>
      </w:r>
      <w:r w:rsidR="00A5654E" w:rsidRPr="00B96359">
        <w:rPr>
          <w:rStyle w:val="apple-converted-space"/>
          <w:rFonts w:cs="Arial"/>
          <w:sz w:val="20"/>
          <w:szCs w:val="20"/>
          <w:shd w:val="clear" w:color="auto" w:fill="FFFFFF"/>
        </w:rPr>
        <w:t> 2011, “</w:t>
      </w:r>
      <w:r w:rsidR="00A5654E" w:rsidRPr="00A30CB0">
        <w:rPr>
          <w:rFonts w:cs="Arial"/>
          <w:iCs/>
          <w:sz w:val="20"/>
          <w:szCs w:val="20"/>
          <w:shd w:val="clear" w:color="auto" w:fill="FFFFFF"/>
        </w:rPr>
        <w:t>Is Fiscal Policy Procyclical in Developing Oil-producing Countries?</w:t>
      </w:r>
      <w:r w:rsidR="00A5654E" w:rsidRPr="00A30CB0">
        <w:rPr>
          <w:rFonts w:cs="Arial"/>
          <w:sz w:val="20"/>
          <w:szCs w:val="20"/>
          <w:shd w:val="clear" w:color="auto" w:fill="FFFFFF"/>
        </w:rPr>
        <w:t>”</w:t>
      </w:r>
      <w:r w:rsidR="00A5654E" w:rsidRPr="00B96359">
        <w:rPr>
          <w:rFonts w:cs="Arial"/>
          <w:sz w:val="20"/>
          <w:szCs w:val="20"/>
          <w:shd w:val="clear" w:color="auto" w:fill="FFFFFF"/>
        </w:rPr>
        <w:t xml:space="preserve"> </w:t>
      </w:r>
      <w:r w:rsidR="009706B3">
        <w:rPr>
          <w:rFonts w:cs="Arial"/>
          <w:sz w:val="20"/>
          <w:szCs w:val="20"/>
          <w:shd w:val="clear" w:color="auto" w:fill="FFFFFF"/>
        </w:rPr>
        <w:t xml:space="preserve">IMF Working Papers </w:t>
      </w:r>
      <w:r w:rsidR="00A5654E" w:rsidRPr="00B96359">
        <w:rPr>
          <w:rFonts w:cs="Arial"/>
          <w:sz w:val="20"/>
          <w:szCs w:val="20"/>
          <w:shd w:val="clear" w:color="auto" w:fill="FFFFFF"/>
        </w:rPr>
        <w:t>(International Monetary Fund).</w:t>
      </w:r>
      <w:r w:rsidR="00C86ED0" w:rsidRPr="00B96359">
        <w:rPr>
          <w:bCs/>
          <w:spacing w:val="-3"/>
        </w:rPr>
        <w:t xml:space="preserve"> </w:t>
      </w:r>
    </w:p>
    <w:p w:rsidR="00AB3D3C" w:rsidRDefault="00AB3D3C" w:rsidP="00371DFF">
      <w:pPr>
        <w:rPr>
          <w:sz w:val="20"/>
          <w:szCs w:val="20"/>
        </w:rPr>
      </w:pPr>
      <w:r w:rsidRPr="00B96359">
        <w:rPr>
          <w:sz w:val="20"/>
          <w:szCs w:val="20"/>
        </w:rPr>
        <w:t>Fraga, Armino, Ilan Goldfajn, and André Minella, 2003, “</w:t>
      </w:r>
      <w:r w:rsidRPr="001F2F1B">
        <w:rPr>
          <w:sz w:val="20"/>
          <w:szCs w:val="20"/>
        </w:rPr>
        <w:t>Inflation Targeting in Emerging Market Economies</w:t>
      </w:r>
      <w:r w:rsidRPr="00B96359">
        <w:rPr>
          <w:sz w:val="20"/>
          <w:szCs w:val="20"/>
        </w:rPr>
        <w:t xml:space="preserve">,” </w:t>
      </w:r>
      <w:r w:rsidRPr="00B96359">
        <w:rPr>
          <w:i/>
          <w:iCs/>
          <w:sz w:val="20"/>
          <w:szCs w:val="20"/>
        </w:rPr>
        <w:t>NBER Macro Annual 2003</w:t>
      </w:r>
      <w:r w:rsidRPr="00B96359">
        <w:rPr>
          <w:sz w:val="20"/>
          <w:szCs w:val="20"/>
        </w:rPr>
        <w:t>, Ken</w:t>
      </w:r>
      <w:r w:rsidR="001F2F1B">
        <w:rPr>
          <w:sz w:val="20"/>
          <w:szCs w:val="20"/>
        </w:rPr>
        <w:t>neth</w:t>
      </w:r>
      <w:r w:rsidRPr="00B96359">
        <w:rPr>
          <w:sz w:val="20"/>
          <w:szCs w:val="20"/>
        </w:rPr>
        <w:t xml:space="preserve"> Rogoff and Mark Gertler, ed</w:t>
      </w:r>
      <w:r w:rsidR="001F2F1B">
        <w:rPr>
          <w:sz w:val="20"/>
          <w:szCs w:val="20"/>
        </w:rPr>
        <w:t>itors</w:t>
      </w:r>
      <w:r w:rsidRPr="00B96359">
        <w:rPr>
          <w:sz w:val="20"/>
          <w:szCs w:val="20"/>
        </w:rPr>
        <w:t xml:space="preserve"> (MIT Press: Cambridge).</w:t>
      </w:r>
    </w:p>
    <w:p w:rsidR="00904E51" w:rsidRPr="00DF422C" w:rsidRDefault="00904E51" w:rsidP="00904E51">
      <w:pPr>
        <w:spacing w:line="240" w:lineRule="atLeast"/>
        <w:rPr>
          <w:sz w:val="20"/>
          <w:szCs w:val="20"/>
        </w:rPr>
      </w:pPr>
      <w:bookmarkStart w:id="3" w:name="OLE_LINK3"/>
      <w:r w:rsidRPr="00DF422C">
        <w:rPr>
          <w:sz w:val="20"/>
          <w:szCs w:val="20"/>
        </w:rPr>
        <w:t>Frankel, Jeffrey, 2007, “</w:t>
      </w:r>
      <w:bookmarkEnd w:id="3"/>
      <w:r w:rsidRPr="00DF422C">
        <w:rPr>
          <w:sz w:val="20"/>
          <w:szCs w:val="20"/>
        </w:rPr>
        <w:t xml:space="preserve">On the Rand: Determinants of the South African Exchange Rate,” </w:t>
      </w:r>
      <w:r w:rsidRPr="00DF422C">
        <w:rPr>
          <w:i/>
          <w:sz w:val="20"/>
          <w:szCs w:val="20"/>
        </w:rPr>
        <w:t>South African Journal of Economics</w:t>
      </w:r>
      <w:r w:rsidRPr="00DF422C">
        <w:rPr>
          <w:sz w:val="20"/>
          <w:szCs w:val="20"/>
        </w:rPr>
        <w:t xml:space="preserve">, vol.75, no.3, September, 425-441.  </w:t>
      </w:r>
    </w:p>
    <w:p w:rsidR="003D646B" w:rsidRPr="00904E51" w:rsidRDefault="003D646B" w:rsidP="00904E51">
      <w:pPr>
        <w:spacing w:line="240" w:lineRule="atLeast"/>
        <w:rPr>
          <w:sz w:val="18"/>
          <w:szCs w:val="18"/>
        </w:rPr>
      </w:pPr>
      <w:r w:rsidRPr="00DF422C">
        <w:rPr>
          <w:sz w:val="20"/>
          <w:szCs w:val="20"/>
        </w:rPr>
        <w:t>Frankel, Jeffrey, 2008,</w:t>
      </w:r>
      <w:r w:rsidRPr="00DF422C">
        <w:rPr>
          <w:sz w:val="24"/>
          <w:szCs w:val="24"/>
        </w:rPr>
        <w:t xml:space="preserve"> </w:t>
      </w:r>
      <w:r w:rsidRPr="00DF422C">
        <w:rPr>
          <w:rFonts w:ascii="Arial" w:hAnsi="Arial" w:cs="Arial"/>
          <w:color w:val="1E1E1E"/>
          <w:sz w:val="24"/>
          <w:szCs w:val="24"/>
          <w:shd w:val="clear" w:color="auto" w:fill="FFFFFF"/>
        </w:rPr>
        <w:t>"</w:t>
      </w:r>
      <w:r w:rsidRPr="001F2F1B">
        <w:rPr>
          <w:rFonts w:cs="Arial"/>
          <w:sz w:val="20"/>
          <w:szCs w:val="20"/>
          <w:shd w:val="clear" w:color="auto" w:fill="FFFFFF"/>
        </w:rPr>
        <w:t>UAE &amp; Other Gulf Countries Urged to Switch Currency Peg from the Dollar to a Basket That Includes Oil,</w:t>
      </w:r>
      <w:r w:rsidRPr="003D646B">
        <w:rPr>
          <w:rFonts w:cs="Arial"/>
          <w:color w:val="1E1E1E"/>
          <w:sz w:val="20"/>
          <w:szCs w:val="20"/>
          <w:shd w:val="clear" w:color="auto" w:fill="FFFFFF"/>
        </w:rPr>
        <w:t>" </w:t>
      </w:r>
      <w:r w:rsidRPr="001F2F1B">
        <w:rPr>
          <w:rFonts w:cs="Arial"/>
          <w:i/>
          <w:sz w:val="20"/>
          <w:szCs w:val="20"/>
          <w:shd w:val="clear" w:color="auto" w:fill="FFFFFF"/>
        </w:rPr>
        <w:t>Vox.EU</w:t>
      </w:r>
      <w:r w:rsidR="00062128">
        <w:rPr>
          <w:rFonts w:cs="Arial"/>
          <w:color w:val="1E1E1E"/>
          <w:sz w:val="20"/>
          <w:szCs w:val="20"/>
          <w:shd w:val="clear" w:color="auto" w:fill="FFFFFF"/>
        </w:rPr>
        <w:t xml:space="preserve">, </w:t>
      </w:r>
      <w:r w:rsidRPr="003D646B">
        <w:rPr>
          <w:rFonts w:cs="Arial"/>
          <w:color w:val="1E1E1E"/>
          <w:sz w:val="20"/>
          <w:szCs w:val="20"/>
          <w:shd w:val="clear" w:color="auto" w:fill="FFFFFF"/>
        </w:rPr>
        <w:t>July</w:t>
      </w:r>
      <w:r w:rsidR="00062128">
        <w:rPr>
          <w:rFonts w:cs="Arial"/>
          <w:color w:val="1E1E1E"/>
          <w:sz w:val="20"/>
          <w:szCs w:val="20"/>
          <w:shd w:val="clear" w:color="auto" w:fill="FFFFFF"/>
        </w:rPr>
        <w:t xml:space="preserve"> 9</w:t>
      </w:r>
      <w:r w:rsidRPr="003D646B">
        <w:rPr>
          <w:rFonts w:cs="Arial"/>
          <w:color w:val="1E1E1E"/>
          <w:sz w:val="20"/>
          <w:szCs w:val="20"/>
          <w:shd w:val="clear" w:color="auto" w:fill="FFFFFF"/>
        </w:rPr>
        <w:t>.</w:t>
      </w:r>
    </w:p>
    <w:p w:rsidR="00A83D67" w:rsidRDefault="00A83D67" w:rsidP="00371DFF">
      <w:r w:rsidRPr="00B96359">
        <w:rPr>
          <w:sz w:val="20"/>
          <w:szCs w:val="20"/>
        </w:rPr>
        <w:t>Frankel, Jeffrey, 2011, “</w:t>
      </w:r>
      <w:r w:rsidRPr="001F2F1B">
        <w:rPr>
          <w:sz w:val="20"/>
          <w:szCs w:val="20"/>
        </w:rPr>
        <w:t>A Comparison of Product Price Targeting and Other Monetary Anchor Options, for Commodity-Exporters in Latin America</w:t>
      </w:r>
      <w:r w:rsidRPr="00B96359">
        <w:rPr>
          <w:sz w:val="20"/>
          <w:szCs w:val="20"/>
        </w:rPr>
        <w:t>," </w:t>
      </w:r>
      <w:r w:rsidRPr="001F2F1B">
        <w:rPr>
          <w:i/>
          <w:iCs/>
          <w:sz w:val="20"/>
          <w:szCs w:val="20"/>
        </w:rPr>
        <w:t>Economia</w:t>
      </w:r>
      <w:r w:rsidRPr="00B96359">
        <w:rPr>
          <w:i/>
          <w:iCs/>
          <w:sz w:val="20"/>
          <w:szCs w:val="20"/>
        </w:rPr>
        <w:t>,</w:t>
      </w:r>
      <w:r w:rsidRPr="00B96359">
        <w:rPr>
          <w:rStyle w:val="apple-converted-space"/>
          <w:sz w:val="20"/>
          <w:szCs w:val="20"/>
        </w:rPr>
        <w:t> </w:t>
      </w:r>
      <w:r w:rsidRPr="00B96359">
        <w:rPr>
          <w:sz w:val="20"/>
          <w:szCs w:val="20"/>
        </w:rPr>
        <w:t>vol.</w:t>
      </w:r>
      <w:r w:rsidR="00062128">
        <w:rPr>
          <w:sz w:val="20"/>
          <w:szCs w:val="20"/>
        </w:rPr>
        <w:t xml:space="preserve"> </w:t>
      </w:r>
      <w:r w:rsidRPr="00B96359">
        <w:rPr>
          <w:sz w:val="20"/>
          <w:szCs w:val="20"/>
        </w:rPr>
        <w:t>12, no.</w:t>
      </w:r>
      <w:r w:rsidR="00062128">
        <w:rPr>
          <w:sz w:val="20"/>
          <w:szCs w:val="20"/>
        </w:rPr>
        <w:t xml:space="preserve"> </w:t>
      </w:r>
      <w:r w:rsidRPr="00B96359">
        <w:rPr>
          <w:sz w:val="20"/>
          <w:szCs w:val="20"/>
        </w:rPr>
        <w:t>1: 1-57</w:t>
      </w:r>
      <w:r w:rsidR="00062128">
        <w:rPr>
          <w:sz w:val="20"/>
          <w:szCs w:val="20"/>
        </w:rPr>
        <w:t>.</w:t>
      </w:r>
      <w:r w:rsidRPr="00B96359">
        <w:rPr>
          <w:sz w:val="20"/>
          <w:szCs w:val="20"/>
        </w:rPr>
        <w:t>  NBER WP</w:t>
      </w:r>
      <w:r w:rsidRPr="00B96359">
        <w:rPr>
          <w:rStyle w:val="apple-converted-space"/>
          <w:sz w:val="20"/>
          <w:szCs w:val="20"/>
        </w:rPr>
        <w:t> </w:t>
      </w:r>
      <w:hyperlink r:id="rId12" w:history="1">
        <w:r w:rsidRPr="00B96359">
          <w:rPr>
            <w:rStyle w:val="Hyperlink"/>
            <w:color w:val="auto"/>
            <w:sz w:val="20"/>
            <w:szCs w:val="20"/>
          </w:rPr>
          <w:t>16362</w:t>
        </w:r>
      </w:hyperlink>
      <w:r w:rsidRPr="00B96359">
        <w:rPr>
          <w:sz w:val="20"/>
          <w:szCs w:val="20"/>
        </w:rPr>
        <w:t>.</w:t>
      </w:r>
      <w:r w:rsidRPr="00B96359">
        <w:t> </w:t>
      </w:r>
    </w:p>
    <w:p w:rsidR="00A30CB0" w:rsidRPr="00A30CB0" w:rsidRDefault="00A30CB0" w:rsidP="00371DFF">
      <w:pPr>
        <w:rPr>
          <w:color w:val="000000"/>
          <w:sz w:val="20"/>
          <w:szCs w:val="20"/>
          <w:shd w:val="clear" w:color="auto" w:fill="FFFFFF"/>
        </w:rPr>
      </w:pPr>
      <w:r w:rsidRPr="00A30CB0">
        <w:rPr>
          <w:sz w:val="20"/>
          <w:szCs w:val="20"/>
        </w:rPr>
        <w:t>Frankel, Jeffrey, 2012a,</w:t>
      </w:r>
      <w:r w:rsidRPr="00A30CB0">
        <w:rPr>
          <w:color w:val="000000"/>
          <w:sz w:val="20"/>
          <w:szCs w:val="20"/>
          <w:shd w:val="clear" w:color="auto" w:fill="FFFFFF"/>
        </w:rPr>
        <w:t xml:space="preserve"> “</w:t>
      </w:r>
      <w:r w:rsidRPr="001F2F1B">
        <w:rPr>
          <w:sz w:val="20"/>
          <w:szCs w:val="20"/>
          <w:shd w:val="clear" w:color="auto" w:fill="FFFFFF"/>
        </w:rPr>
        <w:t>The Natural Resource Curse: A Survey of Diagnoses and Some Prescriptions</w:t>
      </w:r>
      <w:r w:rsidRPr="00A30CB0">
        <w:rPr>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in</w:t>
      </w:r>
      <w:r>
        <w:rPr>
          <w:rStyle w:val="apple-converted-space"/>
          <w:color w:val="000000"/>
          <w:sz w:val="20"/>
          <w:szCs w:val="20"/>
          <w:shd w:val="clear" w:color="auto" w:fill="FFFFFF"/>
        </w:rPr>
        <w:t xml:space="preserve"> </w:t>
      </w:r>
      <w:r w:rsidRPr="001F2F1B">
        <w:rPr>
          <w:i/>
          <w:iCs/>
          <w:sz w:val="20"/>
          <w:szCs w:val="20"/>
          <w:shd w:val="clear" w:color="auto" w:fill="FFFFFF"/>
        </w:rPr>
        <w:t>Commodity Price Volatility and Inclusive Growth in Low-Income Countries</w:t>
      </w:r>
      <w:r w:rsidRPr="00A30CB0">
        <w:rPr>
          <w:i/>
          <w:iCs/>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edited by Rabah Arezki, C</w:t>
      </w:r>
      <w:r w:rsidR="00AB46A3">
        <w:rPr>
          <w:color w:val="000000"/>
          <w:sz w:val="20"/>
          <w:szCs w:val="20"/>
          <w:shd w:val="clear" w:color="auto" w:fill="FFFFFF"/>
        </w:rPr>
        <w:t>atherine Patillo, Marc Quintyn and</w:t>
      </w:r>
      <w:r w:rsidRPr="00A30CB0">
        <w:rPr>
          <w:color w:val="000000"/>
          <w:sz w:val="20"/>
          <w:szCs w:val="20"/>
          <w:shd w:val="clear" w:color="auto" w:fill="FFFFFF"/>
        </w:rPr>
        <w:t xml:space="preserve"> Min Zhu (International Monetary Fund: Washington DC)</w:t>
      </w:r>
      <w:r w:rsidR="00F46286">
        <w:rPr>
          <w:color w:val="000000"/>
          <w:sz w:val="20"/>
          <w:szCs w:val="20"/>
          <w:shd w:val="clear" w:color="auto" w:fill="FFFFFF"/>
        </w:rPr>
        <w:t>.</w:t>
      </w:r>
    </w:p>
    <w:p w:rsidR="00A83D67" w:rsidRPr="00B96359" w:rsidRDefault="00A83D67" w:rsidP="00371DFF">
      <w:pPr>
        <w:rPr>
          <w:sz w:val="20"/>
          <w:szCs w:val="20"/>
        </w:rPr>
      </w:pPr>
      <w:r w:rsidRPr="00B96359">
        <w:rPr>
          <w:sz w:val="20"/>
          <w:szCs w:val="20"/>
        </w:rPr>
        <w:t>Frankel, Jeffrey, 2012</w:t>
      </w:r>
      <w:r w:rsidR="00A30CB0">
        <w:rPr>
          <w:sz w:val="20"/>
          <w:szCs w:val="20"/>
        </w:rPr>
        <w:t>b</w:t>
      </w:r>
      <w:r w:rsidRPr="00B96359">
        <w:rPr>
          <w:sz w:val="20"/>
          <w:szCs w:val="20"/>
        </w:rPr>
        <w:t>, "</w:t>
      </w:r>
      <w:r w:rsidRPr="001F2F1B">
        <w:rPr>
          <w:sz w:val="20"/>
          <w:szCs w:val="20"/>
        </w:rPr>
        <w:t>Product Price Targeting -- A New Improved Way of Inflation Targeting</w:t>
      </w:r>
      <w:r w:rsidRPr="00B96359">
        <w:rPr>
          <w:sz w:val="20"/>
          <w:szCs w:val="20"/>
        </w:rPr>
        <w:t>,"</w:t>
      </w:r>
      <w:r w:rsidR="002A03BE" w:rsidRPr="00B96359">
        <w:rPr>
          <w:sz w:val="20"/>
          <w:szCs w:val="20"/>
        </w:rPr>
        <w:t xml:space="preserve"> </w:t>
      </w:r>
      <w:hyperlink r:id="rId13" w:history="1">
        <w:r w:rsidRPr="00B96359">
          <w:rPr>
            <w:rStyle w:val="Hyperlink"/>
            <w:color w:val="auto"/>
            <w:sz w:val="20"/>
            <w:szCs w:val="20"/>
          </w:rPr>
          <w:t>in</w:t>
        </w:r>
      </w:hyperlink>
      <w:r w:rsidRPr="00B96359">
        <w:rPr>
          <w:rStyle w:val="apple-converted-space"/>
          <w:i/>
          <w:iCs/>
          <w:sz w:val="20"/>
          <w:szCs w:val="20"/>
        </w:rPr>
        <w:t> </w:t>
      </w:r>
      <w:r w:rsidRPr="00B96359">
        <w:rPr>
          <w:i/>
          <w:iCs/>
          <w:sz w:val="20"/>
          <w:szCs w:val="20"/>
        </w:rPr>
        <w:t>MAS Monetary Review</w:t>
      </w:r>
      <w:r w:rsidRPr="00B96359">
        <w:rPr>
          <w:rStyle w:val="apple-converted-space"/>
          <w:i/>
          <w:iCs/>
          <w:sz w:val="20"/>
          <w:szCs w:val="20"/>
        </w:rPr>
        <w:t> </w:t>
      </w:r>
      <w:r w:rsidRPr="001F2F1B">
        <w:rPr>
          <w:sz w:val="20"/>
          <w:szCs w:val="20"/>
        </w:rPr>
        <w:t>Vol.</w:t>
      </w:r>
      <w:r w:rsidR="00F46286">
        <w:rPr>
          <w:sz w:val="20"/>
          <w:szCs w:val="20"/>
        </w:rPr>
        <w:t xml:space="preserve"> </w:t>
      </w:r>
      <w:r w:rsidRPr="001F2F1B">
        <w:rPr>
          <w:sz w:val="20"/>
          <w:szCs w:val="20"/>
        </w:rPr>
        <w:t>XI, issue 1, April</w:t>
      </w:r>
      <w:r w:rsidRPr="00B96359">
        <w:rPr>
          <w:rStyle w:val="apple-converted-space"/>
          <w:sz w:val="20"/>
          <w:szCs w:val="20"/>
        </w:rPr>
        <w:t> </w:t>
      </w:r>
      <w:r w:rsidRPr="00B96359">
        <w:rPr>
          <w:sz w:val="20"/>
          <w:szCs w:val="20"/>
        </w:rPr>
        <w:t xml:space="preserve">(Monetary Authority of Singapore), pp.2-5.  </w:t>
      </w:r>
    </w:p>
    <w:p w:rsidR="00886249" w:rsidRPr="00B96359" w:rsidRDefault="00886249" w:rsidP="00371DFF">
      <w:pPr>
        <w:rPr>
          <w:rStyle w:val="apple-converted-space"/>
          <w:shd w:val="clear" w:color="auto" w:fill="FFFFFF"/>
        </w:rPr>
      </w:pPr>
      <w:r w:rsidRPr="00B96359">
        <w:rPr>
          <w:sz w:val="20"/>
          <w:szCs w:val="20"/>
        </w:rPr>
        <w:t xml:space="preserve">Frankel, Jeffrey, 2013, </w:t>
      </w:r>
      <w:r w:rsidRPr="00B96359">
        <w:rPr>
          <w:sz w:val="20"/>
          <w:szCs w:val="20"/>
          <w:shd w:val="clear" w:color="auto" w:fill="FFFFFF"/>
        </w:rPr>
        <w:t>“</w:t>
      </w:r>
      <w:r w:rsidRPr="001F2F1B">
        <w:rPr>
          <w:sz w:val="20"/>
          <w:szCs w:val="20"/>
          <w:shd w:val="clear" w:color="auto" w:fill="FFFFFF"/>
        </w:rPr>
        <w:t>A Solution to Fiscal Procyclicality:  The Structural Budget Institutions Pioneered by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in</w:t>
      </w:r>
      <w:r w:rsidRPr="00B96359">
        <w:rPr>
          <w:rStyle w:val="apple-converted-space"/>
          <w:sz w:val="20"/>
          <w:szCs w:val="20"/>
          <w:shd w:val="clear" w:color="auto" w:fill="FFFFFF"/>
        </w:rPr>
        <w:t> </w:t>
      </w:r>
      <w:r w:rsidRPr="001F2F1B">
        <w:rPr>
          <w:i/>
          <w:iCs/>
          <w:sz w:val="20"/>
          <w:szCs w:val="20"/>
          <w:shd w:val="clear" w:color="auto" w:fill="FFFFFF"/>
        </w:rPr>
        <w:t>Fiscal Policy and Macroeconomic Performance,</w:t>
      </w:r>
      <w:r w:rsidRPr="00B96359">
        <w:rPr>
          <w:rStyle w:val="apple-converted-space"/>
          <w:i/>
          <w:iCs/>
          <w:sz w:val="20"/>
          <w:szCs w:val="20"/>
          <w:shd w:val="clear" w:color="auto" w:fill="FFFFFF"/>
        </w:rPr>
        <w:t> </w:t>
      </w:r>
      <w:r w:rsidR="006430F8">
        <w:rPr>
          <w:sz w:val="20"/>
          <w:szCs w:val="20"/>
          <w:shd w:val="clear" w:color="auto" w:fill="FFFFFF"/>
          <w:lang w:val="en"/>
        </w:rPr>
        <w:t xml:space="preserve">Luis Felipe </w:t>
      </w:r>
      <w:proofErr w:type="spellStart"/>
      <w:r w:rsidR="006430F8">
        <w:rPr>
          <w:sz w:val="20"/>
          <w:szCs w:val="20"/>
          <w:shd w:val="clear" w:color="auto" w:fill="FFFFFF"/>
          <w:lang w:val="en"/>
        </w:rPr>
        <w:t>Céspedes</w:t>
      </w:r>
      <w:proofErr w:type="spellEnd"/>
      <w:r w:rsidR="006430F8">
        <w:rPr>
          <w:sz w:val="20"/>
          <w:szCs w:val="20"/>
          <w:shd w:val="clear" w:color="auto" w:fill="FFFFFF"/>
          <w:lang w:val="en"/>
        </w:rPr>
        <w:t xml:space="preserve"> and</w:t>
      </w:r>
      <w:r w:rsidRPr="00B96359">
        <w:rPr>
          <w:sz w:val="20"/>
          <w:szCs w:val="20"/>
          <w:shd w:val="clear" w:color="auto" w:fill="FFFFFF"/>
          <w:lang w:val="en"/>
        </w:rPr>
        <w:t xml:space="preserve"> Jordi </w:t>
      </w:r>
      <w:proofErr w:type="spellStart"/>
      <w:r w:rsidRPr="00B96359">
        <w:rPr>
          <w:sz w:val="20"/>
          <w:szCs w:val="20"/>
          <w:shd w:val="clear" w:color="auto" w:fill="FFFFFF"/>
          <w:lang w:val="en"/>
        </w:rPr>
        <w:t>Galí</w:t>
      </w:r>
      <w:proofErr w:type="spellEnd"/>
      <w:r w:rsidRPr="00B96359">
        <w:rPr>
          <w:sz w:val="20"/>
          <w:szCs w:val="20"/>
          <w:shd w:val="clear" w:color="auto" w:fill="FFFFFF"/>
        </w:rPr>
        <w:t>, </w:t>
      </w:r>
      <w:r w:rsidR="00F46286">
        <w:rPr>
          <w:sz w:val="20"/>
          <w:szCs w:val="20"/>
          <w:shd w:val="clear" w:color="auto" w:fill="FFFFFF"/>
        </w:rPr>
        <w:t xml:space="preserve">eds., </w:t>
      </w:r>
      <w:r w:rsidRPr="001F2F1B">
        <w:rPr>
          <w:sz w:val="20"/>
          <w:szCs w:val="20"/>
          <w:shd w:val="clear" w:color="auto" w:fill="FFFFFF"/>
        </w:rPr>
        <w:t>Series on Central Banking Analysis, and Economic Policies</w:t>
      </w:r>
      <w:r w:rsidRPr="00B96359">
        <w:rPr>
          <w:sz w:val="20"/>
          <w:szCs w:val="20"/>
          <w:shd w:val="clear" w:color="auto" w:fill="FFFFFF"/>
        </w:rPr>
        <w:t>,</w:t>
      </w:r>
      <w:r w:rsidRPr="00B96359">
        <w:rPr>
          <w:rStyle w:val="apple-converted-space"/>
          <w:sz w:val="20"/>
          <w:szCs w:val="20"/>
          <w:shd w:val="clear" w:color="auto" w:fill="FFFFFF"/>
        </w:rPr>
        <w:t> </w:t>
      </w:r>
      <w:r w:rsidRPr="001F2F1B">
        <w:rPr>
          <w:sz w:val="20"/>
          <w:szCs w:val="20"/>
          <w:shd w:val="clear" w:color="auto" w:fill="FFFFFF"/>
        </w:rPr>
        <w:t>vol.17</w:t>
      </w:r>
      <w:r w:rsidRPr="00B96359">
        <w:rPr>
          <w:rFonts w:cs="Arial"/>
          <w:sz w:val="20"/>
          <w:szCs w:val="20"/>
          <w:shd w:val="clear" w:color="auto" w:fill="FFFFFF"/>
        </w:rPr>
        <w:t xml:space="preserve">. </w:t>
      </w:r>
      <w:r w:rsidRPr="00B96359">
        <w:rPr>
          <w:rStyle w:val="apple-converted-space"/>
          <w:rFonts w:cs="Arial"/>
          <w:sz w:val="20"/>
          <w:szCs w:val="20"/>
          <w:shd w:val="clear" w:color="auto" w:fill="FFFFFF"/>
        </w:rPr>
        <w:t> </w:t>
      </w:r>
      <w:r w:rsidRPr="001F2F1B">
        <w:rPr>
          <w:sz w:val="20"/>
          <w:szCs w:val="20"/>
          <w:shd w:val="clear" w:color="auto" w:fill="FFFFFF"/>
        </w:rPr>
        <w:t>Also in Spanish translation</w:t>
      </w:r>
      <w:r w:rsidRPr="00B96359">
        <w:rPr>
          <w:sz w:val="20"/>
          <w:szCs w:val="20"/>
          <w:shd w:val="clear" w:color="auto" w:fill="FFFFFF"/>
        </w:rPr>
        <w:t>,</w:t>
      </w:r>
      <w:hyperlink r:id="rId14" w:history="1">
        <w:r w:rsidRPr="00B96359">
          <w:rPr>
            <w:rStyle w:val="apple-converted-space"/>
            <w:i/>
            <w:iCs/>
            <w:sz w:val="20"/>
            <w:szCs w:val="20"/>
            <w:shd w:val="clear" w:color="auto" w:fill="FFFFFF"/>
          </w:rPr>
          <w:t> </w:t>
        </w:r>
      </w:hyperlink>
      <w:r w:rsidRPr="001F2F1B">
        <w:rPr>
          <w:i/>
          <w:iCs/>
          <w:sz w:val="20"/>
          <w:szCs w:val="20"/>
          <w:shd w:val="clear" w:color="auto" w:fill="FFFFFF"/>
        </w:rPr>
        <w:t xml:space="preserve">Journal </w:t>
      </w:r>
      <w:proofErr w:type="spellStart"/>
      <w:r w:rsidRPr="001F2F1B">
        <w:rPr>
          <w:i/>
          <w:iCs/>
          <w:sz w:val="20"/>
          <w:szCs w:val="20"/>
          <w:shd w:val="clear" w:color="auto" w:fill="FFFFFF"/>
        </w:rPr>
        <w:t>Economía</w:t>
      </w:r>
      <w:proofErr w:type="spellEnd"/>
      <w:r w:rsidRPr="001F2F1B">
        <w:rPr>
          <w:i/>
          <w:iCs/>
          <w:sz w:val="20"/>
          <w:szCs w:val="20"/>
          <w:shd w:val="clear" w:color="auto" w:fill="FFFFFF"/>
        </w:rPr>
        <w:t xml:space="preserve"> </w:t>
      </w:r>
      <w:proofErr w:type="spellStart"/>
      <w:r w:rsidRPr="001F2F1B">
        <w:rPr>
          <w:i/>
          <w:iCs/>
          <w:sz w:val="20"/>
          <w:szCs w:val="20"/>
          <w:shd w:val="clear" w:color="auto" w:fill="FFFFFF"/>
        </w:rPr>
        <w:t>Chilena</w:t>
      </w:r>
      <w:proofErr w:type="spellEnd"/>
      <w:r w:rsidR="00F46286">
        <w:rPr>
          <w:sz w:val="20"/>
          <w:szCs w:val="20"/>
          <w:shd w:val="clear" w:color="auto" w:fill="FFFFFF"/>
        </w:rPr>
        <w:t xml:space="preserve">, </w:t>
      </w:r>
      <w:r w:rsidRPr="00B96359">
        <w:rPr>
          <w:sz w:val="20"/>
          <w:szCs w:val="20"/>
          <w:shd w:val="clear" w:color="auto" w:fill="FFFFFF"/>
        </w:rPr>
        <w:t>vol.14,</w:t>
      </w:r>
      <w:r w:rsidRPr="001F2F1B">
        <w:rPr>
          <w:i/>
          <w:iCs/>
          <w:sz w:val="20"/>
          <w:szCs w:val="20"/>
          <w:shd w:val="clear" w:color="auto" w:fill="FFFFFF"/>
        </w:rPr>
        <w:t xml:space="preserve"> </w:t>
      </w:r>
      <w:r w:rsidRPr="001F2F1B">
        <w:rPr>
          <w:sz w:val="20"/>
          <w:szCs w:val="20"/>
          <w:shd w:val="clear" w:color="auto" w:fill="FFFFFF"/>
        </w:rPr>
        <w:t>no.2, August</w:t>
      </w:r>
      <w:r w:rsidRPr="00B96359">
        <w:rPr>
          <w:rStyle w:val="apple-converted-space"/>
          <w:sz w:val="20"/>
          <w:szCs w:val="20"/>
          <w:shd w:val="clear" w:color="auto" w:fill="FFFFFF"/>
        </w:rPr>
        <w:t> </w:t>
      </w:r>
      <w:r w:rsidRPr="00B96359">
        <w:rPr>
          <w:sz w:val="20"/>
          <w:szCs w:val="20"/>
          <w:shd w:val="clear" w:color="auto" w:fill="FFFFFF"/>
        </w:rPr>
        <w:t>2011</w:t>
      </w:r>
      <w:r w:rsidRPr="00B96359">
        <w:rPr>
          <w:rStyle w:val="apple-converted-space"/>
          <w:sz w:val="20"/>
          <w:szCs w:val="20"/>
          <w:shd w:val="clear" w:color="auto" w:fill="FFFFFF"/>
        </w:rPr>
        <w:t xml:space="preserve"> </w:t>
      </w:r>
      <w:r w:rsidRPr="00B96359">
        <w:rPr>
          <w:sz w:val="20"/>
          <w:szCs w:val="20"/>
          <w:shd w:val="clear" w:color="auto" w:fill="FFFFFF"/>
        </w:rPr>
        <w:t>(</w:t>
      </w:r>
      <w:r w:rsidRPr="001F2F1B">
        <w:rPr>
          <w:sz w:val="20"/>
          <w:szCs w:val="20"/>
          <w:shd w:val="clear" w:color="auto" w:fill="FFFFFF"/>
        </w:rPr>
        <w:t>Central Bank of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pp.39-78.</w:t>
      </w:r>
      <w:r w:rsidRPr="00B96359">
        <w:rPr>
          <w:rStyle w:val="apple-converted-space"/>
          <w:shd w:val="clear" w:color="auto" w:fill="FFFFFF"/>
        </w:rPr>
        <w:t> </w:t>
      </w:r>
    </w:p>
    <w:p w:rsidR="001D2F43" w:rsidRDefault="002A03BE" w:rsidP="00371DFF">
      <w:pPr>
        <w:rPr>
          <w:rFonts w:cs="Arial"/>
          <w:color w:val="1E1E1E"/>
          <w:sz w:val="20"/>
          <w:szCs w:val="20"/>
          <w:shd w:val="clear" w:color="auto" w:fill="FFFFFF"/>
        </w:rPr>
      </w:pPr>
      <w:r w:rsidRPr="00B96359">
        <w:rPr>
          <w:sz w:val="20"/>
          <w:szCs w:val="20"/>
        </w:rPr>
        <w:t>Frankel, Jeffrey, 2014,</w:t>
      </w:r>
      <w:r w:rsidR="00E65CEB">
        <w:rPr>
          <w:sz w:val="20"/>
          <w:szCs w:val="20"/>
        </w:rPr>
        <w:t xml:space="preserve"> ”</w:t>
      </w:r>
      <w:r w:rsidRPr="001F2F1B">
        <w:rPr>
          <w:sz w:val="20"/>
          <w:szCs w:val="20"/>
        </w:rPr>
        <w:t>Nominal GDP Targeting for Middle-Income Countries</w:t>
      </w:r>
      <w:r w:rsidRPr="00B96359">
        <w:rPr>
          <w:sz w:val="20"/>
          <w:szCs w:val="20"/>
        </w:rPr>
        <w:t>,"</w:t>
      </w:r>
      <w:r w:rsidRPr="00B96359">
        <w:rPr>
          <w:rStyle w:val="apple-converted-space"/>
          <w:sz w:val="20"/>
          <w:szCs w:val="20"/>
        </w:rPr>
        <w:t> </w:t>
      </w:r>
      <w:r w:rsidRPr="001F2F1B">
        <w:rPr>
          <w:i/>
          <w:iCs/>
          <w:sz w:val="20"/>
          <w:szCs w:val="20"/>
        </w:rPr>
        <w:t>Central Bank Review</w:t>
      </w:r>
      <w:r w:rsidRPr="00B96359">
        <w:rPr>
          <w:sz w:val="20"/>
          <w:szCs w:val="20"/>
        </w:rPr>
        <w:t>,</w:t>
      </w:r>
      <w:r w:rsidRPr="00B96359">
        <w:rPr>
          <w:rStyle w:val="apple-converted-space"/>
          <w:sz w:val="20"/>
          <w:szCs w:val="20"/>
        </w:rPr>
        <w:t> </w:t>
      </w:r>
      <w:r w:rsidRPr="00B96359">
        <w:rPr>
          <w:sz w:val="20"/>
          <w:szCs w:val="20"/>
        </w:rPr>
        <w:t>vol.14, no.3, September</w:t>
      </w:r>
      <w:r w:rsidRPr="00B96359">
        <w:rPr>
          <w:rStyle w:val="apple-converted-space"/>
          <w:sz w:val="20"/>
          <w:szCs w:val="20"/>
        </w:rPr>
        <w:t> </w:t>
      </w:r>
      <w:r w:rsidRPr="00B96359">
        <w:rPr>
          <w:sz w:val="20"/>
          <w:szCs w:val="20"/>
        </w:rPr>
        <w:t>(Central Bank of t</w:t>
      </w:r>
      <w:r w:rsidR="00062128">
        <w:rPr>
          <w:sz w:val="20"/>
          <w:szCs w:val="20"/>
        </w:rPr>
        <w:t>he Republic of Turkey), pp.1-14.</w:t>
      </w:r>
      <w:r w:rsidRPr="00B96359">
        <w:rPr>
          <w:sz w:val="20"/>
          <w:szCs w:val="20"/>
        </w:rPr>
        <w:t> </w:t>
      </w:r>
      <w:r w:rsidRPr="00B96359">
        <w:rPr>
          <w:rStyle w:val="apple-converted-space"/>
          <w:sz w:val="20"/>
          <w:szCs w:val="20"/>
        </w:rPr>
        <w:t> </w:t>
      </w:r>
      <w:r w:rsidRPr="00B96359">
        <w:rPr>
          <w:sz w:val="20"/>
          <w:szCs w:val="20"/>
        </w:rPr>
        <w:t>HKS</w:t>
      </w:r>
      <w:r w:rsidRPr="00B96359">
        <w:rPr>
          <w:rStyle w:val="apple-converted-space"/>
          <w:sz w:val="20"/>
          <w:szCs w:val="20"/>
        </w:rPr>
        <w:t> </w:t>
      </w:r>
      <w:r w:rsidRPr="001F2F1B">
        <w:rPr>
          <w:sz w:val="20"/>
          <w:szCs w:val="20"/>
        </w:rPr>
        <w:t>RWP</w:t>
      </w:r>
      <w:r w:rsidRPr="00B96359">
        <w:rPr>
          <w:rStyle w:val="apple-converted-space"/>
          <w:sz w:val="20"/>
          <w:szCs w:val="20"/>
        </w:rPr>
        <w:t> </w:t>
      </w:r>
      <w:r w:rsidRPr="001F2F1B">
        <w:rPr>
          <w:sz w:val="20"/>
          <w:szCs w:val="20"/>
          <w:shd w:val="clear" w:color="auto" w:fill="FFFFFF"/>
        </w:rPr>
        <w:t>14-033</w:t>
      </w:r>
      <w:r w:rsidRPr="00062128">
        <w:rPr>
          <w:rStyle w:val="Hyperlink"/>
          <w:color w:val="auto"/>
          <w:sz w:val="20"/>
          <w:szCs w:val="20"/>
          <w:u w:val="none"/>
          <w:shd w:val="clear" w:color="auto" w:fill="FFFFFF"/>
        </w:rPr>
        <w:t>.</w:t>
      </w:r>
      <w:r w:rsidR="00361B8B">
        <w:rPr>
          <w:rStyle w:val="Hyperlink"/>
          <w:color w:val="auto"/>
          <w:sz w:val="20"/>
          <w:szCs w:val="20"/>
          <w:u w:val="none"/>
          <w:shd w:val="clear" w:color="auto" w:fill="FFFFFF"/>
        </w:rPr>
        <w:br/>
      </w:r>
      <w:r w:rsidR="00361B8B">
        <w:rPr>
          <w:rFonts w:cs="Arial"/>
          <w:color w:val="1E1E1E"/>
          <w:sz w:val="20"/>
          <w:szCs w:val="20"/>
          <w:shd w:val="clear" w:color="auto" w:fill="FFFFFF"/>
        </w:rPr>
        <w:br/>
      </w:r>
      <w:r w:rsidR="00361B8B">
        <w:rPr>
          <w:sz w:val="20"/>
          <w:szCs w:val="20"/>
        </w:rPr>
        <w:t>Frankel, Jeffrey, 201</w:t>
      </w:r>
      <w:r w:rsidR="00DC149D">
        <w:rPr>
          <w:sz w:val="20"/>
          <w:szCs w:val="20"/>
        </w:rPr>
        <w:t>8</w:t>
      </w:r>
      <w:r w:rsidR="00361B8B" w:rsidRPr="00B96359">
        <w:rPr>
          <w:sz w:val="20"/>
          <w:szCs w:val="20"/>
        </w:rPr>
        <w:t xml:space="preserve">, </w:t>
      </w:r>
      <w:r w:rsidR="00361B8B">
        <w:rPr>
          <w:sz w:val="20"/>
          <w:szCs w:val="20"/>
        </w:rPr>
        <w:t xml:space="preserve"> </w:t>
      </w:r>
      <w:r w:rsidR="001D2F43" w:rsidRPr="001D2F43">
        <w:rPr>
          <w:rFonts w:cs="Arial"/>
          <w:color w:val="1E1E1E"/>
          <w:sz w:val="20"/>
          <w:szCs w:val="20"/>
          <w:shd w:val="clear" w:color="auto" w:fill="FFFFFF"/>
        </w:rPr>
        <w:t>“</w:t>
      </w:r>
      <w:hyperlink r:id="rId15" w:history="1">
        <w:r w:rsidR="001D2F43" w:rsidRPr="001D2F43">
          <w:rPr>
            <w:rStyle w:val="Hyperlink"/>
            <w:rFonts w:cs="Arial"/>
            <w:color w:val="215990"/>
            <w:sz w:val="20"/>
            <w:szCs w:val="20"/>
            <w:shd w:val="clear" w:color="auto" w:fill="FFFFFF"/>
          </w:rPr>
          <w:t>The Currency-Plus-Commodity Basket</w:t>
        </w:r>
      </w:hyperlink>
      <w:r w:rsidR="001D2F43" w:rsidRPr="001D2F43">
        <w:rPr>
          <w:rFonts w:cs="Arial"/>
          <w:color w:val="1E1E1E"/>
          <w:sz w:val="20"/>
          <w:szCs w:val="20"/>
          <w:shd w:val="clear" w:color="auto" w:fill="FFFFFF"/>
        </w:rPr>
        <w:t>: </w:t>
      </w:r>
      <w:hyperlink r:id="rId16" w:history="1">
        <w:r w:rsidR="001D2F43" w:rsidRPr="001D2F43">
          <w:rPr>
            <w:rStyle w:val="Hyperlink"/>
            <w:rFonts w:cs="Arial"/>
            <w:color w:val="215990"/>
            <w:sz w:val="20"/>
            <w:szCs w:val="20"/>
            <w:shd w:val="clear" w:color="auto" w:fill="FFFFFF"/>
          </w:rPr>
          <w:t>A Proposal for Exchange Rates in Oil-Exporting Countries to Accommodate Trade Shocks Automatically​</w:t>
        </w:r>
      </w:hyperlink>
      <w:r w:rsidR="00361B8B">
        <w:rPr>
          <w:sz w:val="20"/>
          <w:szCs w:val="20"/>
        </w:rPr>
        <w:t>,</w:t>
      </w:r>
      <w:r w:rsidR="00361B8B">
        <w:rPr>
          <w:rFonts w:cs="Arial"/>
          <w:color w:val="1E1E1E"/>
          <w:sz w:val="20"/>
          <w:szCs w:val="20"/>
          <w:shd w:val="clear" w:color="auto" w:fill="FFFFFF"/>
        </w:rPr>
        <w:t xml:space="preserve">” </w:t>
      </w:r>
      <w:r w:rsidR="001D2F43">
        <w:rPr>
          <w:rFonts w:cs="Arial"/>
          <w:color w:val="1E1E1E"/>
          <w:sz w:val="20"/>
          <w:szCs w:val="20"/>
          <w:shd w:val="clear" w:color="auto" w:fill="FFFFFF"/>
        </w:rPr>
        <w:t>f</w:t>
      </w:r>
      <w:r w:rsidR="001D2F43" w:rsidRPr="001D2F43">
        <w:rPr>
          <w:rFonts w:cs="Arial"/>
          <w:color w:val="1E1E1E"/>
          <w:sz w:val="20"/>
          <w:szCs w:val="20"/>
          <w:shd w:val="clear" w:color="auto" w:fill="FFFFFF"/>
        </w:rPr>
        <w:t>orthcoming in: </w:t>
      </w:r>
      <w:r w:rsidR="001D2F43" w:rsidRPr="001D2F43">
        <w:rPr>
          <w:rStyle w:val="Emphasis"/>
          <w:rFonts w:cs="Arial"/>
          <w:color w:val="1E1E1E"/>
          <w:sz w:val="20"/>
          <w:szCs w:val="20"/>
          <w:shd w:val="clear" w:color="auto" w:fill="FFFFFF"/>
        </w:rPr>
        <w:t>Macroeconomic Institutions and Management i</w:t>
      </w:r>
      <w:r w:rsidR="00DC149D">
        <w:rPr>
          <w:rStyle w:val="Emphasis"/>
          <w:rFonts w:cs="Arial"/>
          <w:color w:val="1E1E1E"/>
          <w:sz w:val="20"/>
          <w:szCs w:val="20"/>
          <w:shd w:val="clear" w:color="auto" w:fill="FFFFFF"/>
        </w:rPr>
        <w:t>n Resource-Rich Arab Economies,</w:t>
      </w:r>
      <w:r w:rsidR="00DC149D" w:rsidRPr="00DC149D">
        <w:rPr>
          <w:rStyle w:val="Emphasis"/>
          <w:color w:val="1E1E1E"/>
          <w:sz w:val="20"/>
          <w:szCs w:val="20"/>
          <w:shd w:val="clear" w:color="auto" w:fill="FFFFFF"/>
        </w:rPr>
        <w:t xml:space="preserve"> </w:t>
      </w:r>
      <w:r w:rsidR="00DC149D" w:rsidRPr="00DC149D">
        <w:rPr>
          <w:rStyle w:val="Emphasis"/>
          <w:i w:val="0"/>
          <w:color w:val="1E1E1E"/>
          <w:sz w:val="20"/>
          <w:szCs w:val="20"/>
          <w:shd w:val="clear" w:color="auto" w:fill="FFFFFF"/>
        </w:rPr>
        <w:t>edited by</w:t>
      </w:r>
      <w:r w:rsidR="00DC149D" w:rsidRPr="00DC149D">
        <w:rPr>
          <w:rStyle w:val="Emphasis"/>
          <w:color w:val="1E1E1E"/>
          <w:sz w:val="20"/>
          <w:szCs w:val="20"/>
          <w:shd w:val="clear" w:color="auto" w:fill="FFFFFF"/>
        </w:rPr>
        <w:t xml:space="preserve"> </w:t>
      </w:r>
      <w:r w:rsidR="00DC149D" w:rsidRPr="00DC149D">
        <w:rPr>
          <w:rFonts w:cs="Times New Roman"/>
          <w:color w:val="222222"/>
          <w:sz w:val="20"/>
          <w:szCs w:val="20"/>
          <w:shd w:val="clear" w:color="auto" w:fill="FFFFFF"/>
        </w:rPr>
        <w:t xml:space="preserve">Hoda Selim, </w:t>
      </w:r>
      <w:proofErr w:type="spellStart"/>
      <w:r w:rsidR="00DC149D" w:rsidRPr="00DC149D">
        <w:rPr>
          <w:rFonts w:cs="Times New Roman"/>
          <w:color w:val="222222"/>
          <w:sz w:val="20"/>
          <w:szCs w:val="20"/>
          <w:shd w:val="clear" w:color="auto" w:fill="FFFFFF"/>
        </w:rPr>
        <w:t>Kamiar</w:t>
      </w:r>
      <w:proofErr w:type="spellEnd"/>
      <w:r w:rsidR="00DC149D" w:rsidRPr="00DC149D">
        <w:rPr>
          <w:rFonts w:cs="Times New Roman"/>
          <w:color w:val="222222"/>
          <w:sz w:val="20"/>
          <w:szCs w:val="20"/>
          <w:shd w:val="clear" w:color="auto" w:fill="FFFFFF"/>
        </w:rPr>
        <w:t xml:space="preserve"> </w:t>
      </w:r>
      <w:proofErr w:type="spellStart"/>
      <w:r w:rsidR="00DC149D" w:rsidRPr="00DC149D">
        <w:rPr>
          <w:rFonts w:cs="Times New Roman"/>
          <w:color w:val="222222"/>
          <w:sz w:val="20"/>
          <w:szCs w:val="20"/>
          <w:shd w:val="clear" w:color="auto" w:fill="FFFFFF"/>
        </w:rPr>
        <w:t>Mohaddes</w:t>
      </w:r>
      <w:proofErr w:type="spellEnd"/>
      <w:r w:rsidR="00DC149D" w:rsidRPr="00DC149D">
        <w:rPr>
          <w:rFonts w:cs="Times New Roman"/>
          <w:color w:val="222222"/>
          <w:sz w:val="20"/>
          <w:szCs w:val="20"/>
          <w:shd w:val="clear" w:color="auto" w:fill="FFFFFF"/>
        </w:rPr>
        <w:t xml:space="preserve"> and Jeffrey Nugent</w:t>
      </w:r>
      <w:r w:rsidR="00DC149D" w:rsidRPr="00DC149D">
        <w:rPr>
          <w:rFonts w:ascii="Arial" w:hAnsi="Arial" w:cs="Arial"/>
          <w:color w:val="222222"/>
          <w:sz w:val="20"/>
          <w:szCs w:val="20"/>
          <w:shd w:val="clear" w:color="auto" w:fill="FFFFFF"/>
        </w:rPr>
        <w:t xml:space="preserve"> </w:t>
      </w:r>
      <w:r w:rsidR="00DC149D">
        <w:rPr>
          <w:color w:val="1E1E1E"/>
          <w:sz w:val="20"/>
          <w:szCs w:val="20"/>
          <w:shd w:val="clear" w:color="auto" w:fill="FFFFFF"/>
        </w:rPr>
        <w:t>(</w:t>
      </w:r>
      <w:r w:rsidR="001D2F43" w:rsidRPr="001D2F43">
        <w:rPr>
          <w:rFonts w:cs="Arial"/>
          <w:color w:val="1E1E1E"/>
          <w:sz w:val="20"/>
          <w:szCs w:val="20"/>
          <w:shd w:val="clear" w:color="auto" w:fill="FFFFFF"/>
        </w:rPr>
        <w:t>Oxford: Oxford University Press). </w:t>
      </w:r>
      <w:r w:rsidR="00361B8B">
        <w:rPr>
          <w:rFonts w:cs="Arial"/>
          <w:color w:val="1E1E1E"/>
          <w:sz w:val="20"/>
          <w:szCs w:val="20"/>
          <w:shd w:val="clear" w:color="auto" w:fill="FFFFFF"/>
        </w:rPr>
        <w:t xml:space="preserve"> </w:t>
      </w:r>
      <w:hyperlink r:id="rId17" w:history="1">
        <w:r w:rsidR="001D2F43" w:rsidRPr="001D2F43">
          <w:rPr>
            <w:rStyle w:val="Hyperlink"/>
            <w:rFonts w:cs="Arial"/>
            <w:color w:val="215990"/>
            <w:sz w:val="20"/>
            <w:szCs w:val="20"/>
            <w:shd w:val="clear" w:color="auto" w:fill="FFFFFF"/>
          </w:rPr>
          <w:t>CID WP no  333</w:t>
        </w:r>
      </w:hyperlink>
      <w:r w:rsidR="001D2F43" w:rsidRPr="001D2F43">
        <w:rPr>
          <w:rFonts w:cs="Arial"/>
          <w:color w:val="1E1E1E"/>
          <w:sz w:val="20"/>
          <w:szCs w:val="20"/>
          <w:shd w:val="clear" w:color="auto" w:fill="FFFFFF"/>
        </w:rPr>
        <w:t>.  </w:t>
      </w:r>
    </w:p>
    <w:p w:rsidR="00486625" w:rsidRPr="00B96359" w:rsidRDefault="00486625" w:rsidP="00371DFF">
      <w:pPr>
        <w:rPr>
          <w:rFonts w:cs="Times New Roman"/>
          <w:sz w:val="20"/>
          <w:szCs w:val="20"/>
        </w:rPr>
      </w:pPr>
      <w:r w:rsidRPr="00B96359">
        <w:rPr>
          <w:sz w:val="20"/>
          <w:szCs w:val="20"/>
        </w:rPr>
        <w:lastRenderedPageBreak/>
        <w:t>Frankel, Jeffrey, and Jesse Schreger, 2013, "</w:t>
      </w:r>
      <w:r w:rsidRPr="001F2F1B">
        <w:rPr>
          <w:sz w:val="20"/>
          <w:szCs w:val="20"/>
        </w:rPr>
        <w:t>Over-optimistic Official Forecasts in the Eurozone and Fiscal Rules</w:t>
      </w:r>
      <w:r w:rsidRPr="00B96359">
        <w:rPr>
          <w:sz w:val="20"/>
          <w:szCs w:val="20"/>
        </w:rPr>
        <w:t>,"</w:t>
      </w:r>
      <w:r w:rsidRPr="00B96359">
        <w:rPr>
          <w:rStyle w:val="apple-converted-space"/>
          <w:sz w:val="20"/>
          <w:szCs w:val="20"/>
        </w:rPr>
        <w:t> </w:t>
      </w:r>
      <w:r w:rsidRPr="00B96359">
        <w:rPr>
          <w:i/>
          <w:iCs/>
          <w:sz w:val="20"/>
          <w:szCs w:val="20"/>
        </w:rPr>
        <w:t>Review of World Economy</w:t>
      </w:r>
      <w:r w:rsidRPr="00B96359">
        <w:rPr>
          <w:sz w:val="20"/>
          <w:szCs w:val="20"/>
        </w:rPr>
        <w:t>, vol.</w:t>
      </w:r>
      <w:r w:rsidR="00062128">
        <w:rPr>
          <w:sz w:val="20"/>
          <w:szCs w:val="20"/>
        </w:rPr>
        <w:t xml:space="preserve"> </w:t>
      </w:r>
      <w:r w:rsidRPr="00B96359">
        <w:rPr>
          <w:sz w:val="20"/>
          <w:szCs w:val="20"/>
        </w:rPr>
        <w:t>149, no. 2, pp.247-272;</w:t>
      </w:r>
      <w:r w:rsidRPr="00B96359">
        <w:rPr>
          <w:rStyle w:val="apple-converted-space"/>
          <w:sz w:val="20"/>
          <w:szCs w:val="20"/>
        </w:rPr>
        <w:t> </w:t>
      </w:r>
      <w:r w:rsidRPr="001F2F1B">
        <w:rPr>
          <w:sz w:val="20"/>
          <w:szCs w:val="20"/>
        </w:rPr>
        <w:t>NBER WP 18283</w:t>
      </w:r>
      <w:r w:rsidRPr="00B96359">
        <w:rPr>
          <w:sz w:val="20"/>
          <w:szCs w:val="20"/>
        </w:rPr>
        <w:t>.</w:t>
      </w:r>
    </w:p>
    <w:p w:rsidR="00F00042" w:rsidRPr="00B96359" w:rsidRDefault="00335C6F" w:rsidP="00F00042">
      <w:pPr>
        <w:rPr>
          <w:rFonts w:cs="Times New Roman"/>
          <w:sz w:val="20"/>
          <w:szCs w:val="20"/>
        </w:rPr>
      </w:pPr>
      <w:r w:rsidRPr="00B96359">
        <w:rPr>
          <w:rFonts w:cs="Times New Roman"/>
          <w:sz w:val="20"/>
          <w:szCs w:val="20"/>
        </w:rPr>
        <w:t>Frankel, Jeffrey,  Carlos Végh</w:t>
      </w:r>
      <w:r w:rsidRPr="00B96359">
        <w:rPr>
          <w:rStyle w:val="apple-converted-space"/>
          <w:rFonts w:cs="Times New Roman"/>
          <w:sz w:val="20"/>
          <w:szCs w:val="20"/>
        </w:rPr>
        <w:t> </w:t>
      </w:r>
      <w:r w:rsidRPr="00B96359">
        <w:rPr>
          <w:rFonts w:cs="Times New Roman"/>
          <w:sz w:val="20"/>
          <w:szCs w:val="20"/>
        </w:rPr>
        <w:t>and Guillermo Vuletin, 2013, “</w:t>
      </w:r>
      <w:r w:rsidRPr="001F2F1B">
        <w:rPr>
          <w:rFonts w:cs="Times New Roman"/>
          <w:sz w:val="20"/>
          <w:szCs w:val="20"/>
        </w:rPr>
        <w:t>On Graduation from Fiscal Procyclicality</w:t>
      </w:r>
      <w:r w:rsidRPr="00B96359">
        <w:rPr>
          <w:rFonts w:cs="Times New Roman"/>
          <w:sz w:val="20"/>
          <w:szCs w:val="20"/>
        </w:rPr>
        <w:t xml:space="preserve">,” </w:t>
      </w:r>
      <w:r w:rsidRPr="001F2F1B">
        <w:rPr>
          <w:rFonts w:cs="Times New Roman"/>
          <w:sz w:val="20"/>
          <w:szCs w:val="20"/>
        </w:rPr>
        <w:t>in</w:t>
      </w:r>
      <w:r w:rsidRPr="00B96359">
        <w:rPr>
          <w:rStyle w:val="apple-converted-space"/>
          <w:rFonts w:cs="Times New Roman"/>
          <w:sz w:val="20"/>
          <w:szCs w:val="20"/>
        </w:rPr>
        <w:t> </w:t>
      </w:r>
      <w:r w:rsidRPr="001F2F1B">
        <w:rPr>
          <w:rFonts w:cs="Times New Roman"/>
          <w:i/>
          <w:iCs/>
          <w:sz w:val="20"/>
          <w:szCs w:val="20"/>
        </w:rPr>
        <w:t>Journal of Development Economics</w:t>
      </w:r>
      <w:r w:rsidRPr="00B96359">
        <w:rPr>
          <w:rFonts w:cs="Times New Roman"/>
          <w:sz w:val="20"/>
          <w:szCs w:val="20"/>
        </w:rPr>
        <w:t>,</w:t>
      </w:r>
      <w:r w:rsidRPr="00B96359">
        <w:rPr>
          <w:rStyle w:val="apple-converted-space"/>
          <w:rFonts w:cs="Times New Roman"/>
          <w:sz w:val="20"/>
          <w:szCs w:val="20"/>
        </w:rPr>
        <w:t> </w:t>
      </w:r>
      <w:r w:rsidRPr="001F2F1B">
        <w:rPr>
          <w:rFonts w:cs="Times New Roman"/>
          <w:sz w:val="20"/>
          <w:szCs w:val="20"/>
        </w:rPr>
        <w:t>100, no.1</w:t>
      </w:r>
      <w:r w:rsidRPr="00B96359">
        <w:rPr>
          <w:rFonts w:cs="Times New Roman"/>
          <w:sz w:val="20"/>
          <w:szCs w:val="20"/>
        </w:rPr>
        <w:t>, Jan., pp. 32-47; </w:t>
      </w:r>
      <w:r w:rsidRPr="00B96359">
        <w:rPr>
          <w:sz w:val="20"/>
          <w:szCs w:val="20"/>
        </w:rPr>
        <w:t xml:space="preserve"> </w:t>
      </w:r>
      <w:r w:rsidRPr="001F2F1B">
        <w:rPr>
          <w:rFonts w:cs="Times New Roman"/>
          <w:sz w:val="20"/>
          <w:szCs w:val="20"/>
        </w:rPr>
        <w:t>NBER WP 17619</w:t>
      </w:r>
      <w:r w:rsidRPr="00B96359">
        <w:rPr>
          <w:rFonts w:cs="Times New Roman"/>
          <w:sz w:val="20"/>
          <w:szCs w:val="20"/>
        </w:rPr>
        <w:t xml:space="preserve">; summarized in </w:t>
      </w:r>
      <w:r w:rsidRPr="001F2F1B">
        <w:rPr>
          <w:rFonts w:cs="Times New Roman"/>
          <w:i/>
          <w:iCs/>
          <w:sz w:val="20"/>
          <w:szCs w:val="20"/>
        </w:rPr>
        <w:t>VoxEU</w:t>
      </w:r>
      <w:r w:rsidRPr="00B96359">
        <w:rPr>
          <w:rFonts w:cs="Times New Roman"/>
          <w:sz w:val="20"/>
          <w:szCs w:val="20"/>
        </w:rPr>
        <w:t>.</w:t>
      </w:r>
    </w:p>
    <w:p w:rsidR="00F00042" w:rsidRPr="00B96359" w:rsidRDefault="00F00042" w:rsidP="00C3156A">
      <w:pPr>
        <w:rPr>
          <w:sz w:val="20"/>
          <w:szCs w:val="20"/>
        </w:rPr>
      </w:pPr>
      <w:r w:rsidRPr="00B96359">
        <w:rPr>
          <w:sz w:val="20"/>
          <w:szCs w:val="20"/>
        </w:rPr>
        <w:t xml:space="preserve">Gavin, Michael and Roberto Perotti, 1997, “Fiscal Policy in Latin America,” </w:t>
      </w:r>
      <w:r w:rsidRPr="00B96359">
        <w:rPr>
          <w:i/>
          <w:iCs/>
          <w:sz w:val="20"/>
          <w:szCs w:val="20"/>
        </w:rPr>
        <w:t>NBER Macroeconomics Annual</w:t>
      </w:r>
      <w:r w:rsidRPr="00B96359">
        <w:rPr>
          <w:sz w:val="20"/>
          <w:szCs w:val="20"/>
        </w:rPr>
        <w:t>, Vol. 12, pp. 11-61.</w:t>
      </w:r>
    </w:p>
    <w:p w:rsidR="00594934" w:rsidRPr="001F2F1B" w:rsidRDefault="00594934" w:rsidP="00C3156A">
      <w:pPr>
        <w:rPr>
          <w:rStyle w:val="Emphasis"/>
          <w:bCs/>
          <w:i w:val="0"/>
          <w:iCs w:val="0"/>
          <w:sz w:val="20"/>
          <w:szCs w:val="20"/>
        </w:rPr>
      </w:pPr>
      <w:r w:rsidRPr="001F2F1B">
        <w:rPr>
          <w:sz w:val="20"/>
          <w:szCs w:val="20"/>
        </w:rPr>
        <w:t xml:space="preserve">Gelb, Alan, 1986, “Adjustment to Windfall Gains: A Comparative Analysis of Oil-Exporting Countries,” in </w:t>
      </w:r>
      <w:r w:rsidRPr="001F2F1B">
        <w:rPr>
          <w:bCs/>
          <w:i/>
          <w:sz w:val="20"/>
          <w:szCs w:val="20"/>
        </w:rPr>
        <w:t xml:space="preserve">Natural Resources and the </w:t>
      </w:r>
      <w:proofErr w:type="spellStart"/>
      <w:r w:rsidRPr="001F2F1B">
        <w:rPr>
          <w:bCs/>
          <w:i/>
          <w:sz w:val="20"/>
          <w:szCs w:val="20"/>
        </w:rPr>
        <w:t>Macroe</w:t>
      </w:r>
      <w:r w:rsidR="007716AC" w:rsidRPr="001F2F1B">
        <w:rPr>
          <w:bCs/>
          <w:i/>
          <w:sz w:val="20"/>
          <w:szCs w:val="20"/>
        </w:rPr>
        <w:t>conomy</w:t>
      </w:r>
      <w:proofErr w:type="spellEnd"/>
      <w:r w:rsidR="007716AC" w:rsidRPr="001F2F1B">
        <w:rPr>
          <w:bCs/>
          <w:sz w:val="20"/>
          <w:szCs w:val="20"/>
        </w:rPr>
        <w:t>,</w:t>
      </w:r>
      <w:r w:rsidRPr="001F2F1B">
        <w:rPr>
          <w:bCs/>
          <w:sz w:val="20"/>
          <w:szCs w:val="20"/>
        </w:rPr>
        <w:t xml:space="preserve"> </w:t>
      </w:r>
      <w:proofErr w:type="spellStart"/>
      <w:r w:rsidRPr="001F2F1B">
        <w:rPr>
          <w:bCs/>
          <w:sz w:val="20"/>
          <w:szCs w:val="20"/>
        </w:rPr>
        <w:t>J.Peter</w:t>
      </w:r>
      <w:proofErr w:type="spellEnd"/>
      <w:r w:rsidRPr="001F2F1B">
        <w:rPr>
          <w:bCs/>
          <w:sz w:val="20"/>
          <w:szCs w:val="20"/>
        </w:rPr>
        <w:t xml:space="preserve"> Neary and van </w:t>
      </w:r>
      <w:proofErr w:type="spellStart"/>
      <w:r w:rsidRPr="001F2F1B">
        <w:rPr>
          <w:bCs/>
          <w:sz w:val="20"/>
          <w:szCs w:val="20"/>
        </w:rPr>
        <w:t>Sweder</w:t>
      </w:r>
      <w:proofErr w:type="spellEnd"/>
      <w:r w:rsidRPr="001F2F1B">
        <w:rPr>
          <w:bCs/>
          <w:sz w:val="20"/>
          <w:szCs w:val="20"/>
        </w:rPr>
        <w:t xml:space="preserve"> </w:t>
      </w:r>
      <w:proofErr w:type="spellStart"/>
      <w:r w:rsidRPr="001F2F1B">
        <w:rPr>
          <w:bCs/>
          <w:sz w:val="20"/>
          <w:szCs w:val="20"/>
        </w:rPr>
        <w:t>Wijnbergen</w:t>
      </w:r>
      <w:proofErr w:type="spellEnd"/>
      <w:r w:rsidRPr="001F2F1B">
        <w:rPr>
          <w:bCs/>
          <w:sz w:val="20"/>
          <w:szCs w:val="20"/>
        </w:rPr>
        <w:t>, eds. (MIT Press: Cambridge), 54-93.</w:t>
      </w:r>
    </w:p>
    <w:p w:rsidR="00C3156A" w:rsidRPr="001F2F1B" w:rsidRDefault="00C3156A" w:rsidP="00C3156A">
      <w:pPr>
        <w:jc w:val="both"/>
        <w:rPr>
          <w:sz w:val="20"/>
          <w:szCs w:val="20"/>
        </w:rPr>
      </w:pPr>
      <w:r w:rsidRPr="001F2F1B">
        <w:rPr>
          <w:sz w:val="20"/>
          <w:szCs w:val="20"/>
        </w:rPr>
        <w:t xml:space="preserve">Hausmann, Ricardo, and Roberto Rigobon, 2003, “An Alternative Interpretation of the ‘Resource Curse’: Theory and Policy Implications,” in </w:t>
      </w:r>
      <w:r w:rsidRPr="001F2F1B">
        <w:rPr>
          <w:i/>
          <w:iCs/>
          <w:sz w:val="20"/>
          <w:szCs w:val="20"/>
        </w:rPr>
        <w:t>Fiscal Policy Formulation and Implementation in Oil-Producing Countries</w:t>
      </w:r>
      <w:r w:rsidRPr="001F2F1B">
        <w:rPr>
          <w:sz w:val="20"/>
          <w:szCs w:val="20"/>
        </w:rPr>
        <w:t>, edited by Jeffrey Davis (International Monetary Fund: Washington, DC),  pp;.12-44.</w:t>
      </w:r>
    </w:p>
    <w:p w:rsidR="00594934" w:rsidRPr="00B96359" w:rsidRDefault="00594934" w:rsidP="00594934">
      <w:pPr>
        <w:rPr>
          <w:sz w:val="20"/>
          <w:szCs w:val="20"/>
        </w:rPr>
      </w:pPr>
      <w:r w:rsidRPr="00B96359">
        <w:rPr>
          <w:sz w:val="20"/>
          <w:szCs w:val="20"/>
        </w:rPr>
        <w:t xml:space="preserve">Ilzetski, Ethan, and Carlos Vegh, 2008, “Procyclical Fiscal Policy in Developing Countries: Truth or Fiction?” NBER WP no. 14191.     </w:t>
      </w:r>
    </w:p>
    <w:p w:rsidR="00371DFF" w:rsidRPr="00B96359" w:rsidRDefault="00371DFF" w:rsidP="00371DFF">
      <w:pPr>
        <w:rPr>
          <w:sz w:val="20"/>
          <w:szCs w:val="20"/>
        </w:rPr>
      </w:pPr>
      <w:r w:rsidRPr="00B96359">
        <w:rPr>
          <w:sz w:val="20"/>
          <w:szCs w:val="20"/>
        </w:rPr>
        <w:t xml:space="preserve">IMF SPRD &amp; World Bank PREM, 2011,  “Managing Volatility in Low-Income Countries: The Role and Potential for Contingent Financial Instruments,” </w:t>
      </w:r>
      <w:r w:rsidR="002A03BE" w:rsidRPr="00B96359">
        <w:rPr>
          <w:sz w:val="20"/>
          <w:szCs w:val="20"/>
        </w:rPr>
        <w:t xml:space="preserve"> approved by Reza </w:t>
      </w:r>
      <w:proofErr w:type="spellStart"/>
      <w:r w:rsidR="002A03BE" w:rsidRPr="00B96359">
        <w:rPr>
          <w:sz w:val="20"/>
          <w:szCs w:val="20"/>
        </w:rPr>
        <w:t>Moghadam</w:t>
      </w:r>
      <w:proofErr w:type="spellEnd"/>
      <w:r w:rsidR="002A03BE" w:rsidRPr="00B96359">
        <w:rPr>
          <w:sz w:val="20"/>
          <w:szCs w:val="20"/>
        </w:rPr>
        <w:t xml:space="preserve"> and</w:t>
      </w:r>
      <w:r w:rsidRPr="00B96359">
        <w:rPr>
          <w:sz w:val="20"/>
          <w:szCs w:val="20"/>
        </w:rPr>
        <w:t xml:space="preserve"> </w:t>
      </w:r>
      <w:proofErr w:type="spellStart"/>
      <w:r w:rsidRPr="00B96359">
        <w:rPr>
          <w:sz w:val="20"/>
          <w:szCs w:val="20"/>
        </w:rPr>
        <w:t>Otaviano</w:t>
      </w:r>
      <w:proofErr w:type="spellEnd"/>
      <w:r w:rsidRPr="00B96359">
        <w:rPr>
          <w:sz w:val="20"/>
          <w:szCs w:val="20"/>
        </w:rPr>
        <w:t xml:space="preserve"> </w:t>
      </w:r>
      <w:proofErr w:type="spellStart"/>
      <w:r w:rsidRPr="00B96359">
        <w:rPr>
          <w:sz w:val="20"/>
          <w:szCs w:val="20"/>
        </w:rPr>
        <w:t>Canuto</w:t>
      </w:r>
      <w:proofErr w:type="spellEnd"/>
      <w:r w:rsidRPr="00B96359">
        <w:rPr>
          <w:sz w:val="20"/>
          <w:szCs w:val="20"/>
        </w:rPr>
        <w:t>, Oct..</w:t>
      </w:r>
    </w:p>
    <w:p w:rsidR="003B4F8B" w:rsidRPr="00B96359" w:rsidRDefault="003B4F8B" w:rsidP="003B4F8B">
      <w:pPr>
        <w:autoSpaceDE w:val="0"/>
        <w:autoSpaceDN w:val="0"/>
        <w:adjustRightInd w:val="0"/>
        <w:rPr>
          <w:rFonts w:ascii="Arial" w:hAnsi="Arial" w:cs="Arial"/>
          <w:b/>
          <w:sz w:val="20"/>
          <w:szCs w:val="20"/>
        </w:rPr>
      </w:pPr>
      <w:r w:rsidRPr="00B96359">
        <w:rPr>
          <w:sz w:val="20"/>
          <w:szCs w:val="20"/>
        </w:rPr>
        <w:t xml:space="preserve">Kaminsky, Graciela, Carmen Reinhart, and Carlos Vegh, 2005, "When It Rains, It Pours: Procyclical Capital Flows and Macroeconomic Policies," </w:t>
      </w:r>
      <w:r w:rsidRPr="00B96359">
        <w:rPr>
          <w:i/>
          <w:sz w:val="20"/>
          <w:szCs w:val="20"/>
        </w:rPr>
        <w:t>NBER Macroeconomics Annual 2004</w:t>
      </w:r>
      <w:r w:rsidRPr="00B96359">
        <w:rPr>
          <w:sz w:val="20"/>
          <w:szCs w:val="20"/>
        </w:rPr>
        <w:t>, Vol. 19, pages 11-82</w:t>
      </w:r>
      <w:r w:rsidRPr="00B96359">
        <w:rPr>
          <w:rStyle w:val="addmd1"/>
          <w:b/>
        </w:rPr>
        <w:t>.</w:t>
      </w:r>
    </w:p>
    <w:p w:rsidR="002A03BE" w:rsidRPr="00B96359" w:rsidRDefault="002A03BE" w:rsidP="002A03BE">
      <w:pPr>
        <w:contextualSpacing/>
        <w:rPr>
          <w:sz w:val="20"/>
          <w:szCs w:val="20"/>
        </w:rPr>
      </w:pPr>
      <w:r w:rsidRPr="00B96359">
        <w:rPr>
          <w:sz w:val="20"/>
          <w:szCs w:val="20"/>
        </w:rPr>
        <w:t>Meade, James, 1978, “</w:t>
      </w:r>
      <w:hyperlink r:id="rId18" w:history="1">
        <w:r w:rsidRPr="00B96359">
          <w:rPr>
            <w:sz w:val="20"/>
            <w:szCs w:val="20"/>
          </w:rPr>
          <w:t>The Meaning of Internal Balance</w:t>
        </w:r>
      </w:hyperlink>
      <w:r w:rsidRPr="00B96359">
        <w:rPr>
          <w:sz w:val="20"/>
          <w:szCs w:val="20"/>
        </w:rPr>
        <w:t xml:space="preserve">,” </w:t>
      </w:r>
      <w:r w:rsidRPr="00B96359">
        <w:rPr>
          <w:i/>
          <w:iCs/>
          <w:sz w:val="20"/>
          <w:szCs w:val="20"/>
        </w:rPr>
        <w:t>The Economic Journal</w:t>
      </w:r>
      <w:r w:rsidRPr="00B96359">
        <w:rPr>
          <w:sz w:val="20"/>
          <w:szCs w:val="20"/>
        </w:rPr>
        <w:t>, 88:423-435.</w:t>
      </w:r>
    </w:p>
    <w:p w:rsidR="007857D2" w:rsidRPr="00B96359" w:rsidRDefault="007857D2" w:rsidP="002A03BE">
      <w:pPr>
        <w:contextualSpacing/>
        <w:rPr>
          <w:sz w:val="20"/>
          <w:szCs w:val="20"/>
        </w:rPr>
      </w:pPr>
    </w:p>
    <w:p w:rsidR="007857D2" w:rsidRDefault="007857D2" w:rsidP="007857D2">
      <w:pPr>
        <w:rPr>
          <w:bCs/>
          <w:sz w:val="20"/>
          <w:szCs w:val="20"/>
        </w:rPr>
      </w:pPr>
      <w:proofErr w:type="spellStart"/>
      <w:r w:rsidRPr="00B96359">
        <w:rPr>
          <w:sz w:val="20"/>
          <w:szCs w:val="20"/>
        </w:rPr>
        <w:t>Medas</w:t>
      </w:r>
      <w:proofErr w:type="spellEnd"/>
      <w:r w:rsidRPr="00B96359">
        <w:rPr>
          <w:sz w:val="20"/>
          <w:szCs w:val="20"/>
        </w:rPr>
        <w:t xml:space="preserve">, Paolo, and Daria </w:t>
      </w:r>
      <w:proofErr w:type="spellStart"/>
      <w:r w:rsidRPr="00B96359">
        <w:rPr>
          <w:sz w:val="20"/>
          <w:szCs w:val="20"/>
        </w:rPr>
        <w:t>Zakharova</w:t>
      </w:r>
      <w:proofErr w:type="spellEnd"/>
      <w:r w:rsidRPr="00B96359">
        <w:rPr>
          <w:sz w:val="20"/>
          <w:szCs w:val="20"/>
        </w:rPr>
        <w:t>, 2009, “</w:t>
      </w:r>
      <w:r w:rsidRPr="00B96359">
        <w:rPr>
          <w:bCs/>
          <w:sz w:val="20"/>
          <w:szCs w:val="20"/>
        </w:rPr>
        <w:t>Primer on Fiscal Analysis in Oil-Producing Countries,” IMF working paper 56, March.</w:t>
      </w:r>
    </w:p>
    <w:p w:rsidR="00CE3636" w:rsidRPr="00CE3636" w:rsidRDefault="006C1C2A" w:rsidP="007857D2">
      <w:pPr>
        <w:rPr>
          <w:rFonts w:cs="Arial"/>
          <w:color w:val="222222"/>
          <w:sz w:val="20"/>
          <w:szCs w:val="20"/>
          <w:shd w:val="clear" w:color="auto" w:fill="FFFFFF"/>
        </w:rPr>
      </w:pPr>
      <w:r w:rsidRPr="006C1C2A">
        <w:rPr>
          <w:rFonts w:cs="Arial"/>
          <w:color w:val="222222"/>
          <w:sz w:val="20"/>
          <w:szCs w:val="20"/>
          <w:shd w:val="clear" w:color="auto" w:fill="FFFFFF"/>
        </w:rPr>
        <w:t xml:space="preserve">Mendoza, Enrique G., 1997, "Terms-of-trade </w:t>
      </w:r>
      <w:r w:rsidR="00F46286">
        <w:rPr>
          <w:rFonts w:cs="Arial"/>
          <w:color w:val="222222"/>
          <w:sz w:val="20"/>
          <w:szCs w:val="20"/>
          <w:shd w:val="clear" w:color="auto" w:fill="FFFFFF"/>
        </w:rPr>
        <w:t>Uncertainty and Economic Growth,</w:t>
      </w:r>
      <w:r w:rsidRPr="006C1C2A">
        <w:rPr>
          <w:rFonts w:cs="Arial"/>
          <w:color w:val="222222"/>
          <w:sz w:val="20"/>
          <w:szCs w:val="20"/>
          <w:shd w:val="clear" w:color="auto" w:fill="FFFFFF"/>
        </w:rPr>
        <w:t>"</w:t>
      </w:r>
      <w:r w:rsidR="00F46286">
        <w:rPr>
          <w:rFonts w:cs="Arial"/>
          <w:color w:val="222222"/>
          <w:sz w:val="20"/>
          <w:szCs w:val="20"/>
          <w:shd w:val="clear" w:color="auto" w:fill="FFFFFF"/>
        </w:rPr>
        <w:t xml:space="preserve"> </w:t>
      </w:r>
      <w:r w:rsidRPr="006C1C2A">
        <w:rPr>
          <w:rFonts w:cs="Arial"/>
          <w:i/>
          <w:iCs/>
          <w:color w:val="222222"/>
          <w:sz w:val="20"/>
          <w:szCs w:val="20"/>
          <w:shd w:val="clear" w:color="auto" w:fill="FFFFFF"/>
        </w:rPr>
        <w:t>Journal of Development Economics</w:t>
      </w:r>
      <w:r w:rsidRPr="006C1C2A">
        <w:rPr>
          <w:rStyle w:val="apple-converted-space"/>
          <w:rFonts w:cs="Arial"/>
          <w:color w:val="222222"/>
          <w:sz w:val="20"/>
          <w:szCs w:val="20"/>
          <w:shd w:val="clear" w:color="auto" w:fill="FFFFFF"/>
        </w:rPr>
        <w:t> </w:t>
      </w:r>
      <w:r w:rsidRPr="006C1C2A">
        <w:rPr>
          <w:rFonts w:cs="Arial"/>
          <w:color w:val="222222"/>
          <w:sz w:val="20"/>
          <w:szCs w:val="20"/>
          <w:shd w:val="clear" w:color="auto" w:fill="FFFFFF"/>
        </w:rPr>
        <w:t>54.2: 323-356.</w:t>
      </w:r>
    </w:p>
    <w:p w:rsidR="00BF11AD" w:rsidRPr="00B96359" w:rsidRDefault="007857D2" w:rsidP="007857D2">
      <w:pPr>
        <w:pStyle w:val="NormalWeb"/>
        <w:ind w:right="90"/>
        <w:rPr>
          <w:rFonts w:asciiTheme="minorHAnsi" w:hAnsiTheme="minorHAnsi"/>
          <w:spacing w:val="-3"/>
          <w:sz w:val="20"/>
          <w:szCs w:val="20"/>
        </w:rPr>
      </w:pPr>
      <w:r w:rsidRPr="00B96359">
        <w:rPr>
          <w:rFonts w:asciiTheme="minorHAnsi" w:hAnsiTheme="minorHAnsi"/>
          <w:spacing w:val="-3"/>
          <w:sz w:val="20"/>
          <w:szCs w:val="20"/>
        </w:rPr>
        <w:t>Mendoza, Enrique, and P. Marcelo Oviedo, “Fiscal Policy and Macroeconomic Uncertainty in Developing Countries: The Tale of the Tormented Insurer,” NBER Working Paper No. 12586, October.</w:t>
      </w:r>
    </w:p>
    <w:p w:rsidR="002A03BE" w:rsidRPr="001F2F1B" w:rsidRDefault="00BF11AD" w:rsidP="002A03BE">
      <w:pPr>
        <w:rPr>
          <w:sz w:val="20"/>
          <w:szCs w:val="20"/>
        </w:rPr>
      </w:pPr>
      <w:proofErr w:type="spellStart"/>
      <w:r w:rsidRPr="001F2F1B">
        <w:rPr>
          <w:sz w:val="20"/>
          <w:szCs w:val="20"/>
        </w:rPr>
        <w:t>Poelhekke</w:t>
      </w:r>
      <w:proofErr w:type="spellEnd"/>
      <w:r w:rsidRPr="001F2F1B">
        <w:rPr>
          <w:sz w:val="20"/>
          <w:szCs w:val="20"/>
        </w:rPr>
        <w:t xml:space="preserve">, Steven, and, Frederick van der Ploeg, 2007, “Volatility, Financial Development and the Natural Resource Curse,” CEPR DP6513, October.  </w:t>
      </w:r>
    </w:p>
    <w:p w:rsidR="00F00042" w:rsidRPr="00B96359" w:rsidRDefault="001F2F1B" w:rsidP="002A03BE">
      <w:pPr>
        <w:rPr>
          <w:rFonts w:cs="Arial"/>
          <w:sz w:val="20"/>
          <w:szCs w:val="20"/>
          <w:shd w:val="clear" w:color="auto" w:fill="FFFFFF"/>
        </w:rPr>
      </w:pPr>
      <w:r>
        <w:rPr>
          <w:rFonts w:cs="Arial"/>
          <w:sz w:val="20"/>
          <w:szCs w:val="20"/>
          <w:shd w:val="clear" w:color="auto" w:fill="FFFFFF"/>
        </w:rPr>
        <w:t>Rafiq, M. Sohrab, 2011,</w:t>
      </w:r>
      <w:r w:rsidR="00F00042" w:rsidRPr="00B96359">
        <w:rPr>
          <w:rFonts w:cs="Arial"/>
          <w:sz w:val="20"/>
          <w:szCs w:val="20"/>
          <w:shd w:val="clear" w:color="auto" w:fill="FFFFFF"/>
        </w:rPr>
        <w:t xml:space="preserve"> "Sources of Economic Fluctuations in Oil</w:t>
      </w:r>
      <w:r w:rsidR="00F00042" w:rsidRPr="00B96359">
        <w:rPr>
          <w:rFonts w:cs="Cambria Math"/>
          <w:sz w:val="20"/>
          <w:szCs w:val="20"/>
          <w:shd w:val="clear" w:color="auto" w:fill="FFFFFF"/>
        </w:rPr>
        <w:t>‐</w:t>
      </w:r>
      <w:r w:rsidR="00F00042" w:rsidRPr="00B96359">
        <w:rPr>
          <w:rFonts w:cs="Arial"/>
          <w:sz w:val="20"/>
          <w:szCs w:val="20"/>
          <w:shd w:val="clear" w:color="auto" w:fill="FFFFFF"/>
        </w:rPr>
        <w:t>exporting Economies: Implications for Choice of Exchange Rate Regimes,"</w:t>
      </w:r>
      <w:r w:rsidR="00F00042" w:rsidRPr="00B96359">
        <w:rPr>
          <w:rStyle w:val="apple-converted-space"/>
          <w:rFonts w:cs="Arial"/>
          <w:sz w:val="20"/>
          <w:szCs w:val="20"/>
          <w:shd w:val="clear" w:color="auto" w:fill="FFFFFF"/>
        </w:rPr>
        <w:t> </w:t>
      </w:r>
      <w:r w:rsidR="00F00042" w:rsidRPr="00B96359">
        <w:rPr>
          <w:rFonts w:cs="Arial"/>
          <w:i/>
          <w:iCs/>
          <w:sz w:val="20"/>
          <w:szCs w:val="20"/>
          <w:shd w:val="clear" w:color="auto" w:fill="FFFFFF"/>
        </w:rPr>
        <w:t>International Journal of Finance &amp; Economics</w:t>
      </w:r>
      <w:r w:rsidR="00F00042" w:rsidRPr="00B96359">
        <w:rPr>
          <w:rStyle w:val="apple-converted-space"/>
          <w:rFonts w:cs="Arial"/>
          <w:sz w:val="20"/>
          <w:szCs w:val="20"/>
          <w:shd w:val="clear" w:color="auto" w:fill="FFFFFF"/>
        </w:rPr>
        <w:t> </w:t>
      </w:r>
      <w:r w:rsidR="00F00042" w:rsidRPr="00B96359">
        <w:rPr>
          <w:rFonts w:cs="Arial"/>
          <w:sz w:val="20"/>
          <w:szCs w:val="20"/>
          <w:shd w:val="clear" w:color="auto" w:fill="FFFFFF"/>
        </w:rPr>
        <w:t xml:space="preserve">16, no.1: 70-91.  </w:t>
      </w:r>
    </w:p>
    <w:p w:rsidR="003B4F8B" w:rsidRPr="00B96359" w:rsidRDefault="003B4F8B" w:rsidP="002A03BE">
      <w:pPr>
        <w:rPr>
          <w:sz w:val="20"/>
          <w:szCs w:val="20"/>
        </w:rPr>
      </w:pPr>
      <w:proofErr w:type="spellStart"/>
      <w:r w:rsidRPr="00B96359">
        <w:rPr>
          <w:sz w:val="20"/>
          <w:szCs w:val="20"/>
        </w:rPr>
        <w:t>Talvi</w:t>
      </w:r>
      <w:proofErr w:type="spellEnd"/>
      <w:r w:rsidRPr="00B96359">
        <w:rPr>
          <w:sz w:val="20"/>
          <w:szCs w:val="20"/>
        </w:rPr>
        <w:t xml:space="preserve">, Ernesto, and Carlos Vegh, 2005, “Tax Base Variability and Procyclicality of Fiscal Policy,” </w:t>
      </w:r>
      <w:r w:rsidRPr="00B96359">
        <w:rPr>
          <w:i/>
          <w:sz w:val="20"/>
          <w:szCs w:val="20"/>
        </w:rPr>
        <w:t>Journal of Development Economics</w:t>
      </w:r>
      <w:r w:rsidRPr="00B96359">
        <w:rPr>
          <w:sz w:val="20"/>
          <w:szCs w:val="20"/>
        </w:rPr>
        <w:t xml:space="preserve"> 78, no. 1, 156-190.</w:t>
      </w:r>
    </w:p>
    <w:p w:rsidR="00BD5C17" w:rsidRPr="00B96359" w:rsidRDefault="002A03BE" w:rsidP="00BD5C17">
      <w:pPr>
        <w:contextualSpacing/>
        <w:rPr>
          <w:rFonts w:eastAsia="Times New Roman"/>
          <w:sz w:val="20"/>
          <w:szCs w:val="20"/>
        </w:rPr>
      </w:pPr>
      <w:r w:rsidRPr="00B96359">
        <w:rPr>
          <w:rFonts w:eastAsia="Times New Roman"/>
          <w:sz w:val="20"/>
          <w:szCs w:val="20"/>
        </w:rPr>
        <w:t>Tobin, James</w:t>
      </w:r>
      <w:r w:rsidR="001F2F1B">
        <w:rPr>
          <w:rFonts w:eastAsia="Times New Roman"/>
          <w:sz w:val="20"/>
          <w:szCs w:val="20"/>
        </w:rPr>
        <w:t>,</w:t>
      </w:r>
      <w:r w:rsidRPr="00B96359">
        <w:rPr>
          <w:rFonts w:eastAsia="Times New Roman"/>
          <w:sz w:val="20"/>
          <w:szCs w:val="20"/>
        </w:rPr>
        <w:t xml:space="preserve">1980,“Stabilization Policy Ten Years After,” </w:t>
      </w:r>
      <w:r w:rsidRPr="00B96359">
        <w:rPr>
          <w:rFonts w:eastAsia="Times New Roman"/>
          <w:i/>
          <w:sz w:val="20"/>
          <w:szCs w:val="20"/>
        </w:rPr>
        <w:t>Brookings Papers on Economic Activity</w:t>
      </w:r>
      <w:r w:rsidRPr="00B96359">
        <w:rPr>
          <w:rFonts w:eastAsia="Times New Roman"/>
          <w:sz w:val="20"/>
          <w:szCs w:val="20"/>
        </w:rPr>
        <w:t xml:space="preserve"> 1: 19-72.</w:t>
      </w:r>
      <w:r w:rsidR="00BD5C17" w:rsidRPr="00B96359">
        <w:rPr>
          <w:rFonts w:eastAsia="Times New Roman"/>
          <w:sz w:val="20"/>
          <w:szCs w:val="20"/>
        </w:rPr>
        <w:br/>
      </w:r>
    </w:p>
    <w:p w:rsidR="00931F84" w:rsidRPr="00B96359" w:rsidRDefault="00BD5C17" w:rsidP="00CE360D">
      <w:pPr>
        <w:rPr>
          <w:sz w:val="18"/>
          <w:szCs w:val="18"/>
        </w:rPr>
      </w:pPr>
      <w:proofErr w:type="spellStart"/>
      <w:r w:rsidRPr="00B96359">
        <w:rPr>
          <w:sz w:val="20"/>
          <w:szCs w:val="20"/>
        </w:rPr>
        <w:t>Tornell</w:t>
      </w:r>
      <w:proofErr w:type="spellEnd"/>
      <w:r w:rsidRPr="00B96359">
        <w:rPr>
          <w:sz w:val="20"/>
          <w:szCs w:val="20"/>
        </w:rPr>
        <w:t xml:space="preserve">, Aaron, and Philip Lane, 1999, “The Voracity Effect,” </w:t>
      </w:r>
      <w:r w:rsidRPr="00B96359">
        <w:rPr>
          <w:i/>
          <w:sz w:val="20"/>
          <w:szCs w:val="20"/>
        </w:rPr>
        <w:t>American Economic Review</w:t>
      </w:r>
      <w:r w:rsidRPr="00B96359">
        <w:rPr>
          <w:sz w:val="20"/>
          <w:szCs w:val="20"/>
        </w:rPr>
        <w:t xml:space="preserve"> 89, no. 1, March: 22-46.</w:t>
      </w:r>
      <w:r w:rsidRPr="00B96359">
        <w:rPr>
          <w:sz w:val="18"/>
          <w:szCs w:val="18"/>
        </w:rPr>
        <w:br/>
      </w:r>
      <w:r w:rsidR="002A03BE" w:rsidRPr="00B96359">
        <w:rPr>
          <w:sz w:val="20"/>
          <w:szCs w:val="20"/>
        </w:rPr>
        <w:br/>
      </w:r>
      <w:r w:rsidR="002A03BE" w:rsidRPr="00B96359">
        <w:rPr>
          <w:sz w:val="20"/>
          <w:szCs w:val="20"/>
        </w:rPr>
        <w:lastRenderedPageBreak/>
        <w:t xml:space="preserve">Woodford, Michael, 2012, </w:t>
      </w:r>
      <w:hyperlink r:id="rId19" w:history="1">
        <w:r w:rsidR="002A03BE" w:rsidRPr="00B96359">
          <w:rPr>
            <w:rStyle w:val="Hyperlink"/>
            <w:color w:val="auto"/>
            <w:sz w:val="20"/>
            <w:szCs w:val="20"/>
          </w:rPr>
          <w:t>“Methods of Policy Accommodation at the Interest-Rate Lower Bound,”</w:t>
        </w:r>
      </w:hyperlink>
      <w:r w:rsidR="002A03BE" w:rsidRPr="00B96359">
        <w:rPr>
          <w:sz w:val="20"/>
          <w:szCs w:val="20"/>
        </w:rPr>
        <w:t xml:space="preserve"> </w:t>
      </w:r>
      <w:r w:rsidR="002A03BE" w:rsidRPr="00B96359">
        <w:rPr>
          <w:rFonts w:cs="Arial"/>
          <w:i/>
          <w:iCs/>
          <w:sz w:val="20"/>
          <w:szCs w:val="20"/>
          <w:shd w:val="clear" w:color="auto" w:fill="FFFFFF"/>
        </w:rPr>
        <w:t>The Changing Policy Landscape: 2012 Jackson Hole Symposium</w:t>
      </w:r>
      <w:r w:rsidR="002A03BE" w:rsidRPr="00B96359">
        <w:rPr>
          <w:rFonts w:cs="Arial"/>
          <w:sz w:val="20"/>
          <w:szCs w:val="20"/>
          <w:shd w:val="clear" w:color="auto" w:fill="FFFFFF"/>
        </w:rPr>
        <w:t xml:space="preserve"> (Federal Reserve Bank of Kansas City).</w:t>
      </w:r>
    </w:p>
    <w:sectPr w:rsidR="00931F84" w:rsidRPr="00B96359" w:rsidSect="004A37C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BB8" w:rsidRDefault="000C4BB8" w:rsidP="005F36E6">
      <w:pPr>
        <w:spacing w:after="0" w:line="240" w:lineRule="auto"/>
      </w:pPr>
      <w:r>
        <w:separator/>
      </w:r>
    </w:p>
  </w:endnote>
  <w:endnote w:type="continuationSeparator" w:id="0">
    <w:p w:rsidR="000C4BB8" w:rsidRDefault="000C4BB8" w:rsidP="005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46401"/>
      <w:docPartObj>
        <w:docPartGallery w:val="Page Numbers (Bottom of Page)"/>
        <w:docPartUnique/>
      </w:docPartObj>
    </w:sdtPr>
    <w:sdtEndPr>
      <w:rPr>
        <w:noProof/>
      </w:rPr>
    </w:sdtEndPr>
    <w:sdtContent>
      <w:p w:rsidR="004A37C3" w:rsidRDefault="004A37C3">
        <w:pPr>
          <w:pStyle w:val="Footer"/>
          <w:jc w:val="right"/>
        </w:pPr>
        <w:r>
          <w:fldChar w:fldCharType="begin"/>
        </w:r>
        <w:r>
          <w:instrText xml:space="preserve"> PAGE   \* MERGEFORMAT </w:instrText>
        </w:r>
        <w:r>
          <w:fldChar w:fldCharType="separate"/>
        </w:r>
        <w:r w:rsidR="005955CD">
          <w:rPr>
            <w:noProof/>
          </w:rPr>
          <w:t>1</w:t>
        </w:r>
        <w:r>
          <w:rPr>
            <w:noProof/>
          </w:rPr>
          <w:fldChar w:fldCharType="end"/>
        </w:r>
      </w:p>
    </w:sdtContent>
  </w:sdt>
  <w:p w:rsidR="004A37C3" w:rsidRDefault="004A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BB8" w:rsidRDefault="000C4BB8" w:rsidP="005F36E6">
      <w:pPr>
        <w:spacing w:after="0" w:line="240" w:lineRule="auto"/>
      </w:pPr>
      <w:r>
        <w:separator/>
      </w:r>
    </w:p>
  </w:footnote>
  <w:footnote w:type="continuationSeparator" w:id="0">
    <w:p w:rsidR="000C4BB8" w:rsidRDefault="000C4BB8" w:rsidP="005F36E6">
      <w:pPr>
        <w:spacing w:after="0" w:line="240" w:lineRule="auto"/>
      </w:pPr>
      <w:r>
        <w:continuationSeparator/>
      </w:r>
    </w:p>
  </w:footnote>
  <w:footnote w:id="1">
    <w:p w:rsidR="0006057F" w:rsidRPr="00C3156A" w:rsidRDefault="00273A07" w:rsidP="00273A07">
      <w:pPr>
        <w:pStyle w:val="FootnoteText"/>
      </w:pPr>
      <w:r w:rsidRPr="00C3156A">
        <w:rPr>
          <w:rStyle w:val="FootnoteReference"/>
        </w:rPr>
        <w:footnoteRef/>
      </w:r>
      <w:r w:rsidRPr="00C3156A">
        <w:t xml:space="preserve"> </w:t>
      </w:r>
      <w:proofErr w:type="spellStart"/>
      <w:r w:rsidR="0006057F">
        <w:t>Brueckner</w:t>
      </w:r>
      <w:proofErr w:type="spellEnd"/>
      <w:r w:rsidR="0006057F">
        <w:t xml:space="preserve"> and </w:t>
      </w:r>
      <w:proofErr w:type="spellStart"/>
      <w:r w:rsidR="0006057F" w:rsidRPr="0006057F">
        <w:t>Carneiro</w:t>
      </w:r>
      <w:proofErr w:type="spellEnd"/>
      <w:r w:rsidR="0006057F">
        <w:t xml:space="preserve"> (2016), </w:t>
      </w:r>
      <w:proofErr w:type="spellStart"/>
      <w:r w:rsidR="00F74F96">
        <w:t>Blattman</w:t>
      </w:r>
      <w:proofErr w:type="spellEnd"/>
      <w:r w:rsidR="00F74F96">
        <w:t xml:space="preserve">, </w:t>
      </w:r>
      <w:r w:rsidRPr="00C3156A">
        <w:t>Hwang, and Williamson (2007), Hausmann and Rigobon (2003)</w:t>
      </w:r>
      <w:r w:rsidR="00F74F96">
        <w:t xml:space="preserve">, </w:t>
      </w:r>
      <w:r w:rsidR="006C1C2A" w:rsidRPr="0006057F">
        <w:t xml:space="preserve">Mendoza </w:t>
      </w:r>
      <w:r w:rsidR="00F74F96">
        <w:t>(</w:t>
      </w:r>
      <w:r w:rsidR="006C1C2A" w:rsidRPr="0006057F">
        <w:t>1997</w:t>
      </w:r>
      <w:r w:rsidR="006C1C2A">
        <w:t xml:space="preserve">) </w:t>
      </w:r>
      <w:r w:rsidRPr="00C3156A">
        <w:t xml:space="preserve"> and </w:t>
      </w:r>
      <w:proofErr w:type="spellStart"/>
      <w:r w:rsidRPr="0006057F">
        <w:t>Poelhekke</w:t>
      </w:r>
      <w:proofErr w:type="spellEnd"/>
      <w:r w:rsidRPr="00C3156A">
        <w:t xml:space="preserve"> and </w:t>
      </w:r>
      <w:r w:rsidRPr="0006057F">
        <w:t>van</w:t>
      </w:r>
      <w:r w:rsidR="0006057F">
        <w:t xml:space="preserve"> </w:t>
      </w:r>
      <w:r w:rsidRPr="00C3156A">
        <w:t>der Ploeg (2007)</w:t>
      </w:r>
      <w:r w:rsidR="0006057F">
        <w:t xml:space="preserve">.  Terms of trade volatility hurts growth in the presence of investment </w:t>
      </w:r>
      <w:proofErr w:type="spellStart"/>
      <w:r w:rsidR="0006057F">
        <w:t>irreversibilities</w:t>
      </w:r>
      <w:proofErr w:type="spellEnd"/>
      <w:r w:rsidR="0006057F">
        <w:t xml:space="preserve"> and credit constraints (</w:t>
      </w:r>
      <w:r w:rsidR="0006057F" w:rsidRPr="0006057F">
        <w:t>Aghion, Angeletos, Banerjee &amp; Manova, 2010</w:t>
      </w:r>
      <w:r w:rsidR="0006057F">
        <w:t xml:space="preserve">).   Frankel </w:t>
      </w:r>
      <w:r w:rsidR="00A30CB0">
        <w:t>(2012</w:t>
      </w:r>
      <w:r w:rsidR="00581D36">
        <w:t>a</w:t>
      </w:r>
      <w:r w:rsidR="00A30CB0">
        <w:t xml:space="preserve">) </w:t>
      </w:r>
      <w:r w:rsidR="0006057F">
        <w:t>surveys the Natural Resource Curse.</w:t>
      </w:r>
    </w:p>
  </w:footnote>
  <w:footnote w:id="2">
    <w:p w:rsidR="00663BB5" w:rsidRDefault="00663BB5">
      <w:pPr>
        <w:pStyle w:val="FootnoteText"/>
      </w:pPr>
      <w:r>
        <w:rPr>
          <w:rStyle w:val="FootnoteReference"/>
        </w:rPr>
        <w:footnoteRef/>
      </w:r>
      <w:r>
        <w:t xml:space="preserve"> </w:t>
      </w:r>
      <w:r w:rsidR="00B6469C">
        <w:t xml:space="preserve">E.g., </w:t>
      </w:r>
      <w:r>
        <w:t>Kaminsky, Reinhart and</w:t>
      </w:r>
      <w:r w:rsidRPr="00663BB5">
        <w:t xml:space="preserve"> </w:t>
      </w:r>
      <w:proofErr w:type="spellStart"/>
      <w:r w:rsidRPr="00663BB5">
        <w:t>Végh</w:t>
      </w:r>
      <w:proofErr w:type="spellEnd"/>
      <w:r w:rsidRPr="00663BB5">
        <w:t xml:space="preserve"> {200</w:t>
      </w:r>
      <w:r>
        <w:t>5</w:t>
      </w:r>
      <w:r w:rsidRPr="00663BB5">
        <w:t>).</w:t>
      </w:r>
      <w:r>
        <w:br/>
      </w:r>
    </w:p>
  </w:footnote>
  <w:footnote w:id="3">
    <w:p w:rsidR="00B6469C" w:rsidRPr="00B6469C" w:rsidRDefault="00B6469C" w:rsidP="00B6469C">
      <w:pPr>
        <w:rPr>
          <w:sz w:val="20"/>
          <w:szCs w:val="20"/>
        </w:rPr>
      </w:pPr>
      <w:r w:rsidRPr="00B6469C">
        <w:rPr>
          <w:rStyle w:val="FootnoteReference"/>
          <w:sz w:val="20"/>
          <w:szCs w:val="20"/>
        </w:rPr>
        <w:footnoteRef/>
      </w:r>
      <w:r w:rsidRPr="00B6469C">
        <w:rPr>
          <w:sz w:val="20"/>
          <w:szCs w:val="20"/>
        </w:rPr>
        <w:t xml:space="preserve"> E.g., Borensztein, Jeanne and Sandri (2013).</w:t>
      </w:r>
    </w:p>
  </w:footnote>
  <w:footnote w:id="4">
    <w:p w:rsidR="004A37C3" w:rsidRPr="005B3F30" w:rsidRDefault="004A37C3" w:rsidP="004A37C3">
      <w:pPr>
        <w:pStyle w:val="FootnoteText"/>
      </w:pPr>
      <w:r w:rsidRPr="005B3F30">
        <w:rPr>
          <w:rStyle w:val="FootnoteReference"/>
        </w:rPr>
        <w:footnoteRef/>
      </w:r>
      <w:r w:rsidRPr="005B3F30">
        <w:t xml:space="preserve"> </w:t>
      </w:r>
      <w:r>
        <w:t xml:space="preserve"> </w:t>
      </w:r>
      <w:proofErr w:type="spellStart"/>
      <w:r w:rsidRPr="005B3F30">
        <w:rPr>
          <w:rFonts w:cs="Times New Roman"/>
        </w:rPr>
        <w:t>Duclaud</w:t>
      </w:r>
      <w:proofErr w:type="spellEnd"/>
      <w:r w:rsidRPr="005B3F30">
        <w:rPr>
          <w:rFonts w:cs="Times New Roman"/>
        </w:rPr>
        <w:t xml:space="preserve"> and </w:t>
      </w:r>
      <w:proofErr w:type="spellStart"/>
      <w:r w:rsidRPr="005B3F30">
        <w:rPr>
          <w:rFonts w:cs="Times New Roman"/>
        </w:rPr>
        <w:t>García</w:t>
      </w:r>
      <w:proofErr w:type="spellEnd"/>
      <w:r w:rsidRPr="005B3F30">
        <w:rPr>
          <w:rFonts w:cs="Times New Roman"/>
        </w:rPr>
        <w:t xml:space="preserve"> (201</w:t>
      </w:r>
      <w:r w:rsidR="00B9278E">
        <w:rPr>
          <w:rFonts w:cs="Times New Roman"/>
        </w:rPr>
        <w:t>2</w:t>
      </w:r>
      <w:r w:rsidRPr="005B3F30">
        <w:rPr>
          <w:rFonts w:cs="Times New Roman"/>
        </w:rPr>
        <w:t>).</w:t>
      </w:r>
      <w:r w:rsidR="00663BB5">
        <w:rPr>
          <w:rFonts w:cs="Times New Roman"/>
        </w:rPr>
        <w:br/>
      </w:r>
    </w:p>
  </w:footnote>
  <w:footnote w:id="5">
    <w:p w:rsidR="004A37C3" w:rsidRPr="004A37C3" w:rsidRDefault="004A37C3" w:rsidP="004A37C3">
      <w:pPr>
        <w:pStyle w:val="ListParagraph"/>
        <w:ind w:left="0"/>
        <w:rPr>
          <w:sz w:val="20"/>
          <w:szCs w:val="20"/>
        </w:rPr>
      </w:pPr>
      <w:r w:rsidRPr="005B3F30">
        <w:rPr>
          <w:rStyle w:val="FootnoteReference"/>
          <w:sz w:val="20"/>
          <w:szCs w:val="20"/>
        </w:rPr>
        <w:footnoteRef/>
      </w:r>
      <w:r w:rsidRPr="005B3F30">
        <w:rPr>
          <w:sz w:val="20"/>
          <w:szCs w:val="20"/>
        </w:rPr>
        <w:t xml:space="preserve">  IMF SPRD and World Bank PREM (2011, p.47).</w:t>
      </w:r>
    </w:p>
  </w:footnote>
  <w:footnote w:id="6">
    <w:p w:rsidR="003B4809" w:rsidRPr="004A37C3" w:rsidRDefault="003B4809" w:rsidP="003B4809">
      <w:pPr>
        <w:pStyle w:val="FootnoteText"/>
      </w:pPr>
      <w:r w:rsidRPr="004A37C3">
        <w:rPr>
          <w:rStyle w:val="FootnoteReference"/>
        </w:rPr>
        <w:footnoteRef/>
      </w:r>
      <w:r w:rsidRPr="004A37C3">
        <w:t xml:space="preserve"> Frankel, </w:t>
      </w:r>
      <w:r w:rsidRPr="004A37C3">
        <w:rPr>
          <w:color w:val="000000"/>
          <w:shd w:val="clear" w:color="auto" w:fill="FFFFFF"/>
        </w:rPr>
        <w:t>"</w:t>
      </w:r>
      <w:r w:rsidRPr="001F2F1B">
        <w:rPr>
          <w:shd w:val="clear" w:color="auto" w:fill="FFFFFF"/>
        </w:rPr>
        <w:t>Barrels, Bushels and Bonds</w:t>
      </w:r>
      <w:r w:rsidRPr="004A37C3">
        <w:rPr>
          <w:color w:val="000000"/>
          <w:shd w:val="clear" w:color="auto" w:fill="FFFFFF"/>
        </w:rPr>
        <w:t>:</w:t>
      </w:r>
      <w:r w:rsidRPr="004A37C3">
        <w:rPr>
          <w:rStyle w:val="apple-converted-space"/>
          <w:color w:val="000000"/>
          <w:shd w:val="clear" w:color="auto" w:fill="FFFFFF"/>
        </w:rPr>
        <w:t> </w:t>
      </w:r>
      <w:r w:rsidRPr="001F2F1B">
        <w:rPr>
          <w:shd w:val="clear" w:color="auto" w:fill="FFFFFF"/>
        </w:rPr>
        <w:t>How Commodity Exporters Can Hedge Volatility</w:t>
      </w:r>
      <w:r w:rsidRPr="004A37C3">
        <w:rPr>
          <w:color w:val="000000"/>
          <w:shd w:val="clear" w:color="auto" w:fill="FFFFFF"/>
        </w:rPr>
        <w:t>,"</w:t>
      </w:r>
      <w:r w:rsidRPr="004A37C3">
        <w:rPr>
          <w:rStyle w:val="apple-converted-space"/>
          <w:color w:val="000000"/>
          <w:shd w:val="clear" w:color="auto" w:fill="FFFFFF"/>
        </w:rPr>
        <w:t> </w:t>
      </w:r>
      <w:r w:rsidRPr="001F2F1B">
        <w:rPr>
          <w:i/>
          <w:iCs/>
          <w:shd w:val="clear" w:color="auto" w:fill="FFFFFF"/>
        </w:rPr>
        <w:t>Project Syndicate</w:t>
      </w:r>
      <w:r w:rsidRPr="004A37C3">
        <w:rPr>
          <w:color w:val="000000"/>
          <w:shd w:val="clear" w:color="auto" w:fill="FFFFFF"/>
        </w:rPr>
        <w:t>, October 2011.</w:t>
      </w:r>
      <w:r>
        <w:rPr>
          <w:color w:val="000000"/>
          <w:shd w:val="clear" w:color="auto" w:fill="FFFFFF"/>
        </w:rPr>
        <w:br/>
      </w:r>
    </w:p>
  </w:footnote>
  <w:footnote w:id="7">
    <w:p w:rsidR="00CE3636" w:rsidRDefault="00CE3636">
      <w:pPr>
        <w:pStyle w:val="FootnoteText"/>
      </w:pPr>
      <w:r>
        <w:rPr>
          <w:rStyle w:val="FootnoteReference"/>
        </w:rPr>
        <w:footnoteRef/>
      </w:r>
      <w:r>
        <w:t xml:space="preserve"> </w:t>
      </w:r>
      <w:proofErr w:type="spellStart"/>
      <w:r>
        <w:t>E.g</w:t>
      </w:r>
      <w:proofErr w:type="spellEnd"/>
      <w:r>
        <w:t xml:space="preserve">, Caballero (2002)  or </w:t>
      </w:r>
      <w:proofErr w:type="spellStart"/>
      <w:r>
        <w:t>Attah</w:t>
      </w:r>
      <w:proofErr w:type="spellEnd"/>
      <w:r>
        <w:t>-Mensah (2004).  But there are earlier precedents.</w:t>
      </w:r>
      <w:r>
        <w:br/>
      </w:r>
    </w:p>
  </w:footnote>
  <w:footnote w:id="8">
    <w:p w:rsidR="002B0741" w:rsidRDefault="002B0741">
      <w:pPr>
        <w:pStyle w:val="FootnoteText"/>
      </w:pPr>
      <w:r>
        <w:rPr>
          <w:rStyle w:val="FootnoteReference"/>
        </w:rPr>
        <w:footnoteRef/>
      </w:r>
      <w:r>
        <w:t xml:space="preserve"> Logically, commodity bonds should be </w:t>
      </w:r>
      <w:r w:rsidR="0054005B">
        <w:t>“</w:t>
      </w:r>
      <w:r>
        <w:t>an easier sell</w:t>
      </w:r>
      <w:r w:rsidR="0054005B">
        <w:t>”</w:t>
      </w:r>
      <w:r>
        <w:t xml:space="preserve"> than GDP-linked bonds, which have received more attention</w:t>
      </w:r>
      <w:r w:rsidR="0054005B">
        <w:t xml:space="preserve"> </w:t>
      </w:r>
      <w:r w:rsidR="0054005B" w:rsidRPr="0054005B">
        <w:t xml:space="preserve">(e.g., </w:t>
      </w:r>
      <w:r w:rsidR="0054005B" w:rsidRPr="0054005B">
        <w:rPr>
          <w:rFonts w:cs="Arial"/>
          <w:color w:val="222222"/>
          <w:shd w:val="clear" w:color="auto" w:fill="FFFFFF"/>
        </w:rPr>
        <w:t>Borensztein and Mauro, 2004).</w:t>
      </w:r>
      <w:r w:rsidR="0054005B">
        <w:rPr>
          <w:rFonts w:cs="Arial"/>
          <w:color w:val="222222"/>
          <w:shd w:val="clear" w:color="auto" w:fill="FFFFFF"/>
        </w:rPr>
        <w:t xml:space="preserve">  The first reason is that they have natural customers, as noted.  The second reason is that the commodity price index is not subsequently revised and is less liable to government manipulation than are GDP statistics.</w:t>
      </w:r>
      <w:r w:rsidR="0023645D">
        <w:rPr>
          <w:rFonts w:cs="Arial"/>
          <w:color w:val="222222"/>
          <w:shd w:val="clear" w:color="auto" w:fill="FFFFFF"/>
        </w:rPr>
        <w:br/>
      </w:r>
    </w:p>
  </w:footnote>
  <w:footnote w:id="9">
    <w:p w:rsidR="009B7C82" w:rsidRPr="00F00042" w:rsidRDefault="009B7C82" w:rsidP="009B7C82">
      <w:pPr>
        <w:autoSpaceDE w:val="0"/>
        <w:autoSpaceDN w:val="0"/>
        <w:adjustRightInd w:val="0"/>
        <w:rPr>
          <w:sz w:val="20"/>
          <w:szCs w:val="20"/>
        </w:rPr>
      </w:pPr>
      <w:r w:rsidRPr="00F00042">
        <w:rPr>
          <w:rStyle w:val="FootnoteReference"/>
          <w:sz w:val="20"/>
          <w:szCs w:val="20"/>
        </w:rPr>
        <w:footnoteRef/>
      </w:r>
      <w:r w:rsidRPr="00F00042">
        <w:rPr>
          <w:sz w:val="20"/>
          <w:szCs w:val="20"/>
        </w:rPr>
        <w:t xml:space="preserve">   </w:t>
      </w:r>
      <w:proofErr w:type="spellStart"/>
      <w:r w:rsidRPr="00F00042">
        <w:rPr>
          <w:sz w:val="20"/>
          <w:szCs w:val="20"/>
        </w:rPr>
        <w:t>Cuddington</w:t>
      </w:r>
      <w:proofErr w:type="spellEnd"/>
      <w:r w:rsidRPr="00F00042">
        <w:rPr>
          <w:sz w:val="20"/>
          <w:szCs w:val="20"/>
        </w:rPr>
        <w:t xml:space="preserve"> (1989), Gavin and Perotti (1997), </w:t>
      </w:r>
      <w:proofErr w:type="spellStart"/>
      <w:r w:rsidRPr="00F00042">
        <w:rPr>
          <w:sz w:val="20"/>
          <w:szCs w:val="20"/>
        </w:rPr>
        <w:t>Tornell</w:t>
      </w:r>
      <w:proofErr w:type="spellEnd"/>
      <w:r w:rsidRPr="00F00042">
        <w:rPr>
          <w:sz w:val="20"/>
          <w:szCs w:val="20"/>
        </w:rPr>
        <w:t xml:space="preserve"> and Lane (1999), Kaminsky, Reinhart, and Vegh (2004), </w:t>
      </w:r>
      <w:proofErr w:type="spellStart"/>
      <w:r w:rsidRPr="00F00042">
        <w:rPr>
          <w:sz w:val="20"/>
          <w:szCs w:val="20"/>
        </w:rPr>
        <w:t>Talvi</w:t>
      </w:r>
      <w:proofErr w:type="spellEnd"/>
      <w:r w:rsidRPr="00F00042">
        <w:rPr>
          <w:sz w:val="20"/>
          <w:szCs w:val="20"/>
        </w:rPr>
        <w:t xml:space="preserve"> and </w:t>
      </w:r>
      <w:proofErr w:type="spellStart"/>
      <w:r w:rsidRPr="00F00042">
        <w:rPr>
          <w:sz w:val="20"/>
          <w:szCs w:val="20"/>
        </w:rPr>
        <w:t>Végh</w:t>
      </w:r>
      <w:bookmarkStart w:id="1" w:name="bcor1"/>
      <w:bookmarkEnd w:id="1"/>
      <w:proofErr w:type="spellEnd"/>
      <w:r w:rsidRPr="00F00042">
        <w:rPr>
          <w:sz w:val="20"/>
          <w:szCs w:val="20"/>
        </w:rPr>
        <w:t xml:space="preserve">  (2005), </w:t>
      </w:r>
      <w:r w:rsidRPr="00F00042">
        <w:rPr>
          <w:rStyle w:val="Strong"/>
          <w:b w:val="0"/>
          <w:color w:val="000000"/>
          <w:sz w:val="20"/>
          <w:szCs w:val="20"/>
        </w:rPr>
        <w:t>Alesina</w:t>
      </w:r>
      <w:hyperlink r:id="rId1" w:history="1"/>
      <w:r w:rsidRPr="00F00042">
        <w:rPr>
          <w:rStyle w:val="Strong"/>
          <w:b w:val="0"/>
          <w:color w:val="000000"/>
          <w:sz w:val="20"/>
          <w:szCs w:val="20"/>
        </w:rPr>
        <w:t>, Campante</w:t>
      </w:r>
      <w:hyperlink r:id="rId2" w:history="1"/>
      <w:r w:rsidRPr="00F00042">
        <w:rPr>
          <w:rStyle w:val="Strong"/>
          <w:b w:val="0"/>
          <w:color w:val="000000"/>
          <w:sz w:val="20"/>
          <w:szCs w:val="20"/>
        </w:rPr>
        <w:t xml:space="preserve"> </w:t>
      </w:r>
      <w:r w:rsidRPr="00F00042">
        <w:rPr>
          <w:rStyle w:val="Strong"/>
          <w:b w:val="0"/>
          <w:sz w:val="20"/>
          <w:szCs w:val="20"/>
        </w:rPr>
        <w:t xml:space="preserve">and </w:t>
      </w:r>
      <w:r w:rsidRPr="00F00042">
        <w:rPr>
          <w:rStyle w:val="Strong"/>
          <w:b w:val="0"/>
          <w:color w:val="000000"/>
          <w:sz w:val="20"/>
          <w:szCs w:val="20"/>
        </w:rPr>
        <w:t>Tabellini</w:t>
      </w:r>
      <w:r w:rsidRPr="00F00042">
        <w:rPr>
          <w:rStyle w:val="Strong"/>
          <w:color w:val="000000"/>
          <w:sz w:val="20"/>
          <w:szCs w:val="20"/>
        </w:rPr>
        <w:t xml:space="preserve"> </w:t>
      </w:r>
      <w:r w:rsidRPr="00F00042">
        <w:rPr>
          <w:rStyle w:val="Strong"/>
          <w:b w:val="0"/>
          <w:color w:val="000000"/>
          <w:sz w:val="20"/>
          <w:szCs w:val="20"/>
        </w:rPr>
        <w:t>(</w:t>
      </w:r>
      <w:r w:rsidRPr="00F00042">
        <w:rPr>
          <w:sz w:val="20"/>
          <w:szCs w:val="20"/>
        </w:rPr>
        <w:t>2008), Mendoza and Oviedo (2006), Il</w:t>
      </w:r>
      <w:r w:rsidR="00F00042" w:rsidRPr="00F00042">
        <w:rPr>
          <w:sz w:val="20"/>
          <w:szCs w:val="20"/>
        </w:rPr>
        <w:t>zetski and Vegh (2008),</w:t>
      </w:r>
      <w:r w:rsidRPr="00F00042">
        <w:rPr>
          <w:sz w:val="20"/>
          <w:szCs w:val="20"/>
        </w:rPr>
        <w:t xml:space="preserve"> </w:t>
      </w:r>
      <w:proofErr w:type="spellStart"/>
      <w:r w:rsidRPr="00F00042">
        <w:rPr>
          <w:sz w:val="20"/>
          <w:szCs w:val="20"/>
        </w:rPr>
        <w:t>Medas</w:t>
      </w:r>
      <w:proofErr w:type="spellEnd"/>
      <w:r w:rsidRPr="00F00042">
        <w:rPr>
          <w:sz w:val="20"/>
          <w:szCs w:val="20"/>
        </w:rPr>
        <w:t xml:space="preserve"> and </w:t>
      </w:r>
      <w:proofErr w:type="spellStart"/>
      <w:r w:rsidRPr="00F00042">
        <w:rPr>
          <w:sz w:val="20"/>
          <w:szCs w:val="20"/>
        </w:rPr>
        <w:t>Zakharova</w:t>
      </w:r>
      <w:proofErr w:type="spellEnd"/>
      <w:r w:rsidRPr="00F00042">
        <w:rPr>
          <w:sz w:val="20"/>
          <w:szCs w:val="20"/>
        </w:rPr>
        <w:t xml:space="preserve"> (2009)</w:t>
      </w:r>
      <w:r w:rsidR="00262DEE">
        <w:rPr>
          <w:sz w:val="20"/>
          <w:szCs w:val="20"/>
        </w:rPr>
        <w:t xml:space="preserve">,  </w:t>
      </w:r>
      <w:r w:rsidR="00F00042" w:rsidRPr="00F00042">
        <w:rPr>
          <w:sz w:val="20"/>
          <w:szCs w:val="20"/>
        </w:rPr>
        <w:t>Are</w:t>
      </w:r>
      <w:r w:rsidR="00A52774">
        <w:rPr>
          <w:sz w:val="20"/>
          <w:szCs w:val="20"/>
        </w:rPr>
        <w:t xml:space="preserve">zki, Hamilton and </w:t>
      </w:r>
      <w:proofErr w:type="spellStart"/>
      <w:r w:rsidR="00A52774">
        <w:rPr>
          <w:sz w:val="20"/>
          <w:szCs w:val="20"/>
        </w:rPr>
        <w:t>Kazimov</w:t>
      </w:r>
      <w:proofErr w:type="spellEnd"/>
      <w:r w:rsidR="00A52774">
        <w:rPr>
          <w:sz w:val="20"/>
          <w:szCs w:val="20"/>
        </w:rPr>
        <w:t xml:space="preserve"> (2011),</w:t>
      </w:r>
      <w:r w:rsidR="00A5654E">
        <w:rPr>
          <w:sz w:val="20"/>
          <w:szCs w:val="20"/>
        </w:rPr>
        <w:t xml:space="preserve"> Erbil (2011)</w:t>
      </w:r>
      <w:r w:rsidR="00A52774">
        <w:rPr>
          <w:sz w:val="20"/>
          <w:szCs w:val="20"/>
        </w:rPr>
        <w:t xml:space="preserve">, and </w:t>
      </w:r>
      <w:proofErr w:type="spellStart"/>
      <w:r w:rsidR="00A52774" w:rsidRPr="00A52774">
        <w:rPr>
          <w:sz w:val="20"/>
          <w:szCs w:val="20"/>
        </w:rPr>
        <w:t>Avellan</w:t>
      </w:r>
      <w:proofErr w:type="spellEnd"/>
      <w:r w:rsidR="00A52774" w:rsidRPr="00A52774">
        <w:rPr>
          <w:sz w:val="20"/>
          <w:szCs w:val="20"/>
        </w:rPr>
        <w:t xml:space="preserve"> &amp; Vuletin (2015).</w:t>
      </w:r>
      <w:r w:rsidR="00262DEE" w:rsidRPr="00262DEE">
        <w:rPr>
          <w:sz w:val="20"/>
          <w:szCs w:val="20"/>
        </w:rPr>
        <w:t>.</w:t>
      </w:r>
    </w:p>
  </w:footnote>
  <w:footnote w:id="10">
    <w:p w:rsidR="009B7C82" w:rsidRPr="00F00042" w:rsidRDefault="009B7C82" w:rsidP="009B7C82">
      <w:pPr>
        <w:pStyle w:val="FootnoteText"/>
      </w:pPr>
      <w:r w:rsidRPr="00F00042">
        <w:rPr>
          <w:rStyle w:val="FootnoteReference"/>
        </w:rPr>
        <w:footnoteRef/>
      </w:r>
      <w:r w:rsidRPr="00F00042">
        <w:t xml:space="preserve">  Gelb (1986) and </w:t>
      </w:r>
      <w:proofErr w:type="spellStart"/>
      <w:r w:rsidRPr="00F00042">
        <w:t>Medas</w:t>
      </w:r>
      <w:proofErr w:type="spellEnd"/>
      <w:r w:rsidRPr="00F00042">
        <w:t xml:space="preserve"> and </w:t>
      </w:r>
      <w:proofErr w:type="spellStart"/>
      <w:r w:rsidRPr="00F00042">
        <w:t>Zakharova</w:t>
      </w:r>
      <w:proofErr w:type="spellEnd"/>
      <w:r w:rsidRPr="00F00042">
        <w:t xml:space="preserve"> (2009), respectively.</w:t>
      </w:r>
      <w:r w:rsidR="00F00042" w:rsidRPr="00F00042">
        <w:br/>
      </w:r>
    </w:p>
  </w:footnote>
  <w:footnote w:id="11">
    <w:p w:rsidR="004A37C3" w:rsidRDefault="004A37C3" w:rsidP="004A37C3">
      <w:pPr>
        <w:pStyle w:val="FootnoteText"/>
      </w:pPr>
      <w:r w:rsidRPr="00F00042">
        <w:rPr>
          <w:rStyle w:val="FootnoteReference"/>
        </w:rPr>
        <w:footnoteRef/>
      </w:r>
      <w:r w:rsidRPr="00F00042">
        <w:t xml:space="preserve"> </w:t>
      </w:r>
      <w:r w:rsidR="00F00042" w:rsidRPr="00F00042">
        <w:t xml:space="preserve"> </w:t>
      </w:r>
      <w:r w:rsidRPr="00F00042">
        <w:rPr>
          <w:rFonts w:cs="Times New Roman"/>
          <w:color w:val="333333"/>
        </w:rPr>
        <w:t xml:space="preserve">Céspedes and Velasco (2014) and </w:t>
      </w:r>
      <w:r w:rsidRPr="00F00042">
        <w:rPr>
          <w:rFonts w:cs="Times New Roman"/>
        </w:rPr>
        <w:t xml:space="preserve">Frankel, </w:t>
      </w:r>
      <w:r w:rsidRPr="00F00042">
        <w:rPr>
          <w:rFonts w:cs="Times New Roman"/>
          <w:color w:val="000000"/>
        </w:rPr>
        <w:t>V</w:t>
      </w:r>
      <w:r w:rsidRPr="00F00042">
        <w:rPr>
          <w:rFonts w:cs="Times New Roman"/>
        </w:rPr>
        <w:t>égh</w:t>
      </w:r>
      <w:r w:rsidRPr="00F00042">
        <w:rPr>
          <w:rStyle w:val="apple-converted-space"/>
          <w:rFonts w:cs="Times New Roman"/>
          <w:color w:val="000000"/>
        </w:rPr>
        <w:t> </w:t>
      </w:r>
      <w:r w:rsidRPr="00F00042">
        <w:rPr>
          <w:rFonts w:cs="Times New Roman"/>
          <w:color w:val="000000"/>
        </w:rPr>
        <w:t xml:space="preserve">and Vuletin </w:t>
      </w:r>
      <w:r w:rsidRPr="00F00042">
        <w:rPr>
          <w:rFonts w:cs="Times New Roman"/>
        </w:rPr>
        <w:t>(2013).</w:t>
      </w:r>
      <w:r w:rsidR="00A52774">
        <w:rPr>
          <w:rFonts w:cs="Times New Roman"/>
        </w:rPr>
        <w:br/>
      </w:r>
    </w:p>
  </w:footnote>
  <w:footnote w:id="12">
    <w:p w:rsidR="004A37C3" w:rsidRDefault="004A37C3" w:rsidP="004A37C3">
      <w:pPr>
        <w:pStyle w:val="FootnoteText"/>
      </w:pPr>
      <w:r>
        <w:rPr>
          <w:rStyle w:val="FootnoteReference"/>
        </w:rPr>
        <w:footnoteRef/>
      </w:r>
      <w:r>
        <w:t xml:space="preserve"> </w:t>
      </w:r>
      <w:r w:rsidRPr="00486625">
        <w:t>Frankel</w:t>
      </w:r>
      <w:r>
        <w:t xml:space="preserve"> and Schreger</w:t>
      </w:r>
      <w:r w:rsidRPr="00486625">
        <w:t xml:space="preserve"> </w:t>
      </w:r>
      <w:r>
        <w:t>(2013).</w:t>
      </w:r>
      <w:r w:rsidR="00FF4DB0">
        <w:br/>
      </w:r>
    </w:p>
  </w:footnote>
  <w:footnote w:id="13">
    <w:p w:rsidR="004A37C3" w:rsidRPr="00E40C4F" w:rsidRDefault="004A37C3" w:rsidP="004A37C3">
      <w:pPr>
        <w:pStyle w:val="FootnoteText"/>
      </w:pPr>
      <w:r w:rsidRPr="00E40C4F">
        <w:rPr>
          <w:rStyle w:val="FootnoteReference"/>
        </w:rPr>
        <w:footnoteRef/>
      </w:r>
      <w:r w:rsidRPr="00E40C4F">
        <w:t xml:space="preserve"> Frankel (2013).</w:t>
      </w:r>
      <w:r w:rsidRPr="00E40C4F">
        <w:rPr>
          <w:rStyle w:val="apple-converted-space"/>
          <w:color w:val="000000"/>
          <w:shd w:val="clear" w:color="auto" w:fill="FFFFFF"/>
        </w:rPr>
        <w:t> </w:t>
      </w:r>
      <w:r w:rsidRPr="00E40C4F">
        <w:rPr>
          <w:rStyle w:val="apple-converted-space"/>
          <w:color w:val="333333"/>
          <w:shd w:val="clear" w:color="auto" w:fill="FFFFFF"/>
        </w:rPr>
        <w:t xml:space="preserve"> Summarized in</w:t>
      </w:r>
      <w:r>
        <w:rPr>
          <w:rStyle w:val="apple-converted-space"/>
          <w:color w:val="333333"/>
          <w:shd w:val="clear" w:color="auto" w:fill="FFFFFF"/>
        </w:rPr>
        <w:t xml:space="preserve"> “</w:t>
      </w:r>
      <w:r w:rsidRPr="001F2F1B">
        <w:rPr>
          <w:shd w:val="clear" w:color="auto" w:fill="FFFFFF"/>
        </w:rPr>
        <w:t>Chile’s Countercyclical Triumph</w:t>
      </w:r>
      <w:r>
        <w:rPr>
          <w:rStyle w:val="apple-converted-space"/>
          <w:color w:val="000000"/>
          <w:shd w:val="clear" w:color="auto" w:fill="FFFFFF"/>
        </w:rPr>
        <w:t>,”</w:t>
      </w:r>
      <w:r w:rsidRPr="00E40C4F">
        <w:rPr>
          <w:i/>
        </w:rPr>
        <w:t xml:space="preserve"> </w:t>
      </w:r>
      <w:r w:rsidRPr="001F2F1B">
        <w:rPr>
          <w:i/>
          <w:shd w:val="clear" w:color="auto" w:fill="FFFFFF"/>
        </w:rPr>
        <w:t>Foreign Policy</w:t>
      </w:r>
      <w:r>
        <w:rPr>
          <w:color w:val="000000"/>
          <w:shd w:val="clear" w:color="auto" w:fill="FFFFFF"/>
        </w:rPr>
        <w:t>,</w:t>
      </w:r>
      <w:r w:rsidRPr="00E40C4F">
        <w:rPr>
          <w:rStyle w:val="apple-converted-space"/>
          <w:color w:val="000000"/>
          <w:shd w:val="clear" w:color="auto" w:fill="FFFFFF"/>
        </w:rPr>
        <w:t> </w:t>
      </w:r>
      <w:r w:rsidRPr="00E40C4F">
        <w:rPr>
          <w:color w:val="000000"/>
          <w:shd w:val="clear" w:color="auto" w:fill="FFFFFF"/>
        </w:rPr>
        <w:t>June 2012.</w:t>
      </w:r>
      <w:r w:rsidR="00262DEE">
        <w:rPr>
          <w:color w:val="000000"/>
          <w:shd w:val="clear" w:color="auto" w:fill="FFFFFF"/>
        </w:rPr>
        <w:br/>
      </w:r>
    </w:p>
  </w:footnote>
  <w:footnote w:id="14">
    <w:p w:rsidR="004A37C3" w:rsidRDefault="004A37C3" w:rsidP="00262DEE">
      <w:pPr>
        <w:pStyle w:val="FootnoteText"/>
      </w:pPr>
      <w:r>
        <w:rPr>
          <w:rStyle w:val="FootnoteReference"/>
        </w:rPr>
        <w:footnoteRef/>
      </w:r>
      <w:r>
        <w:t xml:space="preserve"> Fraga, Goldfajn, and Minella (2003).</w:t>
      </w:r>
      <w:r w:rsidR="00FF4DB0">
        <w:br/>
      </w:r>
    </w:p>
  </w:footnote>
  <w:footnote w:id="15">
    <w:p w:rsidR="004A37C3" w:rsidRPr="00FF4DB0" w:rsidRDefault="004A37C3" w:rsidP="003D646B">
      <w:pPr>
        <w:pStyle w:val="FootnoteText"/>
      </w:pPr>
      <w:r w:rsidRPr="00FF4DB0">
        <w:rPr>
          <w:rStyle w:val="FootnoteReference"/>
        </w:rPr>
        <w:footnoteRef/>
      </w:r>
      <w:r w:rsidRPr="00FF4DB0">
        <w:t xml:space="preserve"> </w:t>
      </w:r>
      <w:r w:rsidRPr="00FF4DB0">
        <w:rPr>
          <w:rFonts w:cs="Arial"/>
          <w:color w:val="222222"/>
          <w:shd w:val="clear" w:color="auto" w:fill="FFFFFF"/>
        </w:rPr>
        <w:t>Cashin, Céspedes, and Sahay (2004);  Chen and Rogoff (2003)</w:t>
      </w:r>
      <w:r w:rsidR="004456A3">
        <w:rPr>
          <w:rFonts w:cs="Arial"/>
          <w:color w:val="222222"/>
          <w:shd w:val="clear" w:color="auto" w:fill="FFFFFF"/>
        </w:rPr>
        <w:t>; Frankel (2007).</w:t>
      </w:r>
      <w:r w:rsidR="008345CB">
        <w:rPr>
          <w:rFonts w:cs="Arial"/>
          <w:color w:val="222222"/>
          <w:shd w:val="clear" w:color="auto" w:fill="FFFFFF"/>
        </w:rPr>
        <w:t xml:space="preserve"> </w:t>
      </w:r>
      <w:r w:rsidRPr="00FF4DB0">
        <w:rPr>
          <w:rFonts w:cs="Arial"/>
          <w:color w:val="222222"/>
          <w:shd w:val="clear" w:color="auto" w:fill="FFFFFF"/>
        </w:rPr>
        <w:t>.</w:t>
      </w:r>
      <w:r w:rsidR="002438B7">
        <w:rPr>
          <w:rFonts w:cs="Arial"/>
          <w:color w:val="222222"/>
          <w:shd w:val="clear" w:color="auto" w:fill="FFFFFF"/>
        </w:rPr>
        <w:br/>
      </w:r>
    </w:p>
  </w:footnote>
  <w:footnote w:id="16">
    <w:p w:rsidR="004A37C3" w:rsidRPr="00FF4DB0" w:rsidRDefault="004A37C3" w:rsidP="003D646B">
      <w:pPr>
        <w:pStyle w:val="FootnoteText"/>
      </w:pPr>
      <w:r w:rsidRPr="00FF4DB0">
        <w:rPr>
          <w:rStyle w:val="FootnoteReference"/>
        </w:rPr>
        <w:footnoteRef/>
      </w:r>
      <w:r w:rsidRPr="00FF4DB0">
        <w:t xml:space="preserve"> </w:t>
      </w:r>
      <w:r w:rsidR="00FF4DB0">
        <w:t xml:space="preserve"> </w:t>
      </w:r>
      <w:r w:rsidRPr="00FF4DB0">
        <w:t>Frankel (2011, 2012</w:t>
      </w:r>
      <w:r w:rsidR="00581D36">
        <w:t>b</w:t>
      </w:r>
      <w:r w:rsidRPr="00FF4DB0">
        <w:t>).</w:t>
      </w:r>
      <w:r w:rsidR="00FF4DB0">
        <w:br/>
      </w:r>
    </w:p>
  </w:footnote>
  <w:footnote w:id="17">
    <w:p w:rsidR="003D646B" w:rsidRDefault="003D646B">
      <w:pPr>
        <w:pStyle w:val="FootnoteText"/>
      </w:pPr>
      <w:r>
        <w:rPr>
          <w:rStyle w:val="FootnoteReference"/>
        </w:rPr>
        <w:footnoteRef/>
      </w:r>
      <w:r>
        <w:t xml:space="preserve"> Frankel (2008</w:t>
      </w:r>
      <w:r w:rsidR="00361B8B">
        <w:t>, 2017</w:t>
      </w:r>
      <w:r>
        <w:t>)</w:t>
      </w:r>
      <w:r w:rsidR="00361B8B">
        <w:t>, s</w:t>
      </w:r>
      <w:r w:rsidR="00361B8B" w:rsidRPr="001D2F43">
        <w:rPr>
          <w:rFonts w:cs="Arial"/>
          <w:color w:val="1E1E1E"/>
          <w:shd w:val="clear" w:color="auto" w:fill="FFFFFF"/>
        </w:rPr>
        <w:t>ummarized in </w:t>
      </w:r>
      <w:hyperlink r:id="rId3" w:tooltip="6-page summary of &quot;Currency-plus-Commodity Basket Proposal&quot;" w:history="1">
        <w:r w:rsidR="00361B8B" w:rsidRPr="001D2F43">
          <w:rPr>
            <w:rStyle w:val="Hyperlink"/>
            <w:rFonts w:cs="Arial"/>
            <w:color w:val="215990"/>
            <w:shd w:val="clear" w:color="auto" w:fill="FFFFFF"/>
          </w:rPr>
          <w:t>Policy Brief No. 26</w:t>
        </w:r>
      </w:hyperlink>
      <w:r w:rsidR="00361B8B">
        <w:rPr>
          <w:rFonts w:cs="Arial"/>
          <w:color w:val="1E1E1E"/>
          <w:shd w:val="clear" w:color="auto" w:fill="FFFFFF"/>
        </w:rPr>
        <w:t>, June 2017</w:t>
      </w:r>
      <w:r w:rsidR="00361B8B" w:rsidRPr="001D2F43">
        <w:rPr>
          <w:rFonts w:cs="Arial"/>
          <w:color w:val="1E1E1E"/>
          <w:shd w:val="clear" w:color="auto" w:fill="FFFFFF"/>
        </w:rPr>
        <w:t> </w:t>
      </w:r>
      <w:r w:rsidR="00361B8B">
        <w:rPr>
          <w:rFonts w:cs="Arial"/>
          <w:color w:val="1E1E1E"/>
          <w:shd w:val="clear" w:color="auto" w:fill="FFFFFF"/>
        </w:rPr>
        <w:t>(</w:t>
      </w:r>
      <w:r w:rsidR="00361B8B" w:rsidRPr="00361B8B">
        <w:rPr>
          <w:rFonts w:cs="Arial"/>
          <w:shd w:val="clear" w:color="auto" w:fill="FFFFFF"/>
        </w:rPr>
        <w:t>Economic Research Forum</w:t>
      </w:r>
      <w:r w:rsidR="00361B8B">
        <w:rPr>
          <w:rFonts w:cs="Arial"/>
          <w:shd w:val="clear" w:color="auto" w:fill="FFFFFF"/>
        </w:rPr>
        <w:t>,</w:t>
      </w:r>
      <w:r w:rsidR="00361B8B">
        <w:rPr>
          <w:rFonts w:cs="Arial"/>
          <w:color w:val="1E1E1E"/>
          <w:shd w:val="clear" w:color="auto" w:fill="FFFFFF"/>
        </w:rPr>
        <w:t> </w:t>
      </w:r>
      <w:r w:rsidR="00361B8B" w:rsidRPr="001D2F43">
        <w:rPr>
          <w:rFonts w:cs="Arial"/>
          <w:color w:val="1E1E1E"/>
          <w:shd w:val="clear" w:color="auto" w:fill="FFFFFF"/>
        </w:rPr>
        <w:t>Cairo</w:t>
      </w:r>
      <w:r w:rsidR="00361B8B">
        <w:rPr>
          <w:rFonts w:cs="Arial"/>
          <w:color w:val="1E1E1E"/>
          <w:shd w:val="clear" w:color="auto" w:fill="FFFFFF"/>
        </w:rPr>
        <w:t>)</w:t>
      </w:r>
      <w:r>
        <w:t>.</w:t>
      </w:r>
      <w:r w:rsidR="007066A9">
        <w:t xml:space="preserve"> </w:t>
      </w:r>
      <w:r w:rsidR="00A36947">
        <w:t xml:space="preserve"> </w:t>
      </w:r>
      <w:r w:rsidR="007066A9">
        <w:t xml:space="preserve"> </w:t>
      </w:r>
    </w:p>
  </w:footnote>
  <w:footnote w:id="18">
    <w:p w:rsidR="004A37C3" w:rsidRPr="00E504B2" w:rsidRDefault="004A37C3" w:rsidP="00581D36">
      <w:pPr>
        <w:pStyle w:val="FootnoteText"/>
      </w:pPr>
      <w:r>
        <w:rPr>
          <w:rStyle w:val="FootnoteReference"/>
        </w:rPr>
        <w:footnoteRef/>
      </w:r>
      <w:r>
        <w:t xml:space="preserve"> </w:t>
      </w:r>
      <w:r w:rsidR="00970F4D">
        <w:t xml:space="preserve">See </w:t>
      </w:r>
      <w:r w:rsidR="00D976CD">
        <w:t xml:space="preserve">Frankel (2014) and </w:t>
      </w:r>
      <w:r w:rsidR="00D976CD" w:rsidRPr="00116854">
        <w:rPr>
          <w:rFonts w:cs="Arial"/>
          <w:color w:val="1E1E1E"/>
          <w:shd w:val="clear" w:color="auto" w:fill="FFFFFF"/>
        </w:rPr>
        <w:t>Bhandari</w:t>
      </w:r>
      <w:r w:rsidR="00D976CD">
        <w:rPr>
          <w:rFonts w:cs="Arial"/>
          <w:color w:val="1E1E1E"/>
          <w:shd w:val="clear" w:color="auto" w:fill="FFFFFF"/>
        </w:rPr>
        <w:t xml:space="preserve"> </w:t>
      </w:r>
      <w:r w:rsidR="00D976CD" w:rsidRPr="00116854">
        <w:rPr>
          <w:rFonts w:cs="Arial"/>
          <w:color w:val="1E1E1E"/>
          <w:shd w:val="clear" w:color="auto" w:fill="FFFFFF"/>
        </w:rPr>
        <w:t xml:space="preserve">and </w:t>
      </w:r>
      <w:r w:rsidR="00D976CD" w:rsidRPr="00116854">
        <w:t>Frankel</w:t>
      </w:r>
      <w:r w:rsidR="00D976CD">
        <w:t xml:space="preserve"> (</w:t>
      </w:r>
      <w:r w:rsidR="00D976CD" w:rsidRPr="00116854">
        <w:t>2017</w:t>
      </w:r>
      <w:r w:rsidR="00D976CD">
        <w:t>),</w:t>
      </w:r>
      <w:r w:rsidR="00D976CD" w:rsidRPr="00116854">
        <w:rPr>
          <w:rFonts w:cs="Arial"/>
          <w:color w:val="1E1E1E"/>
          <w:shd w:val="clear" w:color="auto" w:fill="FFFFFF"/>
        </w:rPr>
        <w:t xml:space="preserve"> </w:t>
      </w:r>
      <w:r w:rsidRPr="00E504B2">
        <w:rPr>
          <w:color w:val="000000"/>
        </w:rPr>
        <w:t xml:space="preserve">summarized in </w:t>
      </w:r>
      <w:r w:rsidRPr="00E504B2">
        <w:rPr>
          <w:rStyle w:val="Emphasis"/>
          <w:i w:val="0"/>
          <w:iCs w:val="0"/>
          <w:color w:val="000000"/>
        </w:rPr>
        <w:t>"</w:t>
      </w:r>
      <w:r w:rsidRPr="001F2F1B">
        <w:t>Nominal GDP Targeting for Developing Countries</w:t>
      </w:r>
      <w:r w:rsidRPr="00E504B2">
        <w:rPr>
          <w:rStyle w:val="Emphasis"/>
          <w:i w:val="0"/>
          <w:iCs w:val="0"/>
          <w:color w:val="000000"/>
        </w:rPr>
        <w:t>," </w:t>
      </w:r>
      <w:r w:rsidR="00D976CD">
        <w:rPr>
          <w:i/>
          <w:iCs/>
        </w:rPr>
        <w:t>VoxEU,</w:t>
      </w:r>
      <w:r w:rsidRPr="00E504B2">
        <w:rPr>
          <w:rStyle w:val="Emphasis"/>
          <w:i w:val="0"/>
          <w:iCs w:val="0"/>
          <w:color w:val="000000"/>
        </w:rPr>
        <w:t> Aug.</w:t>
      </w:r>
      <w:r w:rsidR="001F2F1B">
        <w:rPr>
          <w:rStyle w:val="Emphasis"/>
          <w:i w:val="0"/>
          <w:iCs w:val="0"/>
          <w:color w:val="000000"/>
        </w:rPr>
        <w:t xml:space="preserve"> </w:t>
      </w:r>
      <w:r w:rsidRPr="00E504B2">
        <w:rPr>
          <w:rStyle w:val="Emphasis"/>
          <w:i w:val="0"/>
          <w:iCs w:val="0"/>
          <w:color w:val="000000"/>
        </w:rPr>
        <w:t>2014.</w:t>
      </w:r>
      <w:r w:rsidR="00EA2ED5">
        <w:rPr>
          <w:rStyle w:val="Emphasis"/>
          <w:i w:val="0"/>
          <w:iCs w:val="0"/>
          <w:color w:val="000000"/>
        </w:rPr>
        <w:t xml:space="preserve"> </w:t>
      </w:r>
      <w:r w:rsidR="00581D36">
        <w:rPr>
          <w:rStyle w:val="Emphasis"/>
          <w:i w:val="0"/>
          <w:iCs w:val="0"/>
          <w:color w:val="000000"/>
        </w:rPr>
        <w:br/>
      </w:r>
    </w:p>
  </w:footnote>
  <w:footnote w:id="19">
    <w:p w:rsidR="004A37C3" w:rsidRDefault="004A37C3" w:rsidP="00FF4DB0">
      <w:pPr>
        <w:pStyle w:val="FootnoteText"/>
      </w:pPr>
      <w:r>
        <w:rPr>
          <w:rStyle w:val="FootnoteReference"/>
        </w:rPr>
        <w:footnoteRef/>
      </w:r>
      <w:r>
        <w:t xml:space="preserve"> </w:t>
      </w:r>
      <w:r w:rsidRPr="009743F2">
        <w:t>During a boom, the country does no</w:t>
      </w:r>
      <w:r>
        <w:t xml:space="preserve">t know in real time whether </w:t>
      </w:r>
      <w:r w:rsidRPr="009743F2">
        <w:t xml:space="preserve">rapid </w:t>
      </w:r>
      <w:r>
        <w:t xml:space="preserve">productivity </w:t>
      </w:r>
      <w:r w:rsidRPr="009743F2">
        <w:t xml:space="preserve">growth is permanent </w:t>
      </w:r>
      <w:r w:rsidR="0079412C">
        <w:t xml:space="preserve">-- </w:t>
      </w:r>
      <w:r w:rsidRPr="009743F2">
        <w:t xml:space="preserve">it is the </w:t>
      </w:r>
      <w:r w:rsidR="001314E5">
        <w:t>next Asian Tiger</w:t>
      </w:r>
      <w:r w:rsidR="0079412C">
        <w:t xml:space="preserve"> --</w:t>
      </w:r>
      <w:r w:rsidR="001314E5">
        <w:t xml:space="preserve"> or temporary -- </w:t>
      </w:r>
      <w:r w:rsidRPr="009743F2">
        <w:t>the result of a transitory fluctuation</w:t>
      </w:r>
      <w:r>
        <w:t>.</w:t>
      </w:r>
      <w:r>
        <w:rPr>
          <w:color w:val="000000"/>
        </w:rPr>
        <w:t xml:space="preserve">  </w:t>
      </w:r>
      <w:r w:rsidR="001314E5">
        <w:rPr>
          <w:color w:val="000000"/>
        </w:rPr>
        <w:t>(</w:t>
      </w:r>
      <w:r w:rsidR="001314E5" w:rsidRPr="001314E5">
        <w:t>Aguiar</w:t>
      </w:r>
      <w:r w:rsidR="001314E5">
        <w:t xml:space="preserve"> and </w:t>
      </w:r>
      <w:r w:rsidR="001314E5" w:rsidRPr="001314E5">
        <w:t>Gopinath, 2007</w:t>
      </w:r>
      <w:r w:rsidR="001314E5">
        <w:t>.</w:t>
      </w:r>
      <w:r w:rsidR="001314E5">
        <w:rPr>
          <w:color w:val="000000"/>
        </w:rPr>
        <w:t>)  B</w:t>
      </w:r>
      <w:r>
        <w:rPr>
          <w:color w:val="000000"/>
        </w:rPr>
        <w:t>ecause exogenous productivity shocks are hard to measure, extreme weather events and commodity price fluctuations are more useful as instrumental variables.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4F35"/>
    <w:multiLevelType w:val="hybridMultilevel"/>
    <w:tmpl w:val="E9389C88"/>
    <w:lvl w:ilvl="0" w:tplc="7A1AD900">
      <w:start w:val="1"/>
      <w:numFmt w:val="bullet"/>
      <w:lvlText w:val="•"/>
      <w:lvlJc w:val="left"/>
      <w:pPr>
        <w:tabs>
          <w:tab w:val="num" w:pos="720"/>
        </w:tabs>
        <w:ind w:left="720" w:hanging="360"/>
      </w:pPr>
      <w:rPr>
        <w:rFonts w:ascii="Arial" w:hAnsi="Arial" w:hint="default"/>
      </w:rPr>
    </w:lvl>
    <w:lvl w:ilvl="1" w:tplc="8CC6F61E">
      <w:start w:val="1009"/>
      <w:numFmt w:val="bullet"/>
      <w:lvlText w:val="–"/>
      <w:lvlJc w:val="left"/>
      <w:pPr>
        <w:tabs>
          <w:tab w:val="num" w:pos="1440"/>
        </w:tabs>
        <w:ind w:left="1440" w:hanging="360"/>
      </w:pPr>
      <w:rPr>
        <w:rFonts w:ascii="Arial" w:hAnsi="Arial" w:hint="default"/>
      </w:rPr>
    </w:lvl>
    <w:lvl w:ilvl="2" w:tplc="9BA44824" w:tentative="1">
      <w:start w:val="1"/>
      <w:numFmt w:val="bullet"/>
      <w:lvlText w:val="•"/>
      <w:lvlJc w:val="left"/>
      <w:pPr>
        <w:tabs>
          <w:tab w:val="num" w:pos="2160"/>
        </w:tabs>
        <w:ind w:left="2160" w:hanging="360"/>
      </w:pPr>
      <w:rPr>
        <w:rFonts w:ascii="Arial" w:hAnsi="Arial" w:hint="default"/>
      </w:rPr>
    </w:lvl>
    <w:lvl w:ilvl="3" w:tplc="EA76381A" w:tentative="1">
      <w:start w:val="1"/>
      <w:numFmt w:val="bullet"/>
      <w:lvlText w:val="•"/>
      <w:lvlJc w:val="left"/>
      <w:pPr>
        <w:tabs>
          <w:tab w:val="num" w:pos="2880"/>
        </w:tabs>
        <w:ind w:left="2880" w:hanging="360"/>
      </w:pPr>
      <w:rPr>
        <w:rFonts w:ascii="Arial" w:hAnsi="Arial" w:hint="default"/>
      </w:rPr>
    </w:lvl>
    <w:lvl w:ilvl="4" w:tplc="B5620084" w:tentative="1">
      <w:start w:val="1"/>
      <w:numFmt w:val="bullet"/>
      <w:lvlText w:val="•"/>
      <w:lvlJc w:val="left"/>
      <w:pPr>
        <w:tabs>
          <w:tab w:val="num" w:pos="3600"/>
        </w:tabs>
        <w:ind w:left="3600" w:hanging="360"/>
      </w:pPr>
      <w:rPr>
        <w:rFonts w:ascii="Arial" w:hAnsi="Arial" w:hint="default"/>
      </w:rPr>
    </w:lvl>
    <w:lvl w:ilvl="5" w:tplc="2E60A406" w:tentative="1">
      <w:start w:val="1"/>
      <w:numFmt w:val="bullet"/>
      <w:lvlText w:val="•"/>
      <w:lvlJc w:val="left"/>
      <w:pPr>
        <w:tabs>
          <w:tab w:val="num" w:pos="4320"/>
        </w:tabs>
        <w:ind w:left="4320" w:hanging="360"/>
      </w:pPr>
      <w:rPr>
        <w:rFonts w:ascii="Arial" w:hAnsi="Arial" w:hint="default"/>
      </w:rPr>
    </w:lvl>
    <w:lvl w:ilvl="6" w:tplc="09EE662C" w:tentative="1">
      <w:start w:val="1"/>
      <w:numFmt w:val="bullet"/>
      <w:lvlText w:val="•"/>
      <w:lvlJc w:val="left"/>
      <w:pPr>
        <w:tabs>
          <w:tab w:val="num" w:pos="5040"/>
        </w:tabs>
        <w:ind w:left="5040" w:hanging="360"/>
      </w:pPr>
      <w:rPr>
        <w:rFonts w:ascii="Arial" w:hAnsi="Arial" w:hint="default"/>
      </w:rPr>
    </w:lvl>
    <w:lvl w:ilvl="7" w:tplc="33E2CD90" w:tentative="1">
      <w:start w:val="1"/>
      <w:numFmt w:val="bullet"/>
      <w:lvlText w:val="•"/>
      <w:lvlJc w:val="left"/>
      <w:pPr>
        <w:tabs>
          <w:tab w:val="num" w:pos="5760"/>
        </w:tabs>
        <w:ind w:left="5760" w:hanging="360"/>
      </w:pPr>
      <w:rPr>
        <w:rFonts w:ascii="Arial" w:hAnsi="Arial" w:hint="default"/>
      </w:rPr>
    </w:lvl>
    <w:lvl w:ilvl="8" w:tplc="AC7A590E" w:tentative="1">
      <w:start w:val="1"/>
      <w:numFmt w:val="bullet"/>
      <w:lvlText w:val="•"/>
      <w:lvlJc w:val="left"/>
      <w:pPr>
        <w:tabs>
          <w:tab w:val="num" w:pos="6480"/>
        </w:tabs>
        <w:ind w:left="6480" w:hanging="360"/>
      </w:pPr>
      <w:rPr>
        <w:rFonts w:ascii="Arial" w:hAnsi="Arial" w:hint="default"/>
      </w:rPr>
    </w:lvl>
  </w:abstractNum>
  <w:abstractNum w:abstractNumId="1">
    <w:nsid w:val="109E2967"/>
    <w:multiLevelType w:val="hybridMultilevel"/>
    <w:tmpl w:val="158E2D3A"/>
    <w:lvl w:ilvl="0" w:tplc="6E646B3C">
      <w:start w:val="1"/>
      <w:numFmt w:val="bullet"/>
      <w:lvlText w:val="•"/>
      <w:lvlJc w:val="left"/>
      <w:pPr>
        <w:tabs>
          <w:tab w:val="num" w:pos="720"/>
        </w:tabs>
        <w:ind w:left="720" w:hanging="360"/>
      </w:pPr>
      <w:rPr>
        <w:rFonts w:ascii="Arial" w:hAnsi="Arial" w:hint="default"/>
      </w:rPr>
    </w:lvl>
    <w:lvl w:ilvl="1" w:tplc="42982B68">
      <w:start w:val="496"/>
      <w:numFmt w:val="bullet"/>
      <w:lvlText w:val="–"/>
      <w:lvlJc w:val="left"/>
      <w:pPr>
        <w:tabs>
          <w:tab w:val="num" w:pos="1440"/>
        </w:tabs>
        <w:ind w:left="1440" w:hanging="360"/>
      </w:pPr>
      <w:rPr>
        <w:rFonts w:ascii="Arial" w:hAnsi="Arial" w:hint="default"/>
      </w:rPr>
    </w:lvl>
    <w:lvl w:ilvl="2" w:tplc="90720960">
      <w:start w:val="496"/>
      <w:numFmt w:val="bullet"/>
      <w:lvlText w:val="•"/>
      <w:lvlJc w:val="left"/>
      <w:pPr>
        <w:tabs>
          <w:tab w:val="num" w:pos="2160"/>
        </w:tabs>
        <w:ind w:left="2160" w:hanging="360"/>
      </w:pPr>
      <w:rPr>
        <w:rFonts w:ascii="Arial" w:hAnsi="Arial" w:hint="default"/>
      </w:rPr>
    </w:lvl>
    <w:lvl w:ilvl="3" w:tplc="08A27E6E" w:tentative="1">
      <w:start w:val="1"/>
      <w:numFmt w:val="bullet"/>
      <w:lvlText w:val="•"/>
      <w:lvlJc w:val="left"/>
      <w:pPr>
        <w:tabs>
          <w:tab w:val="num" w:pos="2880"/>
        </w:tabs>
        <w:ind w:left="2880" w:hanging="360"/>
      </w:pPr>
      <w:rPr>
        <w:rFonts w:ascii="Arial" w:hAnsi="Arial" w:hint="default"/>
      </w:rPr>
    </w:lvl>
    <w:lvl w:ilvl="4" w:tplc="B9AC8174" w:tentative="1">
      <w:start w:val="1"/>
      <w:numFmt w:val="bullet"/>
      <w:lvlText w:val="•"/>
      <w:lvlJc w:val="left"/>
      <w:pPr>
        <w:tabs>
          <w:tab w:val="num" w:pos="3600"/>
        </w:tabs>
        <w:ind w:left="3600" w:hanging="360"/>
      </w:pPr>
      <w:rPr>
        <w:rFonts w:ascii="Arial" w:hAnsi="Arial" w:hint="default"/>
      </w:rPr>
    </w:lvl>
    <w:lvl w:ilvl="5" w:tplc="E1367AA2" w:tentative="1">
      <w:start w:val="1"/>
      <w:numFmt w:val="bullet"/>
      <w:lvlText w:val="•"/>
      <w:lvlJc w:val="left"/>
      <w:pPr>
        <w:tabs>
          <w:tab w:val="num" w:pos="4320"/>
        </w:tabs>
        <w:ind w:left="4320" w:hanging="360"/>
      </w:pPr>
      <w:rPr>
        <w:rFonts w:ascii="Arial" w:hAnsi="Arial" w:hint="default"/>
      </w:rPr>
    </w:lvl>
    <w:lvl w:ilvl="6" w:tplc="2292A8AC" w:tentative="1">
      <w:start w:val="1"/>
      <w:numFmt w:val="bullet"/>
      <w:lvlText w:val="•"/>
      <w:lvlJc w:val="left"/>
      <w:pPr>
        <w:tabs>
          <w:tab w:val="num" w:pos="5040"/>
        </w:tabs>
        <w:ind w:left="5040" w:hanging="360"/>
      </w:pPr>
      <w:rPr>
        <w:rFonts w:ascii="Arial" w:hAnsi="Arial" w:hint="default"/>
      </w:rPr>
    </w:lvl>
    <w:lvl w:ilvl="7" w:tplc="540A8C42" w:tentative="1">
      <w:start w:val="1"/>
      <w:numFmt w:val="bullet"/>
      <w:lvlText w:val="•"/>
      <w:lvlJc w:val="left"/>
      <w:pPr>
        <w:tabs>
          <w:tab w:val="num" w:pos="5760"/>
        </w:tabs>
        <w:ind w:left="5760" w:hanging="360"/>
      </w:pPr>
      <w:rPr>
        <w:rFonts w:ascii="Arial" w:hAnsi="Arial" w:hint="default"/>
      </w:rPr>
    </w:lvl>
    <w:lvl w:ilvl="8" w:tplc="4D14489E" w:tentative="1">
      <w:start w:val="1"/>
      <w:numFmt w:val="bullet"/>
      <w:lvlText w:val="•"/>
      <w:lvlJc w:val="left"/>
      <w:pPr>
        <w:tabs>
          <w:tab w:val="num" w:pos="6480"/>
        </w:tabs>
        <w:ind w:left="6480" w:hanging="360"/>
      </w:pPr>
      <w:rPr>
        <w:rFonts w:ascii="Arial" w:hAnsi="Arial" w:hint="default"/>
      </w:rPr>
    </w:lvl>
  </w:abstractNum>
  <w:abstractNum w:abstractNumId="2">
    <w:nsid w:val="17362CF5"/>
    <w:multiLevelType w:val="hybridMultilevel"/>
    <w:tmpl w:val="CF4085D2"/>
    <w:lvl w:ilvl="0" w:tplc="687E0D7C">
      <w:start w:val="1"/>
      <w:numFmt w:val="bullet"/>
      <w:lvlText w:val="•"/>
      <w:lvlJc w:val="left"/>
      <w:pPr>
        <w:tabs>
          <w:tab w:val="num" w:pos="1080"/>
        </w:tabs>
        <w:ind w:left="1080" w:hanging="360"/>
      </w:pPr>
      <w:rPr>
        <w:rFonts w:ascii="Arial" w:hAnsi="Arial" w:hint="default"/>
      </w:rPr>
    </w:lvl>
    <w:lvl w:ilvl="1" w:tplc="B5C4AD72" w:tentative="1">
      <w:start w:val="1"/>
      <w:numFmt w:val="bullet"/>
      <w:lvlText w:val="•"/>
      <w:lvlJc w:val="left"/>
      <w:pPr>
        <w:tabs>
          <w:tab w:val="num" w:pos="1800"/>
        </w:tabs>
        <w:ind w:left="1800" w:hanging="360"/>
      </w:pPr>
      <w:rPr>
        <w:rFonts w:ascii="Arial" w:hAnsi="Arial" w:hint="default"/>
      </w:rPr>
    </w:lvl>
    <w:lvl w:ilvl="2" w:tplc="9626B6D2" w:tentative="1">
      <w:start w:val="1"/>
      <w:numFmt w:val="bullet"/>
      <w:lvlText w:val="•"/>
      <w:lvlJc w:val="left"/>
      <w:pPr>
        <w:tabs>
          <w:tab w:val="num" w:pos="2520"/>
        </w:tabs>
        <w:ind w:left="2520" w:hanging="360"/>
      </w:pPr>
      <w:rPr>
        <w:rFonts w:ascii="Arial" w:hAnsi="Arial" w:hint="default"/>
      </w:rPr>
    </w:lvl>
    <w:lvl w:ilvl="3" w:tplc="44827A98" w:tentative="1">
      <w:start w:val="1"/>
      <w:numFmt w:val="bullet"/>
      <w:lvlText w:val="•"/>
      <w:lvlJc w:val="left"/>
      <w:pPr>
        <w:tabs>
          <w:tab w:val="num" w:pos="3240"/>
        </w:tabs>
        <w:ind w:left="3240" w:hanging="360"/>
      </w:pPr>
      <w:rPr>
        <w:rFonts w:ascii="Arial" w:hAnsi="Arial" w:hint="default"/>
      </w:rPr>
    </w:lvl>
    <w:lvl w:ilvl="4" w:tplc="A2481A7E" w:tentative="1">
      <w:start w:val="1"/>
      <w:numFmt w:val="bullet"/>
      <w:lvlText w:val="•"/>
      <w:lvlJc w:val="left"/>
      <w:pPr>
        <w:tabs>
          <w:tab w:val="num" w:pos="3960"/>
        </w:tabs>
        <w:ind w:left="3960" w:hanging="360"/>
      </w:pPr>
      <w:rPr>
        <w:rFonts w:ascii="Arial" w:hAnsi="Arial" w:hint="default"/>
      </w:rPr>
    </w:lvl>
    <w:lvl w:ilvl="5" w:tplc="BF76A9B0" w:tentative="1">
      <w:start w:val="1"/>
      <w:numFmt w:val="bullet"/>
      <w:lvlText w:val="•"/>
      <w:lvlJc w:val="left"/>
      <w:pPr>
        <w:tabs>
          <w:tab w:val="num" w:pos="4680"/>
        </w:tabs>
        <w:ind w:left="4680" w:hanging="360"/>
      </w:pPr>
      <w:rPr>
        <w:rFonts w:ascii="Arial" w:hAnsi="Arial" w:hint="default"/>
      </w:rPr>
    </w:lvl>
    <w:lvl w:ilvl="6" w:tplc="6954487C" w:tentative="1">
      <w:start w:val="1"/>
      <w:numFmt w:val="bullet"/>
      <w:lvlText w:val="•"/>
      <w:lvlJc w:val="left"/>
      <w:pPr>
        <w:tabs>
          <w:tab w:val="num" w:pos="5400"/>
        </w:tabs>
        <w:ind w:left="5400" w:hanging="360"/>
      </w:pPr>
      <w:rPr>
        <w:rFonts w:ascii="Arial" w:hAnsi="Arial" w:hint="default"/>
      </w:rPr>
    </w:lvl>
    <w:lvl w:ilvl="7" w:tplc="4BF8DA7A" w:tentative="1">
      <w:start w:val="1"/>
      <w:numFmt w:val="bullet"/>
      <w:lvlText w:val="•"/>
      <w:lvlJc w:val="left"/>
      <w:pPr>
        <w:tabs>
          <w:tab w:val="num" w:pos="6120"/>
        </w:tabs>
        <w:ind w:left="6120" w:hanging="360"/>
      </w:pPr>
      <w:rPr>
        <w:rFonts w:ascii="Arial" w:hAnsi="Arial" w:hint="default"/>
      </w:rPr>
    </w:lvl>
    <w:lvl w:ilvl="8" w:tplc="285EEC30" w:tentative="1">
      <w:start w:val="1"/>
      <w:numFmt w:val="bullet"/>
      <w:lvlText w:val="•"/>
      <w:lvlJc w:val="left"/>
      <w:pPr>
        <w:tabs>
          <w:tab w:val="num" w:pos="6840"/>
        </w:tabs>
        <w:ind w:left="6840" w:hanging="360"/>
      </w:pPr>
      <w:rPr>
        <w:rFonts w:ascii="Arial" w:hAnsi="Arial" w:hint="default"/>
      </w:rPr>
    </w:lvl>
  </w:abstractNum>
  <w:abstractNum w:abstractNumId="3">
    <w:nsid w:val="1B792691"/>
    <w:multiLevelType w:val="hybridMultilevel"/>
    <w:tmpl w:val="743E095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38A13DE4"/>
    <w:multiLevelType w:val="hybridMultilevel"/>
    <w:tmpl w:val="274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103F3"/>
    <w:multiLevelType w:val="hybridMultilevel"/>
    <w:tmpl w:val="5590116A"/>
    <w:lvl w:ilvl="0" w:tplc="93221730">
      <w:start w:val="1"/>
      <w:numFmt w:val="bullet"/>
      <w:lvlText w:val="•"/>
      <w:lvlJc w:val="left"/>
      <w:pPr>
        <w:tabs>
          <w:tab w:val="num" w:pos="720"/>
        </w:tabs>
        <w:ind w:left="720" w:hanging="360"/>
      </w:pPr>
      <w:rPr>
        <w:rFonts w:ascii="Arial" w:hAnsi="Arial" w:hint="default"/>
      </w:rPr>
    </w:lvl>
    <w:lvl w:ilvl="1" w:tplc="0E506C36">
      <w:start w:val="966"/>
      <w:numFmt w:val="bullet"/>
      <w:lvlText w:val="–"/>
      <w:lvlJc w:val="left"/>
      <w:pPr>
        <w:tabs>
          <w:tab w:val="num" w:pos="1440"/>
        </w:tabs>
        <w:ind w:left="1440" w:hanging="360"/>
      </w:pPr>
      <w:rPr>
        <w:rFonts w:ascii="Arial" w:hAnsi="Arial" w:hint="default"/>
      </w:rPr>
    </w:lvl>
    <w:lvl w:ilvl="2" w:tplc="C4DA5F86" w:tentative="1">
      <w:start w:val="1"/>
      <w:numFmt w:val="bullet"/>
      <w:lvlText w:val="•"/>
      <w:lvlJc w:val="left"/>
      <w:pPr>
        <w:tabs>
          <w:tab w:val="num" w:pos="2160"/>
        </w:tabs>
        <w:ind w:left="2160" w:hanging="360"/>
      </w:pPr>
      <w:rPr>
        <w:rFonts w:ascii="Arial" w:hAnsi="Arial" w:hint="default"/>
      </w:rPr>
    </w:lvl>
    <w:lvl w:ilvl="3" w:tplc="1B3AD7DC" w:tentative="1">
      <w:start w:val="1"/>
      <w:numFmt w:val="bullet"/>
      <w:lvlText w:val="•"/>
      <w:lvlJc w:val="left"/>
      <w:pPr>
        <w:tabs>
          <w:tab w:val="num" w:pos="2880"/>
        </w:tabs>
        <w:ind w:left="2880" w:hanging="360"/>
      </w:pPr>
      <w:rPr>
        <w:rFonts w:ascii="Arial" w:hAnsi="Arial" w:hint="default"/>
      </w:rPr>
    </w:lvl>
    <w:lvl w:ilvl="4" w:tplc="9102A306" w:tentative="1">
      <w:start w:val="1"/>
      <w:numFmt w:val="bullet"/>
      <w:lvlText w:val="•"/>
      <w:lvlJc w:val="left"/>
      <w:pPr>
        <w:tabs>
          <w:tab w:val="num" w:pos="3600"/>
        </w:tabs>
        <w:ind w:left="3600" w:hanging="360"/>
      </w:pPr>
      <w:rPr>
        <w:rFonts w:ascii="Arial" w:hAnsi="Arial" w:hint="default"/>
      </w:rPr>
    </w:lvl>
    <w:lvl w:ilvl="5" w:tplc="B8F899F4" w:tentative="1">
      <w:start w:val="1"/>
      <w:numFmt w:val="bullet"/>
      <w:lvlText w:val="•"/>
      <w:lvlJc w:val="left"/>
      <w:pPr>
        <w:tabs>
          <w:tab w:val="num" w:pos="4320"/>
        </w:tabs>
        <w:ind w:left="4320" w:hanging="360"/>
      </w:pPr>
      <w:rPr>
        <w:rFonts w:ascii="Arial" w:hAnsi="Arial" w:hint="default"/>
      </w:rPr>
    </w:lvl>
    <w:lvl w:ilvl="6" w:tplc="BA60A612" w:tentative="1">
      <w:start w:val="1"/>
      <w:numFmt w:val="bullet"/>
      <w:lvlText w:val="•"/>
      <w:lvlJc w:val="left"/>
      <w:pPr>
        <w:tabs>
          <w:tab w:val="num" w:pos="5040"/>
        </w:tabs>
        <w:ind w:left="5040" w:hanging="360"/>
      </w:pPr>
      <w:rPr>
        <w:rFonts w:ascii="Arial" w:hAnsi="Arial" w:hint="default"/>
      </w:rPr>
    </w:lvl>
    <w:lvl w:ilvl="7" w:tplc="8264D608" w:tentative="1">
      <w:start w:val="1"/>
      <w:numFmt w:val="bullet"/>
      <w:lvlText w:val="•"/>
      <w:lvlJc w:val="left"/>
      <w:pPr>
        <w:tabs>
          <w:tab w:val="num" w:pos="5760"/>
        </w:tabs>
        <w:ind w:left="5760" w:hanging="360"/>
      </w:pPr>
      <w:rPr>
        <w:rFonts w:ascii="Arial" w:hAnsi="Arial" w:hint="default"/>
      </w:rPr>
    </w:lvl>
    <w:lvl w:ilvl="8" w:tplc="691CCE42" w:tentative="1">
      <w:start w:val="1"/>
      <w:numFmt w:val="bullet"/>
      <w:lvlText w:val="•"/>
      <w:lvlJc w:val="left"/>
      <w:pPr>
        <w:tabs>
          <w:tab w:val="num" w:pos="6480"/>
        </w:tabs>
        <w:ind w:left="6480" w:hanging="360"/>
      </w:pPr>
      <w:rPr>
        <w:rFonts w:ascii="Arial" w:hAnsi="Arial" w:hint="default"/>
      </w:rPr>
    </w:lvl>
  </w:abstractNum>
  <w:abstractNum w:abstractNumId="6">
    <w:nsid w:val="55F54F11"/>
    <w:multiLevelType w:val="hybridMultilevel"/>
    <w:tmpl w:val="E92A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114CD1"/>
    <w:multiLevelType w:val="hybridMultilevel"/>
    <w:tmpl w:val="48845D10"/>
    <w:lvl w:ilvl="0" w:tplc="B37ABDFE">
      <w:start w:val="1"/>
      <w:numFmt w:val="bullet"/>
      <w:lvlText w:val="•"/>
      <w:lvlJc w:val="left"/>
      <w:pPr>
        <w:tabs>
          <w:tab w:val="num" w:pos="720"/>
        </w:tabs>
        <w:ind w:left="720" w:hanging="360"/>
      </w:pPr>
      <w:rPr>
        <w:rFonts w:ascii="Arial" w:hAnsi="Arial" w:hint="default"/>
      </w:rPr>
    </w:lvl>
    <w:lvl w:ilvl="1" w:tplc="610432DC" w:tentative="1">
      <w:start w:val="1"/>
      <w:numFmt w:val="bullet"/>
      <w:lvlText w:val="•"/>
      <w:lvlJc w:val="left"/>
      <w:pPr>
        <w:tabs>
          <w:tab w:val="num" w:pos="1440"/>
        </w:tabs>
        <w:ind w:left="1440" w:hanging="360"/>
      </w:pPr>
      <w:rPr>
        <w:rFonts w:ascii="Arial" w:hAnsi="Arial" w:hint="default"/>
      </w:rPr>
    </w:lvl>
    <w:lvl w:ilvl="2" w:tplc="9ED87484">
      <w:start w:val="1"/>
      <w:numFmt w:val="bullet"/>
      <w:lvlText w:val="•"/>
      <w:lvlJc w:val="left"/>
      <w:pPr>
        <w:tabs>
          <w:tab w:val="num" w:pos="2160"/>
        </w:tabs>
        <w:ind w:left="2160" w:hanging="360"/>
      </w:pPr>
      <w:rPr>
        <w:rFonts w:ascii="Arial" w:hAnsi="Arial" w:hint="default"/>
      </w:rPr>
    </w:lvl>
    <w:lvl w:ilvl="3" w:tplc="6CA0A5B8" w:tentative="1">
      <w:start w:val="1"/>
      <w:numFmt w:val="bullet"/>
      <w:lvlText w:val="•"/>
      <w:lvlJc w:val="left"/>
      <w:pPr>
        <w:tabs>
          <w:tab w:val="num" w:pos="2880"/>
        </w:tabs>
        <w:ind w:left="2880" w:hanging="360"/>
      </w:pPr>
      <w:rPr>
        <w:rFonts w:ascii="Arial" w:hAnsi="Arial" w:hint="default"/>
      </w:rPr>
    </w:lvl>
    <w:lvl w:ilvl="4" w:tplc="EF32F5C2" w:tentative="1">
      <w:start w:val="1"/>
      <w:numFmt w:val="bullet"/>
      <w:lvlText w:val="•"/>
      <w:lvlJc w:val="left"/>
      <w:pPr>
        <w:tabs>
          <w:tab w:val="num" w:pos="3600"/>
        </w:tabs>
        <w:ind w:left="3600" w:hanging="360"/>
      </w:pPr>
      <w:rPr>
        <w:rFonts w:ascii="Arial" w:hAnsi="Arial" w:hint="default"/>
      </w:rPr>
    </w:lvl>
    <w:lvl w:ilvl="5" w:tplc="BC1E804C" w:tentative="1">
      <w:start w:val="1"/>
      <w:numFmt w:val="bullet"/>
      <w:lvlText w:val="•"/>
      <w:lvlJc w:val="left"/>
      <w:pPr>
        <w:tabs>
          <w:tab w:val="num" w:pos="4320"/>
        </w:tabs>
        <w:ind w:left="4320" w:hanging="360"/>
      </w:pPr>
      <w:rPr>
        <w:rFonts w:ascii="Arial" w:hAnsi="Arial" w:hint="default"/>
      </w:rPr>
    </w:lvl>
    <w:lvl w:ilvl="6" w:tplc="8794AA36" w:tentative="1">
      <w:start w:val="1"/>
      <w:numFmt w:val="bullet"/>
      <w:lvlText w:val="•"/>
      <w:lvlJc w:val="left"/>
      <w:pPr>
        <w:tabs>
          <w:tab w:val="num" w:pos="5040"/>
        </w:tabs>
        <w:ind w:left="5040" w:hanging="360"/>
      </w:pPr>
      <w:rPr>
        <w:rFonts w:ascii="Arial" w:hAnsi="Arial" w:hint="default"/>
      </w:rPr>
    </w:lvl>
    <w:lvl w:ilvl="7" w:tplc="6E2270D4" w:tentative="1">
      <w:start w:val="1"/>
      <w:numFmt w:val="bullet"/>
      <w:lvlText w:val="•"/>
      <w:lvlJc w:val="left"/>
      <w:pPr>
        <w:tabs>
          <w:tab w:val="num" w:pos="5760"/>
        </w:tabs>
        <w:ind w:left="5760" w:hanging="360"/>
      </w:pPr>
      <w:rPr>
        <w:rFonts w:ascii="Arial" w:hAnsi="Arial" w:hint="default"/>
      </w:rPr>
    </w:lvl>
    <w:lvl w:ilvl="8" w:tplc="11A06900" w:tentative="1">
      <w:start w:val="1"/>
      <w:numFmt w:val="bullet"/>
      <w:lvlText w:val="•"/>
      <w:lvlJc w:val="left"/>
      <w:pPr>
        <w:tabs>
          <w:tab w:val="num" w:pos="6480"/>
        </w:tabs>
        <w:ind w:left="6480" w:hanging="360"/>
      </w:pPr>
      <w:rPr>
        <w:rFonts w:ascii="Arial" w:hAnsi="Arial" w:hint="default"/>
      </w:rPr>
    </w:lvl>
  </w:abstractNum>
  <w:abstractNum w:abstractNumId="8">
    <w:nsid w:val="6D425E90"/>
    <w:multiLevelType w:val="hybridMultilevel"/>
    <w:tmpl w:val="2898DA6E"/>
    <w:lvl w:ilvl="0" w:tplc="6588885C">
      <w:start w:val="1"/>
      <w:numFmt w:val="decimal"/>
      <w:lvlText w:val="%1."/>
      <w:lvlJc w:val="left"/>
      <w:pPr>
        <w:tabs>
          <w:tab w:val="num" w:pos="720"/>
        </w:tabs>
        <w:ind w:left="720" w:hanging="360"/>
      </w:pPr>
    </w:lvl>
    <w:lvl w:ilvl="1" w:tplc="C60EBDCC" w:tentative="1">
      <w:start w:val="1"/>
      <w:numFmt w:val="decimal"/>
      <w:lvlText w:val="%2."/>
      <w:lvlJc w:val="left"/>
      <w:pPr>
        <w:tabs>
          <w:tab w:val="num" w:pos="1440"/>
        </w:tabs>
        <w:ind w:left="1440" w:hanging="360"/>
      </w:pPr>
    </w:lvl>
    <w:lvl w:ilvl="2" w:tplc="E83836E4" w:tentative="1">
      <w:start w:val="1"/>
      <w:numFmt w:val="decimal"/>
      <w:lvlText w:val="%3."/>
      <w:lvlJc w:val="left"/>
      <w:pPr>
        <w:tabs>
          <w:tab w:val="num" w:pos="2160"/>
        </w:tabs>
        <w:ind w:left="2160" w:hanging="360"/>
      </w:pPr>
    </w:lvl>
    <w:lvl w:ilvl="3" w:tplc="38961E48" w:tentative="1">
      <w:start w:val="1"/>
      <w:numFmt w:val="decimal"/>
      <w:lvlText w:val="%4."/>
      <w:lvlJc w:val="left"/>
      <w:pPr>
        <w:tabs>
          <w:tab w:val="num" w:pos="2880"/>
        </w:tabs>
        <w:ind w:left="2880" w:hanging="360"/>
      </w:pPr>
    </w:lvl>
    <w:lvl w:ilvl="4" w:tplc="353CB5F6" w:tentative="1">
      <w:start w:val="1"/>
      <w:numFmt w:val="decimal"/>
      <w:lvlText w:val="%5."/>
      <w:lvlJc w:val="left"/>
      <w:pPr>
        <w:tabs>
          <w:tab w:val="num" w:pos="3600"/>
        </w:tabs>
        <w:ind w:left="3600" w:hanging="360"/>
      </w:pPr>
    </w:lvl>
    <w:lvl w:ilvl="5" w:tplc="4C56FE66" w:tentative="1">
      <w:start w:val="1"/>
      <w:numFmt w:val="decimal"/>
      <w:lvlText w:val="%6."/>
      <w:lvlJc w:val="left"/>
      <w:pPr>
        <w:tabs>
          <w:tab w:val="num" w:pos="4320"/>
        </w:tabs>
        <w:ind w:left="4320" w:hanging="360"/>
      </w:pPr>
    </w:lvl>
    <w:lvl w:ilvl="6" w:tplc="26D63CD6" w:tentative="1">
      <w:start w:val="1"/>
      <w:numFmt w:val="decimal"/>
      <w:lvlText w:val="%7."/>
      <w:lvlJc w:val="left"/>
      <w:pPr>
        <w:tabs>
          <w:tab w:val="num" w:pos="5040"/>
        </w:tabs>
        <w:ind w:left="5040" w:hanging="360"/>
      </w:pPr>
    </w:lvl>
    <w:lvl w:ilvl="7" w:tplc="432420B0" w:tentative="1">
      <w:start w:val="1"/>
      <w:numFmt w:val="decimal"/>
      <w:lvlText w:val="%8."/>
      <w:lvlJc w:val="left"/>
      <w:pPr>
        <w:tabs>
          <w:tab w:val="num" w:pos="5760"/>
        </w:tabs>
        <w:ind w:left="5760" w:hanging="360"/>
      </w:pPr>
    </w:lvl>
    <w:lvl w:ilvl="8" w:tplc="5D9E029A" w:tentative="1">
      <w:start w:val="1"/>
      <w:numFmt w:val="decimal"/>
      <w:lvlText w:val="%9."/>
      <w:lvlJc w:val="left"/>
      <w:pPr>
        <w:tabs>
          <w:tab w:val="num" w:pos="6480"/>
        </w:tabs>
        <w:ind w:left="6480" w:hanging="360"/>
      </w:pPr>
    </w:lvl>
  </w:abstractNum>
  <w:abstractNum w:abstractNumId="9">
    <w:nsid w:val="6EC6716D"/>
    <w:multiLevelType w:val="hybridMultilevel"/>
    <w:tmpl w:val="5316D350"/>
    <w:lvl w:ilvl="0" w:tplc="590CA2A0">
      <w:start w:val="1"/>
      <w:numFmt w:val="bullet"/>
      <w:lvlText w:val="–"/>
      <w:lvlJc w:val="left"/>
      <w:pPr>
        <w:tabs>
          <w:tab w:val="num" w:pos="720"/>
        </w:tabs>
        <w:ind w:left="720" w:hanging="360"/>
      </w:pPr>
      <w:rPr>
        <w:rFonts w:ascii="Arial" w:hAnsi="Arial" w:hint="default"/>
      </w:rPr>
    </w:lvl>
    <w:lvl w:ilvl="1" w:tplc="62FCE55C">
      <w:start w:val="1"/>
      <w:numFmt w:val="bullet"/>
      <w:lvlText w:val="–"/>
      <w:lvlJc w:val="left"/>
      <w:pPr>
        <w:tabs>
          <w:tab w:val="num" w:pos="1440"/>
        </w:tabs>
        <w:ind w:left="1440" w:hanging="360"/>
      </w:pPr>
      <w:rPr>
        <w:rFonts w:ascii="Arial" w:hAnsi="Arial" w:hint="default"/>
      </w:rPr>
    </w:lvl>
    <w:lvl w:ilvl="2" w:tplc="AC8E7752" w:tentative="1">
      <w:start w:val="1"/>
      <w:numFmt w:val="bullet"/>
      <w:lvlText w:val="–"/>
      <w:lvlJc w:val="left"/>
      <w:pPr>
        <w:tabs>
          <w:tab w:val="num" w:pos="2160"/>
        </w:tabs>
        <w:ind w:left="2160" w:hanging="360"/>
      </w:pPr>
      <w:rPr>
        <w:rFonts w:ascii="Arial" w:hAnsi="Arial" w:hint="default"/>
      </w:rPr>
    </w:lvl>
    <w:lvl w:ilvl="3" w:tplc="E20EDC56" w:tentative="1">
      <w:start w:val="1"/>
      <w:numFmt w:val="bullet"/>
      <w:lvlText w:val="–"/>
      <w:lvlJc w:val="left"/>
      <w:pPr>
        <w:tabs>
          <w:tab w:val="num" w:pos="2880"/>
        </w:tabs>
        <w:ind w:left="2880" w:hanging="360"/>
      </w:pPr>
      <w:rPr>
        <w:rFonts w:ascii="Arial" w:hAnsi="Arial" w:hint="default"/>
      </w:rPr>
    </w:lvl>
    <w:lvl w:ilvl="4" w:tplc="8A488FC6" w:tentative="1">
      <w:start w:val="1"/>
      <w:numFmt w:val="bullet"/>
      <w:lvlText w:val="–"/>
      <w:lvlJc w:val="left"/>
      <w:pPr>
        <w:tabs>
          <w:tab w:val="num" w:pos="3600"/>
        </w:tabs>
        <w:ind w:left="3600" w:hanging="360"/>
      </w:pPr>
      <w:rPr>
        <w:rFonts w:ascii="Arial" w:hAnsi="Arial" w:hint="default"/>
      </w:rPr>
    </w:lvl>
    <w:lvl w:ilvl="5" w:tplc="3D9CE6BC" w:tentative="1">
      <w:start w:val="1"/>
      <w:numFmt w:val="bullet"/>
      <w:lvlText w:val="–"/>
      <w:lvlJc w:val="left"/>
      <w:pPr>
        <w:tabs>
          <w:tab w:val="num" w:pos="4320"/>
        </w:tabs>
        <w:ind w:left="4320" w:hanging="360"/>
      </w:pPr>
      <w:rPr>
        <w:rFonts w:ascii="Arial" w:hAnsi="Arial" w:hint="default"/>
      </w:rPr>
    </w:lvl>
    <w:lvl w:ilvl="6" w:tplc="5EB81C66" w:tentative="1">
      <w:start w:val="1"/>
      <w:numFmt w:val="bullet"/>
      <w:lvlText w:val="–"/>
      <w:lvlJc w:val="left"/>
      <w:pPr>
        <w:tabs>
          <w:tab w:val="num" w:pos="5040"/>
        </w:tabs>
        <w:ind w:left="5040" w:hanging="360"/>
      </w:pPr>
      <w:rPr>
        <w:rFonts w:ascii="Arial" w:hAnsi="Arial" w:hint="default"/>
      </w:rPr>
    </w:lvl>
    <w:lvl w:ilvl="7" w:tplc="CC9ADAA0" w:tentative="1">
      <w:start w:val="1"/>
      <w:numFmt w:val="bullet"/>
      <w:lvlText w:val="–"/>
      <w:lvlJc w:val="left"/>
      <w:pPr>
        <w:tabs>
          <w:tab w:val="num" w:pos="5760"/>
        </w:tabs>
        <w:ind w:left="5760" w:hanging="360"/>
      </w:pPr>
      <w:rPr>
        <w:rFonts w:ascii="Arial" w:hAnsi="Arial" w:hint="default"/>
      </w:rPr>
    </w:lvl>
    <w:lvl w:ilvl="8" w:tplc="B8DC81AC" w:tentative="1">
      <w:start w:val="1"/>
      <w:numFmt w:val="bullet"/>
      <w:lvlText w:val="–"/>
      <w:lvlJc w:val="left"/>
      <w:pPr>
        <w:tabs>
          <w:tab w:val="num" w:pos="6480"/>
        </w:tabs>
        <w:ind w:left="6480" w:hanging="360"/>
      </w:pPr>
      <w:rPr>
        <w:rFonts w:ascii="Arial" w:hAnsi="Arial" w:hint="default"/>
      </w:rPr>
    </w:lvl>
  </w:abstractNum>
  <w:abstractNum w:abstractNumId="10">
    <w:nsid w:val="72224878"/>
    <w:multiLevelType w:val="hybridMultilevel"/>
    <w:tmpl w:val="DD1A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9D3D98"/>
    <w:multiLevelType w:val="hybridMultilevel"/>
    <w:tmpl w:val="74DC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C388C"/>
    <w:multiLevelType w:val="hybridMultilevel"/>
    <w:tmpl w:val="CA361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4"/>
  </w:num>
  <w:num w:numId="4">
    <w:abstractNumId w:val="9"/>
  </w:num>
  <w:num w:numId="5">
    <w:abstractNumId w:val="2"/>
  </w:num>
  <w:num w:numId="6">
    <w:abstractNumId w:val="6"/>
  </w:num>
  <w:num w:numId="7">
    <w:abstractNumId w:val="10"/>
  </w:num>
  <w:num w:numId="8">
    <w:abstractNumId w:val="3"/>
  </w:num>
  <w:num w:numId="9">
    <w:abstractNumId w:val="1"/>
  </w:num>
  <w:num w:numId="10">
    <w:abstractNumId w:val="8"/>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0D"/>
    <w:rsid w:val="00011B4C"/>
    <w:rsid w:val="000136DA"/>
    <w:rsid w:val="00014870"/>
    <w:rsid w:val="00055748"/>
    <w:rsid w:val="0006057F"/>
    <w:rsid w:val="00062128"/>
    <w:rsid w:val="00071C42"/>
    <w:rsid w:val="000A6649"/>
    <w:rsid w:val="000B070F"/>
    <w:rsid w:val="000C1531"/>
    <w:rsid w:val="000C4BB8"/>
    <w:rsid w:val="000D7054"/>
    <w:rsid w:val="00105DA4"/>
    <w:rsid w:val="001148F5"/>
    <w:rsid w:val="0011586E"/>
    <w:rsid w:val="00116854"/>
    <w:rsid w:val="001314E5"/>
    <w:rsid w:val="00131C91"/>
    <w:rsid w:val="001476CA"/>
    <w:rsid w:val="001568E7"/>
    <w:rsid w:val="00160205"/>
    <w:rsid w:val="00160547"/>
    <w:rsid w:val="0016354A"/>
    <w:rsid w:val="001676EE"/>
    <w:rsid w:val="00174A75"/>
    <w:rsid w:val="001776CB"/>
    <w:rsid w:val="00185F4C"/>
    <w:rsid w:val="00186BD4"/>
    <w:rsid w:val="00193C40"/>
    <w:rsid w:val="001A001A"/>
    <w:rsid w:val="001B10F6"/>
    <w:rsid w:val="001B7F27"/>
    <w:rsid w:val="001C500F"/>
    <w:rsid w:val="001D2F43"/>
    <w:rsid w:val="001F2F1B"/>
    <w:rsid w:val="001F799A"/>
    <w:rsid w:val="001F7ADE"/>
    <w:rsid w:val="002040C1"/>
    <w:rsid w:val="00222C4E"/>
    <w:rsid w:val="002242CA"/>
    <w:rsid w:val="00235ABC"/>
    <w:rsid w:val="0023645D"/>
    <w:rsid w:val="00242DB3"/>
    <w:rsid w:val="002438B7"/>
    <w:rsid w:val="00262DEE"/>
    <w:rsid w:val="00271A81"/>
    <w:rsid w:val="00273A07"/>
    <w:rsid w:val="00281557"/>
    <w:rsid w:val="00290D18"/>
    <w:rsid w:val="002A03BE"/>
    <w:rsid w:val="002A5074"/>
    <w:rsid w:val="002B0741"/>
    <w:rsid w:val="002D5CF9"/>
    <w:rsid w:val="002E2339"/>
    <w:rsid w:val="002E63C6"/>
    <w:rsid w:val="002E79F3"/>
    <w:rsid w:val="002F04E9"/>
    <w:rsid w:val="0032269B"/>
    <w:rsid w:val="00335C6F"/>
    <w:rsid w:val="00335DE6"/>
    <w:rsid w:val="00337E56"/>
    <w:rsid w:val="00343C4A"/>
    <w:rsid w:val="003570D0"/>
    <w:rsid w:val="0036184F"/>
    <w:rsid w:val="00361B8B"/>
    <w:rsid w:val="003704A0"/>
    <w:rsid w:val="00371DFF"/>
    <w:rsid w:val="00385FD2"/>
    <w:rsid w:val="00391B3A"/>
    <w:rsid w:val="003B4809"/>
    <w:rsid w:val="003B4F8B"/>
    <w:rsid w:val="003C634F"/>
    <w:rsid w:val="003C7A12"/>
    <w:rsid w:val="003C7A5E"/>
    <w:rsid w:val="003D646B"/>
    <w:rsid w:val="003F4763"/>
    <w:rsid w:val="003F798F"/>
    <w:rsid w:val="00411961"/>
    <w:rsid w:val="004166C6"/>
    <w:rsid w:val="00430435"/>
    <w:rsid w:val="00434F44"/>
    <w:rsid w:val="004400D4"/>
    <w:rsid w:val="0044094A"/>
    <w:rsid w:val="004456A3"/>
    <w:rsid w:val="00461FD3"/>
    <w:rsid w:val="004701DC"/>
    <w:rsid w:val="00486625"/>
    <w:rsid w:val="004964AB"/>
    <w:rsid w:val="00497731"/>
    <w:rsid w:val="004A37C3"/>
    <w:rsid w:val="004A469C"/>
    <w:rsid w:val="004B4DDB"/>
    <w:rsid w:val="004B6C62"/>
    <w:rsid w:val="004C1F1E"/>
    <w:rsid w:val="004E6837"/>
    <w:rsid w:val="00530082"/>
    <w:rsid w:val="00532266"/>
    <w:rsid w:val="00532850"/>
    <w:rsid w:val="00532915"/>
    <w:rsid w:val="0054005B"/>
    <w:rsid w:val="00570628"/>
    <w:rsid w:val="00581D36"/>
    <w:rsid w:val="0058581F"/>
    <w:rsid w:val="005869E9"/>
    <w:rsid w:val="00586F10"/>
    <w:rsid w:val="00594934"/>
    <w:rsid w:val="005955CD"/>
    <w:rsid w:val="005A6A15"/>
    <w:rsid w:val="005B3F30"/>
    <w:rsid w:val="005C54A9"/>
    <w:rsid w:val="005D310D"/>
    <w:rsid w:val="005E6D9E"/>
    <w:rsid w:val="005F15AF"/>
    <w:rsid w:val="005F36E6"/>
    <w:rsid w:val="0061279D"/>
    <w:rsid w:val="00622F27"/>
    <w:rsid w:val="006430F8"/>
    <w:rsid w:val="006527F0"/>
    <w:rsid w:val="00663BB5"/>
    <w:rsid w:val="006668BD"/>
    <w:rsid w:val="0067352A"/>
    <w:rsid w:val="0068354B"/>
    <w:rsid w:val="006B2393"/>
    <w:rsid w:val="006B5832"/>
    <w:rsid w:val="006C1C2A"/>
    <w:rsid w:val="006C510F"/>
    <w:rsid w:val="006D0215"/>
    <w:rsid w:val="006D5AF5"/>
    <w:rsid w:val="006D6E0C"/>
    <w:rsid w:val="006E3626"/>
    <w:rsid w:val="006E4F7E"/>
    <w:rsid w:val="006E787D"/>
    <w:rsid w:val="00705362"/>
    <w:rsid w:val="007066A9"/>
    <w:rsid w:val="00707C2F"/>
    <w:rsid w:val="00707E5E"/>
    <w:rsid w:val="007154D7"/>
    <w:rsid w:val="0075348A"/>
    <w:rsid w:val="007563A9"/>
    <w:rsid w:val="007716AC"/>
    <w:rsid w:val="00775AE6"/>
    <w:rsid w:val="007839B3"/>
    <w:rsid w:val="007857D2"/>
    <w:rsid w:val="007863DF"/>
    <w:rsid w:val="007936E9"/>
    <w:rsid w:val="0079412C"/>
    <w:rsid w:val="007A5AF7"/>
    <w:rsid w:val="007C531E"/>
    <w:rsid w:val="007C778B"/>
    <w:rsid w:val="007E6799"/>
    <w:rsid w:val="00801A23"/>
    <w:rsid w:val="00803156"/>
    <w:rsid w:val="00825A54"/>
    <w:rsid w:val="008345CB"/>
    <w:rsid w:val="008440BC"/>
    <w:rsid w:val="008464B1"/>
    <w:rsid w:val="008517AB"/>
    <w:rsid w:val="00860D89"/>
    <w:rsid w:val="0087067B"/>
    <w:rsid w:val="00886249"/>
    <w:rsid w:val="008915F8"/>
    <w:rsid w:val="008A0E0D"/>
    <w:rsid w:val="008B20A5"/>
    <w:rsid w:val="008C5590"/>
    <w:rsid w:val="008D0427"/>
    <w:rsid w:val="008F6312"/>
    <w:rsid w:val="00904E51"/>
    <w:rsid w:val="00915875"/>
    <w:rsid w:val="00915BAA"/>
    <w:rsid w:val="009166D7"/>
    <w:rsid w:val="00916F5E"/>
    <w:rsid w:val="00931F84"/>
    <w:rsid w:val="009339AB"/>
    <w:rsid w:val="00957318"/>
    <w:rsid w:val="00965F91"/>
    <w:rsid w:val="009706B3"/>
    <w:rsid w:val="00970F4D"/>
    <w:rsid w:val="009732F1"/>
    <w:rsid w:val="009743F2"/>
    <w:rsid w:val="00977BC0"/>
    <w:rsid w:val="009A7C80"/>
    <w:rsid w:val="009B7C82"/>
    <w:rsid w:val="009E1F2F"/>
    <w:rsid w:val="009E58FC"/>
    <w:rsid w:val="00A14FD3"/>
    <w:rsid w:val="00A17395"/>
    <w:rsid w:val="00A30CB0"/>
    <w:rsid w:val="00A32057"/>
    <w:rsid w:val="00A3233A"/>
    <w:rsid w:val="00A36947"/>
    <w:rsid w:val="00A36C17"/>
    <w:rsid w:val="00A52774"/>
    <w:rsid w:val="00A5654E"/>
    <w:rsid w:val="00A60AF2"/>
    <w:rsid w:val="00A66755"/>
    <w:rsid w:val="00A83D67"/>
    <w:rsid w:val="00AA46B7"/>
    <w:rsid w:val="00AA5EB3"/>
    <w:rsid w:val="00AB3D3C"/>
    <w:rsid w:val="00AB3F40"/>
    <w:rsid w:val="00AB46A3"/>
    <w:rsid w:val="00AC38CF"/>
    <w:rsid w:val="00AD4E42"/>
    <w:rsid w:val="00AD796F"/>
    <w:rsid w:val="00AE5BB9"/>
    <w:rsid w:val="00AF013C"/>
    <w:rsid w:val="00AF1465"/>
    <w:rsid w:val="00AF7402"/>
    <w:rsid w:val="00B027A6"/>
    <w:rsid w:val="00B038B1"/>
    <w:rsid w:val="00B07355"/>
    <w:rsid w:val="00B113BB"/>
    <w:rsid w:val="00B26440"/>
    <w:rsid w:val="00B516BB"/>
    <w:rsid w:val="00B53A60"/>
    <w:rsid w:val="00B5671B"/>
    <w:rsid w:val="00B63485"/>
    <w:rsid w:val="00B6469C"/>
    <w:rsid w:val="00B9278E"/>
    <w:rsid w:val="00B92E56"/>
    <w:rsid w:val="00B92F55"/>
    <w:rsid w:val="00B93290"/>
    <w:rsid w:val="00B95998"/>
    <w:rsid w:val="00B96359"/>
    <w:rsid w:val="00BA357D"/>
    <w:rsid w:val="00BB16BC"/>
    <w:rsid w:val="00BC4122"/>
    <w:rsid w:val="00BC67C7"/>
    <w:rsid w:val="00BD5C17"/>
    <w:rsid w:val="00BD5D4D"/>
    <w:rsid w:val="00BD77BA"/>
    <w:rsid w:val="00BE1811"/>
    <w:rsid w:val="00BF11AD"/>
    <w:rsid w:val="00BF5DB1"/>
    <w:rsid w:val="00C01833"/>
    <w:rsid w:val="00C0536C"/>
    <w:rsid w:val="00C05C49"/>
    <w:rsid w:val="00C06C2C"/>
    <w:rsid w:val="00C143F6"/>
    <w:rsid w:val="00C31080"/>
    <w:rsid w:val="00C3156A"/>
    <w:rsid w:val="00C51602"/>
    <w:rsid w:val="00C57E45"/>
    <w:rsid w:val="00C6263E"/>
    <w:rsid w:val="00C72954"/>
    <w:rsid w:val="00C8275E"/>
    <w:rsid w:val="00C86ED0"/>
    <w:rsid w:val="00CA2BCD"/>
    <w:rsid w:val="00CC4DD0"/>
    <w:rsid w:val="00CD1908"/>
    <w:rsid w:val="00CD1AC3"/>
    <w:rsid w:val="00CE360D"/>
    <w:rsid w:val="00CE3636"/>
    <w:rsid w:val="00CF11BB"/>
    <w:rsid w:val="00D017BB"/>
    <w:rsid w:val="00D64AAF"/>
    <w:rsid w:val="00D755FB"/>
    <w:rsid w:val="00D76B4E"/>
    <w:rsid w:val="00D80591"/>
    <w:rsid w:val="00D8711C"/>
    <w:rsid w:val="00D95EC7"/>
    <w:rsid w:val="00D976CD"/>
    <w:rsid w:val="00DA162F"/>
    <w:rsid w:val="00DC149D"/>
    <w:rsid w:val="00DC1F6D"/>
    <w:rsid w:val="00DF422C"/>
    <w:rsid w:val="00E010F2"/>
    <w:rsid w:val="00E04FC5"/>
    <w:rsid w:val="00E17A79"/>
    <w:rsid w:val="00E37626"/>
    <w:rsid w:val="00E400E5"/>
    <w:rsid w:val="00E40C4F"/>
    <w:rsid w:val="00E46451"/>
    <w:rsid w:val="00E504B2"/>
    <w:rsid w:val="00E5063A"/>
    <w:rsid w:val="00E65CEB"/>
    <w:rsid w:val="00E8154E"/>
    <w:rsid w:val="00E90AEF"/>
    <w:rsid w:val="00EA0EFA"/>
    <w:rsid w:val="00EA2ED5"/>
    <w:rsid w:val="00EC2495"/>
    <w:rsid w:val="00EE4353"/>
    <w:rsid w:val="00EF000E"/>
    <w:rsid w:val="00F00042"/>
    <w:rsid w:val="00F15CEF"/>
    <w:rsid w:val="00F35AA5"/>
    <w:rsid w:val="00F42C1B"/>
    <w:rsid w:val="00F46286"/>
    <w:rsid w:val="00F578D4"/>
    <w:rsid w:val="00F74F96"/>
    <w:rsid w:val="00F76B78"/>
    <w:rsid w:val="00F81676"/>
    <w:rsid w:val="00F9027C"/>
    <w:rsid w:val="00FA13DD"/>
    <w:rsid w:val="00FB3C02"/>
    <w:rsid w:val="00FB6A94"/>
    <w:rsid w:val="00FB6F52"/>
    <w:rsid w:val="00FC5A27"/>
    <w:rsid w:val="00FE6FC2"/>
    <w:rsid w:val="00FF023B"/>
    <w:rsid w:val="00FF4DB0"/>
    <w:rsid w:val="00FF59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406">
      <w:bodyDiv w:val="1"/>
      <w:marLeft w:val="0"/>
      <w:marRight w:val="0"/>
      <w:marTop w:val="0"/>
      <w:marBottom w:val="0"/>
      <w:divBdr>
        <w:top w:val="none" w:sz="0" w:space="0" w:color="auto"/>
        <w:left w:val="none" w:sz="0" w:space="0" w:color="auto"/>
        <w:bottom w:val="none" w:sz="0" w:space="0" w:color="auto"/>
        <w:right w:val="none" w:sz="0" w:space="0" w:color="auto"/>
      </w:divBdr>
    </w:div>
    <w:div w:id="164251266">
      <w:bodyDiv w:val="1"/>
      <w:marLeft w:val="0"/>
      <w:marRight w:val="0"/>
      <w:marTop w:val="0"/>
      <w:marBottom w:val="0"/>
      <w:divBdr>
        <w:top w:val="none" w:sz="0" w:space="0" w:color="auto"/>
        <w:left w:val="none" w:sz="0" w:space="0" w:color="auto"/>
        <w:bottom w:val="none" w:sz="0" w:space="0" w:color="auto"/>
        <w:right w:val="none" w:sz="0" w:space="0" w:color="auto"/>
      </w:divBdr>
    </w:div>
    <w:div w:id="305473201">
      <w:bodyDiv w:val="1"/>
      <w:marLeft w:val="0"/>
      <w:marRight w:val="0"/>
      <w:marTop w:val="0"/>
      <w:marBottom w:val="0"/>
      <w:divBdr>
        <w:top w:val="none" w:sz="0" w:space="0" w:color="auto"/>
        <w:left w:val="none" w:sz="0" w:space="0" w:color="auto"/>
        <w:bottom w:val="none" w:sz="0" w:space="0" w:color="auto"/>
        <w:right w:val="none" w:sz="0" w:space="0" w:color="auto"/>
      </w:divBdr>
      <w:divsChild>
        <w:div w:id="1369649903">
          <w:marLeft w:val="806"/>
          <w:marRight w:val="0"/>
          <w:marTop w:val="192"/>
          <w:marBottom w:val="0"/>
          <w:divBdr>
            <w:top w:val="none" w:sz="0" w:space="0" w:color="auto"/>
            <w:left w:val="none" w:sz="0" w:space="0" w:color="auto"/>
            <w:bottom w:val="none" w:sz="0" w:space="0" w:color="auto"/>
            <w:right w:val="none" w:sz="0" w:space="0" w:color="auto"/>
          </w:divBdr>
        </w:div>
      </w:divsChild>
    </w:div>
    <w:div w:id="436297809">
      <w:bodyDiv w:val="1"/>
      <w:marLeft w:val="0"/>
      <w:marRight w:val="0"/>
      <w:marTop w:val="0"/>
      <w:marBottom w:val="0"/>
      <w:divBdr>
        <w:top w:val="none" w:sz="0" w:space="0" w:color="auto"/>
        <w:left w:val="none" w:sz="0" w:space="0" w:color="auto"/>
        <w:bottom w:val="none" w:sz="0" w:space="0" w:color="auto"/>
        <w:right w:val="none" w:sz="0" w:space="0" w:color="auto"/>
      </w:divBdr>
    </w:div>
    <w:div w:id="547378070">
      <w:bodyDiv w:val="1"/>
      <w:marLeft w:val="0"/>
      <w:marRight w:val="0"/>
      <w:marTop w:val="0"/>
      <w:marBottom w:val="0"/>
      <w:divBdr>
        <w:top w:val="none" w:sz="0" w:space="0" w:color="auto"/>
        <w:left w:val="none" w:sz="0" w:space="0" w:color="auto"/>
        <w:bottom w:val="none" w:sz="0" w:space="0" w:color="auto"/>
        <w:right w:val="none" w:sz="0" w:space="0" w:color="auto"/>
      </w:divBdr>
      <w:divsChild>
        <w:div w:id="83190985">
          <w:marLeft w:val="1800"/>
          <w:marRight w:val="0"/>
          <w:marTop w:val="86"/>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51319604">
      <w:bodyDiv w:val="1"/>
      <w:marLeft w:val="0"/>
      <w:marRight w:val="0"/>
      <w:marTop w:val="0"/>
      <w:marBottom w:val="0"/>
      <w:divBdr>
        <w:top w:val="none" w:sz="0" w:space="0" w:color="auto"/>
        <w:left w:val="none" w:sz="0" w:space="0" w:color="auto"/>
        <w:bottom w:val="none" w:sz="0" w:space="0" w:color="auto"/>
        <w:right w:val="none" w:sz="0" w:space="0" w:color="auto"/>
      </w:divBdr>
      <w:divsChild>
        <w:div w:id="2018992974">
          <w:marLeft w:val="547"/>
          <w:marRight w:val="0"/>
          <w:marTop w:val="120"/>
          <w:marBottom w:val="0"/>
          <w:divBdr>
            <w:top w:val="none" w:sz="0" w:space="0" w:color="auto"/>
            <w:left w:val="none" w:sz="0" w:space="0" w:color="auto"/>
            <w:bottom w:val="none" w:sz="0" w:space="0" w:color="auto"/>
            <w:right w:val="none" w:sz="0" w:space="0" w:color="auto"/>
          </w:divBdr>
        </w:div>
        <w:div w:id="1659725769">
          <w:marLeft w:val="1166"/>
          <w:marRight w:val="0"/>
          <w:marTop w:val="106"/>
          <w:marBottom w:val="0"/>
          <w:divBdr>
            <w:top w:val="none" w:sz="0" w:space="0" w:color="auto"/>
            <w:left w:val="none" w:sz="0" w:space="0" w:color="auto"/>
            <w:bottom w:val="none" w:sz="0" w:space="0" w:color="auto"/>
            <w:right w:val="none" w:sz="0" w:space="0" w:color="auto"/>
          </w:divBdr>
        </w:div>
      </w:divsChild>
    </w:div>
    <w:div w:id="952984079">
      <w:bodyDiv w:val="1"/>
      <w:marLeft w:val="0"/>
      <w:marRight w:val="0"/>
      <w:marTop w:val="0"/>
      <w:marBottom w:val="0"/>
      <w:divBdr>
        <w:top w:val="none" w:sz="0" w:space="0" w:color="auto"/>
        <w:left w:val="none" w:sz="0" w:space="0" w:color="auto"/>
        <w:bottom w:val="none" w:sz="0" w:space="0" w:color="auto"/>
        <w:right w:val="none" w:sz="0" w:space="0" w:color="auto"/>
      </w:divBdr>
      <w:divsChild>
        <w:div w:id="1622612572">
          <w:marLeft w:val="1166"/>
          <w:marRight w:val="0"/>
          <w:marTop w:val="110"/>
          <w:marBottom w:val="0"/>
          <w:divBdr>
            <w:top w:val="none" w:sz="0" w:space="0" w:color="auto"/>
            <w:left w:val="none" w:sz="0" w:space="0" w:color="auto"/>
            <w:bottom w:val="none" w:sz="0" w:space="0" w:color="auto"/>
            <w:right w:val="none" w:sz="0" w:space="0" w:color="auto"/>
          </w:divBdr>
        </w:div>
      </w:divsChild>
    </w:div>
    <w:div w:id="965042165">
      <w:bodyDiv w:val="1"/>
      <w:marLeft w:val="0"/>
      <w:marRight w:val="0"/>
      <w:marTop w:val="0"/>
      <w:marBottom w:val="0"/>
      <w:divBdr>
        <w:top w:val="none" w:sz="0" w:space="0" w:color="auto"/>
        <w:left w:val="none" w:sz="0" w:space="0" w:color="auto"/>
        <w:bottom w:val="none" w:sz="0" w:space="0" w:color="auto"/>
        <w:right w:val="none" w:sz="0" w:space="0" w:color="auto"/>
      </w:divBdr>
      <w:divsChild>
        <w:div w:id="742727443">
          <w:marLeft w:val="547"/>
          <w:marRight w:val="0"/>
          <w:marTop w:val="120"/>
          <w:marBottom w:val="0"/>
          <w:divBdr>
            <w:top w:val="none" w:sz="0" w:space="0" w:color="auto"/>
            <w:left w:val="none" w:sz="0" w:space="0" w:color="auto"/>
            <w:bottom w:val="none" w:sz="0" w:space="0" w:color="auto"/>
            <w:right w:val="none" w:sz="0" w:space="0" w:color="auto"/>
          </w:divBdr>
        </w:div>
        <w:div w:id="242418539">
          <w:marLeft w:val="547"/>
          <w:marRight w:val="0"/>
          <w:marTop w:val="120"/>
          <w:marBottom w:val="0"/>
          <w:divBdr>
            <w:top w:val="none" w:sz="0" w:space="0" w:color="auto"/>
            <w:left w:val="none" w:sz="0" w:space="0" w:color="auto"/>
            <w:bottom w:val="none" w:sz="0" w:space="0" w:color="auto"/>
            <w:right w:val="none" w:sz="0" w:space="0" w:color="auto"/>
          </w:divBdr>
        </w:div>
        <w:div w:id="563417855">
          <w:marLeft w:val="547"/>
          <w:marRight w:val="0"/>
          <w:marTop w:val="120"/>
          <w:marBottom w:val="0"/>
          <w:divBdr>
            <w:top w:val="none" w:sz="0" w:space="0" w:color="auto"/>
            <w:left w:val="none" w:sz="0" w:space="0" w:color="auto"/>
            <w:bottom w:val="none" w:sz="0" w:space="0" w:color="auto"/>
            <w:right w:val="none" w:sz="0" w:space="0" w:color="auto"/>
          </w:divBdr>
        </w:div>
        <w:div w:id="1913077939">
          <w:marLeft w:val="1166"/>
          <w:marRight w:val="0"/>
          <w:marTop w:val="106"/>
          <w:marBottom w:val="0"/>
          <w:divBdr>
            <w:top w:val="none" w:sz="0" w:space="0" w:color="auto"/>
            <w:left w:val="none" w:sz="0" w:space="0" w:color="auto"/>
            <w:bottom w:val="none" w:sz="0" w:space="0" w:color="auto"/>
            <w:right w:val="none" w:sz="0" w:space="0" w:color="auto"/>
          </w:divBdr>
        </w:div>
        <w:div w:id="1007903244">
          <w:marLeft w:val="547"/>
          <w:marRight w:val="0"/>
          <w:marTop w:val="120"/>
          <w:marBottom w:val="0"/>
          <w:divBdr>
            <w:top w:val="none" w:sz="0" w:space="0" w:color="auto"/>
            <w:left w:val="none" w:sz="0" w:space="0" w:color="auto"/>
            <w:bottom w:val="none" w:sz="0" w:space="0" w:color="auto"/>
            <w:right w:val="none" w:sz="0" w:space="0" w:color="auto"/>
          </w:divBdr>
        </w:div>
        <w:div w:id="1936358457">
          <w:marLeft w:val="1166"/>
          <w:marRight w:val="0"/>
          <w:marTop w:val="106"/>
          <w:marBottom w:val="0"/>
          <w:divBdr>
            <w:top w:val="none" w:sz="0" w:space="0" w:color="auto"/>
            <w:left w:val="none" w:sz="0" w:space="0" w:color="auto"/>
            <w:bottom w:val="none" w:sz="0" w:space="0" w:color="auto"/>
            <w:right w:val="none" w:sz="0" w:space="0" w:color="auto"/>
          </w:divBdr>
        </w:div>
        <w:div w:id="187908692">
          <w:marLeft w:val="547"/>
          <w:marRight w:val="0"/>
          <w:marTop w:val="120"/>
          <w:marBottom w:val="0"/>
          <w:divBdr>
            <w:top w:val="none" w:sz="0" w:space="0" w:color="auto"/>
            <w:left w:val="none" w:sz="0" w:space="0" w:color="auto"/>
            <w:bottom w:val="none" w:sz="0" w:space="0" w:color="auto"/>
            <w:right w:val="none" w:sz="0" w:space="0" w:color="auto"/>
          </w:divBdr>
        </w:div>
        <w:div w:id="1559248371">
          <w:marLeft w:val="1166"/>
          <w:marRight w:val="0"/>
          <w:marTop w:val="106"/>
          <w:marBottom w:val="0"/>
          <w:divBdr>
            <w:top w:val="none" w:sz="0" w:space="0" w:color="auto"/>
            <w:left w:val="none" w:sz="0" w:space="0" w:color="auto"/>
            <w:bottom w:val="none" w:sz="0" w:space="0" w:color="auto"/>
            <w:right w:val="none" w:sz="0" w:space="0" w:color="auto"/>
          </w:divBdr>
        </w:div>
      </w:divsChild>
    </w:div>
    <w:div w:id="995766407">
      <w:bodyDiv w:val="1"/>
      <w:marLeft w:val="0"/>
      <w:marRight w:val="0"/>
      <w:marTop w:val="0"/>
      <w:marBottom w:val="0"/>
      <w:divBdr>
        <w:top w:val="none" w:sz="0" w:space="0" w:color="auto"/>
        <w:left w:val="none" w:sz="0" w:space="0" w:color="auto"/>
        <w:bottom w:val="none" w:sz="0" w:space="0" w:color="auto"/>
        <w:right w:val="none" w:sz="0" w:space="0" w:color="auto"/>
      </w:divBdr>
    </w:div>
    <w:div w:id="1128860090">
      <w:bodyDiv w:val="1"/>
      <w:marLeft w:val="0"/>
      <w:marRight w:val="0"/>
      <w:marTop w:val="0"/>
      <w:marBottom w:val="0"/>
      <w:divBdr>
        <w:top w:val="none" w:sz="0" w:space="0" w:color="auto"/>
        <w:left w:val="none" w:sz="0" w:space="0" w:color="auto"/>
        <w:bottom w:val="none" w:sz="0" w:space="0" w:color="auto"/>
        <w:right w:val="none" w:sz="0" w:space="0" w:color="auto"/>
      </w:divBdr>
    </w:div>
    <w:div w:id="1237786616">
      <w:bodyDiv w:val="1"/>
      <w:marLeft w:val="0"/>
      <w:marRight w:val="0"/>
      <w:marTop w:val="0"/>
      <w:marBottom w:val="0"/>
      <w:divBdr>
        <w:top w:val="none" w:sz="0" w:space="0" w:color="auto"/>
        <w:left w:val="none" w:sz="0" w:space="0" w:color="auto"/>
        <w:bottom w:val="none" w:sz="0" w:space="0" w:color="auto"/>
        <w:right w:val="none" w:sz="0" w:space="0" w:color="auto"/>
      </w:divBdr>
    </w:div>
    <w:div w:id="137292021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58">
          <w:marLeft w:val="547"/>
          <w:marRight w:val="0"/>
          <w:marTop w:val="144"/>
          <w:marBottom w:val="0"/>
          <w:divBdr>
            <w:top w:val="none" w:sz="0" w:space="0" w:color="auto"/>
            <w:left w:val="none" w:sz="0" w:space="0" w:color="auto"/>
            <w:bottom w:val="none" w:sz="0" w:space="0" w:color="auto"/>
            <w:right w:val="none" w:sz="0" w:space="0" w:color="auto"/>
          </w:divBdr>
        </w:div>
        <w:div w:id="706024857">
          <w:marLeft w:val="547"/>
          <w:marRight w:val="0"/>
          <w:marTop w:val="134"/>
          <w:marBottom w:val="0"/>
          <w:divBdr>
            <w:top w:val="none" w:sz="0" w:space="0" w:color="auto"/>
            <w:left w:val="none" w:sz="0" w:space="0" w:color="auto"/>
            <w:bottom w:val="none" w:sz="0" w:space="0" w:color="auto"/>
            <w:right w:val="none" w:sz="0" w:space="0" w:color="auto"/>
          </w:divBdr>
        </w:div>
        <w:div w:id="1841696094">
          <w:marLeft w:val="547"/>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948803570">
      <w:bodyDiv w:val="1"/>
      <w:marLeft w:val="0"/>
      <w:marRight w:val="0"/>
      <w:marTop w:val="0"/>
      <w:marBottom w:val="0"/>
      <w:divBdr>
        <w:top w:val="none" w:sz="0" w:space="0" w:color="auto"/>
        <w:left w:val="none" w:sz="0" w:space="0" w:color="auto"/>
        <w:bottom w:val="none" w:sz="0" w:space="0" w:color="auto"/>
        <w:right w:val="none" w:sz="0" w:space="0" w:color="auto"/>
      </w:divBdr>
      <w:divsChild>
        <w:div w:id="1008213088">
          <w:marLeft w:val="547"/>
          <w:marRight w:val="0"/>
          <w:marTop w:val="144"/>
          <w:marBottom w:val="0"/>
          <w:divBdr>
            <w:top w:val="none" w:sz="0" w:space="0" w:color="auto"/>
            <w:left w:val="none" w:sz="0" w:space="0" w:color="auto"/>
            <w:bottom w:val="none" w:sz="0" w:space="0" w:color="auto"/>
            <w:right w:val="none" w:sz="0" w:space="0" w:color="auto"/>
          </w:divBdr>
        </w:div>
        <w:div w:id="878393721">
          <w:marLeft w:val="1166"/>
          <w:marRight w:val="0"/>
          <w:marTop w:val="125"/>
          <w:marBottom w:val="0"/>
          <w:divBdr>
            <w:top w:val="none" w:sz="0" w:space="0" w:color="auto"/>
            <w:left w:val="none" w:sz="0" w:space="0" w:color="auto"/>
            <w:bottom w:val="none" w:sz="0" w:space="0" w:color="auto"/>
            <w:right w:val="none" w:sz="0" w:space="0" w:color="auto"/>
          </w:divBdr>
        </w:div>
        <w:div w:id="581137296">
          <w:marLeft w:val="1166"/>
          <w:marRight w:val="0"/>
          <w:marTop w:val="125"/>
          <w:marBottom w:val="0"/>
          <w:divBdr>
            <w:top w:val="none" w:sz="0" w:space="0" w:color="auto"/>
            <w:left w:val="none" w:sz="0" w:space="0" w:color="auto"/>
            <w:bottom w:val="none" w:sz="0" w:space="0" w:color="auto"/>
            <w:right w:val="none" w:sz="0" w:space="0" w:color="auto"/>
          </w:divBdr>
        </w:div>
        <w:div w:id="123012904">
          <w:marLeft w:val="1800"/>
          <w:marRight w:val="0"/>
          <w:marTop w:val="115"/>
          <w:marBottom w:val="0"/>
          <w:divBdr>
            <w:top w:val="none" w:sz="0" w:space="0" w:color="auto"/>
            <w:left w:val="none" w:sz="0" w:space="0" w:color="auto"/>
            <w:bottom w:val="none" w:sz="0" w:space="0" w:color="auto"/>
            <w:right w:val="none" w:sz="0" w:space="0" w:color="auto"/>
          </w:divBdr>
        </w:div>
        <w:div w:id="720791649">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ks.harvard.edu/fs/jfrankel/MAS-PPT-SpecialFeatureApril2012.doc" TargetMode="External"/><Relationship Id="rId18" Type="http://schemas.openxmlformats.org/officeDocument/2006/relationships/hyperlink" Target="http://www.jstor.org/discover/10.2307/2232044?uid=3739696&amp;uid=2&amp;uid=4&amp;uid=3739256&amp;sid=5625467653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ks.harvard.edu/fs/jfrankel/LAC-PPTw16362.pdf" TargetMode="External"/><Relationship Id="rId17" Type="http://schemas.openxmlformats.org/officeDocument/2006/relationships/hyperlink" Target="https://www.hks.harvard.edu/centers/cid/publications/faculty-working-papers/currency-plus-commodity-basket" TargetMode="External"/><Relationship Id="rId2" Type="http://schemas.openxmlformats.org/officeDocument/2006/relationships/numbering" Target="numbering.xml"/><Relationship Id="rId16" Type="http://schemas.openxmlformats.org/officeDocument/2006/relationships/hyperlink" Target="http://scholar.harvard.edu/frankel/publications/%E2%80%9C-currency-plus-commodity-basket-exchange-rate-proposal-make-monetar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er.org/papers/w20898" TargetMode="External"/><Relationship Id="rId5" Type="http://schemas.openxmlformats.org/officeDocument/2006/relationships/settings" Target="settings.xml"/><Relationship Id="rId15" Type="http://schemas.openxmlformats.org/officeDocument/2006/relationships/hyperlink" Target="http://scholar.harvard.edu/files/frankel/files/ccb_erf_2017march.pdf" TargetMode="External"/><Relationship Id="rId10" Type="http://schemas.openxmlformats.org/officeDocument/2006/relationships/hyperlink" Target="http://www.sciencedirect.com/science/article/pii/S109094431730162" TargetMode="External"/><Relationship Id="rId19" Type="http://schemas.openxmlformats.org/officeDocument/2006/relationships/hyperlink" Target="http://www.columbia.edu/~mw2230/JHole2012final.pdf" TargetMode="External"/><Relationship Id="rId4" Type="http://schemas.microsoft.com/office/2007/relationships/stylesWithEffects" Target="stylesWithEffects.xml"/><Relationship Id="rId9" Type="http://schemas.openxmlformats.org/officeDocument/2006/relationships/hyperlink" Target="https://scholar.harvard.edu/files/frankel/files/ngdpt-_india_researchinecon.pdf" TargetMode="External"/><Relationship Id="rId14" Type="http://schemas.openxmlformats.org/officeDocument/2006/relationships/hyperlink" Target="http://ideas.repec.org/s/chb/bcchec.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rf.org.eg/publications/currency-plus-commodity-basket-a-proposal-for-a-new-exchange-rate-arrangement-for-gulf-oil-exporting-countries/" TargetMode="External"/><Relationship Id="rId2" Type="http://schemas.openxmlformats.org/officeDocument/2006/relationships/hyperlink" Target="javascript:popRef('aff2')" TargetMode="External"/><Relationship Id="rId1" Type="http://schemas.openxmlformats.org/officeDocument/2006/relationships/hyperlink" Target="javascript:popRef('af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9711A-2683-4425-9F2E-8BEDB5D1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4623</Words>
  <Characters>26353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itfsa</cp:lastModifiedBy>
  <cp:revision>2</cp:revision>
  <cp:lastPrinted>2017-10-01T17:00:00Z</cp:lastPrinted>
  <dcterms:created xsi:type="dcterms:W3CDTF">2017-10-03T19:57:00Z</dcterms:created>
  <dcterms:modified xsi:type="dcterms:W3CDTF">2017-10-03T19:57:00Z</dcterms:modified>
</cp:coreProperties>
</file>