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bookmarkStart w:id="0" w:name="_GoBack"/>
      <w:bookmarkEnd w:id="0"/>
      <w:r>
        <w:rPr>
          <w:sz w:val="20"/>
          <w:szCs w:val="20"/>
        </w:rPr>
        <w:t xml:space="preserve">Revised </w:t>
      </w:r>
      <w:r w:rsidR="00FB3C02">
        <w:rPr>
          <w:sz w:val="20"/>
          <w:szCs w:val="20"/>
        </w:rPr>
        <w:t>10/1/2017</w:t>
      </w:r>
      <w:r w:rsidR="00B9278E">
        <w:rPr>
          <w:sz w:val="20"/>
          <w:szCs w:val="20"/>
        </w:rPr>
        <w:t>+</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r w:rsidRPr="00B92E56">
        <w:rPr>
          <w:color w:val="000000"/>
          <w:sz w:val="24"/>
          <w:szCs w:val="24"/>
          <w:shd w:val="clear" w:color="auto" w:fill="FFFFFF"/>
        </w:rPr>
        <w:t xml:space="preserve">Forthcoming in an e-book edited by Rabah Arezki and </w:t>
      </w:r>
      <w:proofErr w:type="spellStart"/>
      <w:r w:rsidRPr="00B92E56">
        <w:rPr>
          <w:color w:val="000000"/>
          <w:sz w:val="24"/>
          <w:szCs w:val="24"/>
          <w:shd w:val="clear" w:color="auto" w:fill="FFFFFF"/>
        </w:rPr>
        <w:t>Raouf</w:t>
      </w:r>
      <w:proofErr w:type="spellEnd"/>
      <w:r w:rsidRPr="00B92E56">
        <w:rPr>
          <w:color w:val="000000"/>
          <w:sz w:val="24"/>
          <w:szCs w:val="24"/>
          <w:shd w:val="clear" w:color="auto" w:fill="FFFFFF"/>
        </w:rPr>
        <w:t xml:space="preserve"> </w:t>
      </w:r>
      <w:proofErr w:type="spellStart"/>
      <w:r w:rsidRPr="00B92E56">
        <w:rPr>
          <w:color w:val="000000"/>
          <w:sz w:val="24"/>
          <w:szCs w:val="24"/>
          <w:shd w:val="clear" w:color="auto" w:fill="FFFFFF"/>
        </w:rPr>
        <w:t>Boucekkine</w:t>
      </w:r>
      <w:proofErr w:type="spellEnd"/>
      <w:r w:rsidRPr="00B92E56">
        <w:rPr>
          <w:color w:val="000000"/>
          <w:sz w:val="24"/>
          <w:szCs w:val="24"/>
          <w:shd w:val="clear" w:color="auto" w:fill="FFFFFF"/>
        </w:rPr>
        <w:t>.</w:t>
      </w:r>
      <w:r>
        <w:rPr>
          <w:color w:val="000000"/>
          <w:sz w:val="24"/>
          <w:szCs w:val="24"/>
          <w:shd w:val="clear" w:color="auto" w:fill="FFFFFF"/>
        </w:rPr>
        <w:t xml:space="preserve">  This chapter is based on 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Bank of Algeria, Algiers, May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w:t>
      </w:r>
      <w:r w:rsidR="0016354A">
        <w:rPr>
          <w:sz w:val="24"/>
          <w:szCs w:val="24"/>
        </w:rPr>
        <w:t>P</w:t>
      </w:r>
      <w:r w:rsidR="00B26440">
        <w:rPr>
          <w:sz w:val="24"/>
          <w:szCs w:val="24"/>
        </w:rPr>
        <w:t xml:space="preserve">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E17A79">
        <w:rPr>
          <w:sz w:val="24"/>
          <w:szCs w:val="24"/>
        </w:rPr>
        <w:t xml:space="preserve"> aim in this short paper</w:t>
      </w:r>
      <w:r w:rsidR="00F578D4" w:rsidRPr="00B96359">
        <w:rPr>
          <w:sz w:val="24"/>
          <w:szCs w:val="24"/>
        </w:rPr>
        <w:t xml:space="preserve">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intertemporal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9E58FC"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B4809" w:rsidRDefault="003B4809" w:rsidP="003B4809">
      <w:pPr>
        <w:ind w:firstLine="720"/>
        <w:rPr>
          <w:sz w:val="24"/>
          <w:szCs w:val="24"/>
        </w:rPr>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Then debt service obligations are matched to revenues: they automatically rise and fall with the value of the exports.   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Pr="00B96359">
        <w:rPr>
          <w:sz w:val="24"/>
          <w:szCs w:val="24"/>
        </w:rPr>
        <w:t>,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r w:rsidR="00B93290" w:rsidRPr="00B96359">
        <w:rPr>
          <w:sz w:val="24"/>
          <w:szCs w:val="24"/>
        </w:rPr>
        <w:t>who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have reason to go long in oil,</w:t>
      </w:r>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w:t>
      </w:r>
      <w:r w:rsidR="009B7C82" w:rsidRPr="00B96359">
        <w:rPr>
          <w:sz w:val="24"/>
          <w:szCs w:val="24"/>
        </w:rPr>
        <w:lastRenderedPageBreak/>
        <w:t>procyclical spending is that government receipts from taxes or royalties rise in booms, and the government cannot resist the temptation or political pressure to increase spending proportionately,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frailties</w:t>
      </w:r>
      <w:r w:rsidR="00C01833" w:rsidRPr="00B96359">
        <w:rPr>
          <w:sz w:val="24"/>
          <w:szCs w:val="24"/>
        </w:rPr>
        <w:t>.</w:t>
      </w:r>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Generally t</w:t>
      </w:r>
      <w:r w:rsidRPr="00B96359">
        <w:rPr>
          <w:sz w:val="24"/>
          <w:szCs w:val="24"/>
        </w:rPr>
        <w:t>hose with “good institutions”</w:t>
      </w:r>
      <w:r w:rsidR="00105DA4" w:rsidRPr="00B96359">
        <w:rPr>
          <w:sz w:val="24"/>
          <w:szCs w:val="24"/>
        </w:rPr>
        <w:t xml:space="preserve"> such as the rule of law.</w:t>
      </w:r>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w:t>
      </w:r>
      <w:r w:rsidR="00705362" w:rsidRPr="00B96359">
        <w:rPr>
          <w:sz w:val="24"/>
          <w:szCs w:val="24"/>
        </w:rPr>
        <w:lastRenderedPageBreak/>
        <w:t>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4"/>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w:t>
      </w:r>
      <w:proofErr w:type="spellStart"/>
      <w:r>
        <w:rPr>
          <w:sz w:val="24"/>
          <w:szCs w:val="24"/>
        </w:rPr>
        <w:t>acyclical</w:t>
      </w:r>
      <w:proofErr w:type="spellEnd"/>
      <w:r>
        <w:rPr>
          <w:sz w:val="24"/>
          <w:szCs w:val="24"/>
        </w:rPr>
        <w:t xml:space="preserve">,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balance of payments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 xml:space="preserve">es to mitigate those problems. </w:t>
      </w:r>
    </w:p>
    <w:p w:rsidR="00957318" w:rsidRPr="00B96359" w:rsidRDefault="007563A9" w:rsidP="00D8711C">
      <w:pPr>
        <w:ind w:firstLine="720"/>
        <w:rPr>
          <w:sz w:val="24"/>
          <w:szCs w:val="24"/>
        </w:rPr>
      </w:pPr>
      <w:r w:rsidRPr="00B96359">
        <w:rPr>
          <w:sz w:val="24"/>
          <w:szCs w:val="24"/>
        </w:rPr>
        <w:lastRenderedPageBreak/>
        <w:t>Examples of “commodity currency” countries include Australia, Canada, Chile, New Zealand and South Africa, among others.</w:t>
      </w:r>
      <w:r w:rsidRPr="00B96359">
        <w:rPr>
          <w:rStyle w:val="FootnoteReference"/>
          <w:sz w:val="24"/>
          <w:szCs w:val="24"/>
        </w:rPr>
        <w:footnoteReference w:id="15"/>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the currency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t>
      </w:r>
      <w:r w:rsidRPr="00B96359">
        <w:rPr>
          <w:sz w:val="24"/>
          <w:szCs w:val="24"/>
        </w:rPr>
        <w:lastRenderedPageBreak/>
        <w:t>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6"/>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7"/>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8"/>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lastRenderedPageBreak/>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greater vulnerability to severe weather events such as droughts and windstorms and other natural disasters such as earthquakes, and bigger productivity shocks.</w:t>
      </w:r>
      <w:r w:rsidR="002A03BE" w:rsidRPr="00B96359">
        <w:rPr>
          <w:rStyle w:val="FootnoteReference"/>
          <w:sz w:val="24"/>
          <w:szCs w:val="24"/>
        </w:rPr>
        <w:footnoteReference w:id="19"/>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r w:rsidR="002E63C6" w:rsidRPr="00B96359">
        <w:rPr>
          <w:sz w:val="24"/>
          <w:szCs w:val="24"/>
        </w:rPr>
        <w:t>.</w:t>
      </w:r>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3704A0" w:rsidRPr="00B96359" w:rsidRDefault="00337E56" w:rsidP="00371DFF">
      <w:pPr>
        <w:rPr>
          <w:b/>
          <w:sz w:val="24"/>
          <w:szCs w:val="24"/>
        </w:rPr>
      </w:pPr>
      <w:r>
        <w:rPr>
          <w:b/>
          <w:sz w:val="24"/>
          <w:szCs w:val="24"/>
        </w:rPr>
        <w:t xml:space="preserve"> </w:t>
      </w:r>
    </w:p>
    <w:p w:rsidR="0023645D" w:rsidRDefault="0023645D">
      <w:pPr>
        <w:rPr>
          <w:b/>
          <w:sz w:val="24"/>
          <w:szCs w:val="24"/>
        </w:rPr>
      </w:pPr>
      <w:r>
        <w:rPr>
          <w:b/>
          <w:sz w:val="24"/>
          <w:szCs w:val="24"/>
        </w:rPr>
        <w:lastRenderedPageBreak/>
        <w:br w:type="page"/>
      </w:r>
    </w:p>
    <w:p w:rsidR="00C3156A" w:rsidRPr="00B96359" w:rsidRDefault="00371DFF" w:rsidP="00371DFF">
      <w:pPr>
        <w:rPr>
          <w:b/>
          <w:sz w:val="24"/>
          <w:szCs w:val="24"/>
        </w:rPr>
      </w:pPr>
      <w:r w:rsidRPr="00B96359">
        <w:rPr>
          <w:b/>
          <w:sz w:val="24"/>
          <w:szCs w:val="24"/>
        </w:rPr>
        <w:lastRenderedPageBreak/>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r w:rsidR="00FC5A27" w:rsidRPr="001314E5">
        <w:rPr>
          <w:rFonts w:asciiTheme="minorHAnsi" w:hAnsiTheme="minorHAnsi"/>
          <w:sz w:val="20"/>
        </w:rPr>
        <w:t xml:space="preserve">Alesina, Alberto, Filipe Campante, and Guido Tabellini, 2008, “Why is Fiscal Policy Often Procyclical?” </w:t>
      </w:r>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proofErr w:type="spell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International Monetary Fund.</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hyperlink r:id="rId9" w:history="1">
        <w:r w:rsidRPr="00116854">
          <w:rPr>
            <w:rStyle w:val="Hyperlink"/>
            <w:rFonts w:cs="Arial"/>
            <w:color w:val="215990"/>
            <w:sz w:val="20"/>
            <w:szCs w:val="20"/>
            <w:shd w:val="clear" w:color="auto" w:fill="FFFFFF"/>
          </w:rPr>
          <w:t>Nominal GDP Targeting for Developing Countries</w:t>
        </w:r>
      </w:hyperlink>
      <w:r w:rsidRPr="00116854">
        <w:rPr>
          <w:rFonts w:cs="Arial"/>
          <w:color w:val="1E1E1E"/>
          <w:sz w:val="20"/>
          <w:szCs w:val="20"/>
          <w:shd w:val="clear" w:color="auto" w:fill="FFFFFF"/>
        </w:rPr>
        <w:t xml:space="preserve">,” </w:t>
      </w:r>
      <w:hyperlink r:id="rId10" w:history="1">
        <w:r w:rsidRPr="00AE5BB9">
          <w:rPr>
            <w:rStyle w:val="Hyperlink"/>
            <w:rFonts w:cs="Arial"/>
            <w:i/>
            <w:sz w:val="20"/>
            <w:szCs w:val="20"/>
            <w:shd w:val="clear" w:color="auto" w:fill="FFFFFF"/>
          </w:rPr>
          <w:t>Research in Economics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00AE5BB9" w:rsidRPr="00AE5BB9">
        <w:rPr>
          <w:rFonts w:ascii="Arial" w:hAnsi="Arial" w:cs="Arial"/>
          <w:color w:val="222222"/>
          <w:shd w:val="clear" w:color="auto" w:fill="FFFFFF"/>
        </w:rPr>
        <w:t xml:space="preserve"> </w:t>
      </w:r>
      <w:r w:rsidR="00AE5BB9" w:rsidRPr="00AE5BB9">
        <w:rPr>
          <w:rFonts w:cs="Arial"/>
          <w:color w:val="222222"/>
          <w:sz w:val="20"/>
          <w:szCs w:val="20"/>
          <w:shd w:val="clear" w:color="auto" w:fill="FFFFFF"/>
        </w:rPr>
        <w:t>vol.71, no. 3, pp. 491-506,</w:t>
      </w:r>
      <w:r w:rsidR="00AE5BB9" w:rsidRPr="00AE5BB9">
        <w:rPr>
          <w:rFonts w:cs="Arial"/>
          <w:color w:val="1E1E1E"/>
          <w:sz w:val="20"/>
          <w:szCs w:val="20"/>
          <w:shd w:val="clear" w:color="auto" w:fill="FFFFFF"/>
        </w:rPr>
        <w:t xml:space="preserve"> </w:t>
      </w:r>
      <w:r w:rsidRPr="00AE5BB9">
        <w:rPr>
          <w:rFonts w:cs="Arial"/>
          <w:color w:val="1E1E1E"/>
          <w:sz w:val="20"/>
          <w:szCs w:val="20"/>
          <w:shd w:val="clear" w:color="auto" w:fill="FFFFFF"/>
        </w:rPr>
        <w:t xml:space="preserve"> September</w:t>
      </w:r>
      <w:r w:rsidRPr="00116854">
        <w:rPr>
          <w:rFonts w:cs="Arial"/>
          <w:color w:val="1E1E1E"/>
          <w:sz w:val="20"/>
          <w:szCs w:val="20"/>
          <w:shd w:val="clear" w:color="auto" w:fill="FFFFFF"/>
        </w:rPr>
        <w:t xml:space="preserve">. </w:t>
      </w:r>
      <w:r w:rsidRPr="00116854">
        <w:rPr>
          <w:sz w:val="20"/>
          <w:szCs w:val="20"/>
        </w:rPr>
        <w:t xml:space="preserve"> </w:t>
      </w:r>
      <w:hyperlink r:id="rId11" w:tooltip="Bhandari &amp; Frankel" w:history="1">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NBER WP 10600.</w:t>
      </w:r>
    </w:p>
    <w:p w:rsidR="00B6469C" w:rsidRPr="0054005B" w:rsidRDefault="00B6469C" w:rsidP="00371DFF">
      <w:pPr>
        <w:rPr>
          <w:sz w:val="20"/>
          <w:szCs w:val="20"/>
        </w:rPr>
      </w:pPr>
      <w:r w:rsidRPr="00B6469C">
        <w:rPr>
          <w:sz w:val="20"/>
          <w:szCs w:val="20"/>
        </w:rPr>
        <w:t xml:space="preserve">Borensztein,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Sandri, 2013, "Macro-hedging for commodity exporters," </w:t>
      </w:r>
      <w:r w:rsidRPr="0054005B">
        <w:rPr>
          <w:i/>
          <w:iCs/>
          <w:sz w:val="20"/>
          <w:szCs w:val="20"/>
        </w:rPr>
        <w:t>Journal of Development E</w:t>
      </w:r>
      <w:r w:rsidRPr="0054005B">
        <w:rPr>
          <w:sz w:val="20"/>
          <w:szCs w:val="20"/>
        </w:rPr>
        <w:t>conomics.</w:t>
      </w:r>
    </w:p>
    <w:p w:rsidR="0054005B" w:rsidRPr="0054005B" w:rsidRDefault="0054005B" w:rsidP="00371DFF">
      <w:pPr>
        <w:rPr>
          <w:sz w:val="20"/>
          <w:szCs w:val="20"/>
        </w:rPr>
      </w:pPr>
      <w:r w:rsidRPr="0054005B">
        <w:rPr>
          <w:rFonts w:cs="Arial"/>
          <w:color w:val="222222"/>
          <w:sz w:val="20"/>
          <w:szCs w:val="20"/>
          <w:shd w:val="clear" w:color="auto" w:fill="FFFFFF"/>
        </w:rPr>
        <w:t>Borensztein,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Default="00A30CB0" w:rsidP="00A30CB0">
      <w:proofErr w:type="spell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w:t>
      </w:r>
      <w:smartTag w:uri="urn:schemas-microsoft-com:office:smarttags" w:element="country-region">
        <w:r w:rsidRPr="00CA60E0">
          <w:rPr>
            <w:sz w:val="20"/>
            <w:szCs w:val="20"/>
          </w:rPr>
          <w:t>Chile</w:t>
        </w:r>
      </w:smartTag>
      <w:r w:rsidRPr="00CA60E0">
        <w:rPr>
          <w:sz w:val="20"/>
          <w:szCs w:val="20"/>
        </w:rPr>
        <w:t xml:space="preserv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w:t>
      </w:r>
      <w:proofErr w:type="spellStart"/>
      <w:r w:rsidRPr="00CA60E0">
        <w:rPr>
          <w:sz w:val="20"/>
          <w:szCs w:val="20"/>
        </w:rPr>
        <w:t>Loayza</w:t>
      </w:r>
      <w:proofErr w:type="spellEnd"/>
      <w:r w:rsidRPr="00CA60E0">
        <w:rPr>
          <w:sz w:val="20"/>
          <w:szCs w:val="20"/>
        </w:rPr>
        <w:t xml:space="preserve"> and </w:t>
      </w:r>
      <w:proofErr w:type="spellStart"/>
      <w:r w:rsidRPr="00CA60E0">
        <w:rPr>
          <w:sz w:val="20"/>
          <w:szCs w:val="20"/>
        </w:rPr>
        <w:t>Raimundo</w:t>
      </w:r>
      <w:proofErr w:type="spellEnd"/>
      <w:r w:rsidRPr="00CA60E0">
        <w:rPr>
          <w:sz w:val="20"/>
          <w:szCs w:val="20"/>
        </w:rPr>
        <w:t xml:space="preserve"> Soto (Central Bank of </w:t>
      </w:r>
      <w:smartTag w:uri="urn:schemas-microsoft-com:office:smarttags" w:element="country-region">
        <w:r w:rsidRPr="00CA60E0">
          <w:rPr>
            <w:sz w:val="20"/>
            <w:szCs w:val="20"/>
          </w:rPr>
          <w:t>Chile</w:t>
        </w:r>
      </w:smartTag>
      <w:r w:rsidRPr="00CA60E0">
        <w:rPr>
          <w:sz w:val="20"/>
          <w:szCs w:val="20"/>
        </w:rPr>
        <w:t xml:space="preserve">: </w:t>
      </w:r>
      <w:smartTag w:uri="urn:schemas-microsoft-com:office:smarttags" w:element="place">
        <w:smartTag w:uri="urn:schemas-microsoft-com:office:smarttags" w:element="City">
          <w:r w:rsidRPr="00CA60E0">
            <w:rPr>
              <w:sz w:val="20"/>
              <w:szCs w:val="20"/>
            </w:rPr>
            <w:t>Santiago</w:t>
          </w:r>
        </w:smartTag>
      </w:smartTag>
      <w:r w:rsidRPr="00CA60E0">
        <w:rPr>
          <w:sz w:val="20"/>
          <w:szCs w:val="20"/>
        </w:rPr>
        <w:t>), pp</w:t>
      </w:r>
      <w:smartTag w:uri="urn:schemas-microsoft-com:office:smarttags" w:element="PersonName">
        <w:r w:rsidRPr="00CA60E0">
          <w:rPr>
            <w:sz w:val="20"/>
            <w:szCs w:val="20"/>
          </w:rPr>
          <w:t>.</w:t>
        </w:r>
      </w:smartTag>
      <w:r w:rsidRPr="00CA60E0">
        <w:rPr>
          <w:sz w:val="20"/>
          <w:szCs w:val="20"/>
        </w:rPr>
        <w:t xml:space="preserve">  377-416.</w:t>
      </w:r>
      <w:r>
        <w:rPr>
          <w:sz w:val="20"/>
          <w:szCs w:val="20"/>
        </w:rP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 "Commodity Currencies and the Real Exchange Rate."</w:t>
      </w:r>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75,  no.1: 239-268.     </w:t>
      </w:r>
    </w:p>
    <w:p w:rsidR="00411961" w:rsidRPr="00B96359" w:rsidRDefault="00411961" w:rsidP="00411961">
      <w:pPr>
        <w:rPr>
          <w:rFonts w:cs="Times New Roman"/>
          <w:sz w:val="20"/>
          <w:szCs w:val="20"/>
        </w:rPr>
      </w:pPr>
      <w:r w:rsidRPr="00B96359">
        <w:rPr>
          <w:rFonts w:cs="Arial"/>
          <w:sz w:val="20"/>
          <w:szCs w:val="20"/>
          <w:shd w:val="clear" w:color="auto" w:fill="FFFFFF"/>
        </w:rPr>
        <w:t>Céspedes, Luis Felipe, and Andrés Velasco, 2012,"Macroeconomic Performance During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lastRenderedPageBreak/>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278E" w:rsidRDefault="007563A9" w:rsidP="007563A9">
      <w:pPr>
        <w:rPr>
          <w:color w:val="000000"/>
          <w:sz w:val="20"/>
          <w:szCs w:val="20"/>
          <w:shd w:val="clear" w:color="auto" w:fill="FFFFFF"/>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w:t>
      </w:r>
      <w:r w:rsidR="00B9278E">
        <w:rPr>
          <w:rFonts w:cs="Times New Roman"/>
          <w:sz w:val="20"/>
          <w:szCs w:val="20"/>
        </w:rPr>
        <w:t>2</w:t>
      </w:r>
      <w:r w:rsidRPr="00B96359">
        <w:rPr>
          <w:rFonts w:cs="Times New Roman"/>
          <w:sz w:val="20"/>
          <w:szCs w:val="20"/>
        </w:rPr>
        <w:t>, “Mexico´s Oil Price Hedging Progra</w:t>
      </w:r>
      <w:r w:rsidR="00B9278E">
        <w:rPr>
          <w:rFonts w:cs="Times New Roman"/>
          <w:sz w:val="20"/>
          <w:szCs w:val="20"/>
        </w:rPr>
        <w:t>m</w:t>
      </w:r>
      <w:r w:rsidR="00B9278E" w:rsidRPr="00A30CB0">
        <w:rPr>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in</w:t>
      </w:r>
      <w:r w:rsidR="00B9278E">
        <w:rPr>
          <w:rStyle w:val="apple-converted-space"/>
          <w:color w:val="000000"/>
          <w:sz w:val="20"/>
          <w:szCs w:val="20"/>
          <w:shd w:val="clear" w:color="auto" w:fill="FFFFFF"/>
        </w:rPr>
        <w:t xml:space="preserve"> </w:t>
      </w:r>
      <w:r w:rsidR="00B9278E" w:rsidRPr="001F2F1B">
        <w:rPr>
          <w:i/>
          <w:iCs/>
          <w:sz w:val="20"/>
          <w:szCs w:val="20"/>
          <w:shd w:val="clear" w:color="auto" w:fill="FFFFFF"/>
        </w:rPr>
        <w:t>Commodity Price Volatility and Inclusive Growth in Low-Income Countries</w:t>
      </w:r>
      <w:r w:rsidR="00B9278E" w:rsidRPr="00A30CB0">
        <w:rPr>
          <w:i/>
          <w:iCs/>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edited by Rabah Arezki, C</w:t>
      </w:r>
      <w:r w:rsidR="00B9278E">
        <w:rPr>
          <w:color w:val="000000"/>
          <w:sz w:val="20"/>
          <w:szCs w:val="20"/>
          <w:shd w:val="clear" w:color="auto" w:fill="FFFFFF"/>
        </w:rPr>
        <w:t>atherine Patillo, Marc Quintyn and</w:t>
      </w:r>
      <w:r w:rsidR="00B9278E" w:rsidRPr="00A30CB0">
        <w:rPr>
          <w:color w:val="000000"/>
          <w:sz w:val="20"/>
          <w:szCs w:val="20"/>
          <w:shd w:val="clear" w:color="auto" w:fill="FFFFFF"/>
        </w:rPr>
        <w:t xml:space="preserve"> Min Zhu (International Monetary Fund: Washington DC)</w:t>
      </w:r>
      <w:r w:rsidR="00B9278E">
        <w:rPr>
          <w:color w:val="000000"/>
          <w:sz w:val="20"/>
          <w:szCs w:val="20"/>
          <w:shd w:val="clear" w:color="auto" w:fill="FFFFFF"/>
        </w:rPr>
        <w:t>.</w:t>
      </w:r>
    </w:p>
    <w:p w:rsidR="00A5654E" w:rsidRPr="00B96359" w:rsidRDefault="00C86ED0" w:rsidP="007563A9">
      <w:pPr>
        <w:rPr>
          <w:bCs/>
          <w:spacing w:val="-3"/>
        </w:rPr>
      </w:pPr>
      <w:r w:rsidRPr="00B96359">
        <w:rPr>
          <w:bCs/>
          <w:spacing w:val="-3"/>
          <w:sz w:val="20"/>
          <w:szCs w:val="20"/>
        </w:rPr>
        <w:t>Edwards, Sebastian, and Eduardo Levy Yeyati, 2005,  “</w:t>
      </w:r>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r w:rsidRPr="00B96359">
        <w:rPr>
          <w:sz w:val="20"/>
          <w:szCs w:val="20"/>
        </w:rPr>
        <w:t>  NBER WP</w:t>
      </w:r>
      <w:r w:rsidRPr="00B96359">
        <w:rPr>
          <w:rStyle w:val="apple-converted-space"/>
          <w:sz w:val="20"/>
          <w:szCs w:val="20"/>
        </w:rPr>
        <w:t> </w:t>
      </w:r>
      <w:hyperlink r:id="rId12" w:history="1">
        <w:r w:rsidRPr="00B96359">
          <w:rPr>
            <w:rStyle w:val="Hyperlink"/>
            <w:color w:val="auto"/>
            <w:sz w:val="20"/>
            <w:szCs w:val="20"/>
          </w:rPr>
          <w:t>16362</w:t>
        </w:r>
      </w:hyperlink>
      <w:r w:rsidRPr="00B96359">
        <w:rPr>
          <w:sz w:val="20"/>
          <w:szCs w:val="20"/>
        </w:rPr>
        <w:t>.</w:t>
      </w:r>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3"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 xml:space="preserve">Luis Felipe </w:t>
      </w:r>
      <w:proofErr w:type="spellStart"/>
      <w:r w:rsidR="006430F8">
        <w:rPr>
          <w:sz w:val="20"/>
          <w:szCs w:val="20"/>
          <w:shd w:val="clear" w:color="auto" w:fill="FFFFFF"/>
          <w:lang w:val="en"/>
        </w:rPr>
        <w:t>Céspedes</w:t>
      </w:r>
      <w:proofErr w:type="spellEnd"/>
      <w:r w:rsidR="006430F8">
        <w:rPr>
          <w:sz w:val="20"/>
          <w:szCs w:val="20"/>
          <w:shd w:val="clear" w:color="auto" w:fill="FFFFFF"/>
          <w:lang w:val="en"/>
        </w:rPr>
        <w:t xml:space="preserve">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r w:rsidRPr="001F2F1B">
        <w:rPr>
          <w:sz w:val="20"/>
          <w:szCs w:val="20"/>
          <w:shd w:val="clear" w:color="auto" w:fill="FFFFFF"/>
        </w:rPr>
        <w:t>Also in Spanish translation</w:t>
      </w:r>
      <w:r w:rsidRPr="00B96359">
        <w:rPr>
          <w:sz w:val="20"/>
          <w:szCs w:val="20"/>
          <w:shd w:val="clear" w:color="auto" w:fill="FFFFFF"/>
        </w:rPr>
        <w:t>,</w:t>
      </w:r>
      <w:hyperlink r:id="rId14"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r w:rsidRPr="00B96359">
        <w:rPr>
          <w:sz w:val="20"/>
          <w:szCs w:val="20"/>
        </w:rPr>
        <w:t>Frankel, Jeffrey, 2014,</w:t>
      </w:r>
      <w:r w:rsidR="00E65CEB">
        <w:rPr>
          <w:sz w:val="20"/>
          <w:szCs w:val="20"/>
        </w:rPr>
        <w:t xml:space="preserve">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w:t>
      </w:r>
      <w:r w:rsidR="00DC149D">
        <w:rPr>
          <w:sz w:val="20"/>
          <w:szCs w:val="20"/>
        </w:rPr>
        <w:t>8</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5"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6" w:history="1">
        <w:r w:rsidR="001D2F43" w:rsidRPr="001D2F43">
          <w:rPr>
            <w:rStyle w:val="Hyperlink"/>
            <w:rFonts w:cs="Arial"/>
            <w:color w:val="215990"/>
            <w:sz w:val="20"/>
            <w:szCs w:val="20"/>
            <w:shd w:val="clear" w:color="auto" w:fill="FFFFFF"/>
          </w:rPr>
          <w:t>A Proposal for Exchange Rates in Oil-Exporting 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w:t>
      </w:r>
      <w:r w:rsidR="00DC149D">
        <w:rPr>
          <w:rStyle w:val="Emphasis"/>
          <w:rFonts w:cs="Arial"/>
          <w:color w:val="1E1E1E"/>
          <w:sz w:val="20"/>
          <w:szCs w:val="20"/>
          <w:shd w:val="clear" w:color="auto" w:fill="FFFFFF"/>
        </w:rPr>
        <w:t>n Resource-Rich Arab Economies,</w:t>
      </w:r>
      <w:r w:rsidR="00DC149D" w:rsidRPr="00DC149D">
        <w:rPr>
          <w:rStyle w:val="Emphasis"/>
          <w:color w:val="1E1E1E"/>
          <w:sz w:val="20"/>
          <w:szCs w:val="20"/>
          <w:shd w:val="clear" w:color="auto" w:fill="FFFFFF"/>
        </w:rPr>
        <w:t xml:space="preserve"> </w:t>
      </w:r>
      <w:r w:rsidR="00DC149D" w:rsidRPr="00DC149D">
        <w:rPr>
          <w:rStyle w:val="Emphasis"/>
          <w:i w:val="0"/>
          <w:color w:val="1E1E1E"/>
          <w:sz w:val="20"/>
          <w:szCs w:val="20"/>
          <w:shd w:val="clear" w:color="auto" w:fill="FFFFFF"/>
        </w:rPr>
        <w:t>edited by</w:t>
      </w:r>
      <w:r w:rsidR="00DC149D" w:rsidRPr="00DC149D">
        <w:rPr>
          <w:rStyle w:val="Emphasis"/>
          <w:color w:val="1E1E1E"/>
          <w:sz w:val="20"/>
          <w:szCs w:val="20"/>
          <w:shd w:val="clear" w:color="auto" w:fill="FFFFFF"/>
        </w:rPr>
        <w:t xml:space="preserve"> </w:t>
      </w:r>
      <w:r w:rsidR="00DC149D" w:rsidRPr="00DC149D">
        <w:rPr>
          <w:rFonts w:cs="Times New Roman"/>
          <w:color w:val="222222"/>
          <w:sz w:val="20"/>
          <w:szCs w:val="20"/>
          <w:shd w:val="clear" w:color="auto" w:fill="FFFFFF"/>
        </w:rPr>
        <w:t xml:space="preserve">Hoda Selim, </w:t>
      </w:r>
      <w:proofErr w:type="spellStart"/>
      <w:r w:rsidR="00DC149D" w:rsidRPr="00DC149D">
        <w:rPr>
          <w:rFonts w:cs="Times New Roman"/>
          <w:color w:val="222222"/>
          <w:sz w:val="20"/>
          <w:szCs w:val="20"/>
          <w:shd w:val="clear" w:color="auto" w:fill="FFFFFF"/>
        </w:rPr>
        <w:t>Kamiar</w:t>
      </w:r>
      <w:proofErr w:type="spellEnd"/>
      <w:r w:rsidR="00DC149D" w:rsidRPr="00DC149D">
        <w:rPr>
          <w:rFonts w:cs="Times New Roman"/>
          <w:color w:val="222222"/>
          <w:sz w:val="20"/>
          <w:szCs w:val="20"/>
          <w:shd w:val="clear" w:color="auto" w:fill="FFFFFF"/>
        </w:rPr>
        <w:t xml:space="preserve"> </w:t>
      </w:r>
      <w:proofErr w:type="spellStart"/>
      <w:r w:rsidR="00DC149D" w:rsidRPr="00DC149D">
        <w:rPr>
          <w:rFonts w:cs="Times New Roman"/>
          <w:color w:val="222222"/>
          <w:sz w:val="20"/>
          <w:szCs w:val="20"/>
          <w:shd w:val="clear" w:color="auto" w:fill="FFFFFF"/>
        </w:rPr>
        <w:t>Mohaddes</w:t>
      </w:r>
      <w:proofErr w:type="spellEnd"/>
      <w:r w:rsidR="00DC149D" w:rsidRPr="00DC149D">
        <w:rPr>
          <w:rFonts w:cs="Times New Roman"/>
          <w:color w:val="222222"/>
          <w:sz w:val="20"/>
          <w:szCs w:val="20"/>
          <w:shd w:val="clear" w:color="auto" w:fill="FFFFFF"/>
        </w:rPr>
        <w:t xml:space="preserve"> and Jeffrey Nugent</w:t>
      </w:r>
      <w:r w:rsidR="00DC149D" w:rsidRPr="00DC149D">
        <w:rPr>
          <w:rFonts w:ascii="Arial" w:hAnsi="Arial" w:cs="Arial"/>
          <w:color w:val="222222"/>
          <w:sz w:val="20"/>
          <w:szCs w:val="20"/>
          <w:shd w:val="clear" w:color="auto" w:fill="FFFFFF"/>
        </w:rPr>
        <w:t xml:space="preserve"> </w:t>
      </w:r>
      <w:r w:rsidR="00DC149D">
        <w:rPr>
          <w:color w:val="1E1E1E"/>
          <w:sz w:val="20"/>
          <w:szCs w:val="20"/>
          <w:shd w:val="clear" w:color="auto" w:fill="FFFFFF"/>
        </w:rPr>
        <w:t>(</w:t>
      </w:r>
      <w:r w:rsidR="001D2F43" w:rsidRPr="001D2F43">
        <w:rPr>
          <w:rFonts w:cs="Arial"/>
          <w:color w:val="1E1E1E"/>
          <w:sz w:val="20"/>
          <w:szCs w:val="20"/>
          <w:shd w:val="clear" w:color="auto" w:fill="FFFFFF"/>
        </w:rPr>
        <w:t>Oxford: Oxford University Press). </w:t>
      </w:r>
      <w:r w:rsidR="00361B8B">
        <w:rPr>
          <w:rFonts w:cs="Arial"/>
          <w:color w:val="1E1E1E"/>
          <w:sz w:val="20"/>
          <w:szCs w:val="20"/>
          <w:shd w:val="clear" w:color="auto" w:fill="FFFFFF"/>
        </w:rPr>
        <w:t xml:space="preserve"> </w:t>
      </w:r>
      <w:hyperlink r:id="rId17" w:history="1">
        <w:r w:rsidR="001D2F43" w:rsidRPr="001D2F43">
          <w:rPr>
            <w:rStyle w:val="Hyperlink"/>
            <w:rFonts w:cs="Arial"/>
            <w:color w:val="215990"/>
            <w:sz w:val="20"/>
            <w:szCs w:val="20"/>
            <w:shd w:val="clear" w:color="auto" w:fill="FFFFFF"/>
          </w:rPr>
          <w:t>CID WP no  333</w:t>
        </w:r>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lastRenderedPageBreak/>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 xml:space="preserve">Natural Resources and the </w:t>
      </w:r>
      <w:proofErr w:type="spellStart"/>
      <w:r w:rsidRPr="001F2F1B">
        <w:rPr>
          <w:bCs/>
          <w:i/>
          <w:sz w:val="20"/>
          <w:szCs w:val="20"/>
        </w:rPr>
        <w:t>Macroe</w:t>
      </w:r>
      <w:r w:rsidR="007716AC" w:rsidRPr="001F2F1B">
        <w:rPr>
          <w:bCs/>
          <w:i/>
          <w:sz w:val="20"/>
          <w:szCs w:val="20"/>
        </w:rPr>
        <w:t>conomy</w:t>
      </w:r>
      <w:proofErr w:type="spellEnd"/>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  pp;.12-44.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8"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
    <w:p w:rsidR="00CE3636" w:rsidRPr="00CE3636" w:rsidRDefault="006C1C2A" w:rsidP="007857D2">
      <w:pPr>
        <w:rPr>
          <w:rFonts w:cs="Arial"/>
          <w:color w:val="222222"/>
          <w:sz w:val="20"/>
          <w:szCs w:val="20"/>
          <w:shd w:val="clear" w:color="auto" w:fill="FFFFFF"/>
        </w:rPr>
      </w:pPr>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r w:rsidRPr="001F2F1B">
        <w:rPr>
          <w:sz w:val="20"/>
          <w:szCs w:val="20"/>
        </w:rPr>
        <w:t>Poelhekke</w:t>
      </w:r>
      <w:proofErr w:type="spellEnd"/>
      <w:r w:rsidRPr="001F2F1B">
        <w:rPr>
          <w:sz w:val="20"/>
          <w:szCs w:val="20"/>
        </w:rPr>
        <w:t xml:space="preserve">, Steven, and, Frederick van der Ploeg, 2007, “Volatility, Financial Development and the Natural Resource Curse,” CEPR DP6513, October.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t>Tobin, James</w:t>
      </w:r>
      <w:r w:rsidR="001F2F1B">
        <w:rPr>
          <w:rFonts w:eastAsia="Times New Roman"/>
          <w:sz w:val="20"/>
          <w:szCs w:val="20"/>
        </w:rPr>
        <w:t>,</w:t>
      </w:r>
      <w:r w:rsidRPr="00B96359">
        <w:rPr>
          <w:rFonts w:eastAsia="Times New Roman"/>
          <w:sz w:val="20"/>
          <w:szCs w:val="20"/>
        </w:rPr>
        <w:t xml:space="preserve">1980,“Stabilization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r>
      <w:r w:rsidR="002A03BE" w:rsidRPr="00B96359">
        <w:rPr>
          <w:sz w:val="20"/>
          <w:szCs w:val="20"/>
        </w:rPr>
        <w:lastRenderedPageBreak/>
        <w:t xml:space="preserve">Woodford, Michael, 2012, </w:t>
      </w:r>
      <w:hyperlink r:id="rId19"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BB8" w:rsidRDefault="000C4BB8" w:rsidP="005F36E6">
      <w:pPr>
        <w:spacing w:after="0" w:line="240" w:lineRule="auto"/>
      </w:pPr>
      <w:r>
        <w:separator/>
      </w:r>
    </w:p>
  </w:endnote>
  <w:endnote w:type="continuationSeparator" w:id="0">
    <w:p w:rsidR="000C4BB8" w:rsidRDefault="000C4BB8"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5955CD">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BB8" w:rsidRDefault="000C4BB8" w:rsidP="005F36E6">
      <w:pPr>
        <w:spacing w:after="0" w:line="240" w:lineRule="auto"/>
      </w:pPr>
      <w:r>
        <w:separator/>
      </w:r>
    </w:p>
  </w:footnote>
  <w:footnote w:type="continuationSeparator" w:id="0">
    <w:p w:rsidR="000C4BB8" w:rsidRDefault="000C4BB8"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r w:rsidR="006C1C2A">
        <w:t xml:space="preserve">) </w:t>
      </w:r>
      <w:r w:rsidRPr="00C3156A">
        <w:t xml:space="preserve"> and </w:t>
      </w:r>
      <w:proofErr w:type="spellStart"/>
      <w:r w:rsidRPr="0006057F">
        <w:t>Poelhekke</w:t>
      </w:r>
      <w:proofErr w:type="spellEnd"/>
      <w:r w:rsidRPr="00C3156A">
        <w:t xml:space="preserve"> and </w:t>
      </w:r>
      <w:r w:rsidRPr="0006057F">
        <w:t>van</w:t>
      </w:r>
      <w:r w:rsidR="0006057F">
        <w:t xml:space="preserve"> </w:t>
      </w:r>
      <w:r w:rsidRPr="00C3156A">
        <w:t>der Ploeg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r w:rsidR="00B6469C">
        <w:t xml:space="preserve">E.g., </w:t>
      </w:r>
      <w:r>
        <w:t>Kaminsky, Reinhart and</w:t>
      </w:r>
      <w:r w:rsidRPr="00663BB5">
        <w:t xml:space="preserve"> </w:t>
      </w:r>
      <w:proofErr w:type="spellStart"/>
      <w:r w:rsidRPr="00663BB5">
        <w:t>Végh</w:t>
      </w:r>
      <w:proofErr w:type="spellEnd"/>
      <w:r w:rsidRPr="00663BB5">
        <w:t xml:space="preserve"> {200</w:t>
      </w:r>
      <w:r>
        <w:t>5</w:t>
      </w:r>
      <w:r w:rsidRPr="00663BB5">
        <w:t>).</w:t>
      </w:r>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E.g., Borensztein, Jeanne and Sandri (2013).</w:t>
      </w:r>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w:t>
      </w:r>
      <w:r w:rsidR="00B9278E">
        <w:rPr>
          <w:rFonts w:cs="Times New Roman"/>
        </w:rPr>
        <w:t>2</w:t>
      </w:r>
      <w:r w:rsidRPr="005B3F30">
        <w:rPr>
          <w:rFonts w:cs="Times New Roman"/>
        </w:rPr>
        <w:t>).</w:t>
      </w:r>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w:t>
      </w:r>
      <w:proofErr w:type="spellStart"/>
      <w:r>
        <w:t>E.g</w:t>
      </w:r>
      <w:proofErr w:type="spellEnd"/>
      <w:r>
        <w:t xml:space="preserve">, Caballero (2002)  or </w:t>
      </w:r>
      <w:proofErr w:type="spellStart"/>
      <w:r>
        <w:t>Attah</w:t>
      </w:r>
      <w:proofErr w:type="spellEnd"/>
      <w:r>
        <w:t>-Mensah (2004).  But 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r w:rsidR="0054005B" w:rsidRPr="0054005B">
        <w:rPr>
          <w:rFonts w:cs="Arial"/>
          <w:color w:val="222222"/>
          <w:shd w:val="clear" w:color="auto" w:fill="FFFFFF"/>
        </w:rPr>
        <w:t>Borensztein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Kaminsky, Reinhart, and Vegh (2004), </w:t>
      </w:r>
      <w:proofErr w:type="spellStart"/>
      <w:r w:rsidRPr="00F00042">
        <w:rPr>
          <w:sz w:val="20"/>
          <w:szCs w:val="20"/>
        </w:rPr>
        <w:t>Talvi</w:t>
      </w:r>
      <w:proofErr w:type="spellEnd"/>
      <w:r w:rsidRPr="00F00042">
        <w:rPr>
          <w:sz w:val="20"/>
          <w:szCs w:val="20"/>
        </w:rPr>
        <w:t xml:space="preserve"> and </w:t>
      </w:r>
      <w:proofErr w:type="spellStart"/>
      <w:r w:rsidRPr="00F00042">
        <w:rPr>
          <w:sz w:val="20"/>
          <w:szCs w:val="20"/>
        </w:rPr>
        <w:t>Végh</w:t>
      </w:r>
      <w:bookmarkStart w:id="1" w:name="bcor1"/>
      <w:bookmarkEnd w:id="1"/>
      <w:proofErr w:type="spellEnd"/>
      <w:r w:rsidRPr="00F00042">
        <w:rPr>
          <w:sz w:val="20"/>
          <w:szCs w:val="20"/>
        </w:rPr>
        <w:t xml:space="preserve">  (2005),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r w:rsidR="00262DEE" w:rsidRPr="00262DEE">
        <w:rPr>
          <w:sz w:val="20"/>
          <w:szCs w:val="20"/>
        </w:rPr>
        <w:t>.</w:t>
      </w:r>
    </w:p>
  </w:footnote>
  <w:footnote w:id="10">
    <w:p w:rsidR="009B7C82" w:rsidRPr="00F00042" w:rsidRDefault="009B7C82" w:rsidP="009B7C82">
      <w:pPr>
        <w:pStyle w:val="FootnoteText"/>
      </w:pPr>
      <w:r w:rsidRPr="00F00042">
        <w:rPr>
          <w:rStyle w:val="FootnoteReference"/>
        </w:rPr>
        <w:footnoteRef/>
      </w:r>
      <w:r w:rsidRPr="00F00042">
        <w:t xml:space="preserve">  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r w:rsidR="00A52774">
        <w:rPr>
          <w:rFonts w:cs="Times New Roman"/>
        </w:rPr>
        <w:br/>
      </w:r>
    </w:p>
  </w:footnote>
  <w:footnote w:id="12">
    <w:p w:rsidR="004A37C3" w:rsidRDefault="004A37C3" w:rsidP="004A37C3">
      <w:pPr>
        <w:pStyle w:val="FootnoteText"/>
      </w:pPr>
      <w:r>
        <w:rPr>
          <w:rStyle w:val="FootnoteReference"/>
        </w:rPr>
        <w:footnoteRef/>
      </w:r>
      <w:r>
        <w:t xml:space="preserve"> </w:t>
      </w:r>
      <w:r w:rsidRPr="00486625">
        <w:t>Frankel</w:t>
      </w:r>
      <w:r>
        <w:t xml:space="preserve"> and Schreger</w:t>
      </w:r>
      <w:r w:rsidRPr="00486625">
        <w:t xml:space="preserve"> </w:t>
      </w:r>
      <w:r>
        <w:t>(2013).</w:t>
      </w:r>
      <w:r w:rsidR="00FF4DB0">
        <w:br/>
      </w:r>
    </w:p>
  </w:footnote>
  <w:footnote w:id="13">
    <w:p w:rsidR="004A37C3" w:rsidRPr="00E40C4F" w:rsidRDefault="004A37C3" w:rsidP="004A37C3">
      <w:pPr>
        <w:pStyle w:val="FootnoteText"/>
      </w:pPr>
      <w:r w:rsidRPr="00E40C4F">
        <w:rPr>
          <w:rStyle w:val="FootnoteReference"/>
        </w:rPr>
        <w:footnoteRef/>
      </w:r>
      <w:r w:rsidRPr="00E40C4F">
        <w:t xml:space="preserve"> Frankel (2013).</w:t>
      </w:r>
      <w:r w:rsidRPr="00E40C4F">
        <w:rPr>
          <w:rStyle w:val="apple-converted-space"/>
          <w:color w:val="000000"/>
          <w:shd w:val="clear" w:color="auto" w:fill="FFFFFF"/>
        </w:rPr>
        <w:t> </w:t>
      </w:r>
      <w:r w:rsidRPr="00E40C4F">
        <w:rPr>
          <w:rStyle w:val="apple-converted-space"/>
          <w:color w:val="333333"/>
          <w:shd w:val="clear" w:color="auto" w:fill="FFFFFF"/>
        </w:rPr>
        <w:t xml:space="preserve"> 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r w:rsidR="00262DEE">
        <w:rPr>
          <w:color w:val="000000"/>
          <w:shd w:val="clear" w:color="auto" w:fill="FFFFFF"/>
        </w:rPr>
        <w:br/>
      </w:r>
    </w:p>
  </w:footnote>
  <w:footnote w:id="14">
    <w:p w:rsidR="004A37C3" w:rsidRDefault="004A37C3" w:rsidP="00262DEE">
      <w:pPr>
        <w:pStyle w:val="FootnoteText"/>
      </w:pPr>
      <w:r>
        <w:rPr>
          <w:rStyle w:val="FootnoteReference"/>
        </w:rPr>
        <w:footnoteRef/>
      </w:r>
      <w:r>
        <w:t xml:space="preserve"> Fraga, Goldfajn, and Minella (2003).</w:t>
      </w:r>
      <w:r w:rsidR="00FF4DB0">
        <w:br/>
      </w:r>
    </w:p>
  </w:footnote>
  <w:footnote w:id="15">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  Chen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6">
    <w:p w:rsidR="004A37C3" w:rsidRPr="00FF4DB0" w:rsidRDefault="004A37C3" w:rsidP="003D646B">
      <w:pPr>
        <w:pStyle w:val="FootnoteText"/>
      </w:pPr>
      <w:r w:rsidRPr="00FF4DB0">
        <w:rPr>
          <w:rStyle w:val="FootnoteReference"/>
        </w:rPr>
        <w:footnoteRef/>
      </w:r>
      <w:r w:rsidRPr="00FF4DB0">
        <w:t xml:space="preserve"> </w:t>
      </w:r>
      <w:r w:rsidR="00FF4DB0">
        <w:t xml:space="preserve"> </w:t>
      </w:r>
      <w:r w:rsidRPr="00FF4DB0">
        <w:t>Frankel (2011, 2012</w:t>
      </w:r>
      <w:r w:rsidR="00581D36">
        <w:t>b</w:t>
      </w:r>
      <w:r w:rsidRPr="00FF4DB0">
        <w:t>).</w:t>
      </w:r>
      <w:r w:rsidR="00FF4DB0">
        <w:br/>
      </w:r>
    </w:p>
  </w:footnote>
  <w:footnote w:id="17">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8">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9">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C1531"/>
    <w:rsid w:val="000C4BB8"/>
    <w:rsid w:val="000D7054"/>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2269B"/>
    <w:rsid w:val="00335C6F"/>
    <w:rsid w:val="00335DE6"/>
    <w:rsid w:val="00337E56"/>
    <w:rsid w:val="00343C4A"/>
    <w:rsid w:val="003570D0"/>
    <w:rsid w:val="0036184F"/>
    <w:rsid w:val="00361B8B"/>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70628"/>
    <w:rsid w:val="00581D36"/>
    <w:rsid w:val="0058581F"/>
    <w:rsid w:val="005869E9"/>
    <w:rsid w:val="00586F10"/>
    <w:rsid w:val="00594934"/>
    <w:rsid w:val="005955CD"/>
    <w:rsid w:val="005A6A15"/>
    <w:rsid w:val="005B3F30"/>
    <w:rsid w:val="005C54A9"/>
    <w:rsid w:val="005D310D"/>
    <w:rsid w:val="005E6D9E"/>
    <w:rsid w:val="005F15AF"/>
    <w:rsid w:val="005F36E6"/>
    <w:rsid w:val="0061279D"/>
    <w:rsid w:val="00622F27"/>
    <w:rsid w:val="006430F8"/>
    <w:rsid w:val="006527F0"/>
    <w:rsid w:val="00663BB5"/>
    <w:rsid w:val="006668BD"/>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348A"/>
    <w:rsid w:val="007563A9"/>
    <w:rsid w:val="007716AC"/>
    <w:rsid w:val="00775AE6"/>
    <w:rsid w:val="007839B3"/>
    <w:rsid w:val="007857D2"/>
    <w:rsid w:val="007863DF"/>
    <w:rsid w:val="007936E9"/>
    <w:rsid w:val="0079412C"/>
    <w:rsid w:val="007A5AF7"/>
    <w:rsid w:val="007C531E"/>
    <w:rsid w:val="007C778B"/>
    <w:rsid w:val="007E6799"/>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7C82"/>
    <w:rsid w:val="009E1F2F"/>
    <w:rsid w:val="009E58FC"/>
    <w:rsid w:val="00A14FD3"/>
    <w:rsid w:val="00A17395"/>
    <w:rsid w:val="00A30CB0"/>
    <w:rsid w:val="00A32057"/>
    <w:rsid w:val="00A3233A"/>
    <w:rsid w:val="00A36947"/>
    <w:rsid w:val="00A36C17"/>
    <w:rsid w:val="00A52774"/>
    <w:rsid w:val="00A5654E"/>
    <w:rsid w:val="00A60AF2"/>
    <w:rsid w:val="00A66755"/>
    <w:rsid w:val="00A83D67"/>
    <w:rsid w:val="00AA46B7"/>
    <w:rsid w:val="00AA5EB3"/>
    <w:rsid w:val="00AB3D3C"/>
    <w:rsid w:val="00AB3F40"/>
    <w:rsid w:val="00AB46A3"/>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78E"/>
    <w:rsid w:val="00B92E56"/>
    <w:rsid w:val="00B92F55"/>
    <w:rsid w:val="00B93290"/>
    <w:rsid w:val="00B95998"/>
    <w:rsid w:val="00B96359"/>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51602"/>
    <w:rsid w:val="00C57E45"/>
    <w:rsid w:val="00C6263E"/>
    <w:rsid w:val="00C72954"/>
    <w:rsid w:val="00C8275E"/>
    <w:rsid w:val="00C86ED0"/>
    <w:rsid w:val="00CA2BCD"/>
    <w:rsid w:val="00CC4DD0"/>
    <w:rsid w:val="00CD1908"/>
    <w:rsid w:val="00CD1AC3"/>
    <w:rsid w:val="00CE360D"/>
    <w:rsid w:val="00CE3636"/>
    <w:rsid w:val="00CF11BB"/>
    <w:rsid w:val="00D017BB"/>
    <w:rsid w:val="00D64AAF"/>
    <w:rsid w:val="00D755FB"/>
    <w:rsid w:val="00D76B4E"/>
    <w:rsid w:val="00D80591"/>
    <w:rsid w:val="00D8711C"/>
    <w:rsid w:val="00D95EC7"/>
    <w:rsid w:val="00D976CD"/>
    <w:rsid w:val="00DA162F"/>
    <w:rsid w:val="00DC149D"/>
    <w:rsid w:val="00DC1F6D"/>
    <w:rsid w:val="00DF422C"/>
    <w:rsid w:val="00E010F2"/>
    <w:rsid w:val="00E04FC5"/>
    <w:rsid w:val="00E17A79"/>
    <w:rsid w:val="00E37626"/>
    <w:rsid w:val="00E400E5"/>
    <w:rsid w:val="00E40C4F"/>
    <w:rsid w:val="00E46451"/>
    <w:rsid w:val="00E504B2"/>
    <w:rsid w:val="00E5063A"/>
    <w:rsid w:val="00E65CEB"/>
    <w:rsid w:val="00E8154E"/>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MAS-PPT-SpecialFeatureApril2012.doc" TargetMode="External"/><Relationship Id="rId18" Type="http://schemas.openxmlformats.org/officeDocument/2006/relationships/hyperlink" Target="http://www.jstor.org/discover/10.2307/2232044?uid=3739696&amp;uid=2&amp;uid=4&amp;uid=3739256&amp;sid=562546765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ks.harvard.edu/fs/jfrankel/LAC-PPTw16362.pdf" TargetMode="External"/><Relationship Id="rId17" Type="http://schemas.openxmlformats.org/officeDocument/2006/relationships/hyperlink" Target="https://www.hks.harvard.edu/centers/cid/publications/faculty-working-papers/currency-plus-commodity-basket" TargetMode="External"/><Relationship Id="rId2" Type="http://schemas.openxmlformats.org/officeDocument/2006/relationships/numbering" Target="numbering.xml"/><Relationship Id="rId16" Type="http://schemas.openxmlformats.org/officeDocument/2006/relationships/hyperlink" Target="http://scholar.harvard.edu/frankel/publications/%E2%80%9C-currency-plus-commodity-basket-exchange-rate-proposal-make-monetar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w20898" TargetMode="External"/><Relationship Id="rId5" Type="http://schemas.openxmlformats.org/officeDocument/2006/relationships/settings" Target="settings.xml"/><Relationship Id="rId15" Type="http://schemas.openxmlformats.org/officeDocument/2006/relationships/hyperlink" Target="http://scholar.harvard.edu/files/frankel/files/ccb_erf_2017march.pdf" TargetMode="External"/><Relationship Id="rId10" Type="http://schemas.openxmlformats.org/officeDocument/2006/relationships/hyperlink" Target="http://www.sciencedirect.com/science/article/pii/S109094431730162" TargetMode="External"/><Relationship Id="rId19" Type="http://schemas.openxmlformats.org/officeDocument/2006/relationships/hyperlink" Target="http://www.columbia.edu/~mw2230/JHole2012final.pdf" TargetMode="External"/><Relationship Id="rId4" Type="http://schemas.microsoft.com/office/2007/relationships/stylesWithEffects" Target="stylesWithEffects.xml"/><Relationship Id="rId9" Type="http://schemas.openxmlformats.org/officeDocument/2006/relationships/hyperlink" Target="https://scholar.harvard.edu/files/frankel/files/ngdpt-_india_researchinecon.pdf" TargetMode="External"/><Relationship Id="rId14" Type="http://schemas.openxmlformats.org/officeDocument/2006/relationships/hyperlink" Target="http://ideas.repec.org/s/chb/bcchec.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9711A-2683-4425-9F2E-8BEDB5D1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4623</Words>
  <Characters>26353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2</cp:revision>
  <cp:lastPrinted>2017-10-01T17:00:00Z</cp:lastPrinted>
  <dcterms:created xsi:type="dcterms:W3CDTF">2017-10-03T19:57:00Z</dcterms:created>
  <dcterms:modified xsi:type="dcterms:W3CDTF">2017-10-03T19:57:00Z</dcterms:modified>
</cp:coreProperties>
</file>