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5C45B5">
        <w:rPr>
          <w:rFonts w:asciiTheme="minorHAnsi" w:hAnsiTheme="minorHAnsi"/>
        </w:rPr>
        <w:t>June</w:t>
      </w:r>
      <w:r w:rsidR="00EA7FDF" w:rsidRPr="00A60512">
        <w:rPr>
          <w:rFonts w:asciiTheme="minorHAnsi" w:hAnsiTheme="minorHAnsi"/>
        </w:rPr>
        <w:t xml:space="preserve"> 201</w:t>
      </w:r>
      <w:r w:rsidR="00E72730">
        <w:rPr>
          <w:rFonts w:asciiTheme="minorHAnsi" w:hAnsiTheme="minorHAnsi"/>
        </w:rPr>
        <w:t>9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:rsidR="00726629" w:rsidRPr="003E74FA" w:rsidRDefault="004E7858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3E74FA">
        <w:rPr>
          <w:rFonts w:asciiTheme="minorHAnsi" w:hAnsiTheme="minorHAnsi"/>
          <w:sz w:val="10"/>
          <w:szCs w:val="10"/>
        </w:rPr>
        <w:br/>
      </w:r>
      <w:r w:rsidR="005C4CF1" w:rsidRPr="003E74FA">
        <w:rPr>
          <w:rFonts w:asciiTheme="minorHAnsi" w:hAnsiTheme="minorHAnsi"/>
          <w:sz w:val="10"/>
          <w:szCs w:val="10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3E74FA" w:rsidRDefault="003E74FA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10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3E74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Chief Economist, </w:t>
      </w:r>
      <w:bookmarkStart w:id="0" w:name="_GoBack"/>
      <w:bookmarkEnd w:id="0"/>
      <w:r w:rsidR="00726629" w:rsidRPr="00A60512">
        <w:rPr>
          <w:rFonts w:asciiTheme="minorHAnsi" w:hAnsiTheme="minorHAnsi"/>
        </w:rPr>
        <w:t xml:space="preserve">Council of Economic Advisers, </w:t>
      </w:r>
      <w:proofErr w:type="gramStart"/>
      <w:r w:rsidR="00726629" w:rsidRPr="00A60512">
        <w:rPr>
          <w:rFonts w:asciiTheme="minorHAnsi" w:hAnsiTheme="minorHAnsi"/>
        </w:rPr>
        <w:t>The</w:t>
      </w:r>
      <w:proofErr w:type="gramEnd"/>
      <w:r w:rsidR="00726629" w:rsidRPr="00A60512">
        <w:rPr>
          <w:rFonts w:asciiTheme="minorHAnsi" w:hAnsiTheme="minorHAnsi"/>
        </w:rPr>
        <w:t xml:space="preserve">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proofErr w:type="spellStart"/>
      <w:r w:rsidRPr="00A60512">
        <w:rPr>
          <w:rFonts w:asciiTheme="minorHAnsi" w:hAnsiTheme="minorHAnsi"/>
          <w:i/>
          <w:color w:val="000000"/>
        </w:rPr>
        <w:t>Economia</w:t>
      </w:r>
      <w:proofErr w:type="spellEnd"/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and Rick van der </w:t>
      </w:r>
      <w:proofErr w:type="spellStart"/>
      <w:r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587DBD">
        <w:rPr>
          <w:rFonts w:asciiTheme="minorHAnsi" w:hAnsiTheme="minorHAnsi"/>
          <w:color w:val="1E1E1E"/>
          <w:shd w:val="clear" w:color="auto" w:fill="FFFFFF"/>
        </w:rPr>
        <w:t>P No.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 xml:space="preserve">3 (Elsevier), September, pp. 491-506.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proofErr w:type="gramStart"/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proofErr w:type="gramEnd"/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Economia</w:t>
      </w:r>
      <w:proofErr w:type="spellEnd"/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F.Sturzenegger, </w:t>
      </w:r>
      <w:hyperlink r:id="rId14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lastRenderedPageBreak/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5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4E7858" w:rsidP="003E47A4">
      <w:pPr>
        <w:rPr>
          <w:rFonts w:asciiTheme="minorHAnsi" w:hAnsiTheme="minorHAnsi"/>
        </w:rPr>
      </w:pPr>
      <w:hyperlink r:id="rId16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1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lastRenderedPageBreak/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Hufbauer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</w:t>
      </w:r>
      <w:proofErr w:type="gramStart"/>
      <w:r w:rsidR="002C33E8">
        <w:rPr>
          <w:rFonts w:asciiTheme="minorHAnsi" w:hAnsiTheme="minorHAnsi"/>
        </w:rPr>
        <w:t>Fall</w:t>
      </w:r>
      <w:proofErr w:type="gramEnd"/>
      <w:r w:rsidR="002C33E8">
        <w:rPr>
          <w:rFonts w:asciiTheme="minorHAnsi" w:hAnsiTheme="minorHAnsi"/>
        </w:rPr>
        <w:t xml:space="preserve"> 1996, 511-534.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</w:t>
      </w:r>
      <w:r w:rsidR="002C33E8">
        <w:rPr>
          <w:rFonts w:asciiTheme="minorHAnsi" w:hAnsiTheme="minorHAnsi"/>
        </w:rPr>
        <w:t>avlas (Kluwer), 1997, 81-104.</w:t>
      </w:r>
      <w:proofErr w:type="gramEnd"/>
      <w:r w:rsidR="002C33E8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</w:t>
      </w:r>
      <w:proofErr w:type="gramStart"/>
      <w:r w:rsidR="00E409B1">
        <w:rPr>
          <w:rFonts w:asciiTheme="minorHAnsi" w:hAnsiTheme="minorHAnsi"/>
        </w:rPr>
        <w:t>NBER WP 3751.</w:t>
      </w:r>
      <w:proofErr w:type="gramEnd"/>
      <w:r w:rsidR="00E409B1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proofErr w:type="spellStart"/>
      <w:r w:rsidRPr="00A60512">
        <w:rPr>
          <w:rFonts w:asciiTheme="minorHAnsi" w:hAnsiTheme="minorHAnsi"/>
          <w:i/>
        </w:rPr>
        <w:t>Economia</w:t>
      </w:r>
      <w:proofErr w:type="spellEnd"/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4E7858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7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8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proofErr w:type="gramStart"/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</w:t>
      </w:r>
      <w:proofErr w:type="gramStart"/>
      <w:r w:rsidR="00536BCD" w:rsidRPr="001F47F3">
        <w:rPr>
          <w:rFonts w:asciiTheme="minorHAnsi" w:hAnsiTheme="minorHAnsi"/>
          <w:color w:val="000000"/>
        </w:rPr>
        <w:t>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proofErr w:type="gramEnd"/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9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20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Céspedes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1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Pattillo,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4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2"/>
      <w:bookmarkEnd w:id="3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4E7858" w:rsidP="009167EE">
      <w:pPr>
        <w:rPr>
          <w:rFonts w:asciiTheme="minorHAnsi" w:eastAsia="SimSun" w:hAnsiTheme="minorHAnsi"/>
          <w:color w:val="000000"/>
        </w:rPr>
      </w:pPr>
      <w:hyperlink r:id="rId28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9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4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Globalisation: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</w:t>
      </w:r>
      <w:proofErr w:type="spellStart"/>
      <w:r w:rsidRPr="00A60512">
        <w:rPr>
          <w:rFonts w:asciiTheme="minorHAnsi" w:hAnsiTheme="minorHAnsi"/>
        </w:rPr>
        <w:t>Swoboda</w:t>
      </w:r>
      <w:proofErr w:type="spellEnd"/>
      <w:r w:rsidRPr="00A60512">
        <w:rPr>
          <w:rFonts w:asciiTheme="minorHAnsi" w:hAnsiTheme="minorHAnsi"/>
        </w:rPr>
        <w:t xml:space="preserve">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</w:t>
      </w:r>
      <w:proofErr w:type="spellStart"/>
      <w:r w:rsidR="00597F8A" w:rsidRPr="00A60512">
        <w:rPr>
          <w:rFonts w:asciiTheme="minorHAnsi" w:hAnsiTheme="minorHAnsi"/>
        </w:rPr>
        <w:t>Boughton</w:t>
      </w:r>
      <w:proofErr w:type="spellEnd"/>
      <w:r w:rsidR="00597F8A" w:rsidRPr="00A60512">
        <w:rPr>
          <w:rFonts w:asciiTheme="minorHAnsi" w:hAnsiTheme="minorHAnsi"/>
        </w:rPr>
        <w:t xml:space="preserve">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>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5"/>
      <w:bookmarkEnd w:id="6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1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2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 xml:space="preserve">, edited by Alan </w:t>
      </w:r>
      <w:proofErr w:type="spellStart"/>
      <w:r w:rsidRPr="00A60512">
        <w:rPr>
          <w:rFonts w:asciiTheme="minorHAnsi" w:hAnsiTheme="minorHAnsi"/>
        </w:rPr>
        <w:t>Auerbach</w:t>
      </w:r>
      <w:proofErr w:type="spellEnd"/>
      <w:r w:rsidRPr="00A60512">
        <w:rPr>
          <w:rFonts w:asciiTheme="minorHAnsi" w:hAnsiTheme="minorHAnsi"/>
        </w:rPr>
        <w:t xml:space="preserve">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proofErr w:type="spellStart"/>
      <w:r w:rsidRPr="008F456D">
        <w:rPr>
          <w:rFonts w:asciiTheme="minorHAnsi" w:hAnsiTheme="minorHAnsi"/>
          <w:i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Xie,</w:t>
      </w:r>
      <w:r w:rsidRPr="006F2823">
        <w:rPr>
          <w:rFonts w:cstheme="minorHAnsi"/>
          <w:bCs/>
        </w:rPr>
        <w:t xml:space="preserve"> </w:t>
      </w:r>
      <w:r w:rsidRPr="00AD3A82">
        <w:rPr>
          <w:rFonts w:asciiTheme="minorHAnsi" w:hAnsiTheme="minorHAnsi" w:cstheme="minorHAnsi"/>
          <w:bCs/>
        </w:rPr>
        <w:t xml:space="preserve">April 2019,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>
        <w:rPr>
          <w:rFonts w:cstheme="minorHAnsi"/>
        </w:rPr>
        <w:t>.</w:t>
      </w:r>
    </w:p>
    <w:p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proofErr w:type="gramStart"/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proofErr w:type="gramEnd"/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proofErr w:type="gramStart"/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Jeffrey Frankel, and Rick van der </w:t>
      </w:r>
      <w:proofErr w:type="spellStart"/>
      <w:r w:rsidR="00006944"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Jeffrey Frankel, and Rick van der </w:t>
      </w:r>
      <w:proofErr w:type="spellStart"/>
      <w:r w:rsidR="00006944"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proofErr w:type="gramStart"/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</w:t>
      </w:r>
      <w:r w:rsidR="003848A5" w:rsidRPr="00A60512">
        <w:rPr>
          <w:rFonts w:asciiTheme="minorHAnsi" w:hAnsiTheme="minorHAnsi"/>
          <w:color w:val="000000"/>
        </w:rPr>
        <w:lastRenderedPageBreak/>
        <w:t xml:space="preserve">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</w:t>
      </w:r>
      <w:proofErr w:type="spellStart"/>
      <w:r w:rsidR="007E0919" w:rsidRPr="00A60512">
        <w:rPr>
          <w:rFonts w:asciiTheme="minorHAnsi" w:hAnsiTheme="minorHAnsi"/>
          <w:bCs/>
          <w:iCs/>
        </w:rPr>
        <w:t>Aniket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6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9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lastRenderedPageBreak/>
        <w:t> </w:t>
      </w:r>
      <w:hyperlink r:id="rId4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Smriti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4E7858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1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2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 xml:space="preserve">Brookings Institution </w:t>
      </w:r>
      <w:r w:rsidRPr="00A60512">
        <w:rPr>
          <w:rFonts w:asciiTheme="minorHAnsi" w:hAnsiTheme="minorHAnsi"/>
        </w:rPr>
        <w:lastRenderedPageBreak/>
        <w:t>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 xml:space="preserve">, </w:t>
      </w:r>
      <w:proofErr w:type="spellStart"/>
      <w:r w:rsidR="00A23A76" w:rsidRPr="00A60512">
        <w:rPr>
          <w:rFonts w:asciiTheme="minorHAnsi" w:hAnsiTheme="minorHAnsi"/>
        </w:rPr>
        <w:t>v</w:t>
      </w:r>
      <w:r w:rsidRPr="00A60512">
        <w:rPr>
          <w:rFonts w:asciiTheme="minorHAnsi" w:hAnsiTheme="minorHAnsi"/>
        </w:rPr>
        <w:t>ol</w:t>
      </w:r>
      <w:proofErr w:type="spellEnd"/>
      <w:r w:rsidRPr="00A60512">
        <w:rPr>
          <w:rFonts w:asciiTheme="minorHAnsi" w:hAnsiTheme="minorHAnsi"/>
        </w:rPr>
        <w:t xml:space="preserve">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 xml:space="preserve">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="00D4707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Appears as Chapter 10 ["Exchange Rates and the Single Currency"], in </w:t>
      </w:r>
      <w:r w:rsidRPr="00A60512">
        <w:rPr>
          <w:rFonts w:asciiTheme="minorHAnsi" w:hAnsiTheme="minorHAnsi"/>
          <w:i/>
        </w:rPr>
        <w:t xml:space="preserve">The European Equity Markets: The State of the Union and an Agenda for </w:t>
      </w:r>
      <w:r w:rsidRPr="00A60512">
        <w:rPr>
          <w:rFonts w:asciiTheme="minorHAnsi" w:hAnsiTheme="minorHAnsi"/>
          <w:i/>
        </w:rPr>
        <w:lastRenderedPageBreak/>
        <w:t>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</w:t>
      </w:r>
      <w:proofErr w:type="gramStart"/>
      <w:r>
        <w:rPr>
          <w:rFonts w:asciiTheme="minorHAnsi" w:hAnsiTheme="minorHAnsi"/>
        </w:rPr>
        <w:t>Whose</w:t>
      </w:r>
      <w:proofErr w:type="gramEnd"/>
      <w:r>
        <w:rPr>
          <w:rFonts w:asciiTheme="minorHAnsi" w:hAnsiTheme="minorHAnsi"/>
        </w:rPr>
        <w:t xml:space="preserve">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lastRenderedPageBreak/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lastRenderedPageBreak/>
        <w:t>"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6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47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8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9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 xml:space="preserve">The UK </w:t>
      </w:r>
      <w:proofErr w:type="gramStart"/>
      <w:r w:rsidR="00C02FD9" w:rsidRPr="00A60512">
        <w:rPr>
          <w:rFonts w:asciiTheme="minorHAnsi" w:hAnsiTheme="minorHAnsi"/>
          <w:i/>
        </w:rPr>
        <w:t>Outside</w:t>
      </w:r>
      <w:proofErr w:type="gramEnd"/>
      <w:r w:rsidR="00C02FD9" w:rsidRPr="00A60512">
        <w:rPr>
          <w:rFonts w:asciiTheme="minorHAnsi" w:hAnsiTheme="minorHAnsi"/>
          <w:i/>
        </w:rPr>
        <w:t xml:space="preserve">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BC5A54" w:rsidRDefault="00BC5A54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</w:p>
    <w:p w:rsidR="00303EF5" w:rsidRPr="00303EF5" w:rsidRDefault="00854435" w:rsidP="00303EF5">
      <w:pPr>
        <w:pStyle w:val="Heading1"/>
        <w:shd w:val="clear" w:color="auto" w:fill="FEF9F5"/>
        <w:rPr>
          <w:rFonts w:ascii="Georgia" w:hAnsi="Georgia"/>
          <w:b w:val="0"/>
          <w:bCs w:val="0"/>
          <w:color w:val="121212"/>
        </w:rPr>
      </w:pPr>
      <w:r>
        <w:rPr>
          <w:rFonts w:asciiTheme="minorHAnsi" w:hAnsiTheme="minorHAnsi" w:cstheme="minorHAnsi"/>
          <w:b w:val="0"/>
          <w:bCs w:val="0"/>
          <w:color w:val="121212"/>
        </w:rPr>
        <w:t xml:space="preserve">“The US Recovery Turns Ten,” 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Syndicate;</w:t>
      </w:r>
      <w:r>
        <w:rPr>
          <w:rFonts w:asciiTheme="minorHAnsi" w:hAnsiTheme="minorHAnsi" w:cstheme="minorHAnsi"/>
          <w:b w:val="0"/>
          <w:bCs w:val="0"/>
          <w:color w:val="121212"/>
        </w:rPr>
        <w:t xml:space="preserve"> June 14, 2019.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 xml:space="preserve">  </w:t>
      </w:r>
      <w:r w:rsidR="00303EF5" w:rsidRPr="00303EF5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303EF5" w:rsidRPr="00303EF5">
        <w:rPr>
          <w:rFonts w:asciiTheme="minorHAnsi" w:hAnsiTheme="minorHAnsi"/>
          <w:b w:val="0"/>
          <w:bCs w:val="0"/>
          <w:color w:val="121212"/>
        </w:rPr>
        <w:t>The US economic recovery is far from being a world record,”</w:t>
      </w:r>
      <w:r w:rsidR="00303EF5">
        <w:rPr>
          <w:rFonts w:ascii="Georgia" w:hAnsi="Georgia"/>
          <w:b w:val="0"/>
          <w:bCs w:val="0"/>
          <w:color w:val="121212"/>
        </w:rPr>
        <w:t xml:space="preserve"> </w:t>
      </w:r>
      <w:r w:rsidR="00303EF5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>, June 14, 2019.</w:t>
      </w:r>
    </w:p>
    <w:p w:rsidR="00854435" w:rsidRDefault="00854435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</w:rPr>
      </w:pPr>
    </w:p>
    <w:p w:rsidR="001E2666" w:rsidRPr="001E2666" w:rsidRDefault="00DB665D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  <w:sz w:val="48"/>
          <w:szCs w:val="48"/>
        </w:rPr>
      </w:pPr>
      <w:r w:rsidRPr="001E2666">
        <w:rPr>
          <w:rFonts w:asciiTheme="minorHAnsi" w:hAnsiTheme="minorHAnsi" w:cstheme="minorHAnsi"/>
          <w:b w:val="0"/>
          <w:bCs w:val="0"/>
          <w:color w:val="121212"/>
        </w:rPr>
        <w:t xml:space="preserve">“The Real Cost of Trump’s Tariffs,” 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d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i</w:t>
      </w:r>
      <w:r w:rsidR="001E2666" w:rsidRPr="001E2666">
        <w:rPr>
          <w:rFonts w:asciiTheme="minorHAnsi" w:hAnsiTheme="minorHAnsi" w:cstheme="minorHAnsi"/>
          <w:b w:val="0"/>
          <w:bCs w:val="0"/>
          <w:i/>
          <w:color w:val="121212"/>
        </w:rPr>
        <w:t>cate;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1E2666" w:rsidRPr="00CC06E4">
        <w:rPr>
          <w:rFonts w:asciiTheme="minorHAnsi" w:hAnsiTheme="minorHAnsi" w:cstheme="minorHAnsi"/>
          <w:b w:val="0"/>
          <w:bCs w:val="0"/>
          <w:color w:val="121212"/>
        </w:rPr>
        <w:t>Trump's trade policy is a hot mess of conflicting goals – with few winners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>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”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8F456D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 xml:space="preserve"> May 23, 2019.</w:t>
      </w:r>
    </w:p>
    <w:p w:rsidR="00597E33" w:rsidRPr="001E2666" w:rsidRDefault="00597E33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</w:p>
    <w:p w:rsidR="00437DD2" w:rsidRDefault="00437DD2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  <w:r>
        <w:rPr>
          <w:rFonts w:asciiTheme="minorHAnsi" w:hAnsiTheme="minorHAnsi"/>
          <w:b w:val="0"/>
          <w:bCs w:val="0"/>
          <w:color w:val="121212"/>
        </w:rPr>
        <w:t>“Moore Problems for the Fed,”</w:t>
      </w:r>
      <w:r w:rsidR="00F05DE9">
        <w:rPr>
          <w:rFonts w:asciiTheme="minorHAnsi" w:hAnsiTheme="minorHAnsi"/>
          <w:b w:val="0"/>
          <w:bCs w:val="0"/>
          <w:color w:val="121212"/>
        </w:rPr>
        <w:t xml:space="preserve"> </w:t>
      </w:r>
      <w:r w:rsidR="00F05DE9" w:rsidRPr="00D67203">
        <w:rPr>
          <w:rStyle w:val="Emphasis"/>
          <w:rFonts w:asciiTheme="minorHAnsi" w:hAnsiTheme="minorHAnsi" w:cstheme="minorHAnsi"/>
          <w:b w:val="0"/>
          <w:color w:val="1E1E1E"/>
          <w:shd w:val="clear" w:color="auto" w:fill="FFFFFF"/>
        </w:rPr>
        <w:t>Project Syndicate</w:t>
      </w:r>
      <w:r w:rsidR="00F05DE9" w:rsidRPr="00F05DE9">
        <w:rPr>
          <w:rStyle w:val="Emphasis"/>
          <w:rFonts w:asciiTheme="minorHAnsi" w:hAnsiTheme="minorHAnsi" w:cstheme="minorHAnsi"/>
          <w:b w:val="0"/>
          <w:i w:val="0"/>
          <w:color w:val="1E1E1E"/>
          <w:shd w:val="clear" w:color="auto" w:fill="FFFFFF"/>
        </w:rPr>
        <w:t>,</w:t>
      </w:r>
      <w:r>
        <w:rPr>
          <w:rFonts w:asciiTheme="minorHAnsi" w:hAnsiTheme="minorHAnsi"/>
          <w:b w:val="0"/>
          <w:bCs w:val="0"/>
          <w:color w:val="121212"/>
        </w:rPr>
        <w:t xml:space="preserve"> April </w:t>
      </w:r>
      <w:r w:rsidR="001E2666">
        <w:rPr>
          <w:rFonts w:asciiTheme="minorHAnsi" w:hAnsiTheme="minorHAnsi"/>
          <w:b w:val="0"/>
          <w:bCs w:val="0"/>
          <w:color w:val="121212"/>
        </w:rPr>
        <w:t xml:space="preserve">27, </w:t>
      </w:r>
      <w:r>
        <w:rPr>
          <w:rFonts w:asciiTheme="minorHAnsi" w:hAnsiTheme="minorHAnsi"/>
          <w:b w:val="0"/>
          <w:bCs w:val="0"/>
          <w:color w:val="121212"/>
        </w:rPr>
        <w:t>2019.</w:t>
      </w:r>
      <w:r>
        <w:rPr>
          <w:rFonts w:asciiTheme="minorHAnsi" w:hAnsiTheme="minorHAnsi"/>
          <w:b w:val="0"/>
          <w:bCs w:val="0"/>
          <w:color w:val="121212"/>
        </w:rPr>
        <w:br/>
      </w:r>
    </w:p>
    <w:p w:rsidR="005555E6" w:rsidRPr="00356CBC" w:rsidRDefault="00356CBC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333333"/>
          <w:spacing w:val="-15"/>
          <w:kern w:val="36"/>
        </w:rPr>
      </w:pPr>
      <w:r w:rsidRPr="00356CBC">
        <w:rPr>
          <w:rFonts w:asciiTheme="minorHAnsi" w:hAnsiTheme="minorHAnsi"/>
          <w:b w:val="0"/>
          <w:bCs w:val="0"/>
          <w:color w:val="121212"/>
        </w:rPr>
        <w:t xml:space="preserve">“Donald Trump and Xi Jinping are </w:t>
      </w:r>
      <w:r>
        <w:rPr>
          <w:rFonts w:asciiTheme="minorHAnsi" w:hAnsiTheme="minorHAnsi"/>
          <w:b w:val="0"/>
          <w:bCs w:val="0"/>
          <w:color w:val="121212"/>
        </w:rPr>
        <w:t>M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issing a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rick over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rade,” </w:t>
      </w:r>
      <w:r w:rsidRPr="00356CBC">
        <w:rPr>
          <w:rFonts w:asciiTheme="minorHAnsi" w:hAnsiTheme="minorHAnsi"/>
          <w:b w:val="0"/>
          <w:bCs w:val="0"/>
          <w:i/>
          <w:color w:val="121212"/>
        </w:rPr>
        <w:t>The Guardian</w:t>
      </w:r>
      <w:r w:rsidRPr="00356CBC">
        <w:rPr>
          <w:rFonts w:asciiTheme="minorHAnsi" w:hAnsiTheme="minorHAnsi"/>
          <w:b w:val="0"/>
          <w:bCs w:val="0"/>
          <w:color w:val="121212"/>
        </w:rPr>
        <w:t>, March 22.</w:t>
      </w:r>
      <w:r w:rsidRPr="00356CBC">
        <w:rPr>
          <w:rFonts w:asciiTheme="minorHAnsi" w:hAnsiTheme="minorHAnsi"/>
          <w:b w:val="0"/>
          <w:bCs w:val="0"/>
          <w:color w:val="333333"/>
          <w:spacing w:val="-15"/>
          <w:kern w:val="36"/>
        </w:rPr>
        <w:t xml:space="preserve">  </w:t>
      </w:r>
    </w:p>
    <w:p w:rsidR="005555E6" w:rsidRDefault="005555E6" w:rsidP="00715E9A">
      <w:pPr>
        <w:pStyle w:val="Heading3"/>
        <w:shd w:val="clear" w:color="auto" w:fill="FFFFFF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</w:p>
    <w:p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</w:t>
      </w:r>
      <w:r w:rsidR="00715E9A" w:rsidRPr="0046190D">
        <w:rPr>
          <w:rFonts w:asciiTheme="minorHAnsi" w:hAnsiTheme="minorHAnsi" w:cs="Arial"/>
          <w:b w:val="0"/>
          <w:bCs w:val="0"/>
          <w:sz w:val="24"/>
          <w:szCs w:val="24"/>
        </w:rPr>
        <w:t>”</w:t>
      </w:r>
      <w:r w:rsidR="00B02810" w:rsidRPr="0046190D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b w:val="0"/>
          <w:i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proofErr w:type="gramStart"/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  <w:proofErr w:type="gramEnd"/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lastRenderedPageBreak/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 xml:space="preserve">Korea </w:t>
      </w:r>
      <w:proofErr w:type="gramStart"/>
      <w:r w:rsidR="00D677B0" w:rsidRPr="00DE11DC">
        <w:rPr>
          <w:rFonts w:asciiTheme="minorHAnsi" w:hAnsiTheme="minorHAnsi" w:cs="Helvetica"/>
          <w:i/>
          <w:color w:val="1E1E1E"/>
        </w:rPr>
        <w:t>Herald</w:t>
      </w:r>
      <w:r w:rsidR="00D677B0" w:rsidRPr="00DE11DC">
        <w:rPr>
          <w:rFonts w:asciiTheme="minorHAnsi" w:hAnsiTheme="minorHAnsi" w:cs="Helvetica"/>
          <w:color w:val="1E1E1E"/>
        </w:rPr>
        <w:t>,</w:t>
      </w:r>
      <w:proofErr w:type="gramEnd"/>
      <w:r w:rsidR="00D677B0" w:rsidRPr="00DE11DC">
        <w:rPr>
          <w:rFonts w:asciiTheme="minorHAnsi" w:hAnsiTheme="minorHAnsi" w:cs="Helvetica"/>
          <w:color w:val="1E1E1E"/>
        </w:rPr>
        <w:t xml:space="preserve">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proofErr w:type="gramStart"/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</w:t>
      </w:r>
      <w:proofErr w:type="gramEnd"/>
      <w:r w:rsidRPr="00DE11DC">
        <w:rPr>
          <w:rFonts w:asciiTheme="minorHAnsi" w:hAnsiTheme="minorHAnsi" w:cs="Helvetica"/>
          <w:color w:val="1E1E1E"/>
        </w:rPr>
        <w:t>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proofErr w:type="gramStart"/>
      <w:r w:rsidRPr="00266A6C">
        <w:rPr>
          <w:rFonts w:asciiTheme="minorHAnsi" w:hAnsiTheme="minorHAnsi" w:cs="Helvetica"/>
          <w:color w:val="1E1E1E"/>
        </w:rPr>
        <w:t>"Does Trade Fuel Inequality?"</w:t>
      </w:r>
      <w:proofErr w:type="gramEnd"/>
      <w:r w:rsidRPr="00266A6C">
        <w:rPr>
          <w:rFonts w:asciiTheme="minorHAnsi" w:hAnsiTheme="minorHAnsi" w:cs="Helvetica"/>
          <w:color w:val="1E1E1E"/>
        </w:rPr>
        <w:t>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proofErr w:type="gramStart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proofErr w:type="gramEnd"/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proofErr w:type="gramStart"/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</w:t>
      </w:r>
      <w:proofErr w:type="spellStart"/>
      <w:r w:rsidR="00F67FDB" w:rsidRPr="00F67FDB">
        <w:rPr>
          <w:rFonts w:asciiTheme="minorHAnsi" w:hAnsiTheme="minorHAnsi"/>
          <w:i/>
          <w:iCs/>
        </w:rPr>
        <w:t>Newshour</w:t>
      </w:r>
      <w:proofErr w:type="spellEnd"/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proofErr w:type="gramEnd"/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lastRenderedPageBreak/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lastRenderedPageBreak/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4E4AC7" w:rsidRPr="00A60512" w:rsidRDefault="00907A0F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proofErr w:type="spellStart"/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proofErr w:type="spell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4E4AC7"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="004E4AC7" w:rsidRPr="00A60512">
        <w:rPr>
          <w:rFonts w:asciiTheme="minorHAnsi" w:hAnsiTheme="minorHAnsi"/>
          <w:b w:val="0"/>
          <w:i/>
          <w:iCs/>
        </w:rPr>
        <w:t>VoxEU</w:t>
      </w:r>
      <w:r w:rsidR="004E4AC7" w:rsidRPr="00A60512">
        <w:rPr>
          <w:rFonts w:asciiTheme="minorHAnsi" w:hAnsiTheme="minorHAnsi"/>
          <w:b w:val="0"/>
        </w:rPr>
        <w:t xml:space="preserve">, </w:t>
      </w:r>
      <w:proofErr w:type="gramStart"/>
      <w:r w:rsidR="004E4AC7" w:rsidRPr="00A60512">
        <w:rPr>
          <w:rFonts w:asciiTheme="minorHAnsi" w:hAnsiTheme="minorHAnsi"/>
          <w:b w:val="0"/>
        </w:rPr>
        <w:t>Aug</w:t>
      </w:r>
      <w:proofErr w:type="gramEnd"/>
      <w:r w:rsidR="004E4AC7" w:rsidRPr="00A60512">
        <w:rPr>
          <w:rFonts w:asciiTheme="minorHAnsi" w:hAnsiTheme="minorHAnsi"/>
          <w:b w:val="0"/>
        </w:rPr>
        <w:t>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Fonts w:asciiTheme="minorHAnsi" w:hAnsiTheme="minorHAnsi"/>
          <w:sz w:val="15"/>
          <w:szCs w:val="15"/>
        </w:rPr>
        <w:br/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="004E4AC7" w:rsidRPr="00A60512">
        <w:rPr>
          <w:rStyle w:val="Strong"/>
          <w:rFonts w:asciiTheme="minorHAnsi" w:hAnsiTheme="minorHAnsi"/>
        </w:rPr>
        <w:t>How Many European Recessions?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="004E4AC7"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="004E4AC7"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</w:rPr>
        <w:t>Guardian.</w:t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="004E4AC7" w:rsidRPr="00A60512">
        <w:rPr>
          <w:rFonts w:asciiTheme="minorHAnsi" w:hAnsiTheme="minorHAnsi"/>
          <w:b w:val="0"/>
        </w:rPr>
        <w:t xml:space="preserve">"All Quiet on the Currency Front," </w:t>
      </w:r>
      <w:r w:rsidR="004E4AC7" w:rsidRPr="00A60512">
        <w:rPr>
          <w:rFonts w:asciiTheme="minorHAnsi" w:hAnsiTheme="minorHAnsi"/>
          <w:b w:val="0"/>
          <w:i/>
          <w:iCs/>
        </w:rPr>
        <w:t>Project Syndicate</w:t>
      </w:r>
      <w:r w:rsidR="004E4AC7" w:rsidRPr="00A60512">
        <w:rPr>
          <w:rFonts w:asciiTheme="minorHAnsi" w:hAnsiTheme="minorHAnsi"/>
          <w:b w:val="0"/>
        </w:rPr>
        <w:t>, June 2013</w:t>
      </w:r>
      <w:r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proofErr w:type="spellStart"/>
      <w:r w:rsidR="004E4AC7" w:rsidRPr="00A60512">
        <w:rPr>
          <w:rFonts w:asciiTheme="minorHAnsi" w:hAnsiTheme="minorHAnsi"/>
          <w:b w:val="0"/>
          <w:i/>
        </w:rPr>
        <w:t>Vox</w:t>
      </w:r>
      <w:proofErr w:type="spellEnd"/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proofErr w:type="spell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proofErr w:type="spellStart"/>
      <w:r w:rsidR="005F5837" w:rsidRPr="00A60512">
        <w:rPr>
          <w:rFonts w:asciiTheme="minorHAnsi" w:hAnsiTheme="minorHAnsi"/>
          <w:i/>
        </w:rPr>
        <w:t>Vox</w:t>
      </w:r>
      <w:proofErr w:type="spellEnd"/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proofErr w:type="spellStart"/>
      <w:r w:rsidR="00A21108" w:rsidRPr="00A60512">
        <w:rPr>
          <w:rFonts w:asciiTheme="minorHAnsi" w:hAnsiTheme="minorHAnsi"/>
          <w:i/>
          <w:iCs/>
        </w:rPr>
        <w:t>Vox</w:t>
      </w:r>
      <w:proofErr w:type="spellEnd"/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proofErr w:type="spellEnd"/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lastRenderedPageBreak/>
        <w:t>"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303EF5">
        <w:fldChar w:fldCharType="begin"/>
      </w:r>
      <w:r w:rsidR="00303EF5">
        <w:instrText xml:space="preserve"> HYPERLINK "http://www.rff.org/Publications/WPC/Pages/Real-Energy-Securit-Drill-Baby-Drill-But-Not-Now.aspx" </w:instrText>
      </w:r>
      <w:r w:rsidR="00303EF5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303EF5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4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proofErr w:type="spellStart"/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proofErr w:type="spellEnd"/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303EF5">
        <w:fldChar w:fldCharType="begin"/>
      </w:r>
      <w:r w:rsidR="00303EF5">
        <w:instrText xml:space="preserve"> HYPERLINK "http://www.voxeu.org" </w:instrText>
      </w:r>
      <w:r w:rsidR="00303EF5">
        <w:fldChar w:fldCharType="separate"/>
      </w:r>
      <w:proofErr w:type="spellStart"/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proofErr w:type="spellEnd"/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303EF5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spellStart"/>
      <w:proofErr w:type="gram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7"/>
      <w:headerReference w:type="default" r:id="rId58"/>
      <w:footerReference w:type="default" r:id="rId5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D6" w:rsidRDefault="00FE0BD6">
      <w:r>
        <w:separator/>
      </w:r>
    </w:p>
  </w:endnote>
  <w:endnote w:type="continuationSeparator" w:id="0">
    <w:p w:rsidR="00FE0BD6" w:rsidRDefault="00F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D6" w:rsidRDefault="00FE0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D6" w:rsidRDefault="00FE0BD6">
      <w:r>
        <w:separator/>
      </w:r>
    </w:p>
  </w:footnote>
  <w:footnote w:type="continuationSeparator" w:id="0">
    <w:p w:rsidR="00FE0BD6" w:rsidRDefault="00FE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D6" w:rsidRDefault="00FE0B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BD6" w:rsidRDefault="00FE0B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D6" w:rsidRDefault="00FE0B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858">
      <w:rPr>
        <w:rStyle w:val="PageNumber"/>
        <w:noProof/>
      </w:rPr>
      <w:t>53</w:t>
    </w:r>
    <w:r>
      <w:rPr>
        <w:rStyle w:val="PageNumber"/>
      </w:rPr>
      <w:fldChar w:fldCharType="end"/>
    </w:r>
  </w:p>
  <w:p w:rsidR="00FE0BD6" w:rsidRDefault="00FE0B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2666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3D03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0F1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87DBD"/>
    <w:rsid w:val="00595D2D"/>
    <w:rsid w:val="00595D7E"/>
    <w:rsid w:val="00597526"/>
    <w:rsid w:val="00597E33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5E9A"/>
    <w:rsid w:val="00717028"/>
    <w:rsid w:val="0071789E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4435"/>
    <w:rsid w:val="008550DC"/>
    <w:rsid w:val="00856FAB"/>
    <w:rsid w:val="00857306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C6503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347B"/>
    <w:rsid w:val="009F3B80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6BE7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5A54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28C3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665D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316C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08CA"/>
    <w:rsid w:val="00EA125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ks.harvard.edu/fs/jfrankel/LAC-PPTw16362.pdf" TargetMode="External"/><Relationship Id="rId18" Type="http://schemas.openxmlformats.org/officeDocument/2006/relationships/hyperlink" Target="http://ksgnotes1.harvard.edu/Research/wpaper.nsf/rwp/RWP09-006/$File/RWP09-006_Frankel.pdf" TargetMode="External"/><Relationship Id="rId26" Type="http://schemas.openxmlformats.org/officeDocument/2006/relationships/hyperlink" Target="http://belfercenter.ksg.harvard.edu/experts/1014/joseph_aldy.html" TargetMode="External"/><Relationship Id="rId39" Type="http://schemas.openxmlformats.org/officeDocument/2006/relationships/hyperlink" Target="http://belfercenter.ksg.harvard.edu/experts/166/robert_n_stavins.html" TargetMode="External"/><Relationship Id="rId21" Type="http://schemas.openxmlformats.org/officeDocument/2006/relationships/hyperlink" Target="http://web.hks.harvard.edu/publications/workingpapers/citation.aspx?PubId=7626" TargetMode="External"/><Relationship Id="rId34" Type="http://schemas.openxmlformats.org/officeDocument/2006/relationships/hyperlink" Target="file:///J:\Bio&amp;CV\LessonsForUSfiscalSouthNYU.doc" TargetMode="External"/><Relationship Id="rId42" Type="http://schemas.openxmlformats.org/officeDocument/2006/relationships/hyperlink" Target="http://www.cato.org/podcasts/" TargetMode="External"/><Relationship Id="rId47" Type="http://schemas.openxmlformats.org/officeDocument/2006/relationships/hyperlink" Target="file:///J:\Bio&amp;CV\KAEA2010AtlantaSpeech.ppt" TargetMode="External"/><Relationship Id="rId50" Type="http://schemas.openxmlformats.org/officeDocument/2006/relationships/hyperlink" Target="file:///J:\Bio&amp;CV\RFF-WPC-Frankel-RealEnergySecurity.docx" TargetMode="External"/><Relationship Id="rId55" Type="http://schemas.openxmlformats.org/officeDocument/2006/relationships/hyperlink" Target="file:///\\nuada.hks.internal\staffprivate\JFrankel\www\CQ-globalresearcher-dollarvs.euro.pdf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\\nuada.hks.internal\staffprivate\JFrankel\www\EvaluatgChinaCurrncyOct.doc" TargetMode="External"/><Relationship Id="rId20" Type="http://schemas.openxmlformats.org/officeDocument/2006/relationships/hyperlink" Target="http://www.nber.org/AfricanSuccesses/index.html" TargetMode="External"/><Relationship Id="rId29" Type="http://schemas.openxmlformats.org/officeDocument/2006/relationships/hyperlink" Target="http://ksgnotes1.harvard.edu/Research/wpaper.nsf/rwp/RWP07-011/$File/rwp_07_011_frankel.pdf" TargetMode="External"/><Relationship Id="rId41" Type="http://schemas.openxmlformats.org/officeDocument/2006/relationships/hyperlink" Target="http://ksghome.harvard.edu/~jfrankel/CatoInstCrisesNov6+17+20.pdf" TargetMode="External"/><Relationship Id="rId54" Type="http://schemas.openxmlformats.org/officeDocument/2006/relationships/hyperlink" Target="http://www.voxeu.org/index.php?q=node/378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J:\Bio&amp;CV\SaravelosEWIsNBERWP16047.pdf" TargetMode="External"/><Relationship Id="rId24" Type="http://schemas.openxmlformats.org/officeDocument/2006/relationships/hyperlink" Target="http://www.rba.gov.au/publications/confs/2009/index.html" TargetMode="External"/><Relationship Id="rId32" Type="http://schemas.openxmlformats.org/officeDocument/2006/relationships/hyperlink" Target="http://papers.ssrn.com/sol3/papers.cfm?abstract_id=902385" TargetMode="External"/><Relationship Id="rId37" Type="http://schemas.openxmlformats.org/officeDocument/2006/relationships/hyperlink" Target="http://www.cambridge.org/catalogue/catalogue.asp?isbn=9780521138000" TargetMode="External"/><Relationship Id="rId40" Type="http://schemas.openxmlformats.org/officeDocument/2006/relationships/hyperlink" Target="file:///\\nuada.hks.internal\staffprivate\JFrankel\www\FRB-Globalzn&amp;InflOct4.pdf" TargetMode="External"/><Relationship Id="rId45" Type="http://schemas.openxmlformats.org/officeDocument/2006/relationships/hyperlink" Target="http://www.hpair.org/" TargetMode="External"/><Relationship Id="rId53" Type="http://schemas.openxmlformats.org/officeDocument/2006/relationships/hyperlink" Target="http://www.rff.org/PUBLICATIONS/Pages/default.aspx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3" Type="http://schemas.openxmlformats.org/officeDocument/2006/relationships/hyperlink" Target="http://www.rba.gov.au/publications/confs/2009/frankel-rose.pdf" TargetMode="External"/><Relationship Id="rId28" Type="http://schemas.openxmlformats.org/officeDocument/2006/relationships/hyperlink" Target="http://ksghome.harvard.edu/~jfrankel/FRB-Globalzn&amp;InflOct4.pdf" TargetMode="External"/><Relationship Id="rId36" Type="http://schemas.openxmlformats.org/officeDocument/2006/relationships/hyperlink" Target="http://www.nbp.pl/Publikacje/O_Euro/RE3.pdf" TargetMode="External"/><Relationship Id="rId49" Type="http://schemas.openxmlformats.org/officeDocument/2006/relationships/hyperlink" Target="http://www.weforum.org/pdf/Mexico/MCR_2009.pdf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https://twitter.com/JFrankelEcon" TargetMode="External"/><Relationship Id="rId19" Type="http://schemas.openxmlformats.org/officeDocument/2006/relationships/hyperlink" Target="http://cemla.org/PDF/boletin/2016-01.html" TargetMode="External"/><Relationship Id="rId31" Type="http://schemas.openxmlformats.org/officeDocument/2006/relationships/hyperlink" Target="http://ksghome.harvard.edu/~jfrankel/Recent_ConfBksNBER.htm" TargetMode="External"/><Relationship Id="rId44" Type="http://schemas.openxmlformats.org/officeDocument/2006/relationships/hyperlink" Target="file:///J:\Bio&amp;CV\HPAIR2010Feb19-.ppt" TargetMode="External"/><Relationship Id="rId52" Type="http://schemas.openxmlformats.org/officeDocument/2006/relationships/hyperlink" Target="http://www.rff.org/Publications/WPC/Pages/A-Pragmatic-Global-Climate-Policy-Architecture.aspx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blackwellpublishing.com/journal.asp?ref=0967-0750" TargetMode="External"/><Relationship Id="rId22" Type="http://schemas.openxmlformats.org/officeDocument/2006/relationships/hyperlink" Target="file:///J:\Bio&amp;CV\NResourceCurseIMF2012.doc" TargetMode="External"/><Relationship Id="rId27" Type="http://schemas.openxmlformats.org/officeDocument/2006/relationships/hyperlink" Target="http://belfercenter.ksg.harvard.edu/experts/166/robert_n_stavins.html" TargetMode="External"/><Relationship Id="rId30" Type="http://schemas.openxmlformats.org/officeDocument/2006/relationships/hyperlink" Target="file:///\\nuada.hks.internal\staffprivate\JFrankel\www\AlfaroCommt-ISoM08.pdf" TargetMode="External"/><Relationship Id="rId35" Type="http://schemas.openxmlformats.org/officeDocument/2006/relationships/hyperlink" Target="file:///\\nuada.hks.internal\staffprivate\JFrankel\www\EuroEffectsPoland~July08.pdf" TargetMode="External"/><Relationship Id="rId43" Type="http://schemas.openxmlformats.org/officeDocument/2006/relationships/hyperlink" Target="http://www.hks.harvard.edu/fs/jfrankel/PostCopenhagen+HUCE.ppt" TargetMode="External"/><Relationship Id="rId48" Type="http://schemas.openxmlformats.org/officeDocument/2006/relationships/hyperlink" Target="file:///\\nuada.hks.internal\staffprivate\JFrankel\www\Mexiclimatechange09.doc" TargetMode="External"/><Relationship Id="rId56" Type="http://schemas.openxmlformats.org/officeDocument/2006/relationships/hyperlink" Target="http://www.voxeu.org/index.php?q=node/989" TargetMode="Externa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default.asp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hks.harvard.edu/fs/jfrankel/LAC+PPT2010.doc" TargetMode="External"/><Relationship Id="rId17" Type="http://schemas.openxmlformats.org/officeDocument/2006/relationships/hyperlink" Target="http://ksghome.harvard.edu/~jfrankel/GlobalEnviro&amp;TradeSweJan.doc" TargetMode="External"/><Relationship Id="rId25" Type="http://schemas.openxmlformats.org/officeDocument/2006/relationships/hyperlink" Target="http://www.cambridge.org/catalogue/catalogue.asp?isbn=9780521138000" TargetMode="External"/><Relationship Id="rId33" Type="http://schemas.openxmlformats.org/officeDocument/2006/relationships/hyperlink" Target="http://ksghome.harvard.edu/~jfrankel/cocoa_in_ghana.pdf" TargetMode="External"/><Relationship Id="rId38" Type="http://schemas.openxmlformats.org/officeDocument/2006/relationships/hyperlink" Target="http://belfercenter.ksg.harvard.edu/experts/1014/joseph_aldy.html" TargetMode="External"/><Relationship Id="rId46" Type="http://schemas.openxmlformats.org/officeDocument/2006/relationships/hyperlink" Target="http://www.hpair.org/conferences/hconf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16163</Words>
  <Characters>102963</Characters>
  <Application>Microsoft Office Word</Application>
  <DocSecurity>0</DocSecurity>
  <Lines>858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118889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2</cp:revision>
  <cp:lastPrinted>2019-06-24T14:19:00Z</cp:lastPrinted>
  <dcterms:created xsi:type="dcterms:W3CDTF">2019-06-24T14:19:00Z</dcterms:created>
  <dcterms:modified xsi:type="dcterms:W3CDTF">2019-06-24T14:19:00Z</dcterms:modified>
</cp:coreProperties>
</file>