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73EA6" w14:textId="74EC14C6" w:rsidR="00B06D02" w:rsidRDefault="00B06D02" w:rsidP="004E0D7F">
      <w:pPr>
        <w:widowControl w:val="0"/>
        <w:autoSpaceDE w:val="0"/>
        <w:autoSpaceDN w:val="0"/>
        <w:adjustRightInd w:val="0"/>
        <w:jc w:val="center"/>
        <w:rPr>
          <w:rFonts w:ascii="Arial" w:hAnsi="Arial" w:cs="Arial"/>
          <w:b/>
          <w:bCs/>
          <w:color w:val="353535"/>
          <w:u w:val="single" w:color="353535"/>
        </w:rPr>
      </w:pPr>
      <w:bookmarkStart w:id="0" w:name="_GoBack"/>
      <w:bookmarkEnd w:id="0"/>
      <w:r>
        <w:rPr>
          <w:rFonts w:ascii="Arial" w:hAnsi="Arial" w:cs="Arial"/>
          <w:b/>
          <w:bCs/>
          <w:color w:val="353535"/>
          <w:u w:val="single" w:color="353535"/>
        </w:rPr>
        <w:t>Data Appendices</w:t>
      </w:r>
    </w:p>
    <w:p w14:paraId="2F505B14" w14:textId="724BB6D6" w:rsidR="00600F07" w:rsidRPr="004E0D7F" w:rsidRDefault="00600F07" w:rsidP="004E0D7F">
      <w:pPr>
        <w:widowControl w:val="0"/>
        <w:autoSpaceDE w:val="0"/>
        <w:autoSpaceDN w:val="0"/>
        <w:adjustRightInd w:val="0"/>
        <w:jc w:val="center"/>
        <w:rPr>
          <w:rFonts w:ascii="Arial" w:hAnsi="Arial" w:cs="Arial"/>
          <w:b/>
          <w:bCs/>
          <w:color w:val="353535"/>
          <w:u w:val="single" w:color="353535"/>
        </w:rPr>
      </w:pPr>
      <w:r>
        <w:rPr>
          <w:rFonts w:ascii="Arial" w:hAnsi="Arial" w:cs="Arial"/>
          <w:b/>
          <w:bCs/>
          <w:color w:val="353535"/>
          <w:u w:val="single" w:color="353535"/>
        </w:rPr>
        <w:t>(Shruti Lakhtakia, 4/28/2017)</w:t>
      </w:r>
    </w:p>
    <w:p w14:paraId="3CD79804" w14:textId="77777777" w:rsidR="00EA6731" w:rsidRPr="00215440" w:rsidRDefault="00EA6731" w:rsidP="00B06D02">
      <w:pPr>
        <w:widowControl w:val="0"/>
        <w:autoSpaceDE w:val="0"/>
        <w:autoSpaceDN w:val="0"/>
        <w:adjustRightInd w:val="0"/>
        <w:jc w:val="both"/>
        <w:rPr>
          <w:rFonts w:ascii="Arial" w:hAnsi="Arial" w:cs="Arial"/>
          <w:color w:val="353535"/>
        </w:rPr>
      </w:pPr>
    </w:p>
    <w:p w14:paraId="11581A77" w14:textId="71DCD8F7" w:rsidR="00B50279" w:rsidRPr="00215440" w:rsidRDefault="00B50279" w:rsidP="00B06D02">
      <w:pPr>
        <w:widowControl w:val="0"/>
        <w:autoSpaceDE w:val="0"/>
        <w:autoSpaceDN w:val="0"/>
        <w:adjustRightInd w:val="0"/>
        <w:jc w:val="both"/>
        <w:rPr>
          <w:rFonts w:ascii="Arial" w:hAnsi="Arial" w:cs="Arial"/>
          <w:color w:val="353535"/>
        </w:rPr>
      </w:pPr>
      <w:r w:rsidRPr="00215440">
        <w:rPr>
          <w:rFonts w:ascii="Arial" w:hAnsi="Arial" w:cs="Arial"/>
          <w:color w:val="353535"/>
        </w:rPr>
        <w:t>Sample Period</w:t>
      </w:r>
      <w:r w:rsidR="004E0D7F">
        <w:rPr>
          <w:rFonts w:ascii="Arial" w:hAnsi="Arial" w:cs="Arial"/>
          <w:color w:val="353535"/>
        </w:rPr>
        <w:t xml:space="preserve"> of Interest</w:t>
      </w:r>
      <w:r w:rsidRPr="00215440">
        <w:rPr>
          <w:rFonts w:ascii="Arial" w:hAnsi="Arial" w:cs="Arial"/>
          <w:color w:val="353535"/>
        </w:rPr>
        <w:t xml:space="preserve">: </w:t>
      </w:r>
      <w:r w:rsidR="00EE5A40">
        <w:rPr>
          <w:rFonts w:ascii="Arial" w:hAnsi="Arial" w:cs="Arial"/>
          <w:color w:val="353535"/>
        </w:rPr>
        <w:t xml:space="preserve">Monthly data, </w:t>
      </w:r>
      <w:r w:rsidRPr="00215440">
        <w:rPr>
          <w:rFonts w:ascii="Arial" w:hAnsi="Arial" w:cs="Arial"/>
          <w:color w:val="353535"/>
        </w:rPr>
        <w:t>Jan 1997</w:t>
      </w:r>
      <w:r w:rsidR="002D5011" w:rsidRPr="00215440">
        <w:rPr>
          <w:rFonts w:ascii="Arial" w:hAnsi="Arial" w:cs="Arial"/>
          <w:color w:val="353535"/>
        </w:rPr>
        <w:t>-Dec 2015</w:t>
      </w:r>
    </w:p>
    <w:p w14:paraId="7BFC062B" w14:textId="77777777" w:rsidR="00B50279" w:rsidRPr="00215440" w:rsidRDefault="00B50279" w:rsidP="00B06D02">
      <w:pPr>
        <w:widowControl w:val="0"/>
        <w:autoSpaceDE w:val="0"/>
        <w:autoSpaceDN w:val="0"/>
        <w:adjustRightInd w:val="0"/>
        <w:jc w:val="both"/>
        <w:rPr>
          <w:rFonts w:ascii="Arial" w:hAnsi="Arial" w:cs="Arial"/>
          <w:color w:val="353535"/>
        </w:rPr>
      </w:pPr>
    </w:p>
    <w:p w14:paraId="660F62A1" w14:textId="407C7736" w:rsidR="00162E4F" w:rsidRPr="00215440" w:rsidRDefault="00162E4F" w:rsidP="0005765A">
      <w:pPr>
        <w:pStyle w:val="Heading1"/>
        <w:rPr>
          <w:sz w:val="24"/>
          <w:szCs w:val="24"/>
        </w:rPr>
      </w:pPr>
      <w:r w:rsidRPr="0005765A">
        <w:t>Data</w:t>
      </w:r>
      <w:r w:rsidR="00EE5A40">
        <w:t xml:space="preserve"> Definitions and Sources</w:t>
      </w:r>
      <w:r w:rsidRPr="00215440">
        <w:rPr>
          <w:sz w:val="24"/>
          <w:szCs w:val="24"/>
        </w:rPr>
        <w:t>:</w:t>
      </w:r>
    </w:p>
    <w:p w14:paraId="67508926" w14:textId="77777777" w:rsidR="00D351B2" w:rsidRPr="00215440" w:rsidRDefault="00D351B2" w:rsidP="00B06D02">
      <w:pPr>
        <w:widowControl w:val="0"/>
        <w:autoSpaceDE w:val="0"/>
        <w:autoSpaceDN w:val="0"/>
        <w:adjustRightInd w:val="0"/>
        <w:jc w:val="both"/>
        <w:rPr>
          <w:rFonts w:ascii="Arial" w:hAnsi="Arial" w:cs="Arial"/>
          <w:color w:val="353535"/>
        </w:rPr>
      </w:pPr>
    </w:p>
    <w:p w14:paraId="17AA5EF5" w14:textId="52BBB08A" w:rsidR="00D351B2" w:rsidRPr="00215440" w:rsidRDefault="00D351B2" w:rsidP="0005765A">
      <w:pPr>
        <w:pStyle w:val="Heading2"/>
      </w:pPr>
      <w:r w:rsidRPr="00215440">
        <w:t>REER Data</w:t>
      </w:r>
    </w:p>
    <w:p w14:paraId="6BCB0A97" w14:textId="0DE0F8E8" w:rsidR="002D5011" w:rsidRPr="00215440" w:rsidRDefault="002D5011" w:rsidP="00B06D02">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 xml:space="preserve">Using REER data from </w:t>
      </w:r>
      <w:hyperlink r:id="rId6" w:history="1">
        <w:r w:rsidR="00F27A20" w:rsidRPr="00215440">
          <w:rPr>
            <w:rStyle w:val="Hyperlink"/>
            <w:rFonts w:ascii="Arial" w:hAnsi="Arial" w:cs="Arial"/>
          </w:rPr>
          <w:t>http://bruegel.org/publications/datasets/real-effective-exchange-rates-for-178-countries-a-new-database/</w:t>
        </w:r>
      </w:hyperlink>
      <w:r w:rsidR="00F27A20" w:rsidRPr="00215440">
        <w:rPr>
          <w:rFonts w:ascii="Arial" w:hAnsi="Arial" w:cs="Arial"/>
          <w:color w:val="353535"/>
        </w:rPr>
        <w:t>. In specific, using the monthly REER data which is calculated using 41 trading partners.</w:t>
      </w:r>
    </w:p>
    <w:p w14:paraId="76C20FB1" w14:textId="0DBB40E8" w:rsidR="00F27A20" w:rsidRPr="00215440" w:rsidRDefault="00F27A20" w:rsidP="00B06D02">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We use this dataset rather than the IMF or BIS data as it is available for more countries.</w:t>
      </w:r>
    </w:p>
    <w:p w14:paraId="5C1E791A" w14:textId="5E0E3F6A" w:rsidR="00F27A20" w:rsidRDefault="00F27A20" w:rsidP="00B06D02">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 xml:space="preserve">We also tried the </w:t>
      </w:r>
      <w:r w:rsidR="00D351B2" w:rsidRPr="00215440">
        <w:rPr>
          <w:rFonts w:ascii="Arial" w:hAnsi="Arial" w:cs="Arial"/>
          <w:color w:val="353535"/>
        </w:rPr>
        <w:t>IMF and BI</w:t>
      </w:r>
      <w:r w:rsidRPr="00215440">
        <w:rPr>
          <w:rFonts w:ascii="Arial" w:hAnsi="Arial" w:cs="Arial"/>
          <w:color w:val="353535"/>
        </w:rPr>
        <w:t xml:space="preserve">S data </w:t>
      </w:r>
      <w:r w:rsidR="00EE5A40">
        <w:rPr>
          <w:rFonts w:ascii="Arial" w:hAnsi="Arial" w:cs="Arial"/>
          <w:color w:val="353535"/>
        </w:rPr>
        <w:t>and found</w:t>
      </w:r>
      <w:r w:rsidRPr="00215440">
        <w:rPr>
          <w:rFonts w:ascii="Arial" w:hAnsi="Arial" w:cs="Arial"/>
          <w:color w:val="353535"/>
        </w:rPr>
        <w:t xml:space="preserve"> similar results.</w:t>
      </w:r>
    </w:p>
    <w:p w14:paraId="29604954" w14:textId="2F328B1B" w:rsidR="008C1AC3" w:rsidRPr="008C1AC3" w:rsidRDefault="008C1AC3" w:rsidP="008C1AC3">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 xml:space="preserve">All </w:t>
      </w:r>
      <w:r>
        <w:rPr>
          <w:rFonts w:ascii="Arial" w:hAnsi="Arial" w:cs="Arial"/>
          <w:color w:val="353535"/>
        </w:rPr>
        <w:t>analysis</w:t>
      </w:r>
      <w:r w:rsidRPr="00215440">
        <w:rPr>
          <w:rFonts w:ascii="Arial" w:hAnsi="Arial" w:cs="Arial"/>
          <w:color w:val="353535"/>
        </w:rPr>
        <w:t xml:space="preserve"> use</w:t>
      </w:r>
      <w:r>
        <w:rPr>
          <w:rFonts w:ascii="Arial" w:hAnsi="Arial" w:cs="Arial"/>
          <w:color w:val="353535"/>
        </w:rPr>
        <w:t>s</w:t>
      </w:r>
      <w:r w:rsidRPr="00215440">
        <w:rPr>
          <w:rFonts w:ascii="Arial" w:hAnsi="Arial" w:cs="Arial"/>
          <w:color w:val="353535"/>
        </w:rPr>
        <w:t xml:space="preserve"> the log of REER.</w:t>
      </w:r>
    </w:p>
    <w:p w14:paraId="0ED50639" w14:textId="15639BE4" w:rsidR="008C1AC3" w:rsidRPr="008C1AC3" w:rsidRDefault="00F27A20" w:rsidP="008C1AC3">
      <w:pPr>
        <w:pStyle w:val="ListParagraph"/>
        <w:widowControl w:val="0"/>
        <w:numPr>
          <w:ilvl w:val="0"/>
          <w:numId w:val="32"/>
        </w:numPr>
        <w:autoSpaceDE w:val="0"/>
        <w:autoSpaceDN w:val="0"/>
        <w:adjustRightInd w:val="0"/>
        <w:jc w:val="both"/>
        <w:rPr>
          <w:rFonts w:ascii="Arial" w:hAnsi="Arial" w:cs="Arial"/>
          <w:color w:val="353535"/>
        </w:rPr>
      </w:pPr>
      <w:r w:rsidRPr="00215440">
        <w:rPr>
          <w:rFonts w:ascii="Arial" w:hAnsi="Arial" w:cs="Arial"/>
          <w:color w:val="353535"/>
        </w:rPr>
        <w:t xml:space="preserve">Interpretation: </w:t>
      </w:r>
      <w:r w:rsidR="00D351B2" w:rsidRPr="00215440">
        <w:rPr>
          <w:rFonts w:ascii="Arial" w:hAnsi="Arial" w:cs="Arial"/>
          <w:color w:val="353535"/>
        </w:rPr>
        <w:t xml:space="preserve">An increase in the </w:t>
      </w:r>
      <w:r w:rsidR="009E2A62" w:rsidRPr="00215440">
        <w:rPr>
          <w:rFonts w:ascii="Arial" w:hAnsi="Arial" w:cs="Arial"/>
          <w:color w:val="353535"/>
        </w:rPr>
        <w:t>index indicates an appreciation of the home currency against the basket of currencies of trading partners.</w:t>
      </w:r>
    </w:p>
    <w:p w14:paraId="7747A256" w14:textId="77777777" w:rsidR="00162E4F" w:rsidRPr="00215440" w:rsidRDefault="00162E4F" w:rsidP="00B06D02">
      <w:pPr>
        <w:widowControl w:val="0"/>
        <w:autoSpaceDE w:val="0"/>
        <w:autoSpaceDN w:val="0"/>
        <w:adjustRightInd w:val="0"/>
        <w:jc w:val="both"/>
        <w:rPr>
          <w:rFonts w:ascii="Arial" w:hAnsi="Arial" w:cs="Arial"/>
          <w:color w:val="353535"/>
        </w:rPr>
      </w:pPr>
    </w:p>
    <w:p w14:paraId="122BB402" w14:textId="77777777" w:rsidR="00162E4F" w:rsidRPr="00215440" w:rsidRDefault="00162E4F" w:rsidP="0005765A">
      <w:pPr>
        <w:pStyle w:val="Heading2"/>
      </w:pPr>
      <w:r w:rsidRPr="00215440">
        <w:t>VIX Data</w:t>
      </w:r>
    </w:p>
    <w:p w14:paraId="28B5EF2C" w14:textId="77777777" w:rsidR="00162E4F" w:rsidRPr="00215440" w:rsidRDefault="00162E4F" w:rsidP="00B06D02">
      <w:pPr>
        <w:widowControl w:val="0"/>
        <w:autoSpaceDE w:val="0"/>
        <w:autoSpaceDN w:val="0"/>
        <w:adjustRightInd w:val="0"/>
        <w:jc w:val="both"/>
        <w:rPr>
          <w:rFonts w:ascii="Arial" w:hAnsi="Arial" w:cs="Arial"/>
          <w:color w:val="353535"/>
        </w:rPr>
      </w:pPr>
    </w:p>
    <w:p w14:paraId="66A5267A" w14:textId="168EBE56" w:rsidR="00162E4F" w:rsidRPr="00EE5A40" w:rsidRDefault="00162E4F" w:rsidP="00EE5A40">
      <w:pPr>
        <w:pStyle w:val="ListParagraph"/>
        <w:widowControl w:val="0"/>
        <w:numPr>
          <w:ilvl w:val="0"/>
          <w:numId w:val="40"/>
        </w:numPr>
        <w:autoSpaceDE w:val="0"/>
        <w:autoSpaceDN w:val="0"/>
        <w:adjustRightInd w:val="0"/>
        <w:jc w:val="both"/>
        <w:rPr>
          <w:rFonts w:ascii="Arial" w:hAnsi="Arial" w:cs="Arial"/>
          <w:color w:val="353535"/>
        </w:rPr>
      </w:pPr>
      <w:r w:rsidRPr="00EE5A40">
        <w:rPr>
          <w:rFonts w:ascii="Arial" w:hAnsi="Arial" w:cs="Arial"/>
          <w:color w:val="353535"/>
        </w:rPr>
        <w:t xml:space="preserve">Interpretation of VIX: </w:t>
      </w:r>
      <w:r w:rsidR="002B70AD" w:rsidRPr="00EE5A40">
        <w:rPr>
          <w:rFonts w:ascii="Arial" w:hAnsi="Arial" w:cs="Arial"/>
          <w:color w:val="353535"/>
        </w:rPr>
        <w:t>“</w:t>
      </w:r>
      <w:r w:rsidRPr="00EE5A40">
        <w:rPr>
          <w:rFonts w:ascii="Arial" w:hAnsi="Arial" w:cs="Arial"/>
          <w:color w:val="353535"/>
        </w:rPr>
        <w:t>The VIX is quoted in percentage points and represents the expected range of movement in the S&amp;P 500 index over the next year, at a 68% confidence level (i.e. one standard deviation of the normal probability curve). For example, if the VIX is 15, this represents an expected annualized change, with a 68% probability, of less than 15% up or down. One can calculate the expected volatility range for a single month from this figure by dividing the VIX figure of 15 not by 12, but by √12 which would imply a range of +/- 4.33% over the next 30-day period.</w:t>
      </w:r>
      <w:r w:rsidR="002B70AD" w:rsidRPr="00EE5A40">
        <w:rPr>
          <w:rFonts w:ascii="Arial" w:hAnsi="Arial" w:cs="Arial"/>
          <w:color w:val="353535"/>
        </w:rPr>
        <w:t xml:space="preserve"> </w:t>
      </w:r>
      <w:r w:rsidRPr="00EE5A40">
        <w:rPr>
          <w:rFonts w:ascii="Arial" w:hAnsi="Arial" w:cs="Arial"/>
          <w:color w:val="353535"/>
        </w:rPr>
        <w:t>Similarly, expected volatility for a week would be 15 divided by √52, or +/- 2.08%.</w:t>
      </w:r>
      <w:r w:rsidR="002B70AD" w:rsidRPr="00EE5A40">
        <w:rPr>
          <w:rFonts w:ascii="Arial" w:hAnsi="Arial" w:cs="Arial"/>
          <w:color w:val="353535"/>
        </w:rPr>
        <w:t>”</w:t>
      </w:r>
      <w:r w:rsidRPr="00EE5A40">
        <w:rPr>
          <w:rFonts w:ascii="Arial" w:hAnsi="Arial" w:cs="Arial"/>
          <w:color w:val="353535"/>
        </w:rPr>
        <w:t xml:space="preserve"> (Wikipedia)</w:t>
      </w:r>
    </w:p>
    <w:p w14:paraId="68C1F8B3" w14:textId="77777777" w:rsidR="00162E4F" w:rsidRPr="00215440" w:rsidRDefault="00162E4F" w:rsidP="00B06D02">
      <w:pPr>
        <w:widowControl w:val="0"/>
        <w:autoSpaceDE w:val="0"/>
        <w:autoSpaceDN w:val="0"/>
        <w:adjustRightInd w:val="0"/>
        <w:jc w:val="both"/>
        <w:rPr>
          <w:rFonts w:ascii="Arial" w:hAnsi="Arial" w:cs="Arial"/>
          <w:color w:val="353535"/>
        </w:rPr>
      </w:pPr>
      <w:r w:rsidRPr="00215440">
        <w:rPr>
          <w:rFonts w:ascii="Arial" w:hAnsi="Arial" w:cs="Arial"/>
          <w:color w:val="353535"/>
        </w:rPr>
        <w:t xml:space="preserve">So although analysts use percentage terms while referring to the VIX, this is when they are quoting expected volatility ranges, rather than using it for statistical analysis. </w:t>
      </w:r>
    </w:p>
    <w:p w14:paraId="746ED7D2" w14:textId="77777777" w:rsidR="00162E4F" w:rsidRPr="00215440" w:rsidRDefault="00162E4F" w:rsidP="00B06D02">
      <w:pPr>
        <w:widowControl w:val="0"/>
        <w:autoSpaceDE w:val="0"/>
        <w:autoSpaceDN w:val="0"/>
        <w:adjustRightInd w:val="0"/>
        <w:jc w:val="both"/>
        <w:rPr>
          <w:rFonts w:ascii="Arial" w:hAnsi="Arial" w:cs="Arial"/>
          <w:color w:val="353535"/>
        </w:rPr>
      </w:pPr>
    </w:p>
    <w:p w14:paraId="5B5A8999" w14:textId="79F8A3A8" w:rsidR="00162E4F" w:rsidRPr="00215440" w:rsidRDefault="002B70AD" w:rsidP="00B06D02">
      <w:pPr>
        <w:widowControl w:val="0"/>
        <w:autoSpaceDE w:val="0"/>
        <w:autoSpaceDN w:val="0"/>
        <w:adjustRightInd w:val="0"/>
        <w:jc w:val="both"/>
        <w:rPr>
          <w:rFonts w:ascii="Arial" w:hAnsi="Arial" w:cs="Arial"/>
          <w:color w:val="353535"/>
        </w:rPr>
      </w:pPr>
      <w:r w:rsidRPr="00215440">
        <w:rPr>
          <w:rFonts w:ascii="Arial" w:hAnsi="Arial" w:cs="Arial"/>
          <w:color w:val="353535"/>
        </w:rPr>
        <w:t>“</w:t>
      </w:r>
      <w:r w:rsidR="00162E4F" w:rsidRPr="00215440">
        <w:rPr>
          <w:rFonts w:ascii="Arial" w:hAnsi="Arial" w:cs="Arial"/>
          <w:color w:val="353535"/>
        </w:rPr>
        <w:t>Although the VIX isn't expressed as a percentage, it should be understood as one. A VIX of 22 translates to implied volatility of 22% on the SPX. This means that the index has a 66.7% probability (that being one standard deviation, statistically speaking) of trading within a range 22% higher than -- or lower than -- its current level, over the next year.</w:t>
      </w:r>
      <w:r w:rsidRPr="00215440">
        <w:rPr>
          <w:rFonts w:ascii="Arial" w:hAnsi="Arial" w:cs="Arial"/>
          <w:color w:val="353535"/>
        </w:rPr>
        <w:t>”</w:t>
      </w:r>
      <w:r w:rsidR="00162E4F" w:rsidRPr="00215440">
        <w:rPr>
          <w:rFonts w:ascii="Arial" w:hAnsi="Arial" w:cs="Arial"/>
          <w:color w:val="353535"/>
        </w:rPr>
        <w:t xml:space="preserve"> (</w:t>
      </w:r>
      <w:hyperlink r:id="rId7" w:history="1">
        <w:r w:rsidR="00162E4F" w:rsidRPr="00735BBC">
          <w:rPr>
            <w:rFonts w:ascii="Arial" w:hAnsi="Arial" w:cs="Arial"/>
            <w:color w:val="4472C4" w:themeColor="accent5"/>
          </w:rPr>
          <w:t>https://www.thestreet.com/topic/47306/vix.html</w:t>
        </w:r>
      </w:hyperlink>
      <w:r w:rsidR="00162E4F" w:rsidRPr="00215440">
        <w:rPr>
          <w:rFonts w:ascii="Arial" w:hAnsi="Arial" w:cs="Arial"/>
          <w:color w:val="353535"/>
        </w:rPr>
        <w:t xml:space="preserve">) </w:t>
      </w:r>
    </w:p>
    <w:p w14:paraId="3B5DAB98" w14:textId="77777777" w:rsidR="00162E4F" w:rsidRPr="00215440" w:rsidRDefault="00162E4F" w:rsidP="00B06D02">
      <w:pPr>
        <w:widowControl w:val="0"/>
        <w:autoSpaceDE w:val="0"/>
        <w:autoSpaceDN w:val="0"/>
        <w:adjustRightInd w:val="0"/>
        <w:jc w:val="both"/>
        <w:rPr>
          <w:rFonts w:ascii="Arial" w:hAnsi="Arial" w:cs="Arial"/>
          <w:color w:val="353535"/>
        </w:rPr>
      </w:pPr>
    </w:p>
    <w:p w14:paraId="13BEA467" w14:textId="76CEC557" w:rsidR="00F34FC6" w:rsidRPr="00215440" w:rsidRDefault="00162E4F" w:rsidP="00EE5A40">
      <w:pPr>
        <w:widowControl w:val="0"/>
        <w:autoSpaceDE w:val="0"/>
        <w:autoSpaceDN w:val="0"/>
        <w:adjustRightInd w:val="0"/>
        <w:rPr>
          <w:rFonts w:ascii="Arial" w:hAnsi="Arial" w:cs="Arial"/>
          <w:color w:val="353535"/>
        </w:rPr>
      </w:pPr>
      <w:r w:rsidRPr="00215440">
        <w:rPr>
          <w:rFonts w:ascii="Arial" w:hAnsi="Arial" w:cs="Arial"/>
          <w:color w:val="353535"/>
        </w:rPr>
        <w:t xml:space="preserve">Downloaded </w:t>
      </w:r>
      <w:r w:rsidR="00D423F0" w:rsidRPr="00215440">
        <w:rPr>
          <w:rFonts w:ascii="Arial" w:hAnsi="Arial" w:cs="Arial"/>
          <w:color w:val="353535"/>
        </w:rPr>
        <w:t xml:space="preserve">monthly data </w:t>
      </w:r>
      <w:r w:rsidRPr="00215440">
        <w:rPr>
          <w:rFonts w:ascii="Arial" w:hAnsi="Arial" w:cs="Arial"/>
          <w:color w:val="353535"/>
        </w:rPr>
        <w:t>from:</w:t>
      </w:r>
      <w:r w:rsidR="00D423F0" w:rsidRPr="00215440">
        <w:rPr>
          <w:rFonts w:ascii="Arial" w:hAnsi="Arial" w:cs="Arial"/>
          <w:color w:val="353535"/>
        </w:rPr>
        <w:t xml:space="preserve"> </w:t>
      </w:r>
      <w:hyperlink r:id="rId8" w:history="1">
        <w:r w:rsidRPr="00735BBC">
          <w:rPr>
            <w:rFonts w:ascii="Arial" w:hAnsi="Arial" w:cs="Arial"/>
            <w:color w:val="4472C4" w:themeColor="accent5"/>
          </w:rPr>
          <w:t>https://fred.stlouisfed.org/series/VIXCLS/downloaddata</w:t>
        </w:r>
      </w:hyperlink>
    </w:p>
    <w:p w14:paraId="7FE1BF0B" w14:textId="77777777" w:rsidR="001009AA" w:rsidRPr="00215440" w:rsidRDefault="001009AA" w:rsidP="00B06D02">
      <w:pPr>
        <w:widowControl w:val="0"/>
        <w:autoSpaceDE w:val="0"/>
        <w:autoSpaceDN w:val="0"/>
        <w:adjustRightInd w:val="0"/>
        <w:jc w:val="both"/>
        <w:rPr>
          <w:rFonts w:ascii="Arial" w:hAnsi="Arial" w:cs="Arial"/>
          <w:color w:val="353535"/>
        </w:rPr>
      </w:pPr>
    </w:p>
    <w:p w14:paraId="39AB5397" w14:textId="77777777" w:rsidR="001009AA" w:rsidRPr="00215440" w:rsidRDefault="001009AA" w:rsidP="0005765A">
      <w:pPr>
        <w:pStyle w:val="Heading2"/>
      </w:pPr>
      <w:r w:rsidRPr="00215440">
        <w:t>GEPU Data</w:t>
      </w:r>
    </w:p>
    <w:p w14:paraId="7CB29361" w14:textId="77777777" w:rsidR="001009AA" w:rsidRPr="00215440" w:rsidRDefault="001009AA" w:rsidP="00B06D02">
      <w:pPr>
        <w:widowControl w:val="0"/>
        <w:autoSpaceDE w:val="0"/>
        <w:autoSpaceDN w:val="0"/>
        <w:adjustRightInd w:val="0"/>
        <w:jc w:val="both"/>
        <w:rPr>
          <w:rFonts w:ascii="Arial" w:hAnsi="Arial" w:cs="Arial"/>
          <w:color w:val="353535"/>
        </w:rPr>
      </w:pPr>
    </w:p>
    <w:p w14:paraId="527427DC" w14:textId="488DB91B" w:rsidR="001C53C6" w:rsidRPr="00215440" w:rsidRDefault="001C53C6" w:rsidP="00B06D02">
      <w:pPr>
        <w:pStyle w:val="ListParagraph"/>
        <w:widowControl w:val="0"/>
        <w:numPr>
          <w:ilvl w:val="0"/>
          <w:numId w:val="33"/>
        </w:numPr>
        <w:autoSpaceDE w:val="0"/>
        <w:autoSpaceDN w:val="0"/>
        <w:adjustRightInd w:val="0"/>
        <w:jc w:val="both"/>
        <w:rPr>
          <w:rFonts w:ascii="Arial" w:hAnsi="Arial" w:cs="Arial"/>
          <w:color w:val="353535"/>
        </w:rPr>
      </w:pPr>
      <w:r w:rsidRPr="00215440">
        <w:rPr>
          <w:rFonts w:ascii="Arial" w:hAnsi="Arial" w:cs="Arial"/>
          <w:color w:val="353535"/>
        </w:rPr>
        <w:t>Main results are</w:t>
      </w:r>
      <w:r w:rsidR="00EE5A40">
        <w:rPr>
          <w:rFonts w:ascii="Arial" w:hAnsi="Arial" w:cs="Arial"/>
          <w:color w:val="353535"/>
        </w:rPr>
        <w:t xml:space="preserve"> produced using the VIX. Us</w:t>
      </w:r>
      <w:r w:rsidRPr="00215440">
        <w:rPr>
          <w:rFonts w:ascii="Arial" w:hAnsi="Arial" w:cs="Arial"/>
          <w:color w:val="353535"/>
        </w:rPr>
        <w:t>ing the Global Economic Policy Uncertainty (GEPU) Index produces similar results.</w:t>
      </w:r>
    </w:p>
    <w:p w14:paraId="4546A055" w14:textId="77777777" w:rsidR="00EE5A40" w:rsidRDefault="001009AA" w:rsidP="0005765A">
      <w:pPr>
        <w:pStyle w:val="ListParagraph"/>
        <w:widowControl w:val="0"/>
        <w:numPr>
          <w:ilvl w:val="0"/>
          <w:numId w:val="33"/>
        </w:numPr>
        <w:autoSpaceDE w:val="0"/>
        <w:autoSpaceDN w:val="0"/>
        <w:adjustRightInd w:val="0"/>
        <w:jc w:val="both"/>
        <w:rPr>
          <w:rFonts w:ascii="Arial" w:hAnsi="Arial" w:cs="Arial"/>
          <w:color w:val="353535"/>
        </w:rPr>
      </w:pPr>
      <w:r w:rsidRPr="00EE5A40">
        <w:rPr>
          <w:rFonts w:ascii="Arial" w:hAnsi="Arial" w:cs="Arial"/>
          <w:color w:val="353535"/>
        </w:rPr>
        <w:t>Data on the index is available at a monthly basis, beginning January 1997. Hence making Jan. 1997 the beginning of our data set.</w:t>
      </w:r>
      <w:r w:rsidR="001C53C6" w:rsidRPr="00EE5A40">
        <w:rPr>
          <w:rFonts w:ascii="Arial" w:hAnsi="Arial" w:cs="Arial"/>
          <w:color w:val="353535"/>
        </w:rPr>
        <w:t xml:space="preserve"> Data downloaded from: </w:t>
      </w:r>
      <w:hyperlink r:id="rId9" w:history="1">
        <w:r w:rsidR="001C53C6" w:rsidRPr="00EE5A40">
          <w:rPr>
            <w:rStyle w:val="Hyperlink"/>
            <w:rFonts w:ascii="Arial" w:hAnsi="Arial" w:cs="Arial"/>
          </w:rPr>
          <w:t>http://www.policyuncertainty.com/global_monthly.html</w:t>
        </w:r>
      </w:hyperlink>
      <w:r w:rsidR="001C53C6" w:rsidRPr="00EE5A40">
        <w:rPr>
          <w:rFonts w:ascii="Arial" w:hAnsi="Arial" w:cs="Arial"/>
          <w:color w:val="353535"/>
        </w:rPr>
        <w:t xml:space="preserve"> </w:t>
      </w:r>
    </w:p>
    <w:p w14:paraId="62201AFB" w14:textId="77777777" w:rsidR="00EE5A40" w:rsidRDefault="00EE5A40" w:rsidP="00EE5A40">
      <w:pPr>
        <w:widowControl w:val="0"/>
        <w:autoSpaceDE w:val="0"/>
        <w:autoSpaceDN w:val="0"/>
        <w:adjustRightInd w:val="0"/>
        <w:jc w:val="both"/>
        <w:rPr>
          <w:rFonts w:ascii="Arial" w:hAnsi="Arial" w:cs="Arial"/>
          <w:color w:val="353535"/>
        </w:rPr>
      </w:pPr>
    </w:p>
    <w:p w14:paraId="7BC67D37" w14:textId="4181B166" w:rsidR="001009AA" w:rsidRPr="00EE5A40" w:rsidRDefault="00837893" w:rsidP="0005765A">
      <w:pPr>
        <w:pStyle w:val="Heading2"/>
      </w:pPr>
      <w:r w:rsidRPr="00EE5A40">
        <w:t>International Reserves and BoP</w:t>
      </w:r>
    </w:p>
    <w:p w14:paraId="2EA9D0C6" w14:textId="77F4BE21" w:rsidR="00837893" w:rsidRPr="00215440" w:rsidRDefault="00837893" w:rsidP="00B06D02">
      <w:pPr>
        <w:pStyle w:val="ListParagraph"/>
        <w:widowControl w:val="0"/>
        <w:numPr>
          <w:ilvl w:val="0"/>
          <w:numId w:val="34"/>
        </w:numPr>
        <w:autoSpaceDE w:val="0"/>
        <w:autoSpaceDN w:val="0"/>
        <w:adjustRightInd w:val="0"/>
        <w:jc w:val="both"/>
        <w:rPr>
          <w:rFonts w:ascii="Arial" w:hAnsi="Arial" w:cs="Arial"/>
          <w:color w:val="353535"/>
        </w:rPr>
      </w:pPr>
      <w:r w:rsidRPr="00215440">
        <w:rPr>
          <w:rFonts w:ascii="Arial" w:hAnsi="Arial" w:cs="Arial"/>
          <w:color w:val="353535"/>
        </w:rPr>
        <w:t>From monthly IFS data (published on the IMF website)</w:t>
      </w:r>
    </w:p>
    <w:p w14:paraId="126B0648" w14:textId="3AD3C387" w:rsidR="001009AA" w:rsidRPr="00215440" w:rsidRDefault="001009AA" w:rsidP="00B06D02">
      <w:pPr>
        <w:pStyle w:val="ListParagraph"/>
        <w:widowControl w:val="0"/>
        <w:numPr>
          <w:ilvl w:val="0"/>
          <w:numId w:val="34"/>
        </w:numPr>
        <w:autoSpaceDE w:val="0"/>
        <w:autoSpaceDN w:val="0"/>
        <w:adjustRightInd w:val="0"/>
        <w:jc w:val="both"/>
        <w:rPr>
          <w:rFonts w:ascii="Arial" w:hAnsi="Arial" w:cs="Arial"/>
          <w:color w:val="353535"/>
        </w:rPr>
      </w:pPr>
      <w:r w:rsidRPr="00215440">
        <w:rPr>
          <w:rFonts w:ascii="Arial" w:hAnsi="Arial" w:cs="Arial"/>
          <w:color w:val="353535"/>
        </w:rPr>
        <w:t>Reserves</w:t>
      </w:r>
      <w:r w:rsidR="00837893" w:rsidRPr="00215440">
        <w:rPr>
          <w:rFonts w:ascii="Arial" w:hAnsi="Arial" w:cs="Arial"/>
          <w:color w:val="353535"/>
        </w:rPr>
        <w:t xml:space="preserve"> defined as</w:t>
      </w:r>
      <w:r w:rsidRPr="00215440">
        <w:rPr>
          <w:rFonts w:ascii="Arial" w:hAnsi="Arial" w:cs="Arial"/>
          <w:color w:val="353535"/>
        </w:rPr>
        <w:t xml:space="preserve"> International Reserves without Gold, US$. The first difference </w:t>
      </w:r>
      <w:r w:rsidR="00837893" w:rsidRPr="00215440">
        <w:rPr>
          <w:rFonts w:ascii="Arial" w:hAnsi="Arial" w:cs="Arial"/>
          <w:color w:val="353535"/>
        </w:rPr>
        <w:t xml:space="preserve">of the monthly reserves </w:t>
      </w:r>
      <w:r w:rsidRPr="00215440">
        <w:rPr>
          <w:rFonts w:ascii="Arial" w:hAnsi="Arial" w:cs="Arial"/>
          <w:color w:val="353535"/>
        </w:rPr>
        <w:t xml:space="preserve">is the </w:t>
      </w:r>
      <w:r w:rsidR="00837893" w:rsidRPr="00215440">
        <w:rPr>
          <w:rFonts w:ascii="Arial" w:hAnsi="Arial" w:cs="Arial"/>
          <w:color w:val="353535"/>
        </w:rPr>
        <w:t>Balance of Payments (BoP)</w:t>
      </w:r>
      <w:r w:rsidRPr="00215440">
        <w:rPr>
          <w:rFonts w:ascii="Arial" w:hAnsi="Arial" w:cs="Arial"/>
          <w:color w:val="353535"/>
        </w:rPr>
        <w:t>.</w:t>
      </w:r>
    </w:p>
    <w:p w14:paraId="5DED2CDA" w14:textId="77777777" w:rsidR="00837893" w:rsidRPr="00215440" w:rsidRDefault="00837893" w:rsidP="00B06D02">
      <w:pPr>
        <w:widowControl w:val="0"/>
        <w:autoSpaceDE w:val="0"/>
        <w:autoSpaceDN w:val="0"/>
        <w:adjustRightInd w:val="0"/>
        <w:jc w:val="both"/>
        <w:rPr>
          <w:rFonts w:ascii="Arial" w:hAnsi="Arial" w:cs="Arial"/>
          <w:color w:val="353535"/>
        </w:rPr>
      </w:pPr>
    </w:p>
    <w:p w14:paraId="25271B90" w14:textId="5F1E27AF" w:rsidR="00837893" w:rsidRPr="00215440" w:rsidRDefault="00837893" w:rsidP="0005765A">
      <w:pPr>
        <w:pStyle w:val="Heading2"/>
      </w:pPr>
      <w:r w:rsidRPr="00215440">
        <w:t>GDP Data</w:t>
      </w:r>
    </w:p>
    <w:p w14:paraId="22E54010" w14:textId="081CF09A" w:rsidR="00837893" w:rsidRPr="00215440" w:rsidRDefault="00110769" w:rsidP="00B06D02">
      <w:pPr>
        <w:pStyle w:val="ListParagraph"/>
        <w:widowControl w:val="0"/>
        <w:numPr>
          <w:ilvl w:val="0"/>
          <w:numId w:val="35"/>
        </w:numPr>
        <w:autoSpaceDE w:val="0"/>
        <w:autoSpaceDN w:val="0"/>
        <w:adjustRightInd w:val="0"/>
        <w:jc w:val="both"/>
        <w:rPr>
          <w:rFonts w:ascii="Arial" w:hAnsi="Arial" w:cs="Arial"/>
          <w:color w:val="353535"/>
        </w:rPr>
      </w:pPr>
      <w:r w:rsidRPr="00215440">
        <w:rPr>
          <w:rFonts w:ascii="Arial" w:hAnsi="Arial" w:cs="Arial"/>
          <w:color w:val="353535"/>
        </w:rPr>
        <w:t xml:space="preserve">Nominal </w:t>
      </w:r>
      <w:r w:rsidR="00837893" w:rsidRPr="00215440">
        <w:rPr>
          <w:rFonts w:ascii="Arial" w:hAnsi="Arial" w:cs="Arial"/>
          <w:color w:val="353535"/>
        </w:rPr>
        <w:t xml:space="preserve">GDP </w:t>
      </w:r>
      <w:r w:rsidRPr="00215440">
        <w:rPr>
          <w:rFonts w:ascii="Arial" w:hAnsi="Arial" w:cs="Arial"/>
          <w:color w:val="353535"/>
        </w:rPr>
        <w:t xml:space="preserve">(national currency) </w:t>
      </w:r>
      <w:r w:rsidR="00837893" w:rsidRPr="00215440">
        <w:rPr>
          <w:rFonts w:ascii="Arial" w:hAnsi="Arial" w:cs="Arial"/>
          <w:color w:val="353535"/>
        </w:rPr>
        <w:t>quarterly data was extracted from the IFS (IMF website) as well as OECD.</w:t>
      </w:r>
    </w:p>
    <w:p w14:paraId="7C0D7B0A" w14:textId="2D2BE5D5" w:rsidR="00837893" w:rsidRPr="00215440" w:rsidRDefault="00837893" w:rsidP="00B06D02">
      <w:pPr>
        <w:pStyle w:val="ListParagraph"/>
        <w:widowControl w:val="0"/>
        <w:numPr>
          <w:ilvl w:val="0"/>
          <w:numId w:val="35"/>
        </w:numPr>
        <w:autoSpaceDE w:val="0"/>
        <w:autoSpaceDN w:val="0"/>
        <w:adjustRightInd w:val="0"/>
        <w:jc w:val="both"/>
        <w:rPr>
          <w:rFonts w:ascii="Arial" w:hAnsi="Arial" w:cs="Arial"/>
          <w:color w:val="353535"/>
        </w:rPr>
      </w:pPr>
      <w:r w:rsidRPr="00215440">
        <w:rPr>
          <w:rFonts w:ascii="Arial" w:hAnsi="Arial" w:cs="Arial"/>
          <w:color w:val="353535"/>
        </w:rPr>
        <w:t xml:space="preserve">Data </w:t>
      </w:r>
      <w:r w:rsidR="00110769" w:rsidRPr="00215440">
        <w:rPr>
          <w:rFonts w:ascii="Arial" w:hAnsi="Arial" w:cs="Arial"/>
          <w:color w:val="353535"/>
        </w:rPr>
        <w:t xml:space="preserve">available </w:t>
      </w:r>
      <w:r w:rsidRPr="00215440">
        <w:rPr>
          <w:rFonts w:ascii="Arial" w:hAnsi="Arial" w:cs="Arial"/>
          <w:color w:val="353535"/>
        </w:rPr>
        <w:t>was seasonally</w:t>
      </w:r>
      <w:r w:rsidR="00110769" w:rsidRPr="00215440">
        <w:rPr>
          <w:rFonts w:ascii="Arial" w:hAnsi="Arial" w:cs="Arial"/>
          <w:color w:val="353535"/>
        </w:rPr>
        <w:t xml:space="preserve"> adjusted for Australia, New Zealand and Colombia and not for the others. Data for Ecuador is in USD. Data for Canada, Mexico and South Africa was extracted from the OECD database, the CQRSA series (national currency, current prices, quarterly levels, seasonally adjusted). </w:t>
      </w:r>
    </w:p>
    <w:p w14:paraId="01176CDF" w14:textId="7AB84820" w:rsidR="00E518EA" w:rsidRPr="00215440" w:rsidRDefault="00E518EA" w:rsidP="00B06D02">
      <w:pPr>
        <w:pStyle w:val="ListParagraph"/>
        <w:widowControl w:val="0"/>
        <w:numPr>
          <w:ilvl w:val="0"/>
          <w:numId w:val="35"/>
        </w:numPr>
        <w:autoSpaceDE w:val="0"/>
        <w:autoSpaceDN w:val="0"/>
        <w:adjustRightInd w:val="0"/>
        <w:jc w:val="both"/>
        <w:rPr>
          <w:rFonts w:ascii="Arial" w:hAnsi="Arial" w:cs="Arial"/>
          <w:color w:val="353535"/>
        </w:rPr>
      </w:pPr>
      <w:r w:rsidRPr="00215440">
        <w:rPr>
          <w:rFonts w:ascii="Arial" w:hAnsi="Arial" w:cs="Arial"/>
          <w:color w:val="353535"/>
        </w:rPr>
        <w:t>Since data is available only at the quarterly level, it is interpolated to the monthly level using cubic spline interpolation.</w:t>
      </w:r>
    </w:p>
    <w:p w14:paraId="4FC80E14" w14:textId="77777777" w:rsidR="00343012" w:rsidRPr="00215440" w:rsidRDefault="00343012" w:rsidP="00B06D02">
      <w:pPr>
        <w:widowControl w:val="0"/>
        <w:autoSpaceDE w:val="0"/>
        <w:autoSpaceDN w:val="0"/>
        <w:adjustRightInd w:val="0"/>
        <w:jc w:val="both"/>
        <w:rPr>
          <w:rFonts w:ascii="Arial" w:hAnsi="Arial" w:cs="Arial"/>
          <w:color w:val="353535"/>
        </w:rPr>
      </w:pPr>
    </w:p>
    <w:p w14:paraId="7422195F" w14:textId="011E778C" w:rsidR="00343012" w:rsidRPr="00EE5A40" w:rsidRDefault="00343012" w:rsidP="0005765A">
      <w:pPr>
        <w:pStyle w:val="Heading2"/>
      </w:pPr>
      <w:r w:rsidRPr="00EE5A40">
        <w:t>Monetary Base and M1</w:t>
      </w:r>
    </w:p>
    <w:p w14:paraId="14BCAB59" w14:textId="77777777" w:rsidR="00343012" w:rsidRPr="00EE5A40" w:rsidRDefault="00343012" w:rsidP="00B06D02">
      <w:pPr>
        <w:pStyle w:val="ListParagraph"/>
        <w:widowControl w:val="0"/>
        <w:numPr>
          <w:ilvl w:val="0"/>
          <w:numId w:val="36"/>
        </w:numPr>
        <w:autoSpaceDE w:val="0"/>
        <w:autoSpaceDN w:val="0"/>
        <w:adjustRightInd w:val="0"/>
        <w:jc w:val="both"/>
        <w:rPr>
          <w:rFonts w:ascii="Arial" w:hAnsi="Arial" w:cs="Arial"/>
          <w:color w:val="C00000"/>
        </w:rPr>
      </w:pPr>
      <w:r w:rsidRPr="00EE5A40">
        <w:rPr>
          <w:rFonts w:ascii="Arial" w:hAnsi="Arial" w:cs="Arial"/>
          <w:color w:val="C00000"/>
        </w:rPr>
        <w:t>From monthly IFS data (published on the IMF website)</w:t>
      </w:r>
    </w:p>
    <w:p w14:paraId="5B345144" w14:textId="78809D0F" w:rsidR="00343012" w:rsidRPr="00EE5A40" w:rsidRDefault="00343012" w:rsidP="00B06D02">
      <w:pPr>
        <w:pStyle w:val="ListParagraph"/>
        <w:widowControl w:val="0"/>
        <w:numPr>
          <w:ilvl w:val="0"/>
          <w:numId w:val="36"/>
        </w:numPr>
        <w:autoSpaceDE w:val="0"/>
        <w:autoSpaceDN w:val="0"/>
        <w:adjustRightInd w:val="0"/>
        <w:jc w:val="both"/>
        <w:rPr>
          <w:rFonts w:ascii="Arial" w:hAnsi="Arial" w:cs="Arial"/>
          <w:color w:val="C00000"/>
        </w:rPr>
      </w:pPr>
      <w:r w:rsidRPr="00EE5A40">
        <w:rPr>
          <w:rFonts w:ascii="Arial" w:hAnsi="Arial" w:cs="Arial"/>
          <w:color w:val="C00000"/>
        </w:rPr>
        <w:t>In local currency units</w:t>
      </w:r>
    </w:p>
    <w:p w14:paraId="250629DC" w14:textId="77777777" w:rsidR="00343012" w:rsidRPr="00EE5A40" w:rsidRDefault="00343012" w:rsidP="00B06D02">
      <w:pPr>
        <w:widowControl w:val="0"/>
        <w:autoSpaceDE w:val="0"/>
        <w:autoSpaceDN w:val="0"/>
        <w:adjustRightInd w:val="0"/>
        <w:jc w:val="both"/>
        <w:rPr>
          <w:rFonts w:ascii="Arial" w:hAnsi="Arial" w:cs="Arial"/>
          <w:color w:val="C00000"/>
        </w:rPr>
      </w:pPr>
    </w:p>
    <w:p w14:paraId="7D5203E1" w14:textId="12283620" w:rsidR="00343012" w:rsidRPr="00EE5A40" w:rsidRDefault="00343012" w:rsidP="00B06D02">
      <w:pPr>
        <w:widowControl w:val="0"/>
        <w:autoSpaceDE w:val="0"/>
        <w:autoSpaceDN w:val="0"/>
        <w:adjustRightInd w:val="0"/>
        <w:jc w:val="both"/>
        <w:rPr>
          <w:rFonts w:ascii="Arial" w:hAnsi="Arial" w:cs="Arial"/>
          <w:color w:val="C00000"/>
        </w:rPr>
      </w:pPr>
      <w:r w:rsidRPr="00EE5A40">
        <w:rPr>
          <w:rFonts w:ascii="Arial" w:hAnsi="Arial" w:cs="Arial"/>
          <w:color w:val="C00000"/>
        </w:rPr>
        <w:t xml:space="preserve">Defining the ratios of </w:t>
      </w:r>
      <w:r w:rsidR="00765DDC" w:rsidRPr="00EE5A40">
        <w:rPr>
          <w:rFonts w:ascii="Arial" w:hAnsi="Arial" w:cs="Arial"/>
          <w:color w:val="C00000"/>
        </w:rPr>
        <w:t>BoP/MB, M1, GDP!!!!!! (Same currency units)</w:t>
      </w:r>
    </w:p>
    <w:p w14:paraId="7B886C5E" w14:textId="77777777" w:rsidR="006B4FBD" w:rsidRPr="00EE5A40" w:rsidRDefault="006B4FBD" w:rsidP="00B06D02">
      <w:pPr>
        <w:widowControl w:val="0"/>
        <w:autoSpaceDE w:val="0"/>
        <w:autoSpaceDN w:val="0"/>
        <w:adjustRightInd w:val="0"/>
        <w:jc w:val="both"/>
        <w:rPr>
          <w:rFonts w:ascii="Arial" w:hAnsi="Arial" w:cs="Arial"/>
          <w:color w:val="C00000"/>
        </w:rPr>
      </w:pPr>
      <w:r w:rsidRPr="00EE5A40">
        <w:rPr>
          <w:rFonts w:ascii="Arial" w:hAnsi="Arial" w:cs="Arial"/>
          <w:color w:val="C00000"/>
        </w:rPr>
        <w:t>R-Mbase regressions: Missing 248 for the lack of MBase data</w:t>
      </w:r>
    </w:p>
    <w:p w14:paraId="3BB2508E" w14:textId="77777777" w:rsidR="006B4FBD" w:rsidRPr="00EE5A40" w:rsidRDefault="006B4FBD" w:rsidP="00B06D02">
      <w:pPr>
        <w:widowControl w:val="0"/>
        <w:autoSpaceDE w:val="0"/>
        <w:autoSpaceDN w:val="0"/>
        <w:adjustRightInd w:val="0"/>
        <w:jc w:val="both"/>
        <w:rPr>
          <w:rFonts w:ascii="Arial" w:hAnsi="Arial" w:cs="Arial"/>
          <w:color w:val="C00000"/>
        </w:rPr>
      </w:pPr>
      <w:r w:rsidRPr="00EE5A40">
        <w:rPr>
          <w:rFonts w:ascii="Arial" w:hAnsi="Arial" w:cs="Arial"/>
          <w:color w:val="C00000"/>
        </w:rPr>
        <w:t>rmbase: bop/mbase</w:t>
      </w:r>
    </w:p>
    <w:p w14:paraId="6F0DB292" w14:textId="38329A09" w:rsidR="006B4FBD" w:rsidRPr="00EE5A40" w:rsidRDefault="006B4FBD" w:rsidP="00B06D02">
      <w:pPr>
        <w:widowControl w:val="0"/>
        <w:autoSpaceDE w:val="0"/>
        <w:autoSpaceDN w:val="0"/>
        <w:adjustRightInd w:val="0"/>
        <w:jc w:val="both"/>
        <w:rPr>
          <w:rFonts w:ascii="Arial" w:hAnsi="Arial" w:cs="Arial"/>
          <w:color w:val="C00000"/>
        </w:rPr>
      </w:pPr>
      <w:r w:rsidRPr="00EE5A40">
        <w:rPr>
          <w:rFonts w:ascii="Arial" w:hAnsi="Arial" w:cs="Arial"/>
          <w:color w:val="C00000"/>
        </w:rPr>
        <w:t>Rm1 missing:156, 248, 293, 466, 516, 578, 582, 853</w:t>
      </w:r>
    </w:p>
    <w:p w14:paraId="4464459E" w14:textId="77777777" w:rsidR="006B4FBD" w:rsidRPr="00215440" w:rsidRDefault="006B4FBD" w:rsidP="00B06D02">
      <w:pPr>
        <w:widowControl w:val="0"/>
        <w:autoSpaceDE w:val="0"/>
        <w:autoSpaceDN w:val="0"/>
        <w:adjustRightInd w:val="0"/>
        <w:jc w:val="both"/>
        <w:rPr>
          <w:rFonts w:ascii="Arial" w:hAnsi="Arial" w:cs="Arial"/>
          <w:color w:val="353535"/>
        </w:rPr>
      </w:pPr>
    </w:p>
    <w:p w14:paraId="55CFA6FF" w14:textId="3A1DAE12" w:rsidR="006B4FBD" w:rsidRPr="00215440" w:rsidRDefault="0005765A" w:rsidP="0005765A">
      <w:pPr>
        <w:pStyle w:val="Heading2"/>
        <w:rPr>
          <w:sz w:val="24"/>
          <w:szCs w:val="24"/>
        </w:rPr>
      </w:pPr>
      <w:r>
        <w:t>Trade Data</w:t>
      </w:r>
    </w:p>
    <w:p w14:paraId="1A46745C" w14:textId="404C5D0C" w:rsidR="006B4FBD" w:rsidRPr="00215440" w:rsidRDefault="006B4FBD" w:rsidP="00B06D02">
      <w:pPr>
        <w:pStyle w:val="ListParagraph"/>
        <w:widowControl w:val="0"/>
        <w:numPr>
          <w:ilvl w:val="0"/>
          <w:numId w:val="37"/>
        </w:numPr>
        <w:autoSpaceDE w:val="0"/>
        <w:autoSpaceDN w:val="0"/>
        <w:adjustRightInd w:val="0"/>
        <w:jc w:val="both"/>
        <w:rPr>
          <w:rFonts w:ascii="Arial" w:hAnsi="Arial" w:cs="Arial"/>
          <w:color w:val="353535"/>
        </w:rPr>
      </w:pPr>
      <w:r w:rsidRPr="00215440">
        <w:rPr>
          <w:rFonts w:ascii="Arial" w:hAnsi="Arial" w:cs="Arial"/>
          <w:color w:val="353535"/>
        </w:rPr>
        <w:t>Downloaded from</w:t>
      </w:r>
      <w:r w:rsidR="0022225C" w:rsidRPr="00735BBC">
        <w:rPr>
          <w:rFonts w:ascii="Arial" w:hAnsi="Arial" w:cs="Arial"/>
          <w:color w:val="4472C4" w:themeColor="accent5"/>
        </w:rPr>
        <w:t xml:space="preserve"> </w:t>
      </w:r>
      <w:hyperlink r:id="rId10" w:history="1">
        <w:r w:rsidR="006654D3" w:rsidRPr="00735BBC">
          <w:rPr>
            <w:rFonts w:ascii="Arial" w:hAnsi="Arial" w:cs="Arial"/>
            <w:color w:val="4472C4" w:themeColor="accent5"/>
          </w:rPr>
          <w:t>https://comtrade.un.org/data/</w:t>
        </w:r>
      </w:hyperlink>
    </w:p>
    <w:p w14:paraId="0E9E6C4E" w14:textId="2E9A3A5A" w:rsidR="0081076D" w:rsidRPr="00215440" w:rsidRDefault="006A45E5" w:rsidP="00B06D02">
      <w:pPr>
        <w:pStyle w:val="ListParagraph"/>
        <w:widowControl w:val="0"/>
        <w:numPr>
          <w:ilvl w:val="0"/>
          <w:numId w:val="37"/>
        </w:numPr>
        <w:autoSpaceDE w:val="0"/>
        <w:autoSpaceDN w:val="0"/>
        <w:adjustRightInd w:val="0"/>
        <w:jc w:val="both"/>
        <w:rPr>
          <w:rFonts w:ascii="Arial" w:hAnsi="Arial" w:cs="Arial"/>
          <w:color w:val="353535"/>
        </w:rPr>
      </w:pPr>
      <w:r>
        <w:rPr>
          <w:rFonts w:ascii="Arial" w:hAnsi="Arial" w:cs="Arial"/>
          <w:color w:val="353535"/>
        </w:rPr>
        <w:t>The calculation of the country-specific commodity price indices is explained in detail below.</w:t>
      </w:r>
    </w:p>
    <w:p w14:paraId="534E293A" w14:textId="77777777" w:rsidR="006B4FBD" w:rsidRPr="00215440" w:rsidRDefault="006B4FBD" w:rsidP="00B06D02">
      <w:pPr>
        <w:widowControl w:val="0"/>
        <w:autoSpaceDE w:val="0"/>
        <w:autoSpaceDN w:val="0"/>
        <w:adjustRightInd w:val="0"/>
        <w:jc w:val="both"/>
        <w:rPr>
          <w:rFonts w:ascii="Arial" w:hAnsi="Arial" w:cs="Arial"/>
          <w:color w:val="353535"/>
        </w:rPr>
      </w:pPr>
    </w:p>
    <w:p w14:paraId="5D92024B" w14:textId="1A4180F1" w:rsidR="006B4FBD" w:rsidRDefault="0005765A" w:rsidP="0005765A">
      <w:pPr>
        <w:pStyle w:val="Heading2"/>
      </w:pPr>
      <w:r>
        <w:t>Commodity Price Data</w:t>
      </w:r>
    </w:p>
    <w:p w14:paraId="40CEAE6F" w14:textId="46D953EF" w:rsidR="004972B8" w:rsidRDefault="004972B8" w:rsidP="004972B8">
      <w:pPr>
        <w:pStyle w:val="ListParagraph"/>
        <w:widowControl w:val="0"/>
        <w:numPr>
          <w:ilvl w:val="0"/>
          <w:numId w:val="38"/>
        </w:numPr>
        <w:autoSpaceDE w:val="0"/>
        <w:autoSpaceDN w:val="0"/>
        <w:adjustRightInd w:val="0"/>
        <w:jc w:val="both"/>
        <w:rPr>
          <w:rFonts w:ascii="Arial" w:hAnsi="Arial" w:cs="Arial"/>
          <w:color w:val="353535"/>
        </w:rPr>
      </w:pPr>
      <w:r w:rsidRPr="00215440">
        <w:rPr>
          <w:rFonts w:ascii="Arial" w:hAnsi="Arial" w:cs="Arial"/>
          <w:color w:val="353535"/>
        </w:rPr>
        <w:t xml:space="preserve">Price data downloaded from: </w:t>
      </w:r>
      <w:r w:rsidR="001C7726" w:rsidRPr="001C7726">
        <w:rPr>
          <w:rFonts w:ascii="Arial" w:hAnsi="Arial" w:cs="Arial"/>
          <w:color w:val="353535"/>
        </w:rPr>
        <w:t>http://data.worldbank.org/data-catalog/commodity-price-data</w:t>
      </w:r>
      <w:r w:rsidRPr="00215440">
        <w:rPr>
          <w:rFonts w:ascii="Arial" w:hAnsi="Arial" w:cs="Arial"/>
          <w:color w:val="353535"/>
        </w:rPr>
        <w:t xml:space="preserve">. This is the same as the Pink Sheet data. </w:t>
      </w:r>
      <w:r w:rsidR="0090468D">
        <w:rPr>
          <w:rFonts w:ascii="Arial" w:hAnsi="Arial" w:cs="Arial"/>
          <w:color w:val="353535"/>
        </w:rPr>
        <w:t xml:space="preserve">See more: </w:t>
      </w:r>
      <w:hyperlink r:id="rId11" w:history="1">
        <w:r w:rsidRPr="00735BBC">
          <w:rPr>
            <w:rFonts w:ascii="Arial" w:hAnsi="Arial" w:cs="Arial"/>
            <w:color w:val="4472C4" w:themeColor="accent5"/>
          </w:rPr>
          <w:t>http://data.worldbank.org/data-catalog/commodity-price-data</w:t>
        </w:r>
      </w:hyperlink>
    </w:p>
    <w:p w14:paraId="1DD425C3" w14:textId="77777777" w:rsidR="004972B8" w:rsidRDefault="004972B8" w:rsidP="004972B8">
      <w:pPr>
        <w:pStyle w:val="ListParagraph"/>
        <w:widowControl w:val="0"/>
        <w:numPr>
          <w:ilvl w:val="0"/>
          <w:numId w:val="38"/>
        </w:numPr>
        <w:autoSpaceDE w:val="0"/>
        <w:autoSpaceDN w:val="0"/>
        <w:adjustRightInd w:val="0"/>
        <w:jc w:val="both"/>
        <w:rPr>
          <w:rFonts w:ascii="Arial" w:hAnsi="Arial" w:cs="Arial"/>
          <w:color w:val="353535"/>
        </w:rPr>
      </w:pPr>
      <w:r>
        <w:rPr>
          <w:rFonts w:ascii="Arial" w:hAnsi="Arial" w:cs="Arial"/>
          <w:color w:val="353535"/>
        </w:rPr>
        <w:t>Added data on the Precious Metal Index from the World Bank Commodity Price data.</w:t>
      </w:r>
    </w:p>
    <w:p w14:paraId="56689DF9" w14:textId="763709D3" w:rsidR="004972B8" w:rsidRPr="00215440" w:rsidRDefault="004972B8" w:rsidP="004972B8">
      <w:pPr>
        <w:pStyle w:val="ListParagraph"/>
        <w:widowControl w:val="0"/>
        <w:numPr>
          <w:ilvl w:val="0"/>
          <w:numId w:val="38"/>
        </w:numPr>
        <w:autoSpaceDE w:val="0"/>
        <w:autoSpaceDN w:val="0"/>
        <w:adjustRightInd w:val="0"/>
        <w:jc w:val="both"/>
        <w:rPr>
          <w:rFonts w:ascii="Arial" w:hAnsi="Arial" w:cs="Arial"/>
          <w:color w:val="353535"/>
        </w:rPr>
      </w:pPr>
      <w:r w:rsidRPr="00215440">
        <w:rPr>
          <w:rFonts w:ascii="Arial" w:hAnsi="Arial" w:cs="Arial"/>
          <w:color w:val="353535"/>
        </w:rPr>
        <w:t>All commodity prices and commodity price indices are deflated by the US CPI to take out the gradual upward trend in commodity prices that results from general inflation.</w:t>
      </w:r>
      <w:r w:rsidR="00577B8F">
        <w:rPr>
          <w:rFonts w:ascii="Arial" w:hAnsi="Arial" w:cs="Arial"/>
          <w:color w:val="353535"/>
        </w:rPr>
        <w:t xml:space="preserve"> US CPI data (</w:t>
      </w:r>
      <w:r w:rsidR="00577B8F" w:rsidRPr="00577B8F">
        <w:rPr>
          <w:rFonts w:ascii="Arial" w:hAnsi="Arial" w:cs="Arial"/>
          <w:color w:val="353535"/>
        </w:rPr>
        <w:t>Consumer Price Index for All Urban Consumers: All Items, Index 1982-1984=100, Monthly, Seasonally Adjusted</w:t>
      </w:r>
      <w:r w:rsidR="00577B8F">
        <w:rPr>
          <w:rFonts w:ascii="Arial" w:hAnsi="Arial" w:cs="Arial"/>
          <w:color w:val="353535"/>
        </w:rPr>
        <w:t xml:space="preserve">) downloaded from </w:t>
      </w:r>
      <w:hyperlink r:id="rId12" w:history="1">
        <w:r w:rsidR="000B6CCB" w:rsidRPr="00C01ECB">
          <w:rPr>
            <w:rStyle w:val="Hyperlink"/>
            <w:rFonts w:ascii="Arial" w:hAnsi="Arial" w:cs="Arial"/>
          </w:rPr>
          <w:t>https://fred.stlouisfed.org/series/CPIAUCSL?cid=9</w:t>
        </w:r>
      </w:hyperlink>
      <w:r w:rsidR="000B6CCB">
        <w:rPr>
          <w:rFonts w:ascii="Arial" w:hAnsi="Arial" w:cs="Arial"/>
          <w:color w:val="353535"/>
        </w:rPr>
        <w:t xml:space="preserve">. </w:t>
      </w:r>
    </w:p>
    <w:p w14:paraId="1AF35EA0" w14:textId="3C294990" w:rsidR="004972B8" w:rsidRPr="004972B8" w:rsidRDefault="008C1AC3" w:rsidP="004972B8">
      <w:pPr>
        <w:pStyle w:val="ListParagraph"/>
        <w:widowControl w:val="0"/>
        <w:numPr>
          <w:ilvl w:val="0"/>
          <w:numId w:val="38"/>
        </w:numPr>
        <w:autoSpaceDE w:val="0"/>
        <w:autoSpaceDN w:val="0"/>
        <w:adjustRightInd w:val="0"/>
        <w:jc w:val="both"/>
        <w:rPr>
          <w:rFonts w:ascii="Arial" w:hAnsi="Arial" w:cs="Arial"/>
          <w:color w:val="353535"/>
        </w:rPr>
      </w:pPr>
      <w:r>
        <w:rPr>
          <w:rFonts w:ascii="Arial" w:hAnsi="Arial" w:cs="Arial"/>
          <w:color w:val="353535"/>
        </w:rPr>
        <w:t>A</w:t>
      </w:r>
      <w:r w:rsidRPr="00215440">
        <w:rPr>
          <w:rFonts w:ascii="Arial" w:hAnsi="Arial" w:cs="Arial"/>
          <w:color w:val="353535"/>
        </w:rPr>
        <w:t>ll commodity prices were converted in logs before using them to compute price indices.</w:t>
      </w:r>
    </w:p>
    <w:p w14:paraId="7FB33E6A" w14:textId="77777777" w:rsidR="006B4FBD" w:rsidRDefault="006B4FBD" w:rsidP="00B06D02">
      <w:pPr>
        <w:widowControl w:val="0"/>
        <w:autoSpaceDE w:val="0"/>
        <w:autoSpaceDN w:val="0"/>
        <w:adjustRightInd w:val="0"/>
        <w:jc w:val="both"/>
        <w:rPr>
          <w:rFonts w:ascii="Arial" w:hAnsi="Arial" w:cs="Arial"/>
          <w:color w:val="353535"/>
        </w:rPr>
      </w:pPr>
    </w:p>
    <w:p w14:paraId="339DACA3" w14:textId="43E5D682" w:rsidR="0005765A" w:rsidRPr="00215440" w:rsidRDefault="0005765A" w:rsidP="0005765A">
      <w:pPr>
        <w:pStyle w:val="Heading2"/>
        <w:rPr>
          <w:sz w:val="24"/>
          <w:szCs w:val="24"/>
        </w:rPr>
      </w:pPr>
      <w:r>
        <w:t>Exchange Rate Regimes Data</w:t>
      </w:r>
    </w:p>
    <w:p w14:paraId="19CD9331" w14:textId="4F6DF427" w:rsidR="006B4FBD" w:rsidRPr="00215440" w:rsidRDefault="006B4FBD" w:rsidP="00B06D02">
      <w:pPr>
        <w:widowControl w:val="0"/>
        <w:autoSpaceDE w:val="0"/>
        <w:autoSpaceDN w:val="0"/>
        <w:adjustRightInd w:val="0"/>
        <w:jc w:val="both"/>
        <w:rPr>
          <w:rFonts w:ascii="Arial" w:hAnsi="Arial" w:cs="Arial"/>
          <w:color w:val="353535"/>
        </w:rPr>
      </w:pPr>
      <w:r w:rsidRPr="00215440">
        <w:rPr>
          <w:rFonts w:ascii="Arial" w:hAnsi="Arial" w:cs="Arial"/>
          <w:color w:val="353535"/>
        </w:rPr>
        <w:t>IRR Classification</w:t>
      </w:r>
      <w:r w:rsidR="0022225C" w:rsidRPr="00215440">
        <w:rPr>
          <w:rFonts w:ascii="Arial" w:hAnsi="Arial" w:cs="Arial"/>
          <w:color w:val="353535"/>
        </w:rPr>
        <w:t xml:space="preserve"> of countries into different exchange rate regimes</w:t>
      </w:r>
      <w:r w:rsidRPr="00215440">
        <w:rPr>
          <w:rFonts w:ascii="Arial" w:hAnsi="Arial" w:cs="Arial"/>
          <w:color w:val="353535"/>
        </w:rPr>
        <w:t>:</w:t>
      </w:r>
      <w:r w:rsidR="0022225C" w:rsidRPr="00215440">
        <w:rPr>
          <w:rFonts w:ascii="Arial" w:hAnsi="Arial" w:cs="Arial"/>
          <w:color w:val="353535"/>
        </w:rPr>
        <w:t xml:space="preserve"> </w:t>
      </w:r>
      <w:hyperlink r:id="rId13" w:history="1">
        <w:r w:rsidRPr="00735BBC">
          <w:rPr>
            <w:rFonts w:ascii="Arial" w:hAnsi="Arial" w:cs="Arial"/>
            <w:color w:val="4472C4" w:themeColor="accent5"/>
          </w:rPr>
          <w:t>http://www.carmenreinhart.com/data/browse-by-topic/topics/11/</w:t>
        </w:r>
      </w:hyperlink>
    </w:p>
    <w:p w14:paraId="29B6FF14" w14:textId="617EFD14" w:rsidR="008007C5" w:rsidRPr="00215440" w:rsidRDefault="008007C5" w:rsidP="006D4C1A">
      <w:pPr>
        <w:widowControl w:val="0"/>
        <w:autoSpaceDE w:val="0"/>
        <w:autoSpaceDN w:val="0"/>
        <w:adjustRightInd w:val="0"/>
        <w:jc w:val="both"/>
        <w:rPr>
          <w:rFonts w:ascii="Arial" w:hAnsi="Arial" w:cs="Arial"/>
          <w:color w:val="353535"/>
        </w:rPr>
      </w:pPr>
    </w:p>
    <w:p w14:paraId="6363055A" w14:textId="77777777" w:rsidR="0005765A" w:rsidRDefault="0005765A" w:rsidP="00B06D02">
      <w:pPr>
        <w:widowControl w:val="0"/>
        <w:autoSpaceDE w:val="0"/>
        <w:autoSpaceDN w:val="0"/>
        <w:adjustRightInd w:val="0"/>
        <w:jc w:val="both"/>
        <w:rPr>
          <w:rFonts w:ascii="Arial" w:hAnsi="Arial" w:cs="Arial"/>
          <w:color w:val="353535"/>
        </w:rPr>
      </w:pPr>
    </w:p>
    <w:p w14:paraId="68D13C83" w14:textId="55778DD3" w:rsidR="0005765A" w:rsidRDefault="0005765A" w:rsidP="0005765A">
      <w:pPr>
        <w:pStyle w:val="Heading1"/>
      </w:pPr>
      <w:r>
        <w:t>Methodology</w:t>
      </w:r>
    </w:p>
    <w:p w14:paraId="3E0B603B" w14:textId="77777777" w:rsidR="0005765A" w:rsidRDefault="0005765A" w:rsidP="00B06D02">
      <w:pPr>
        <w:widowControl w:val="0"/>
        <w:autoSpaceDE w:val="0"/>
        <w:autoSpaceDN w:val="0"/>
        <w:adjustRightInd w:val="0"/>
        <w:jc w:val="both"/>
        <w:rPr>
          <w:rFonts w:ascii="Arial" w:hAnsi="Arial" w:cs="Arial"/>
          <w:color w:val="353535"/>
        </w:rPr>
      </w:pPr>
    </w:p>
    <w:p w14:paraId="7DE13FE2" w14:textId="77777777" w:rsidR="00B50279" w:rsidRPr="00215440" w:rsidRDefault="00B50279" w:rsidP="0005765A">
      <w:pPr>
        <w:pStyle w:val="Heading2"/>
      </w:pPr>
      <w:r w:rsidRPr="00215440">
        <w:t>Creating Country-Specific Commodity Price Indices</w:t>
      </w:r>
    </w:p>
    <w:p w14:paraId="455CCC3E" w14:textId="77777777" w:rsidR="00B50279" w:rsidRPr="00215440" w:rsidRDefault="00B50279" w:rsidP="00B06D02">
      <w:pPr>
        <w:widowControl w:val="0"/>
        <w:autoSpaceDE w:val="0"/>
        <w:autoSpaceDN w:val="0"/>
        <w:adjustRightInd w:val="0"/>
        <w:jc w:val="both"/>
        <w:rPr>
          <w:rFonts w:ascii="Arial" w:hAnsi="Arial" w:cs="Arial"/>
          <w:color w:val="353535"/>
        </w:rPr>
      </w:pPr>
    </w:p>
    <w:p w14:paraId="481066C8" w14:textId="77777777" w:rsidR="00575078" w:rsidRPr="00215440" w:rsidRDefault="00B50279" w:rsidP="00872788">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For all commodity-exporting countries in the same, we used COMTRADE data at the monthly level (</w:t>
      </w:r>
      <w:hyperlink r:id="rId14" w:history="1">
        <w:r w:rsidRPr="00872788">
          <w:rPr>
            <w:rFonts w:ascii="Arial" w:hAnsi="Arial" w:cs="Arial"/>
            <w:color w:val="353535"/>
          </w:rPr>
          <w:t>https://comtrade.un.org/data/</w:t>
        </w:r>
      </w:hyperlink>
      <w:r w:rsidRPr="00215440">
        <w:rPr>
          <w:rFonts w:ascii="Arial" w:hAnsi="Arial" w:cs="Arial"/>
          <w:color w:val="353535"/>
        </w:rPr>
        <w:t>) at the 2-digit HS commodities level for the period of interest. Then, for each country, the total exports in a given year are calculated</w:t>
      </w:r>
      <w:r w:rsidR="00575078" w:rsidRPr="00215440">
        <w:rPr>
          <w:rFonts w:ascii="Arial" w:hAnsi="Arial" w:cs="Arial"/>
          <w:color w:val="353535"/>
        </w:rPr>
        <w:t>.</w:t>
      </w:r>
    </w:p>
    <w:p w14:paraId="6FA8A71C" w14:textId="74DCB93C" w:rsidR="00575078" w:rsidRPr="00215440" w:rsidRDefault="00575078"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Then we calculate the average shares of each commodity in the commodity basket for each year. And then calculate an average share over all years of that commodity in the sample period. And then see what are the top 5 commodities</w:t>
      </w:r>
      <w:r w:rsidR="0009176A">
        <w:rPr>
          <w:rFonts w:ascii="Arial" w:hAnsi="Arial" w:cs="Arial"/>
          <w:color w:val="353535"/>
        </w:rPr>
        <w:t xml:space="preserve"> for a given country</w:t>
      </w:r>
      <w:r w:rsidRPr="00215440">
        <w:rPr>
          <w:rFonts w:ascii="Arial" w:hAnsi="Arial" w:cs="Arial"/>
          <w:color w:val="353535"/>
        </w:rPr>
        <w:t>.</w:t>
      </w:r>
    </w:p>
    <w:p w14:paraId="201C2D65" w14:textId="503A0C73" w:rsidR="00575078" w:rsidRPr="00215440" w:rsidRDefault="00575078"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In most countries, the total share of the top 5 commodities composes 50% of the share of exports on average.</w:t>
      </w:r>
    </w:p>
    <w:p w14:paraId="5A15330E" w14:textId="0E8DA714" w:rsidR="004D6729" w:rsidRPr="00215440" w:rsidRDefault="004D6729"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 xml:space="preserve">However, some of the exports are not primary commodities (fossil fuels, minerals, agricultural products, lumber, fish &amp; other seafood; beverages), and are </w:t>
      </w:r>
      <w:r w:rsidR="00564AB4" w:rsidRPr="00215440">
        <w:rPr>
          <w:rFonts w:ascii="Arial" w:hAnsi="Arial" w:cs="Arial"/>
          <w:color w:val="353535"/>
        </w:rPr>
        <w:t>manufactured goods.</w:t>
      </w:r>
      <w:r w:rsidRPr="00215440">
        <w:rPr>
          <w:rFonts w:ascii="Arial" w:hAnsi="Arial" w:cs="Arial"/>
          <w:color w:val="353535"/>
        </w:rPr>
        <w:t xml:space="preserve"> In those cases, the commodity is dropped and the remaining commodities in the top 5 are considered.</w:t>
      </w:r>
    </w:p>
    <w:p w14:paraId="5DFC743D" w14:textId="6587DAC8" w:rsidR="00575078" w:rsidRPr="00215440" w:rsidRDefault="00575078"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This means that the commodities used and the weights of those commodities are unchanging over the sample period.</w:t>
      </w:r>
    </w:p>
    <w:p w14:paraId="409BA528" w14:textId="77777777" w:rsidR="004B254C" w:rsidRPr="00215440" w:rsidRDefault="004B254C"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We then use these weights to calculate an appropriate commodity price index by year for a given country, using the prices of the closest available commodities (from commodity price data) mapped to the commodities here (in the 2-digit HS classification).</w:t>
      </w:r>
    </w:p>
    <w:p w14:paraId="7FE0E026" w14:textId="77777777" w:rsidR="004B254C" w:rsidRPr="00215440" w:rsidRDefault="004B254C"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For countries for whom oil is the major export, the price index is simply the price of oil (Crude Brent).</w:t>
      </w:r>
    </w:p>
    <w:p w14:paraId="598C369A" w14:textId="75A58D19" w:rsidR="00B50279" w:rsidRDefault="004B254C" w:rsidP="00B06D02">
      <w:pPr>
        <w:pStyle w:val="ListParagraph"/>
        <w:widowControl w:val="0"/>
        <w:numPr>
          <w:ilvl w:val="0"/>
          <w:numId w:val="4"/>
        </w:numPr>
        <w:autoSpaceDE w:val="0"/>
        <w:autoSpaceDN w:val="0"/>
        <w:adjustRightInd w:val="0"/>
        <w:jc w:val="both"/>
        <w:rPr>
          <w:rFonts w:ascii="Arial" w:hAnsi="Arial" w:cs="Arial"/>
          <w:color w:val="353535"/>
        </w:rPr>
      </w:pPr>
      <w:r w:rsidRPr="00215440">
        <w:rPr>
          <w:rFonts w:ascii="Arial" w:hAnsi="Arial" w:cs="Arial"/>
          <w:color w:val="353535"/>
        </w:rPr>
        <w:t>List of lower-priority extensions includes looking at what happens if we allow the weights in the price index to vary slowly over time.</w:t>
      </w:r>
    </w:p>
    <w:p w14:paraId="52BB2729" w14:textId="77777777" w:rsidR="0009176A" w:rsidRDefault="0009176A" w:rsidP="0009176A">
      <w:pPr>
        <w:widowControl w:val="0"/>
        <w:autoSpaceDE w:val="0"/>
        <w:autoSpaceDN w:val="0"/>
        <w:adjustRightInd w:val="0"/>
        <w:jc w:val="both"/>
        <w:rPr>
          <w:rFonts w:ascii="Arial" w:hAnsi="Arial" w:cs="Arial"/>
          <w:color w:val="353535"/>
        </w:rPr>
      </w:pPr>
    </w:p>
    <w:p w14:paraId="186917A4" w14:textId="4EEDA1F3" w:rsidR="0009176A" w:rsidRPr="008A427D" w:rsidRDefault="00F13D2E" w:rsidP="0009176A">
      <w:pPr>
        <w:widowControl w:val="0"/>
        <w:autoSpaceDE w:val="0"/>
        <w:autoSpaceDN w:val="0"/>
        <w:adjustRightInd w:val="0"/>
        <w:jc w:val="both"/>
        <w:rPr>
          <w:rFonts w:ascii="Arial" w:hAnsi="Arial" w:cs="Arial"/>
          <w:color w:val="000000" w:themeColor="text1"/>
        </w:rPr>
      </w:pPr>
      <w:r w:rsidRPr="008A427D">
        <w:rPr>
          <w:rFonts w:ascii="Arial" w:hAnsi="Arial" w:cs="Arial"/>
          <w:color w:val="000000" w:themeColor="text1"/>
        </w:rPr>
        <w:t>(Please see tables at the end for fu</w:t>
      </w:r>
      <w:r w:rsidR="005C118A" w:rsidRPr="008A427D">
        <w:rPr>
          <w:rFonts w:ascii="Arial" w:hAnsi="Arial" w:cs="Arial"/>
          <w:color w:val="000000" w:themeColor="text1"/>
        </w:rPr>
        <w:t>r</w:t>
      </w:r>
      <w:r w:rsidRPr="008A427D">
        <w:rPr>
          <w:rFonts w:ascii="Arial" w:hAnsi="Arial" w:cs="Arial"/>
          <w:color w:val="000000" w:themeColor="text1"/>
        </w:rPr>
        <w:t>ther details)</w:t>
      </w:r>
      <w:r w:rsidR="005C118A" w:rsidRPr="008A427D">
        <w:rPr>
          <w:rFonts w:ascii="Arial" w:hAnsi="Arial" w:cs="Arial"/>
          <w:color w:val="000000" w:themeColor="text1"/>
        </w:rPr>
        <w:t>.</w:t>
      </w:r>
    </w:p>
    <w:p w14:paraId="6BD0CC4E" w14:textId="77777777" w:rsidR="00FA1E3C" w:rsidRPr="00215440" w:rsidRDefault="00FA1E3C" w:rsidP="00B06D02">
      <w:pPr>
        <w:widowControl w:val="0"/>
        <w:autoSpaceDE w:val="0"/>
        <w:autoSpaceDN w:val="0"/>
        <w:adjustRightInd w:val="0"/>
        <w:jc w:val="both"/>
        <w:rPr>
          <w:rFonts w:ascii="Arial" w:hAnsi="Arial" w:cs="Arial"/>
          <w:color w:val="353535"/>
        </w:rPr>
      </w:pPr>
    </w:p>
    <w:p w14:paraId="5D8872D1" w14:textId="2D3E5FE0" w:rsidR="00FA1E3C" w:rsidRPr="00215440" w:rsidRDefault="00872788" w:rsidP="00872788">
      <w:pPr>
        <w:pStyle w:val="Heading2"/>
      </w:pPr>
      <w:r>
        <w:t>Main Regression Forms</w:t>
      </w:r>
    </w:p>
    <w:p w14:paraId="56A9A9EB" w14:textId="275961EE" w:rsidR="00FA1E3C" w:rsidRPr="00577B8F" w:rsidRDefault="00FA1E3C" w:rsidP="00577B8F">
      <w:pPr>
        <w:pStyle w:val="ListParagraph"/>
        <w:widowControl w:val="0"/>
        <w:numPr>
          <w:ilvl w:val="0"/>
          <w:numId w:val="42"/>
        </w:numPr>
        <w:autoSpaceDE w:val="0"/>
        <w:autoSpaceDN w:val="0"/>
        <w:adjustRightInd w:val="0"/>
        <w:jc w:val="both"/>
        <w:rPr>
          <w:rFonts w:ascii="Arial" w:hAnsi="Arial" w:cs="Arial"/>
          <w:color w:val="353535"/>
        </w:rPr>
      </w:pPr>
      <w:r w:rsidRPr="00577B8F">
        <w:rPr>
          <w:rFonts w:ascii="Arial" w:hAnsi="Arial" w:cs="Arial"/>
          <w:color w:val="353535"/>
        </w:rPr>
        <w:t>Asia Pacific</w:t>
      </w:r>
    </w:p>
    <w:p w14:paraId="7639ED81" w14:textId="408D3E84" w:rsidR="00577B8F" w:rsidRDefault="00577B8F" w:rsidP="00577B8F">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OLS:</w:t>
      </w:r>
      <w:r w:rsidR="000B6CCB">
        <w:rPr>
          <w:rFonts w:ascii="Arial" w:hAnsi="Arial" w:cs="Arial"/>
          <w:color w:val="353535"/>
        </w:rPr>
        <w:t xml:space="preserve"> Regression of REER on VIX and Lag REER</w:t>
      </w:r>
    </w:p>
    <w:p w14:paraId="3880CEE0" w14:textId="070477FF" w:rsidR="000B6CCB" w:rsidRDefault="000B6CCB" w:rsidP="00577B8F">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with VIX as an instrument for BoP/GDP</w:t>
      </w:r>
    </w:p>
    <w:p w14:paraId="7806504A" w14:textId="0C25B7EC" w:rsidR="000B6CCB" w:rsidRDefault="000B6CCB" w:rsidP="000B6CCB">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a time trend, with VIX as an instrument for BoP/GDP</w:t>
      </w:r>
    </w:p>
    <w:p w14:paraId="05A43150" w14:textId="77777777" w:rsidR="000B6CCB" w:rsidRPr="000B6CCB" w:rsidRDefault="000B6CCB" w:rsidP="000B6CCB">
      <w:pPr>
        <w:widowControl w:val="0"/>
        <w:autoSpaceDE w:val="0"/>
        <w:autoSpaceDN w:val="0"/>
        <w:adjustRightInd w:val="0"/>
        <w:jc w:val="both"/>
        <w:rPr>
          <w:rFonts w:ascii="Arial" w:hAnsi="Arial" w:cs="Arial"/>
          <w:color w:val="353535"/>
        </w:rPr>
      </w:pPr>
    </w:p>
    <w:p w14:paraId="28B289B1" w14:textId="08A926B7" w:rsidR="00162E4F" w:rsidRPr="000B6CCB" w:rsidRDefault="00FA1E3C" w:rsidP="000B6CCB">
      <w:pPr>
        <w:pStyle w:val="ListParagraph"/>
        <w:widowControl w:val="0"/>
        <w:numPr>
          <w:ilvl w:val="0"/>
          <w:numId w:val="42"/>
        </w:numPr>
        <w:autoSpaceDE w:val="0"/>
        <w:autoSpaceDN w:val="0"/>
        <w:adjustRightInd w:val="0"/>
        <w:jc w:val="both"/>
        <w:rPr>
          <w:rFonts w:ascii="Arial" w:hAnsi="Arial" w:cs="Arial"/>
          <w:color w:val="353535"/>
        </w:rPr>
      </w:pPr>
      <w:r w:rsidRPr="000B6CCB">
        <w:rPr>
          <w:rFonts w:ascii="Arial" w:hAnsi="Arial" w:cs="Arial"/>
          <w:color w:val="353535"/>
        </w:rPr>
        <w:t>Commodity Exporters:</w:t>
      </w:r>
    </w:p>
    <w:p w14:paraId="2DF49505" w14:textId="1B05B663" w:rsidR="000B6CCB" w:rsidRDefault="000B6CCB" w:rsidP="000B6CCB">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OLS: Regression of REER on Commodity Price Index, VIX and Lag REER</w:t>
      </w:r>
    </w:p>
    <w:p w14:paraId="4F232E8F" w14:textId="778E9C5B" w:rsidR="008A0887" w:rsidRPr="00C2107D" w:rsidRDefault="000B6CCB"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OLS: Regression of REER on Commodity Price Index (CMPI) and Lag REER</w:t>
      </w:r>
    </w:p>
    <w:p w14:paraId="5B87B484" w14:textId="2492E182" w:rsidR="000B6CCB" w:rsidRDefault="000B6CCB" w:rsidP="000B6CCB">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with CMPI and VIX as instruments for BoP/GDP</w:t>
      </w:r>
    </w:p>
    <w:p w14:paraId="532E024A" w14:textId="38291F79" w:rsidR="000B6CCB" w:rsidRDefault="000B6CCB" w:rsidP="000B6CCB">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and VIX, with CMPI as an instrument for BoP/GDP</w:t>
      </w:r>
    </w:p>
    <w:p w14:paraId="441E8338" w14:textId="4CA86938" w:rsidR="007A4461" w:rsidRDefault="007A4461" w:rsidP="007A4461">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Time Trend, with CMPI and VIX as instruments for BoP/</w:t>
      </w:r>
      <w:r w:rsidR="00C2107D">
        <w:rPr>
          <w:rFonts w:ascii="Arial" w:hAnsi="Arial" w:cs="Arial"/>
          <w:color w:val="353535"/>
        </w:rPr>
        <w:t>GDP</w:t>
      </w:r>
    </w:p>
    <w:p w14:paraId="53C89A2B" w14:textId="0AA99F05"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with CMPI and VIX as instruments for BoP/</w:t>
      </w:r>
      <w:r w:rsidRPr="00C2107D">
        <w:rPr>
          <w:rFonts w:ascii="Arial" w:hAnsi="Arial" w:cs="Arial"/>
          <w:color w:val="353535"/>
        </w:rPr>
        <w:t xml:space="preserve"> </w:t>
      </w:r>
      <w:r>
        <w:rPr>
          <w:rFonts w:ascii="Arial" w:hAnsi="Arial" w:cs="Arial"/>
          <w:color w:val="353535"/>
        </w:rPr>
        <w:t>MBase</w:t>
      </w:r>
    </w:p>
    <w:p w14:paraId="51CF56DC" w14:textId="514FC935"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and VIX, with CMPI as an instrument for BoP/</w:t>
      </w:r>
      <w:r w:rsidRPr="00C2107D">
        <w:rPr>
          <w:rFonts w:ascii="Arial" w:hAnsi="Arial" w:cs="Arial"/>
          <w:color w:val="353535"/>
        </w:rPr>
        <w:t xml:space="preserve"> </w:t>
      </w:r>
      <w:r>
        <w:rPr>
          <w:rFonts w:ascii="Arial" w:hAnsi="Arial" w:cs="Arial"/>
          <w:color w:val="353535"/>
        </w:rPr>
        <w:t>MBase</w:t>
      </w:r>
    </w:p>
    <w:p w14:paraId="1A441DB3" w14:textId="6CDF28EF"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Time Trend, with CMPI and VIX as instruments for BoP/</w:t>
      </w:r>
      <w:r w:rsidRPr="00C2107D">
        <w:rPr>
          <w:rFonts w:ascii="Arial" w:hAnsi="Arial" w:cs="Arial"/>
          <w:color w:val="353535"/>
        </w:rPr>
        <w:t xml:space="preserve"> </w:t>
      </w:r>
      <w:r>
        <w:rPr>
          <w:rFonts w:ascii="Arial" w:hAnsi="Arial" w:cs="Arial"/>
          <w:color w:val="353535"/>
        </w:rPr>
        <w:t>MBase</w:t>
      </w:r>
    </w:p>
    <w:p w14:paraId="34195F67" w14:textId="4B404DAE"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with CMPI and VIX as instruments for BoP/</w:t>
      </w:r>
      <w:r w:rsidRPr="00C2107D">
        <w:rPr>
          <w:rFonts w:ascii="Arial" w:hAnsi="Arial" w:cs="Arial"/>
          <w:color w:val="353535"/>
        </w:rPr>
        <w:t xml:space="preserve"> </w:t>
      </w:r>
      <w:r>
        <w:rPr>
          <w:rFonts w:ascii="Arial" w:hAnsi="Arial" w:cs="Arial"/>
          <w:color w:val="353535"/>
        </w:rPr>
        <w:t>M1</w:t>
      </w:r>
    </w:p>
    <w:p w14:paraId="4C6DB661" w14:textId="433A356D" w:rsidR="00C2107D" w:rsidRDefault="00C2107D" w:rsidP="00C2107D">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Lag of REER and VIX, with CMPI as an instrument for BoP/</w:t>
      </w:r>
      <w:r w:rsidRPr="00C2107D">
        <w:rPr>
          <w:rFonts w:ascii="Arial" w:hAnsi="Arial" w:cs="Arial"/>
          <w:color w:val="353535"/>
        </w:rPr>
        <w:t xml:space="preserve"> </w:t>
      </w:r>
      <w:r>
        <w:rPr>
          <w:rFonts w:ascii="Arial" w:hAnsi="Arial" w:cs="Arial"/>
          <w:color w:val="353535"/>
        </w:rPr>
        <w:t>M1</w:t>
      </w:r>
    </w:p>
    <w:p w14:paraId="1E0D8B63" w14:textId="6CCF105C" w:rsidR="000B6CCB" w:rsidRPr="006E4AB4" w:rsidRDefault="00C2107D" w:rsidP="006E4AB4">
      <w:pPr>
        <w:pStyle w:val="ListParagraph"/>
        <w:widowControl w:val="0"/>
        <w:numPr>
          <w:ilvl w:val="1"/>
          <w:numId w:val="42"/>
        </w:numPr>
        <w:autoSpaceDE w:val="0"/>
        <w:autoSpaceDN w:val="0"/>
        <w:adjustRightInd w:val="0"/>
        <w:jc w:val="both"/>
        <w:rPr>
          <w:rFonts w:ascii="Arial" w:hAnsi="Arial" w:cs="Arial"/>
          <w:color w:val="353535"/>
        </w:rPr>
      </w:pPr>
      <w:r>
        <w:rPr>
          <w:rFonts w:ascii="Arial" w:hAnsi="Arial" w:cs="Arial"/>
          <w:color w:val="353535"/>
        </w:rPr>
        <w:t>IV: Regression of REER on Time Trend, with CMPI and VIX as instruments for BoP/</w:t>
      </w:r>
      <w:r w:rsidRPr="00C2107D">
        <w:rPr>
          <w:rFonts w:ascii="Arial" w:hAnsi="Arial" w:cs="Arial"/>
          <w:color w:val="353535"/>
        </w:rPr>
        <w:t xml:space="preserve"> </w:t>
      </w:r>
      <w:r>
        <w:rPr>
          <w:rFonts w:ascii="Arial" w:hAnsi="Arial" w:cs="Arial"/>
          <w:color w:val="353535"/>
        </w:rPr>
        <w:t>M1</w:t>
      </w:r>
    </w:p>
    <w:p w14:paraId="5CD9083D" w14:textId="77777777" w:rsidR="002E2A0E" w:rsidRPr="00215440" w:rsidRDefault="002E2A0E" w:rsidP="00B06D02">
      <w:pPr>
        <w:widowControl w:val="0"/>
        <w:autoSpaceDE w:val="0"/>
        <w:autoSpaceDN w:val="0"/>
        <w:adjustRightInd w:val="0"/>
        <w:jc w:val="both"/>
        <w:rPr>
          <w:rFonts w:ascii="Arial" w:hAnsi="Arial" w:cs="Arial"/>
          <w:color w:val="353535"/>
        </w:rPr>
      </w:pPr>
    </w:p>
    <w:p w14:paraId="41498A8B" w14:textId="4CF0D51D" w:rsidR="003B7DE0" w:rsidRPr="00215440" w:rsidRDefault="003B7DE0" w:rsidP="00872788">
      <w:pPr>
        <w:pStyle w:val="Heading2"/>
      </w:pPr>
      <w:r w:rsidRPr="00215440">
        <w:t>Re</w:t>
      </w:r>
      <w:r w:rsidR="00A70CD4" w:rsidRPr="00215440">
        <w:t>gression Specifications</w:t>
      </w:r>
    </w:p>
    <w:p w14:paraId="35FAC7E6" w14:textId="0AC47E9A" w:rsidR="003B7DE0" w:rsidRPr="00215440" w:rsidRDefault="003B7DE0" w:rsidP="00B06D02">
      <w:pPr>
        <w:pStyle w:val="ListParagraph"/>
        <w:widowControl w:val="0"/>
        <w:numPr>
          <w:ilvl w:val="0"/>
          <w:numId w:val="25"/>
        </w:numPr>
        <w:autoSpaceDE w:val="0"/>
        <w:autoSpaceDN w:val="0"/>
        <w:adjustRightInd w:val="0"/>
        <w:jc w:val="both"/>
        <w:rPr>
          <w:rFonts w:ascii="Arial" w:hAnsi="Arial" w:cs="Arial"/>
          <w:color w:val="353535"/>
        </w:rPr>
      </w:pPr>
      <w:r w:rsidRPr="00215440">
        <w:rPr>
          <w:rFonts w:ascii="Arial" w:hAnsi="Arial" w:cs="Arial"/>
          <w:color w:val="353535"/>
        </w:rPr>
        <w:t xml:space="preserve">Previously </w:t>
      </w:r>
      <w:r w:rsidR="006E4AB4">
        <w:rPr>
          <w:rFonts w:ascii="Arial" w:hAnsi="Arial" w:cs="Arial"/>
          <w:color w:val="353535"/>
        </w:rPr>
        <w:t>ran</w:t>
      </w:r>
      <w:r w:rsidRPr="00215440">
        <w:rPr>
          <w:rFonts w:ascii="Arial" w:hAnsi="Arial" w:cs="Arial"/>
          <w:color w:val="353535"/>
        </w:rPr>
        <w:t xml:space="preserve"> IV regressions that include</w:t>
      </w:r>
      <w:r w:rsidR="006E4AB4">
        <w:rPr>
          <w:rFonts w:ascii="Arial" w:hAnsi="Arial" w:cs="Arial"/>
          <w:color w:val="353535"/>
        </w:rPr>
        <w:t>s</w:t>
      </w:r>
      <w:r w:rsidRPr="00215440">
        <w:rPr>
          <w:rFonts w:ascii="Arial" w:hAnsi="Arial" w:cs="Arial"/>
          <w:color w:val="353535"/>
        </w:rPr>
        <w:t xml:space="preserve"> VIX or Commodity Price indices as an exogenous explanatory variable rather than as an instrument, but no longer including those in the final set of regressions. Only including regressions where VIX or Commodity Price indices are inst</w:t>
      </w:r>
      <w:r w:rsidR="006E4AB4">
        <w:rPr>
          <w:rFonts w:ascii="Arial" w:hAnsi="Arial" w:cs="Arial"/>
          <w:color w:val="353535"/>
        </w:rPr>
        <w:t>rument in the IV regressions. That is, from list of previous specifications, dropping: 2d, 2g, 2j.</w:t>
      </w:r>
    </w:p>
    <w:p w14:paraId="4DA3DC27" w14:textId="74AB60BF" w:rsidR="003B7DE0" w:rsidRPr="00215440" w:rsidRDefault="004E3754" w:rsidP="00B06D02">
      <w:pPr>
        <w:pStyle w:val="ListParagraph"/>
        <w:widowControl w:val="0"/>
        <w:numPr>
          <w:ilvl w:val="0"/>
          <w:numId w:val="25"/>
        </w:numPr>
        <w:autoSpaceDE w:val="0"/>
        <w:autoSpaceDN w:val="0"/>
        <w:adjustRightInd w:val="0"/>
        <w:jc w:val="both"/>
        <w:rPr>
          <w:rFonts w:ascii="Arial" w:hAnsi="Arial" w:cs="Arial"/>
          <w:color w:val="353535"/>
        </w:rPr>
      </w:pPr>
      <w:r w:rsidRPr="00215440">
        <w:rPr>
          <w:rFonts w:ascii="Arial" w:hAnsi="Arial" w:cs="Arial"/>
          <w:color w:val="353535"/>
        </w:rPr>
        <w:t>Use log VIX or VIX/1000</w:t>
      </w:r>
      <w:r w:rsidR="000E2548">
        <w:rPr>
          <w:rFonts w:ascii="Arial" w:hAnsi="Arial" w:cs="Arial"/>
          <w:color w:val="353535"/>
        </w:rPr>
        <w:t xml:space="preserve"> instead of the original series</w:t>
      </w:r>
    </w:p>
    <w:p w14:paraId="64590C43" w14:textId="77777777" w:rsidR="00162E4F" w:rsidRPr="00215440" w:rsidRDefault="00162E4F" w:rsidP="00B06D02">
      <w:pPr>
        <w:widowControl w:val="0"/>
        <w:autoSpaceDE w:val="0"/>
        <w:autoSpaceDN w:val="0"/>
        <w:adjustRightInd w:val="0"/>
        <w:jc w:val="both"/>
        <w:rPr>
          <w:rFonts w:ascii="Arial" w:hAnsi="Arial" w:cs="Arial"/>
          <w:color w:val="353535"/>
        </w:rPr>
      </w:pPr>
    </w:p>
    <w:p w14:paraId="0402CD8E" w14:textId="1EC29FB0" w:rsidR="009B1AA6" w:rsidRDefault="009B1AA6" w:rsidP="00872788">
      <w:pPr>
        <w:pStyle w:val="Heading2"/>
      </w:pPr>
      <w:r w:rsidRPr="00215440">
        <w:t>Distinguishing between Man</w:t>
      </w:r>
      <w:r w:rsidR="00872788">
        <w:t>aged Floaters and Free Floaters</w:t>
      </w:r>
    </w:p>
    <w:p w14:paraId="375671C7" w14:textId="77777777" w:rsidR="0018559D" w:rsidRPr="00215440" w:rsidRDefault="0018559D" w:rsidP="00B06D02">
      <w:pPr>
        <w:widowControl w:val="0"/>
        <w:autoSpaceDE w:val="0"/>
        <w:autoSpaceDN w:val="0"/>
        <w:adjustRightInd w:val="0"/>
        <w:jc w:val="both"/>
        <w:rPr>
          <w:rFonts w:ascii="Arial" w:hAnsi="Arial" w:cs="Arial"/>
          <w:color w:val="353535"/>
        </w:rPr>
      </w:pPr>
    </w:p>
    <w:p w14:paraId="473852B0" w14:textId="50D4E395" w:rsidR="00162E4F" w:rsidRPr="00215440" w:rsidRDefault="003B7DE0" w:rsidP="00B06D02">
      <w:pPr>
        <w:widowControl w:val="0"/>
        <w:autoSpaceDE w:val="0"/>
        <w:autoSpaceDN w:val="0"/>
        <w:adjustRightInd w:val="0"/>
        <w:jc w:val="both"/>
        <w:rPr>
          <w:rFonts w:ascii="Arial" w:hAnsi="Arial" w:cs="Arial"/>
          <w:color w:val="353535"/>
        </w:rPr>
      </w:pPr>
      <w:r w:rsidRPr="00215440">
        <w:rPr>
          <w:rFonts w:ascii="Arial" w:hAnsi="Arial" w:cs="Arial"/>
          <w:color w:val="353535"/>
        </w:rPr>
        <w:t>In trying to distinguish the floating &amp; managed floating countries, we use the IRR classification schemes to determine an amalgamated set of floater+managed floaters+”5%”, and then we use our own calculations of Correlation (change in reserves, change in value of currency) to determine for ourselves which is this "general floating" group are in fact s</w:t>
      </w:r>
      <w:r w:rsidR="00BA6906">
        <w:rPr>
          <w:rFonts w:ascii="Arial" w:hAnsi="Arial" w:cs="Arial"/>
          <w:color w:val="353535"/>
        </w:rPr>
        <w:t xml:space="preserve">ystematically-managed floaters. </w:t>
      </w:r>
      <w:r w:rsidRPr="00215440">
        <w:rPr>
          <w:rFonts w:ascii="Arial" w:hAnsi="Arial" w:cs="Arial"/>
          <w:color w:val="353535"/>
        </w:rPr>
        <w:t>This would be a methodological contribution or our paper. (The I-R-R classification, like Shambaugh, look at the magnitude of fluctuations in the nominal rate without comparing it to the magnitude of fluctuations in reserves.). </w:t>
      </w:r>
    </w:p>
    <w:p w14:paraId="006599BC" w14:textId="2EB537A8" w:rsidR="002D4C60" w:rsidRPr="00303C33" w:rsidRDefault="002D4C60" w:rsidP="00B06D02">
      <w:pPr>
        <w:widowControl w:val="0"/>
        <w:autoSpaceDE w:val="0"/>
        <w:autoSpaceDN w:val="0"/>
        <w:adjustRightInd w:val="0"/>
        <w:jc w:val="both"/>
        <w:rPr>
          <w:rFonts w:ascii="Arial" w:hAnsi="Arial" w:cs="Arial"/>
          <w:bCs/>
          <w:color w:val="353535"/>
        </w:rPr>
      </w:pPr>
      <w:r w:rsidRPr="00303C33">
        <w:rPr>
          <w:rFonts w:ascii="Arial" w:hAnsi="Arial" w:cs="Arial"/>
          <w:bCs/>
          <w:color w:val="353535"/>
        </w:rPr>
        <w:t>(i) Corr (Δres with s-sbar) above some particular threshhold, where s is</w:t>
      </w:r>
      <w:r w:rsidR="00BA6906">
        <w:rPr>
          <w:rFonts w:ascii="Arial" w:hAnsi="Arial" w:cs="Arial"/>
          <w:bCs/>
          <w:color w:val="353535"/>
        </w:rPr>
        <w:t xml:space="preserve"> the fx value of the currency; </w:t>
      </w:r>
      <w:r w:rsidRPr="00303C33">
        <w:rPr>
          <w:rFonts w:ascii="Arial" w:hAnsi="Arial" w:cs="Arial"/>
          <w:bCs/>
          <w:color w:val="353535"/>
        </w:rPr>
        <w:t xml:space="preserve">or </w:t>
      </w:r>
    </w:p>
    <w:p w14:paraId="3376AE4D" w14:textId="1055B614" w:rsidR="002D4C60" w:rsidRPr="00303C33" w:rsidRDefault="002D4C60" w:rsidP="00B06D02">
      <w:pPr>
        <w:widowControl w:val="0"/>
        <w:autoSpaceDE w:val="0"/>
        <w:autoSpaceDN w:val="0"/>
        <w:adjustRightInd w:val="0"/>
        <w:jc w:val="both"/>
        <w:rPr>
          <w:rFonts w:ascii="Arial" w:hAnsi="Arial" w:cs="Arial"/>
          <w:color w:val="353535"/>
        </w:rPr>
      </w:pPr>
      <w:r w:rsidRPr="00303C33">
        <w:rPr>
          <w:rFonts w:ascii="Arial" w:hAnsi="Arial" w:cs="Arial"/>
          <w:bCs/>
          <w:color w:val="353535"/>
        </w:rPr>
        <w:t>(ii) A statistically significant coefficient in a regression of  (Δres) against  a constant and (s-sbar).  We coudl also try the variant of the regression that we did for Turkey</w:t>
      </w:r>
      <w:r w:rsidR="001C7726">
        <w:rPr>
          <w:rFonts w:ascii="Arial" w:hAnsi="Arial" w:cs="Arial"/>
          <w:bCs/>
          <w:color w:val="353535"/>
        </w:rPr>
        <w:t>: add to the RHS the lagged Δs</w:t>
      </w:r>
      <w:r w:rsidRPr="00303C33">
        <w:rPr>
          <w:rFonts w:ascii="Arial" w:hAnsi="Arial" w:cs="Arial"/>
          <w:bCs/>
          <w:color w:val="353535"/>
        </w:rPr>
        <w:t>(to test leaning against the wind)   and perhaps Res/GDP (to test the proposition of a target level of reserves).</w:t>
      </w:r>
    </w:p>
    <w:p w14:paraId="5CBFAEB4" w14:textId="77777777" w:rsidR="003B7DE0" w:rsidRPr="00215440" w:rsidRDefault="003B7DE0" w:rsidP="00B06D02">
      <w:pPr>
        <w:widowControl w:val="0"/>
        <w:autoSpaceDE w:val="0"/>
        <w:autoSpaceDN w:val="0"/>
        <w:adjustRightInd w:val="0"/>
        <w:jc w:val="both"/>
        <w:rPr>
          <w:rFonts w:ascii="Arial" w:hAnsi="Arial" w:cs="Arial"/>
          <w:color w:val="353535"/>
        </w:rPr>
      </w:pPr>
    </w:p>
    <w:p w14:paraId="7AB10D37" w14:textId="7554ED71" w:rsidR="00E97751" w:rsidRPr="00E97751" w:rsidRDefault="00F1635B" w:rsidP="00E97751">
      <w:pPr>
        <w:widowControl w:val="0"/>
        <w:autoSpaceDE w:val="0"/>
        <w:autoSpaceDN w:val="0"/>
        <w:adjustRightInd w:val="0"/>
        <w:jc w:val="both"/>
        <w:rPr>
          <w:rFonts w:ascii="Arial" w:hAnsi="Arial" w:cs="Arial"/>
          <w:color w:val="353535"/>
        </w:rPr>
      </w:pPr>
      <w:r w:rsidRPr="00215440">
        <w:rPr>
          <w:rFonts w:ascii="Arial" w:hAnsi="Arial" w:cs="Arial"/>
          <w:color w:val="353535"/>
        </w:rPr>
        <w:t xml:space="preserve"> After that, let's consider the set of all floaters (i.e., those designated as either floaters or managed floaters by IRR), distinguishing between systematic managed floaters and others according to (i) var(delta s) vs. (delta Res /MB) and (ii) Correltn (delta s &amp; deltaRes/MB).  The goal, again, is to check whether the managed floaters are the countries that show less sensitivity to exogenous shocks (whether CP or VIX) in the REER regressions (either OLS or IV) than the other floaters.  </w:t>
      </w:r>
    </w:p>
    <w:p w14:paraId="5625F42C" w14:textId="77777777" w:rsidR="00E97751" w:rsidRDefault="00E97751" w:rsidP="00E97751">
      <w:pPr>
        <w:pStyle w:val="Heading1"/>
      </w:pPr>
    </w:p>
    <w:p w14:paraId="343367AE" w14:textId="05329A25" w:rsidR="00E97751" w:rsidRDefault="00E97751" w:rsidP="00E97751">
      <w:pPr>
        <w:pStyle w:val="Heading1"/>
      </w:pPr>
      <w:r>
        <w:t>Extensions</w:t>
      </w:r>
    </w:p>
    <w:p w14:paraId="331D46D1" w14:textId="77777777" w:rsidR="00E97751" w:rsidRPr="00215440" w:rsidRDefault="00E97751" w:rsidP="00B06D02">
      <w:pPr>
        <w:widowControl w:val="0"/>
        <w:autoSpaceDE w:val="0"/>
        <w:autoSpaceDN w:val="0"/>
        <w:adjustRightInd w:val="0"/>
        <w:jc w:val="both"/>
        <w:rPr>
          <w:rFonts w:ascii="Arial" w:hAnsi="Arial" w:cs="Arial"/>
          <w:color w:val="353535"/>
        </w:rPr>
      </w:pPr>
    </w:p>
    <w:p w14:paraId="5A02934C" w14:textId="09940A16" w:rsidR="00FC25B5" w:rsidRPr="00215440" w:rsidRDefault="00FC25B5" w:rsidP="00E97751">
      <w:pPr>
        <w:pStyle w:val="Heading2"/>
      </w:pPr>
      <w:r w:rsidRPr="00215440">
        <w:t>E</w:t>
      </w:r>
      <w:r w:rsidR="00E97751">
        <w:t>xtension on sub-sample analysis</w:t>
      </w:r>
    </w:p>
    <w:p w14:paraId="42B007E0" w14:textId="5981D6FA" w:rsidR="00A0533E" w:rsidRPr="00215440" w:rsidRDefault="00A0533E"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Look at sub-sample period regressions for a given country (depending on whether they were floating for a specific sub-sample period). </w:t>
      </w:r>
    </w:p>
    <w:p w14:paraId="40709D6A" w14:textId="77777777" w:rsidR="00656281" w:rsidRPr="00215440" w:rsidRDefault="00A0533E"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Could split</w:t>
      </w:r>
      <w:r w:rsidR="00FC25B5" w:rsidRPr="00215440">
        <w:rPr>
          <w:rFonts w:ascii="Arial" w:hAnsi="Arial" w:cs="Arial"/>
          <w:color w:val="353535"/>
        </w:rPr>
        <w:t xml:space="preserve"> t</w:t>
      </w:r>
      <w:r w:rsidRPr="00215440">
        <w:rPr>
          <w:rFonts w:ascii="Arial" w:hAnsi="Arial" w:cs="Arial"/>
          <w:color w:val="353535"/>
        </w:rPr>
        <w:t>he sample for these countries; according to IRR,</w:t>
      </w:r>
      <w:r w:rsidR="00FC25B5" w:rsidRPr="00215440">
        <w:rPr>
          <w:rFonts w:ascii="Arial" w:hAnsi="Arial" w:cs="Arial"/>
          <w:color w:val="353535"/>
        </w:rPr>
        <w:t xml:space="preserve"> the classification </w:t>
      </w:r>
      <w:r w:rsidRPr="00215440">
        <w:rPr>
          <w:rFonts w:ascii="Arial" w:hAnsi="Arial" w:cs="Arial"/>
          <w:color w:val="353535"/>
        </w:rPr>
        <w:t>would</w:t>
      </w:r>
      <w:r w:rsidR="00FC25B5" w:rsidRPr="00215440">
        <w:rPr>
          <w:rFonts w:ascii="Arial" w:hAnsi="Arial" w:cs="Arial"/>
          <w:color w:val="353535"/>
        </w:rPr>
        <w:t xml:space="preserve"> be clean if we tried starting the data set a little later:</w:t>
      </w:r>
    </w:p>
    <w:p w14:paraId="7B75EC2C" w14:textId="3B53C3EC"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Azerbai</w:t>
      </w:r>
      <w:r w:rsidR="00A0533E" w:rsidRPr="00215440">
        <w:rPr>
          <w:rFonts w:ascii="Arial" w:hAnsi="Arial" w:cs="Arial"/>
          <w:color w:val="353535"/>
        </w:rPr>
        <w:t>j</w:t>
      </w:r>
      <w:r w:rsidRPr="00215440">
        <w:rPr>
          <w:rFonts w:ascii="Arial" w:hAnsi="Arial" w:cs="Arial"/>
          <w:color w:val="353535"/>
        </w:rPr>
        <w:t>an, start 1996:2</w:t>
      </w:r>
    </w:p>
    <w:p w14:paraId="75F23F47"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Canada start 2002:1</w:t>
      </w:r>
    </w:p>
    <w:p w14:paraId="69728B30"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Chile start 1999:9</w:t>
      </w:r>
    </w:p>
    <w:p w14:paraId="6A52AF24"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Colombia 1997-2009</w:t>
      </w:r>
    </w:p>
    <w:p w14:paraId="0115D7D7"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Ecuador start 2003</w:t>
      </w:r>
    </w:p>
    <w:p w14:paraId="3E060BD4" w14:textId="77777777" w:rsidR="00FC25B5"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Korea start 1998:7</w:t>
      </w:r>
    </w:p>
    <w:p w14:paraId="09008AC1" w14:textId="2388F229" w:rsidR="00FC25B5" w:rsidRPr="00215440" w:rsidRDefault="00A0533E"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Mexico 1997:1 to 2003:12 (</w:t>
      </w:r>
      <w:r w:rsidR="00FC25B5" w:rsidRPr="00215440">
        <w:rPr>
          <w:rFonts w:ascii="Arial" w:hAnsi="Arial" w:cs="Arial"/>
          <w:color w:val="353535"/>
        </w:rPr>
        <w:t>Try subsequent data separately</w:t>
      </w:r>
      <w:r w:rsidRPr="00215440">
        <w:rPr>
          <w:rFonts w:ascii="Arial" w:hAnsi="Arial" w:cs="Arial"/>
          <w:color w:val="353535"/>
        </w:rPr>
        <w:t>)</w:t>
      </w:r>
    </w:p>
    <w:p w14:paraId="69EC373B" w14:textId="77777777" w:rsidR="00656281" w:rsidRPr="00215440" w:rsidRDefault="00FC25B5" w:rsidP="00B06D02">
      <w:pPr>
        <w:pStyle w:val="ListParagraph"/>
        <w:widowControl w:val="0"/>
        <w:numPr>
          <w:ilvl w:val="1"/>
          <w:numId w:val="20"/>
        </w:numPr>
        <w:autoSpaceDE w:val="0"/>
        <w:autoSpaceDN w:val="0"/>
        <w:adjustRightInd w:val="0"/>
        <w:jc w:val="both"/>
        <w:rPr>
          <w:rFonts w:ascii="Arial" w:hAnsi="Arial" w:cs="Arial"/>
          <w:color w:val="353535"/>
        </w:rPr>
      </w:pPr>
      <w:r w:rsidRPr="00215440">
        <w:rPr>
          <w:rFonts w:ascii="Arial" w:hAnsi="Arial" w:cs="Arial"/>
          <w:color w:val="353535"/>
        </w:rPr>
        <w:t>Thailand start 1999:10.</w:t>
      </w:r>
    </w:p>
    <w:p w14:paraId="122EFCD9" w14:textId="77777777" w:rsidR="00656281" w:rsidRPr="00215440" w:rsidRDefault="00656281"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Drop countries that switch frequently. Regime should be 5-6 years to be included at the bare minimum.</w:t>
      </w:r>
    </w:p>
    <w:p w14:paraId="37B530D3" w14:textId="77777777" w:rsidR="00AA31F7" w:rsidRPr="00215440" w:rsidRDefault="00656281"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The IRR update is only annual data for 2011-2016 rather than monthly, I don't think that is a problem.   We were already thinking that if a regime (firm fix vs. other; and systematically-managed float vs. other float) is not in place for at least six years in a row, then we are not going to count it for our purposes.  So if we see that a country changes those categories some time during some year 2011-16, the precise month doesn't matter.</w:t>
      </w:r>
    </w:p>
    <w:p w14:paraId="50A3C919" w14:textId="60F4E7DD" w:rsidR="00162E4F" w:rsidRPr="00215440" w:rsidRDefault="00AA31F7" w:rsidP="00B06D02">
      <w:pPr>
        <w:pStyle w:val="ListParagraph"/>
        <w:widowControl w:val="0"/>
        <w:numPr>
          <w:ilvl w:val="0"/>
          <w:numId w:val="20"/>
        </w:numPr>
        <w:autoSpaceDE w:val="0"/>
        <w:autoSpaceDN w:val="0"/>
        <w:adjustRightInd w:val="0"/>
        <w:jc w:val="both"/>
        <w:rPr>
          <w:rFonts w:ascii="Arial" w:hAnsi="Arial" w:cs="Arial"/>
          <w:color w:val="353535"/>
        </w:rPr>
      </w:pPr>
      <w:r w:rsidRPr="00215440">
        <w:rPr>
          <w:rFonts w:ascii="Arial" w:hAnsi="Arial" w:cs="Arial"/>
          <w:color w:val="353535"/>
        </w:rPr>
        <w:t xml:space="preserve">List of eventual extensions can </w:t>
      </w:r>
      <w:r w:rsidRPr="00215440">
        <w:rPr>
          <w:rFonts w:ascii="Arial" w:hAnsi="Arial" w:cs="Arial"/>
          <w:bCs/>
          <w:iCs/>
          <w:color w:val="353535"/>
        </w:rPr>
        <w:t>allow for switches exchange rate regimes every 2 or 3 years.</w:t>
      </w:r>
    </w:p>
    <w:p w14:paraId="0C0BD1B9" w14:textId="644B9CB0" w:rsidR="00854659" w:rsidRPr="00A45D6F" w:rsidRDefault="00854659" w:rsidP="00B06D02">
      <w:pPr>
        <w:pStyle w:val="ListParagraph"/>
        <w:widowControl w:val="0"/>
        <w:numPr>
          <w:ilvl w:val="0"/>
          <w:numId w:val="20"/>
        </w:numPr>
        <w:autoSpaceDE w:val="0"/>
        <w:autoSpaceDN w:val="0"/>
        <w:adjustRightInd w:val="0"/>
        <w:jc w:val="both"/>
        <w:rPr>
          <w:rFonts w:ascii="Arial" w:hAnsi="Arial" w:cs="Arial"/>
          <w:color w:val="353535"/>
        </w:rPr>
      </w:pPr>
      <w:r w:rsidRPr="00A45D6F">
        <w:rPr>
          <w:rFonts w:ascii="Arial" w:hAnsi="Arial" w:cs="Arial"/>
          <w:bCs/>
          <w:iCs/>
          <w:color w:val="353535"/>
        </w:rPr>
        <w:t xml:space="preserve">But when we go back to 1997, for some of the countries we will have to split the sample into early periods with exchange rate targets and late periods of floating.  Especially Chile and Turkey. </w:t>
      </w:r>
      <w:r w:rsidRPr="00A45D6F">
        <w:rPr>
          <w:rFonts w:ascii="Arial" w:hAnsi="Arial" w:cs="Arial"/>
          <w:iCs/>
          <w:color w:val="353535"/>
        </w:rPr>
        <w:t>(Also Russia which we should add to the commodity-exporters list, as oil is 70&amp; of their exports. And Ecuador. Both changed regimes after 1997 -- though in opposite directions</w:t>
      </w:r>
      <w:r w:rsidR="00A45D6F" w:rsidRPr="00A45D6F">
        <w:rPr>
          <w:rFonts w:ascii="Arial" w:hAnsi="Arial" w:cs="Arial"/>
          <w:iCs/>
          <w:color w:val="353535"/>
        </w:rPr>
        <w:t>).</w:t>
      </w:r>
    </w:p>
    <w:p w14:paraId="7CC026A8" w14:textId="77777777" w:rsidR="00D215BF" w:rsidRPr="00215440" w:rsidRDefault="00D215BF" w:rsidP="00B06D02">
      <w:pPr>
        <w:pStyle w:val="ListParagraph"/>
        <w:widowControl w:val="0"/>
        <w:autoSpaceDE w:val="0"/>
        <w:autoSpaceDN w:val="0"/>
        <w:adjustRightInd w:val="0"/>
        <w:jc w:val="both"/>
        <w:rPr>
          <w:rFonts w:ascii="Arial" w:hAnsi="Arial" w:cs="Arial"/>
          <w:color w:val="353535"/>
        </w:rPr>
      </w:pPr>
    </w:p>
    <w:p w14:paraId="163E0C14" w14:textId="77777777" w:rsidR="00E97751" w:rsidRDefault="00162E4F" w:rsidP="00B06D02">
      <w:pPr>
        <w:widowControl w:val="0"/>
        <w:autoSpaceDE w:val="0"/>
        <w:autoSpaceDN w:val="0"/>
        <w:adjustRightInd w:val="0"/>
        <w:jc w:val="both"/>
        <w:rPr>
          <w:rFonts w:ascii="Arial" w:hAnsi="Arial" w:cs="Arial"/>
          <w:color w:val="353535"/>
        </w:rPr>
      </w:pPr>
      <w:r w:rsidRPr="00E97751">
        <w:rPr>
          <w:rStyle w:val="Heading2Char"/>
        </w:rPr>
        <w:t>Extent of Commodity Disaggregation</w:t>
      </w:r>
    </w:p>
    <w:p w14:paraId="57195561" w14:textId="6562219F" w:rsidR="00162E4F" w:rsidRPr="00215440" w:rsidRDefault="00162E4F" w:rsidP="00B06D02">
      <w:pPr>
        <w:widowControl w:val="0"/>
        <w:autoSpaceDE w:val="0"/>
        <w:autoSpaceDN w:val="0"/>
        <w:adjustRightInd w:val="0"/>
        <w:jc w:val="both"/>
        <w:rPr>
          <w:rFonts w:ascii="Arial" w:hAnsi="Arial" w:cs="Arial"/>
          <w:color w:val="353535"/>
        </w:rPr>
      </w:pPr>
      <w:r w:rsidRPr="00215440">
        <w:rPr>
          <w:rFonts w:ascii="Arial" w:hAnsi="Arial" w:cs="Arial"/>
          <w:color w:val="353535"/>
        </w:rPr>
        <w:t>Using a narrow 6-digit disaggregation rather than 2-digit.</w:t>
      </w:r>
    </w:p>
    <w:p w14:paraId="17625C0A" w14:textId="77777777" w:rsidR="00162E4F" w:rsidRPr="00215440" w:rsidRDefault="00162E4F" w:rsidP="00B06D02">
      <w:pPr>
        <w:widowControl w:val="0"/>
        <w:autoSpaceDE w:val="0"/>
        <w:autoSpaceDN w:val="0"/>
        <w:adjustRightInd w:val="0"/>
        <w:jc w:val="both"/>
        <w:rPr>
          <w:rFonts w:ascii="Arial" w:hAnsi="Arial" w:cs="Arial"/>
          <w:color w:val="353535"/>
        </w:rPr>
      </w:pPr>
    </w:p>
    <w:p w14:paraId="7A938E5B" w14:textId="17C6A281" w:rsidR="003B7DE0" w:rsidRPr="00215440" w:rsidRDefault="003B7DE0" w:rsidP="00E97751">
      <w:pPr>
        <w:pStyle w:val="Heading2"/>
      </w:pPr>
      <w:r w:rsidRPr="00215440">
        <w:t>Country Ex</w:t>
      </w:r>
      <w:r w:rsidR="00E97751">
        <w:t>tensions</w:t>
      </w:r>
    </w:p>
    <w:p w14:paraId="5A25FD8E" w14:textId="77777777" w:rsidR="00363DD1" w:rsidRPr="00215440" w:rsidRDefault="00363DD1" w:rsidP="00B06D02">
      <w:pPr>
        <w:widowControl w:val="0"/>
        <w:autoSpaceDE w:val="0"/>
        <w:autoSpaceDN w:val="0"/>
        <w:adjustRightInd w:val="0"/>
        <w:jc w:val="both"/>
        <w:rPr>
          <w:rFonts w:ascii="Arial" w:hAnsi="Arial" w:cs="Arial"/>
          <w:color w:val="353535"/>
        </w:rPr>
      </w:pPr>
    </w:p>
    <w:p w14:paraId="01F0D80F" w14:textId="77777777" w:rsidR="00363DD1" w:rsidRPr="00215440" w:rsidRDefault="00363DD1" w:rsidP="00B06D02">
      <w:pPr>
        <w:pStyle w:val="ListParagraph"/>
        <w:widowControl w:val="0"/>
        <w:numPr>
          <w:ilvl w:val="0"/>
          <w:numId w:val="27"/>
        </w:numPr>
        <w:autoSpaceDE w:val="0"/>
        <w:autoSpaceDN w:val="0"/>
        <w:adjustRightInd w:val="0"/>
        <w:jc w:val="both"/>
        <w:rPr>
          <w:rFonts w:ascii="Arial" w:hAnsi="Arial" w:cs="Arial"/>
          <w:color w:val="353535"/>
        </w:rPr>
      </w:pPr>
      <w:r w:rsidRPr="00215440">
        <w:rPr>
          <w:rFonts w:ascii="Arial" w:hAnsi="Arial" w:cs="Arial"/>
          <w:color w:val="353535"/>
        </w:rPr>
        <w:t>The other freely floating countries in recent years are: Japan (entire sample period), Liberia (since the end of 1998), South Africa - in the entire sample period (already included in our results), US, Zambia (since 2009).</w:t>
      </w:r>
    </w:p>
    <w:p w14:paraId="19E8324B" w14:textId="77777777" w:rsidR="001C7243" w:rsidRPr="00215440" w:rsidRDefault="001C7243" w:rsidP="00B06D02">
      <w:pPr>
        <w:pStyle w:val="ListParagraph"/>
        <w:widowControl w:val="0"/>
        <w:numPr>
          <w:ilvl w:val="1"/>
          <w:numId w:val="27"/>
        </w:numPr>
        <w:autoSpaceDE w:val="0"/>
        <w:autoSpaceDN w:val="0"/>
        <w:adjustRightInd w:val="0"/>
        <w:jc w:val="both"/>
        <w:rPr>
          <w:rFonts w:ascii="Arial" w:hAnsi="Arial" w:cs="Arial"/>
          <w:color w:val="353535"/>
        </w:rPr>
      </w:pPr>
      <w:r w:rsidRPr="00215440">
        <w:rPr>
          <w:rFonts w:ascii="Arial" w:hAnsi="Arial" w:cs="Arial"/>
          <w:color w:val="353535"/>
        </w:rPr>
        <w:t xml:space="preserve">Add in </w:t>
      </w:r>
      <w:r w:rsidRPr="00215440">
        <w:rPr>
          <w:rFonts w:ascii="MS Mincho" w:eastAsia="MS Mincho" w:hAnsi="MS Mincho" w:cs="MS Mincho"/>
          <w:color w:val="353535"/>
        </w:rPr>
        <w:t> </w:t>
      </w:r>
      <w:r w:rsidRPr="00215440">
        <w:rPr>
          <w:rFonts w:ascii="Arial" w:hAnsi="Arial" w:cs="Arial"/>
          <w:color w:val="353535"/>
        </w:rPr>
        <w:t xml:space="preserve">South Africa, Zambia (since 2009) and Liberia (since the end of 1998), </w:t>
      </w:r>
      <w:r w:rsidRPr="00215440">
        <w:rPr>
          <w:rFonts w:ascii="MS Mincho" w:eastAsia="MS Mincho" w:hAnsi="MS Mincho" w:cs="MS Mincho"/>
          <w:color w:val="353535"/>
        </w:rPr>
        <w:t> </w:t>
      </w:r>
      <w:r w:rsidRPr="00215440">
        <w:rPr>
          <w:rFonts w:ascii="Arial" w:hAnsi="Arial" w:cs="Arial"/>
          <w:color w:val="353535"/>
        </w:rPr>
        <w:t>Iceland and Norway, as is the case with New Zealand.</w:t>
      </w:r>
    </w:p>
    <w:p w14:paraId="7BDE13E6" w14:textId="77777777" w:rsidR="001C7243" w:rsidRPr="00215440" w:rsidRDefault="001C7243" w:rsidP="00B06D02">
      <w:pPr>
        <w:pStyle w:val="ListParagraph"/>
        <w:widowControl w:val="0"/>
        <w:numPr>
          <w:ilvl w:val="1"/>
          <w:numId w:val="27"/>
        </w:numPr>
        <w:autoSpaceDE w:val="0"/>
        <w:autoSpaceDN w:val="0"/>
        <w:adjustRightInd w:val="0"/>
        <w:jc w:val="both"/>
        <w:rPr>
          <w:rFonts w:ascii="Arial" w:hAnsi="Arial" w:cs="Arial"/>
          <w:color w:val="353535"/>
        </w:rPr>
      </w:pPr>
      <w:r w:rsidRPr="00215440">
        <w:rPr>
          <w:rFonts w:ascii="Arial" w:hAnsi="Arial" w:cs="Arial"/>
          <w:color w:val="353535"/>
        </w:rPr>
        <w:t>The US and Japan, are lower priority, since we have no IV for them, unless we consider the VIX with the opposite sign, since they are safe haven currencies (in that case, add Switzerland, for the periods when it floated, compared to when it fixed to the euro).</w:t>
      </w:r>
    </w:p>
    <w:p w14:paraId="424CDDDD" w14:textId="54572130" w:rsidR="001C7243" w:rsidRPr="00215440" w:rsidRDefault="001C7243" w:rsidP="00B06D02">
      <w:pPr>
        <w:pStyle w:val="ListParagraph"/>
        <w:widowControl w:val="0"/>
        <w:numPr>
          <w:ilvl w:val="1"/>
          <w:numId w:val="27"/>
        </w:numPr>
        <w:autoSpaceDE w:val="0"/>
        <w:autoSpaceDN w:val="0"/>
        <w:adjustRightInd w:val="0"/>
        <w:jc w:val="both"/>
        <w:rPr>
          <w:rFonts w:ascii="Arial" w:hAnsi="Arial" w:cs="Arial"/>
          <w:color w:val="353535"/>
        </w:rPr>
      </w:pPr>
      <w:r w:rsidRPr="00215440">
        <w:rPr>
          <w:rFonts w:ascii="Arial" w:hAnsi="Arial" w:cs="Arial"/>
          <w:color w:val="353535"/>
        </w:rPr>
        <w:t>We could try Liberia and Zambia, since they began to float, since they each have pretty clear export commodities (e.g., rubber/iron ore, I think, for Liberia; copper for Zambia).</w:t>
      </w:r>
    </w:p>
    <w:p w14:paraId="56A34B27" w14:textId="447E8C94" w:rsidR="00363DD1" w:rsidRPr="00CB387D" w:rsidRDefault="00363DD1" w:rsidP="00B06D02">
      <w:pPr>
        <w:pStyle w:val="ListParagraph"/>
        <w:widowControl w:val="0"/>
        <w:numPr>
          <w:ilvl w:val="0"/>
          <w:numId w:val="27"/>
        </w:numPr>
        <w:autoSpaceDE w:val="0"/>
        <w:autoSpaceDN w:val="0"/>
        <w:adjustRightInd w:val="0"/>
        <w:jc w:val="both"/>
        <w:rPr>
          <w:rFonts w:ascii="Arial" w:hAnsi="Arial" w:cs="Arial"/>
          <w:color w:val="353535"/>
        </w:rPr>
      </w:pPr>
      <w:r w:rsidRPr="00215440">
        <w:rPr>
          <w:rFonts w:ascii="Arial" w:hAnsi="Arial" w:cs="Arial"/>
          <w:color w:val="353535"/>
        </w:rPr>
        <w:t xml:space="preserve">Managed float: Brazil, Colombia, Haiti, </w:t>
      </w:r>
      <w:r w:rsidR="001C7243" w:rsidRPr="00215440">
        <w:rPr>
          <w:rFonts w:ascii="Arial" w:hAnsi="Arial" w:cs="Arial"/>
          <w:color w:val="353535"/>
        </w:rPr>
        <w:t xml:space="preserve">Iceland, </w:t>
      </w:r>
      <w:r w:rsidRPr="00215440">
        <w:rPr>
          <w:rFonts w:ascii="Arial" w:hAnsi="Arial" w:cs="Arial"/>
          <w:color w:val="353535"/>
        </w:rPr>
        <w:t xml:space="preserve">Korea, Macedonia, Madagascar, Mauritania, Mexico, New Zealand, Norway, Poland, Romania, Serbia, Sweden, UK, Uzbekistan, Indonesia (in the past), Vanuatu, and Malawi </w:t>
      </w:r>
      <w:r w:rsidRPr="00CB387D">
        <w:rPr>
          <w:rFonts w:ascii="Arial" w:hAnsi="Arial" w:cs="Arial"/>
          <w:color w:val="353535"/>
        </w:rPr>
        <w:t>(in the past).</w:t>
      </w:r>
    </w:p>
    <w:p w14:paraId="5DC3C02F" w14:textId="77777777" w:rsidR="00363DD1" w:rsidRPr="00CB387D" w:rsidRDefault="00363DD1" w:rsidP="00B06D02">
      <w:pPr>
        <w:pStyle w:val="ListParagraph"/>
        <w:widowControl w:val="0"/>
        <w:numPr>
          <w:ilvl w:val="1"/>
          <w:numId w:val="27"/>
        </w:numPr>
        <w:autoSpaceDE w:val="0"/>
        <w:autoSpaceDN w:val="0"/>
        <w:adjustRightInd w:val="0"/>
        <w:jc w:val="both"/>
        <w:rPr>
          <w:rFonts w:ascii="Arial" w:hAnsi="Arial" w:cs="Arial"/>
          <w:color w:val="353535"/>
        </w:rPr>
      </w:pPr>
      <w:r w:rsidRPr="00CB387D">
        <w:rPr>
          <w:rFonts w:ascii="Arial" w:hAnsi="Arial" w:cs="Arial"/>
          <w:color w:val="353535"/>
        </w:rPr>
        <w:t>Out of </w:t>
      </w:r>
      <w:r w:rsidRPr="00CB387D">
        <w:rPr>
          <w:rFonts w:ascii="Arial" w:hAnsi="Arial" w:cs="Arial"/>
          <w:iCs/>
          <w:color w:val="353535"/>
        </w:rPr>
        <w:t>Brazil, Colombia, Haiti, Korea, Macedonia, Madagascar, Mauritania, Mexico, New Zealand, Norway, Poland, Romania, Serbia, Sweden, UK, Uzbekistan, Indonesia (in the past), Vanuatu, and Malawi (in the past). </w:t>
      </w:r>
    </w:p>
    <w:p w14:paraId="117C2512" w14:textId="77777777" w:rsidR="00363DD1" w:rsidRPr="00CB387D" w:rsidRDefault="00363DD1" w:rsidP="00B06D02">
      <w:pPr>
        <w:pStyle w:val="ListParagraph"/>
        <w:widowControl w:val="0"/>
        <w:numPr>
          <w:ilvl w:val="2"/>
          <w:numId w:val="27"/>
        </w:numPr>
        <w:autoSpaceDE w:val="0"/>
        <w:autoSpaceDN w:val="0"/>
        <w:adjustRightInd w:val="0"/>
        <w:jc w:val="both"/>
        <w:rPr>
          <w:rFonts w:ascii="Arial" w:hAnsi="Arial" w:cs="Arial"/>
          <w:color w:val="353535"/>
        </w:rPr>
      </w:pPr>
      <w:r w:rsidRPr="00CB387D">
        <w:rPr>
          <w:rFonts w:ascii="Arial" w:hAnsi="Arial" w:cs="Arial"/>
          <w:color w:val="353535"/>
        </w:rPr>
        <w:t>You point out that we already have Brazil, Colombia, Korea, Mexico, New Zealand and past-Indonesia in our dataset.</w:t>
      </w:r>
    </w:p>
    <w:p w14:paraId="28322587" w14:textId="3DD46CC5" w:rsidR="00363DD1" w:rsidRPr="00CB387D" w:rsidRDefault="00363DD1" w:rsidP="00B06D02">
      <w:pPr>
        <w:pStyle w:val="ListParagraph"/>
        <w:widowControl w:val="0"/>
        <w:numPr>
          <w:ilvl w:val="2"/>
          <w:numId w:val="27"/>
        </w:numPr>
        <w:autoSpaceDE w:val="0"/>
        <w:autoSpaceDN w:val="0"/>
        <w:adjustRightInd w:val="0"/>
        <w:jc w:val="both"/>
        <w:rPr>
          <w:rFonts w:ascii="Arial" w:hAnsi="Arial" w:cs="Arial"/>
          <w:color w:val="353535"/>
        </w:rPr>
      </w:pPr>
      <w:r w:rsidRPr="00CB387D">
        <w:rPr>
          <w:rFonts w:ascii="Arial" w:hAnsi="Arial" w:cs="Arial"/>
          <w:color w:val="353535"/>
        </w:rPr>
        <w:t>I think the following are too small and don't really qualify as either EMs or commodity-exporters (I-and in many cases are probably not real</w:t>
      </w:r>
      <w:r w:rsidR="00CB387D">
        <w:rPr>
          <w:rFonts w:ascii="Arial" w:hAnsi="Arial" w:cs="Arial"/>
          <w:color w:val="353535"/>
        </w:rPr>
        <w:t xml:space="preserve">ly floaters): </w:t>
      </w:r>
      <w:r w:rsidRPr="00CB387D">
        <w:rPr>
          <w:rFonts w:ascii="Arial" w:hAnsi="Arial" w:cs="Arial"/>
          <w:iCs/>
          <w:color w:val="353535"/>
        </w:rPr>
        <w:t>Haiti, Macedonia, Madagascar, Mauritania, Romania, Serbia, Uzbekistan, , Vanuatu, and Malawi (in the past). </w:t>
      </w:r>
    </w:p>
    <w:p w14:paraId="58465A61" w14:textId="77777777" w:rsidR="00363DD1" w:rsidRPr="00215440" w:rsidRDefault="00363DD1" w:rsidP="00B06D02">
      <w:pPr>
        <w:pStyle w:val="ListParagraph"/>
        <w:widowControl w:val="0"/>
        <w:numPr>
          <w:ilvl w:val="2"/>
          <w:numId w:val="27"/>
        </w:numPr>
        <w:autoSpaceDE w:val="0"/>
        <w:autoSpaceDN w:val="0"/>
        <w:adjustRightInd w:val="0"/>
        <w:jc w:val="both"/>
        <w:rPr>
          <w:rFonts w:ascii="Arial" w:hAnsi="Arial" w:cs="Arial"/>
          <w:color w:val="353535"/>
        </w:rPr>
      </w:pPr>
      <w:r w:rsidRPr="00CB387D">
        <w:rPr>
          <w:rFonts w:ascii="Arial" w:hAnsi="Arial" w:cs="Arial"/>
          <w:color w:val="353535"/>
        </w:rPr>
        <w:t>That leaves</w:t>
      </w:r>
      <w:r w:rsidRPr="00CB387D">
        <w:rPr>
          <w:rFonts w:ascii="Arial" w:hAnsi="Arial" w:cs="Arial"/>
          <w:iCs/>
          <w:color w:val="353535"/>
        </w:rPr>
        <w:t> Norway, Poland, Sweden, UK.</w:t>
      </w:r>
      <w:r w:rsidRPr="00CB387D">
        <w:rPr>
          <w:rFonts w:ascii="MS Mincho" w:eastAsia="MS Mincho" w:hAnsi="MS Mincho" w:cs="MS Mincho"/>
          <w:color w:val="353535"/>
        </w:rPr>
        <w:t> </w:t>
      </w:r>
      <w:r w:rsidRPr="00215440">
        <w:rPr>
          <w:rFonts w:ascii="Arial" w:hAnsi="Arial" w:cs="Arial"/>
          <w:color w:val="353535"/>
        </w:rPr>
        <w:t>Definitely add Norway (oil exporter) and Poland (EM) as two more floaters.</w:t>
      </w:r>
    </w:p>
    <w:p w14:paraId="7E7D124A" w14:textId="1E061A53" w:rsidR="00363DD1" w:rsidRPr="00215440" w:rsidRDefault="00363DD1" w:rsidP="00B06D02">
      <w:pPr>
        <w:pStyle w:val="ListParagraph"/>
        <w:widowControl w:val="0"/>
        <w:numPr>
          <w:ilvl w:val="2"/>
          <w:numId w:val="27"/>
        </w:numPr>
        <w:autoSpaceDE w:val="0"/>
        <w:autoSpaceDN w:val="0"/>
        <w:adjustRightInd w:val="0"/>
        <w:jc w:val="both"/>
        <w:rPr>
          <w:rFonts w:ascii="Arial" w:hAnsi="Arial" w:cs="Arial"/>
          <w:color w:val="353535"/>
        </w:rPr>
      </w:pPr>
      <w:r w:rsidRPr="00215440">
        <w:rPr>
          <w:rFonts w:ascii="Arial" w:hAnsi="Arial" w:cs="Arial"/>
          <w:color w:val="353535"/>
        </w:rPr>
        <w:t xml:space="preserve">Keep Sweden and UK in reserve, in the same category as the US, Japan, and Switzerland.  We might need them if we get desperate enough for full floaters; but they are obviously not commodity exporters and are safe haven currencies, so that our only hope for an IV is to use the VIX under the theory that it might have a </w:t>
      </w:r>
      <w:r w:rsidRPr="0001151E">
        <w:rPr>
          <w:rFonts w:ascii="Arial" w:hAnsi="Arial" w:cs="Arial"/>
          <w:iCs/>
          <w:color w:val="353535"/>
        </w:rPr>
        <w:t>positive</w:t>
      </w:r>
      <w:r w:rsidRPr="00215440">
        <w:rPr>
          <w:rFonts w:ascii="Arial" w:hAnsi="Arial" w:cs="Arial"/>
          <w:color w:val="353535"/>
        </w:rPr>
        <w:t xml:space="preserve"> effect on demand for the currency, rather than negative.  But leave them aside from now.</w:t>
      </w:r>
    </w:p>
    <w:p w14:paraId="18374931" w14:textId="309E7262" w:rsidR="00AA31F7" w:rsidRPr="0059041C" w:rsidRDefault="00AA31F7" w:rsidP="00B06D02">
      <w:pPr>
        <w:pStyle w:val="ListParagraph"/>
        <w:widowControl w:val="0"/>
        <w:numPr>
          <w:ilvl w:val="0"/>
          <w:numId w:val="27"/>
        </w:numPr>
        <w:autoSpaceDE w:val="0"/>
        <w:autoSpaceDN w:val="0"/>
        <w:adjustRightInd w:val="0"/>
        <w:jc w:val="both"/>
        <w:rPr>
          <w:rFonts w:ascii="Arial" w:hAnsi="Arial" w:cs="Arial"/>
          <w:color w:val="353535"/>
        </w:rPr>
      </w:pPr>
      <w:r w:rsidRPr="00215440">
        <w:rPr>
          <w:rFonts w:ascii="Arial" w:hAnsi="Arial" w:cs="Arial"/>
          <w:color w:val="353535"/>
        </w:rPr>
        <w:t>China is not in the sample at the moment. “</w:t>
      </w:r>
      <w:r w:rsidRPr="0059041C">
        <w:rPr>
          <w:rFonts w:ascii="Arial" w:hAnsi="Arial" w:cs="Arial"/>
          <w:bCs/>
          <w:iCs/>
          <w:color w:val="353535"/>
        </w:rPr>
        <w:t>China is classified as pegged 2008-2010.    But we know that they went back to managed floating 2011-2016.   If we are going to treat 2005-201 as a single regime for China, I would call it managed float.”</w:t>
      </w:r>
    </w:p>
    <w:p w14:paraId="28266FBE" w14:textId="77777777" w:rsidR="00F1635B" w:rsidRPr="00215440" w:rsidRDefault="00F1635B" w:rsidP="00B06D02">
      <w:pPr>
        <w:widowControl w:val="0"/>
        <w:autoSpaceDE w:val="0"/>
        <w:autoSpaceDN w:val="0"/>
        <w:adjustRightInd w:val="0"/>
        <w:jc w:val="both"/>
        <w:rPr>
          <w:rFonts w:ascii="Arial" w:hAnsi="Arial" w:cs="Arial"/>
          <w:color w:val="353535"/>
        </w:rPr>
      </w:pPr>
    </w:p>
    <w:p w14:paraId="4710ACE4" w14:textId="6664D64D" w:rsidR="00F1635B" w:rsidRPr="00215440" w:rsidRDefault="00E97751" w:rsidP="00E97751">
      <w:pPr>
        <w:pStyle w:val="Heading2"/>
      </w:pPr>
      <w:r>
        <w:t>Other Extensions</w:t>
      </w:r>
    </w:p>
    <w:p w14:paraId="74BF8480" w14:textId="599C25F1" w:rsidR="00F1635B" w:rsidRPr="00215440" w:rsidRDefault="00F1635B" w:rsidP="00B06D02">
      <w:pPr>
        <w:pStyle w:val="ListParagraph"/>
        <w:widowControl w:val="0"/>
        <w:numPr>
          <w:ilvl w:val="0"/>
          <w:numId w:val="31"/>
        </w:numPr>
        <w:autoSpaceDE w:val="0"/>
        <w:autoSpaceDN w:val="0"/>
        <w:adjustRightInd w:val="0"/>
        <w:jc w:val="both"/>
        <w:rPr>
          <w:rFonts w:ascii="Arial" w:hAnsi="Arial" w:cs="Arial"/>
          <w:color w:val="353535"/>
        </w:rPr>
      </w:pPr>
      <w:r w:rsidRPr="00215440">
        <w:rPr>
          <w:rFonts w:ascii="Arial" w:hAnsi="Arial" w:cs="Arial"/>
          <w:color w:val="353535"/>
        </w:rPr>
        <w:t>Medium priority: since we are not getting such good results when total BoP is the RHS variable (regardless what the denominator is), let's go back to trying the Trade balance as a RHS variable in the case of commodity exporters and a measure of capital inflows as a RHS variable for all countries.    </w:t>
      </w:r>
    </w:p>
    <w:p w14:paraId="724B0D58" w14:textId="58294A22"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The IV will be CP in the case of the trade balance for commodity producers;   </w:t>
      </w:r>
    </w:p>
    <w:p w14:paraId="5A960D91" w14:textId="35B1ED03"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the IV will be  VIX in the case of capital inflows for non-commodity producers;  </w:t>
      </w:r>
    </w:p>
    <w:p w14:paraId="66EB5B17" w14:textId="4C209EEE"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the IVs will be both CP and VIX in the case of capital inflows for commodity producers</w:t>
      </w:r>
    </w:p>
    <w:p w14:paraId="1A7DE296" w14:textId="0ACAC199" w:rsidR="00F1635B" w:rsidRPr="00215440" w:rsidRDefault="00F1635B" w:rsidP="00B06D02">
      <w:pPr>
        <w:pStyle w:val="ListParagraph"/>
        <w:widowControl w:val="0"/>
        <w:numPr>
          <w:ilvl w:val="0"/>
          <w:numId w:val="30"/>
        </w:numPr>
        <w:autoSpaceDE w:val="0"/>
        <w:autoSpaceDN w:val="0"/>
        <w:adjustRightInd w:val="0"/>
        <w:jc w:val="both"/>
        <w:rPr>
          <w:rFonts w:ascii="Arial" w:hAnsi="Arial" w:cs="Arial"/>
          <w:color w:val="353535"/>
        </w:rPr>
      </w:pPr>
      <w:r w:rsidRPr="00215440">
        <w:rPr>
          <w:rFonts w:ascii="Arial" w:hAnsi="Arial" w:cs="Arial"/>
          <w:color w:val="353535"/>
        </w:rPr>
        <w:t>Medium priority:  I am not sure what do about the non-stationarity problem.   (Personally, I tend to focus on the fact that the inability to reject non-stationarity in the real exchange rate is usually due to low power (an inadequate span of data with an autoregressive coefficient like .99.  But that argument doesn't get one off the hook.)  The easiest thing to do is to switch to first differences:   regress the change in the REER against the other variables in change form.   But we will lose most of our results, except when it is a simple OLS regression of delta RER against delta CP.   Eventual priority:  some appropriate technique like Error Correction Method.  I wonder if Tilahun can do ECM or cointegration.</w:t>
      </w:r>
    </w:p>
    <w:p w14:paraId="1F71B239" w14:textId="082F7EEE" w:rsidR="00F1635B" w:rsidRPr="00215440" w:rsidRDefault="00F1635B" w:rsidP="00B06D02">
      <w:pPr>
        <w:pStyle w:val="ListParagraph"/>
        <w:widowControl w:val="0"/>
        <w:numPr>
          <w:ilvl w:val="0"/>
          <w:numId w:val="30"/>
        </w:numPr>
        <w:autoSpaceDE w:val="0"/>
        <w:autoSpaceDN w:val="0"/>
        <w:adjustRightInd w:val="0"/>
        <w:jc w:val="both"/>
        <w:rPr>
          <w:rFonts w:ascii="Arial" w:hAnsi="Arial" w:cs="Arial"/>
          <w:color w:val="353535"/>
        </w:rPr>
      </w:pPr>
      <w:r w:rsidRPr="00215440">
        <w:rPr>
          <w:rFonts w:ascii="Arial" w:hAnsi="Arial" w:cs="Arial"/>
          <w:color w:val="353535"/>
        </w:rPr>
        <w:t>Other Commodities:</w:t>
      </w:r>
    </w:p>
    <w:p w14:paraId="4F50A1AC" w14:textId="77777777"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When you say you have access to data on Thai rice, Vietnamese rice, logs for Malaysia, and rubber for... Malaysia, that sounds perhaps too specific to the country.  Are the data expressed in dollars or local currency?   If in dollars, then good, let's go with it.  I am happy if we can get relevant dollar price data on logs and use it for Malaysia and Indonesia.   And rice for Thailand and Vietnam... but in each case, check how high a share of exports we are talking about.   [And forget Singapore; commodities recorded as exports for Singapore and not home-grown, but trans-shipped.)   I fear these commodities are too small a share to use, especially if we don't have other commodity export data for these countries to combine them with (Indonesia is the best bet here, because its manufactured exports are probably a lower share than in the other countries).   </w:t>
      </w:r>
    </w:p>
    <w:p w14:paraId="67CEEB8D" w14:textId="2FD3C877" w:rsidR="00F1635B" w:rsidRPr="00215440" w:rsidRDefault="00F1635B" w:rsidP="00B06D02">
      <w:pPr>
        <w:pStyle w:val="ListParagraph"/>
        <w:widowControl w:val="0"/>
        <w:numPr>
          <w:ilvl w:val="1"/>
          <w:numId w:val="30"/>
        </w:numPr>
        <w:autoSpaceDE w:val="0"/>
        <w:autoSpaceDN w:val="0"/>
        <w:adjustRightInd w:val="0"/>
        <w:jc w:val="both"/>
        <w:rPr>
          <w:rFonts w:ascii="Arial" w:hAnsi="Arial" w:cs="Arial"/>
          <w:color w:val="353535"/>
        </w:rPr>
      </w:pPr>
      <w:r w:rsidRPr="00215440">
        <w:rPr>
          <w:rFonts w:ascii="Arial" w:hAnsi="Arial" w:cs="Arial"/>
          <w:color w:val="353535"/>
        </w:rPr>
        <w:t>Canada: What are its top 5 commodities? Prices of wool, dairy: Look for other sources/deeper digit classifications. Following up on a more precise commodity index for Canada, including looking for details on other commodities such as dairy and wool.</w:t>
      </w:r>
    </w:p>
    <w:p w14:paraId="6CEDE45F" w14:textId="77777777" w:rsidR="003B7DE0" w:rsidRPr="00215440" w:rsidRDefault="003B7DE0" w:rsidP="00B06D02">
      <w:pPr>
        <w:widowControl w:val="0"/>
        <w:autoSpaceDE w:val="0"/>
        <w:autoSpaceDN w:val="0"/>
        <w:adjustRightInd w:val="0"/>
        <w:jc w:val="both"/>
        <w:rPr>
          <w:rFonts w:ascii="Arial" w:hAnsi="Arial" w:cs="Arial"/>
          <w:color w:val="353535"/>
        </w:rPr>
      </w:pPr>
    </w:p>
    <w:p w14:paraId="7D5EEF71" w14:textId="2059A77B" w:rsidR="003B7DE0" w:rsidRDefault="005B45BD" w:rsidP="005B45BD">
      <w:pPr>
        <w:pStyle w:val="Heading2"/>
      </w:pPr>
      <w:r>
        <w:t>Other</w:t>
      </w:r>
    </w:p>
    <w:p w14:paraId="1F692914" w14:textId="77777777" w:rsidR="005B45BD" w:rsidRPr="00215440" w:rsidRDefault="005B45BD" w:rsidP="00B06D02">
      <w:pPr>
        <w:widowControl w:val="0"/>
        <w:autoSpaceDE w:val="0"/>
        <w:autoSpaceDN w:val="0"/>
        <w:adjustRightInd w:val="0"/>
        <w:jc w:val="both"/>
        <w:rPr>
          <w:rFonts w:ascii="Arial" w:hAnsi="Arial" w:cs="Arial"/>
          <w:color w:val="353535"/>
        </w:rPr>
      </w:pPr>
    </w:p>
    <w:p w14:paraId="4C10A7E6" w14:textId="3F76174F" w:rsidR="001009AA" w:rsidRPr="005B45BD" w:rsidRDefault="001009AA" w:rsidP="005B45BD">
      <w:pPr>
        <w:pStyle w:val="ListParagraph"/>
        <w:widowControl w:val="0"/>
        <w:numPr>
          <w:ilvl w:val="0"/>
          <w:numId w:val="44"/>
        </w:numPr>
        <w:autoSpaceDE w:val="0"/>
        <w:autoSpaceDN w:val="0"/>
        <w:adjustRightInd w:val="0"/>
        <w:rPr>
          <w:rFonts w:ascii="Arial" w:hAnsi="Arial" w:cs="Arial"/>
          <w:color w:val="353535"/>
        </w:rPr>
      </w:pPr>
      <w:r w:rsidRPr="005B45BD">
        <w:rPr>
          <w:rFonts w:ascii="Arial" w:hAnsi="Arial" w:cs="Arial"/>
          <w:color w:val="353535"/>
        </w:rPr>
        <w:t>Data for relevant, possible extensions:</w:t>
      </w:r>
      <w:r w:rsidR="005B45BD">
        <w:rPr>
          <w:rFonts w:ascii="Arial" w:hAnsi="Arial" w:cs="Arial"/>
          <w:color w:val="353535"/>
        </w:rPr>
        <w:t xml:space="preserve"> </w:t>
      </w:r>
      <w:r w:rsidRPr="005B45BD">
        <w:rPr>
          <w:rFonts w:ascii="Arial" w:hAnsi="Arial" w:cs="Arial"/>
          <w:color w:val="353535"/>
        </w:rPr>
        <w:t xml:space="preserve">WDI data: Net financial account </w:t>
      </w:r>
      <w:hyperlink r:id="rId15" w:history="1">
        <w:r w:rsidRPr="00735BBC">
          <w:rPr>
            <w:rFonts w:ascii="Arial" w:hAnsi="Arial" w:cs="Arial"/>
            <w:color w:val="4472C4" w:themeColor="accent5"/>
          </w:rPr>
          <w:t>http://data.worldbank.org/indicator/BN.FIN.TOTL.CD?end=2015&amp;start=1997</w:t>
        </w:r>
      </w:hyperlink>
      <w:r w:rsidRPr="00735BBC">
        <w:rPr>
          <w:rFonts w:ascii="Arial" w:hAnsi="Arial" w:cs="Arial"/>
          <w:color w:val="4472C4" w:themeColor="accent5"/>
        </w:rPr>
        <w:t xml:space="preserve"> </w:t>
      </w:r>
      <w:r w:rsidRPr="005B45BD">
        <w:rPr>
          <w:rFonts w:ascii="Arial" w:hAnsi="Arial" w:cs="Arial"/>
          <w:color w:val="353535"/>
        </w:rPr>
        <w:t>(annual data) - Current and capital account, Bop indicators.</w:t>
      </w:r>
    </w:p>
    <w:p w14:paraId="5CE5A22A" w14:textId="77777777" w:rsidR="000560EC" w:rsidRPr="00215440" w:rsidRDefault="000560EC" w:rsidP="005B45BD">
      <w:pPr>
        <w:widowControl w:val="0"/>
        <w:autoSpaceDE w:val="0"/>
        <w:autoSpaceDN w:val="0"/>
        <w:adjustRightInd w:val="0"/>
        <w:rPr>
          <w:rFonts w:ascii="Arial" w:hAnsi="Arial" w:cs="Arial"/>
          <w:color w:val="353535"/>
        </w:rPr>
      </w:pPr>
    </w:p>
    <w:p w14:paraId="708B09BC" w14:textId="186B014F" w:rsidR="000560EC" w:rsidRPr="005B45BD" w:rsidRDefault="0081076D" w:rsidP="005B45BD">
      <w:pPr>
        <w:pStyle w:val="ListParagraph"/>
        <w:widowControl w:val="0"/>
        <w:numPr>
          <w:ilvl w:val="0"/>
          <w:numId w:val="44"/>
        </w:numPr>
        <w:autoSpaceDE w:val="0"/>
        <w:autoSpaceDN w:val="0"/>
        <w:adjustRightInd w:val="0"/>
        <w:rPr>
          <w:rFonts w:ascii="Arial" w:hAnsi="Arial" w:cs="Arial"/>
          <w:color w:val="353535"/>
        </w:rPr>
      </w:pPr>
      <w:r w:rsidRPr="005B45BD">
        <w:rPr>
          <w:rFonts w:ascii="Arial" w:hAnsi="Arial" w:cs="Arial"/>
          <w:color w:val="353535"/>
        </w:rPr>
        <w:t xml:space="preserve">Using IMF commodity data: Cite the database. For copyright and usage information on IMF work see </w:t>
      </w:r>
      <w:hyperlink r:id="rId16" w:history="1">
        <w:r w:rsidRPr="00735BBC">
          <w:rPr>
            <w:rFonts w:ascii="Arial" w:hAnsi="Arial" w:cs="Arial"/>
            <w:color w:val="4472C4" w:themeColor="accent5"/>
          </w:rPr>
          <w:t>www.imf.org/external/terms.htm</w:t>
        </w:r>
      </w:hyperlink>
      <w:r w:rsidRPr="00735BBC">
        <w:rPr>
          <w:rFonts w:ascii="Arial" w:hAnsi="Arial" w:cs="Arial"/>
          <w:color w:val="4472C4" w:themeColor="accent5"/>
        </w:rPr>
        <w:t>.</w:t>
      </w:r>
    </w:p>
    <w:p w14:paraId="642E021C" w14:textId="77777777" w:rsidR="00303760" w:rsidRDefault="00303760" w:rsidP="00B06D02">
      <w:pPr>
        <w:widowControl w:val="0"/>
        <w:autoSpaceDE w:val="0"/>
        <w:autoSpaceDN w:val="0"/>
        <w:adjustRightInd w:val="0"/>
        <w:jc w:val="both"/>
        <w:rPr>
          <w:rFonts w:ascii="Arial" w:hAnsi="Arial" w:cs="Arial"/>
          <w:color w:val="353535"/>
        </w:rPr>
      </w:pPr>
    </w:p>
    <w:p w14:paraId="5413CDA7" w14:textId="77777777" w:rsidR="00303760" w:rsidRDefault="00303760" w:rsidP="00B06D02">
      <w:pPr>
        <w:widowControl w:val="0"/>
        <w:autoSpaceDE w:val="0"/>
        <w:autoSpaceDN w:val="0"/>
        <w:adjustRightInd w:val="0"/>
        <w:jc w:val="both"/>
        <w:rPr>
          <w:rFonts w:ascii="Arial" w:hAnsi="Arial" w:cs="Arial"/>
          <w:color w:val="353535"/>
        </w:rPr>
      </w:pPr>
    </w:p>
    <w:p w14:paraId="16C56593" w14:textId="77777777" w:rsidR="00303760" w:rsidRDefault="00303760" w:rsidP="00B06D02">
      <w:pPr>
        <w:widowControl w:val="0"/>
        <w:autoSpaceDE w:val="0"/>
        <w:autoSpaceDN w:val="0"/>
        <w:adjustRightInd w:val="0"/>
        <w:jc w:val="both"/>
        <w:rPr>
          <w:rFonts w:ascii="Arial" w:hAnsi="Arial" w:cs="Arial"/>
          <w:color w:val="353535"/>
        </w:rPr>
      </w:pPr>
    </w:p>
    <w:p w14:paraId="2DD66D14" w14:textId="77777777" w:rsidR="00303760" w:rsidRDefault="00303760" w:rsidP="00B06D02">
      <w:pPr>
        <w:widowControl w:val="0"/>
        <w:autoSpaceDE w:val="0"/>
        <w:autoSpaceDN w:val="0"/>
        <w:adjustRightInd w:val="0"/>
        <w:jc w:val="both"/>
        <w:rPr>
          <w:rFonts w:ascii="Arial" w:hAnsi="Arial" w:cs="Arial"/>
          <w:color w:val="353535"/>
        </w:rPr>
      </w:pPr>
    </w:p>
    <w:p w14:paraId="16236658" w14:textId="77777777" w:rsidR="00303760" w:rsidRDefault="00303760" w:rsidP="00B06D02">
      <w:pPr>
        <w:widowControl w:val="0"/>
        <w:autoSpaceDE w:val="0"/>
        <w:autoSpaceDN w:val="0"/>
        <w:adjustRightInd w:val="0"/>
        <w:jc w:val="both"/>
        <w:rPr>
          <w:rFonts w:ascii="Arial" w:hAnsi="Arial" w:cs="Arial"/>
          <w:color w:val="353535"/>
        </w:rPr>
      </w:pPr>
    </w:p>
    <w:p w14:paraId="6719FBC8" w14:textId="77777777" w:rsidR="00303760" w:rsidRDefault="00303760" w:rsidP="00B06D02">
      <w:pPr>
        <w:widowControl w:val="0"/>
        <w:autoSpaceDE w:val="0"/>
        <w:autoSpaceDN w:val="0"/>
        <w:adjustRightInd w:val="0"/>
        <w:jc w:val="both"/>
        <w:rPr>
          <w:rFonts w:ascii="Arial" w:hAnsi="Arial" w:cs="Arial"/>
          <w:color w:val="353535"/>
        </w:rPr>
      </w:pPr>
    </w:p>
    <w:p w14:paraId="6ADD223D" w14:textId="77777777" w:rsidR="00303760" w:rsidRDefault="00303760" w:rsidP="00B06D02">
      <w:pPr>
        <w:widowControl w:val="0"/>
        <w:autoSpaceDE w:val="0"/>
        <w:autoSpaceDN w:val="0"/>
        <w:adjustRightInd w:val="0"/>
        <w:jc w:val="both"/>
        <w:rPr>
          <w:rFonts w:ascii="Arial" w:hAnsi="Arial" w:cs="Arial"/>
          <w:color w:val="353535"/>
        </w:rPr>
      </w:pPr>
    </w:p>
    <w:p w14:paraId="40775E4B" w14:textId="77777777" w:rsidR="00303760" w:rsidRDefault="00303760" w:rsidP="00B06D02">
      <w:pPr>
        <w:widowControl w:val="0"/>
        <w:autoSpaceDE w:val="0"/>
        <w:autoSpaceDN w:val="0"/>
        <w:adjustRightInd w:val="0"/>
        <w:jc w:val="both"/>
        <w:rPr>
          <w:rFonts w:ascii="Arial" w:hAnsi="Arial" w:cs="Arial"/>
          <w:color w:val="353535"/>
        </w:rPr>
      </w:pPr>
    </w:p>
    <w:p w14:paraId="3E693EE2" w14:textId="77777777" w:rsidR="00303760" w:rsidRDefault="00303760" w:rsidP="00B06D02">
      <w:pPr>
        <w:widowControl w:val="0"/>
        <w:autoSpaceDE w:val="0"/>
        <w:autoSpaceDN w:val="0"/>
        <w:adjustRightInd w:val="0"/>
        <w:jc w:val="both"/>
        <w:rPr>
          <w:rFonts w:ascii="Arial" w:hAnsi="Arial" w:cs="Arial"/>
          <w:color w:val="353535"/>
        </w:rPr>
      </w:pPr>
    </w:p>
    <w:p w14:paraId="669E438F" w14:textId="77777777" w:rsidR="00303760" w:rsidRDefault="00303760" w:rsidP="00B06D02">
      <w:pPr>
        <w:widowControl w:val="0"/>
        <w:autoSpaceDE w:val="0"/>
        <w:autoSpaceDN w:val="0"/>
        <w:adjustRightInd w:val="0"/>
        <w:jc w:val="both"/>
        <w:rPr>
          <w:rFonts w:ascii="Arial" w:hAnsi="Arial" w:cs="Arial"/>
          <w:color w:val="353535"/>
        </w:rPr>
      </w:pPr>
    </w:p>
    <w:p w14:paraId="6092AE86" w14:textId="77777777" w:rsidR="00303760" w:rsidRDefault="00303760" w:rsidP="00B06D02">
      <w:pPr>
        <w:widowControl w:val="0"/>
        <w:autoSpaceDE w:val="0"/>
        <w:autoSpaceDN w:val="0"/>
        <w:adjustRightInd w:val="0"/>
        <w:jc w:val="both"/>
        <w:rPr>
          <w:rFonts w:ascii="Arial" w:hAnsi="Arial" w:cs="Arial"/>
          <w:color w:val="353535"/>
        </w:rPr>
      </w:pPr>
    </w:p>
    <w:p w14:paraId="763E21E5" w14:textId="77777777" w:rsidR="00303760" w:rsidRDefault="00303760" w:rsidP="00B06D02">
      <w:pPr>
        <w:widowControl w:val="0"/>
        <w:autoSpaceDE w:val="0"/>
        <w:autoSpaceDN w:val="0"/>
        <w:adjustRightInd w:val="0"/>
        <w:jc w:val="both"/>
        <w:rPr>
          <w:rFonts w:ascii="Arial" w:hAnsi="Arial" w:cs="Arial"/>
          <w:color w:val="353535"/>
        </w:rPr>
      </w:pPr>
    </w:p>
    <w:p w14:paraId="4F0FD5EA" w14:textId="12B4A615" w:rsidR="00303760" w:rsidRDefault="00303760" w:rsidP="00303760">
      <w:pPr>
        <w:rPr>
          <w:rFonts w:ascii="Arial" w:hAnsi="Arial" w:cs="Arial"/>
          <w:color w:val="353535"/>
        </w:rPr>
      </w:pPr>
    </w:p>
    <w:p w14:paraId="37543B30" w14:textId="77777777" w:rsidR="00303760" w:rsidRDefault="00303760" w:rsidP="00303760">
      <w:pPr>
        <w:rPr>
          <w:rFonts w:ascii="Arial" w:hAnsi="Arial" w:cs="Arial"/>
          <w:color w:val="353535"/>
        </w:rPr>
      </w:pPr>
    </w:p>
    <w:p w14:paraId="356F65D2" w14:textId="0DA20AC6" w:rsidR="00303760" w:rsidRDefault="00303760">
      <w:pPr>
        <w:rPr>
          <w:rFonts w:ascii="Arial" w:hAnsi="Arial" w:cs="Arial"/>
          <w:color w:val="353535"/>
        </w:rPr>
      </w:pPr>
      <w:r>
        <w:rPr>
          <w:rFonts w:ascii="Arial" w:hAnsi="Arial" w:cs="Arial"/>
          <w:color w:val="353535"/>
        </w:rPr>
        <w:br w:type="page"/>
      </w:r>
    </w:p>
    <w:p w14:paraId="38F08445" w14:textId="77777777" w:rsidR="00303760" w:rsidRDefault="00303760" w:rsidP="00303760">
      <w:pPr>
        <w:rPr>
          <w:rFonts w:ascii="Arial" w:hAnsi="Arial" w:cs="Arial"/>
          <w:color w:val="353535"/>
        </w:rPr>
        <w:sectPr w:rsidR="00303760" w:rsidSect="00752EFB">
          <w:pgSz w:w="11900" w:h="16840"/>
          <w:pgMar w:top="1440" w:right="1440" w:bottom="1440" w:left="1440" w:header="708" w:footer="708" w:gutter="0"/>
          <w:cols w:space="708"/>
          <w:docGrid w:linePitch="360"/>
        </w:sectPr>
      </w:pPr>
    </w:p>
    <w:p w14:paraId="5F8ABEED" w14:textId="77777777" w:rsidR="00303760" w:rsidRPr="00232F35" w:rsidRDefault="00303760" w:rsidP="00303760">
      <w:pPr>
        <w:rPr>
          <w:rFonts w:ascii="Calibri" w:hAnsi="Calibri"/>
          <w:b/>
          <w:u w:val="single"/>
        </w:rPr>
      </w:pPr>
      <w:r w:rsidRPr="00232F35">
        <w:rPr>
          <w:rFonts w:ascii="Calibri" w:hAnsi="Calibri"/>
          <w:b/>
          <w:u w:val="single"/>
        </w:rPr>
        <w:t>Table 1: Top 5 Exports by Country and their share in Total Exports of the Country</w:t>
      </w:r>
    </w:p>
    <w:p w14:paraId="68CB680E" w14:textId="77777777" w:rsidR="00303760" w:rsidRPr="00E01B11" w:rsidRDefault="00303760" w:rsidP="00303760">
      <w:pPr>
        <w:jc w:val="center"/>
        <w:rPr>
          <w:rFonts w:ascii="Calibri" w:hAnsi="Calibri"/>
        </w:rPr>
      </w:pPr>
    </w:p>
    <w:tbl>
      <w:tblPr>
        <w:tblW w:w="15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2268"/>
        <w:gridCol w:w="771"/>
        <w:gridCol w:w="1922"/>
        <w:gridCol w:w="771"/>
        <w:gridCol w:w="2064"/>
        <w:gridCol w:w="771"/>
        <w:gridCol w:w="1781"/>
        <w:gridCol w:w="771"/>
        <w:gridCol w:w="1780"/>
        <w:gridCol w:w="850"/>
        <w:gridCol w:w="581"/>
      </w:tblGrid>
      <w:tr w:rsidR="00303760" w:rsidRPr="00E01B11" w14:paraId="3CEBDC1D" w14:textId="77777777" w:rsidTr="0005765A">
        <w:trPr>
          <w:trHeight w:val="320"/>
        </w:trPr>
        <w:tc>
          <w:tcPr>
            <w:tcW w:w="977" w:type="dxa"/>
            <w:shd w:val="clear" w:color="000000" w:fill="D9D9D9"/>
            <w:noWrap/>
            <w:vAlign w:val="center"/>
            <w:hideMark/>
          </w:tcPr>
          <w:p w14:paraId="5E63D8BF"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Country</w:t>
            </w:r>
          </w:p>
        </w:tc>
        <w:tc>
          <w:tcPr>
            <w:tcW w:w="2268" w:type="dxa"/>
            <w:shd w:val="clear" w:color="000000" w:fill="D9D9D9"/>
            <w:noWrap/>
            <w:vAlign w:val="center"/>
            <w:hideMark/>
          </w:tcPr>
          <w:p w14:paraId="377EF44C"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1</w:t>
            </w:r>
          </w:p>
        </w:tc>
        <w:tc>
          <w:tcPr>
            <w:tcW w:w="771" w:type="dxa"/>
            <w:shd w:val="clear" w:color="000000" w:fill="D9D9D9"/>
            <w:noWrap/>
            <w:vAlign w:val="center"/>
            <w:hideMark/>
          </w:tcPr>
          <w:p w14:paraId="1C6EEA71"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Share 1</w:t>
            </w:r>
          </w:p>
        </w:tc>
        <w:tc>
          <w:tcPr>
            <w:tcW w:w="1922" w:type="dxa"/>
            <w:shd w:val="clear" w:color="000000" w:fill="D9D9D9"/>
            <w:noWrap/>
            <w:vAlign w:val="center"/>
            <w:hideMark/>
          </w:tcPr>
          <w:p w14:paraId="6624BAEE"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2</w:t>
            </w:r>
          </w:p>
        </w:tc>
        <w:tc>
          <w:tcPr>
            <w:tcW w:w="771" w:type="dxa"/>
            <w:shd w:val="clear" w:color="000000" w:fill="D9D9D9"/>
            <w:noWrap/>
            <w:vAlign w:val="center"/>
            <w:hideMark/>
          </w:tcPr>
          <w:p w14:paraId="2A241A0C"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 xml:space="preserve">Share </w:t>
            </w:r>
            <w:r w:rsidRPr="00F97C97">
              <w:rPr>
                <w:rFonts w:ascii="Calibri" w:eastAsia="Times New Roman" w:hAnsi="Calibri" w:cs="Times New Roman"/>
                <w:b/>
                <w:bCs/>
                <w:color w:val="000000"/>
                <w:sz w:val="16"/>
                <w:szCs w:val="16"/>
              </w:rPr>
              <w:t>2</w:t>
            </w:r>
          </w:p>
        </w:tc>
        <w:tc>
          <w:tcPr>
            <w:tcW w:w="2064" w:type="dxa"/>
            <w:shd w:val="clear" w:color="000000" w:fill="D9D9D9"/>
            <w:noWrap/>
            <w:vAlign w:val="center"/>
            <w:hideMark/>
          </w:tcPr>
          <w:p w14:paraId="4608132E"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3</w:t>
            </w:r>
          </w:p>
        </w:tc>
        <w:tc>
          <w:tcPr>
            <w:tcW w:w="771" w:type="dxa"/>
            <w:shd w:val="clear" w:color="000000" w:fill="D9D9D9"/>
            <w:noWrap/>
            <w:vAlign w:val="center"/>
            <w:hideMark/>
          </w:tcPr>
          <w:p w14:paraId="3ED496DD"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Share 3</w:t>
            </w:r>
          </w:p>
        </w:tc>
        <w:tc>
          <w:tcPr>
            <w:tcW w:w="1781" w:type="dxa"/>
            <w:shd w:val="clear" w:color="000000" w:fill="D9D9D9"/>
            <w:noWrap/>
            <w:vAlign w:val="center"/>
            <w:hideMark/>
          </w:tcPr>
          <w:p w14:paraId="7CAC7D3D"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4</w:t>
            </w:r>
          </w:p>
        </w:tc>
        <w:tc>
          <w:tcPr>
            <w:tcW w:w="771" w:type="dxa"/>
            <w:shd w:val="clear" w:color="000000" w:fill="D9D9D9"/>
            <w:noWrap/>
            <w:vAlign w:val="center"/>
            <w:hideMark/>
          </w:tcPr>
          <w:p w14:paraId="004D8F04"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Share 4</w:t>
            </w:r>
          </w:p>
        </w:tc>
        <w:tc>
          <w:tcPr>
            <w:tcW w:w="1780" w:type="dxa"/>
            <w:shd w:val="clear" w:color="000000" w:fill="D9D9D9"/>
            <w:noWrap/>
            <w:vAlign w:val="center"/>
            <w:hideMark/>
          </w:tcPr>
          <w:p w14:paraId="3A7437B0"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Commodity 5</w:t>
            </w:r>
          </w:p>
        </w:tc>
        <w:tc>
          <w:tcPr>
            <w:tcW w:w="850" w:type="dxa"/>
            <w:shd w:val="clear" w:color="000000" w:fill="D9D9D9"/>
            <w:noWrap/>
            <w:vAlign w:val="center"/>
            <w:hideMark/>
          </w:tcPr>
          <w:p w14:paraId="17892D5D" w14:textId="77777777" w:rsidR="00303760" w:rsidRPr="00F97C97" w:rsidRDefault="00303760" w:rsidP="0005765A">
            <w:pPr>
              <w:jc w:val="center"/>
              <w:rPr>
                <w:rFonts w:ascii="Calibri" w:eastAsia="Times New Roman" w:hAnsi="Calibri" w:cs="Times New Roman"/>
                <w:b/>
                <w:bCs/>
                <w:color w:val="000000"/>
                <w:sz w:val="16"/>
                <w:szCs w:val="16"/>
              </w:rPr>
            </w:pPr>
            <w:r w:rsidRPr="00E01B11">
              <w:rPr>
                <w:rFonts w:ascii="Calibri" w:eastAsia="Times New Roman" w:hAnsi="Calibri" w:cs="Times New Roman"/>
                <w:b/>
                <w:bCs/>
                <w:color w:val="000000"/>
                <w:sz w:val="16"/>
                <w:szCs w:val="16"/>
              </w:rPr>
              <w:t>Share 5</w:t>
            </w:r>
          </w:p>
        </w:tc>
        <w:tc>
          <w:tcPr>
            <w:tcW w:w="581" w:type="dxa"/>
            <w:shd w:val="clear" w:color="000000" w:fill="D9D9D9"/>
            <w:noWrap/>
            <w:vAlign w:val="center"/>
            <w:hideMark/>
          </w:tcPr>
          <w:p w14:paraId="049E0329" w14:textId="77777777" w:rsidR="00303760" w:rsidRPr="00F97C97" w:rsidRDefault="00303760" w:rsidP="0005765A">
            <w:pPr>
              <w:jc w:val="center"/>
              <w:rPr>
                <w:rFonts w:ascii="Calibri" w:eastAsia="Times New Roman" w:hAnsi="Calibri" w:cs="Times New Roman"/>
                <w:b/>
                <w:bCs/>
                <w:color w:val="000000"/>
                <w:sz w:val="16"/>
                <w:szCs w:val="16"/>
              </w:rPr>
            </w:pPr>
            <w:r w:rsidRPr="00F97C97">
              <w:rPr>
                <w:rFonts w:ascii="Calibri" w:eastAsia="Times New Roman" w:hAnsi="Calibri" w:cs="Times New Roman"/>
                <w:b/>
                <w:bCs/>
                <w:color w:val="000000"/>
                <w:sz w:val="16"/>
                <w:szCs w:val="16"/>
              </w:rPr>
              <w:t>Sum</w:t>
            </w:r>
          </w:p>
        </w:tc>
      </w:tr>
      <w:tr w:rsidR="00303760" w:rsidRPr="00E01B11" w14:paraId="7253BD4A" w14:textId="77777777" w:rsidTr="0005765A">
        <w:trPr>
          <w:trHeight w:val="320"/>
        </w:trPr>
        <w:tc>
          <w:tcPr>
            <w:tcW w:w="977" w:type="dxa"/>
            <w:shd w:val="clear" w:color="auto" w:fill="FFFFFF" w:themeFill="background1"/>
            <w:noWrap/>
            <w:vAlign w:val="center"/>
            <w:hideMark/>
          </w:tcPr>
          <w:p w14:paraId="3F68226C"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Canada</w:t>
            </w:r>
          </w:p>
        </w:tc>
        <w:tc>
          <w:tcPr>
            <w:tcW w:w="2268" w:type="dxa"/>
            <w:shd w:val="clear" w:color="000000" w:fill="FFFFFF"/>
            <w:noWrap/>
            <w:vAlign w:val="center"/>
            <w:hideMark/>
          </w:tcPr>
          <w:p w14:paraId="18FD539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97B9C5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18.9%</w:t>
            </w:r>
          </w:p>
        </w:tc>
        <w:tc>
          <w:tcPr>
            <w:tcW w:w="1922" w:type="dxa"/>
            <w:shd w:val="clear" w:color="000000" w:fill="FFC7CE"/>
            <w:noWrap/>
            <w:vAlign w:val="center"/>
            <w:hideMark/>
          </w:tcPr>
          <w:p w14:paraId="2629BE6D"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771" w:type="dxa"/>
            <w:shd w:val="clear" w:color="000000" w:fill="FFFFFF"/>
            <w:noWrap/>
            <w:vAlign w:val="center"/>
            <w:hideMark/>
          </w:tcPr>
          <w:p w14:paraId="2A7B290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16.9%</w:t>
            </w:r>
          </w:p>
        </w:tc>
        <w:tc>
          <w:tcPr>
            <w:tcW w:w="2064" w:type="dxa"/>
            <w:shd w:val="clear" w:color="000000" w:fill="FFC7CE"/>
            <w:noWrap/>
            <w:vAlign w:val="center"/>
            <w:hideMark/>
          </w:tcPr>
          <w:p w14:paraId="51E0B0D4"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33EC87F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8.0%</w:t>
            </w:r>
          </w:p>
        </w:tc>
        <w:tc>
          <w:tcPr>
            <w:tcW w:w="1781" w:type="dxa"/>
            <w:shd w:val="clear" w:color="000000" w:fill="FFC7CE"/>
            <w:noWrap/>
            <w:vAlign w:val="center"/>
            <w:hideMark/>
          </w:tcPr>
          <w:p w14:paraId="1428C522"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Electrical machinery and equipment and parts thereof; sound recorders and reproducers, television image and sound recorders and reproducers, and parts and accessories of such articles</w:t>
            </w:r>
          </w:p>
        </w:tc>
        <w:tc>
          <w:tcPr>
            <w:tcW w:w="771" w:type="dxa"/>
            <w:shd w:val="clear" w:color="000000" w:fill="FFFFFF"/>
            <w:noWrap/>
            <w:vAlign w:val="center"/>
            <w:hideMark/>
          </w:tcPr>
          <w:p w14:paraId="7B1F57E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4.6%</w:t>
            </w:r>
          </w:p>
        </w:tc>
        <w:tc>
          <w:tcPr>
            <w:tcW w:w="1780" w:type="dxa"/>
            <w:shd w:val="clear" w:color="000000" w:fill="FFC7CE"/>
            <w:noWrap/>
            <w:vAlign w:val="center"/>
            <w:hideMark/>
          </w:tcPr>
          <w:p w14:paraId="7C7B4B38"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Commodities not specified according to kind</w:t>
            </w:r>
          </w:p>
        </w:tc>
        <w:tc>
          <w:tcPr>
            <w:tcW w:w="850" w:type="dxa"/>
            <w:shd w:val="clear" w:color="000000" w:fill="FFFFFF"/>
            <w:noWrap/>
            <w:vAlign w:val="center"/>
            <w:hideMark/>
          </w:tcPr>
          <w:p w14:paraId="2101A68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4.5%</w:t>
            </w:r>
          </w:p>
        </w:tc>
        <w:tc>
          <w:tcPr>
            <w:tcW w:w="581" w:type="dxa"/>
            <w:shd w:val="clear" w:color="000000" w:fill="FFFFFF"/>
            <w:noWrap/>
            <w:vAlign w:val="center"/>
            <w:hideMark/>
          </w:tcPr>
          <w:p w14:paraId="575EFE6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53%</w:t>
            </w:r>
          </w:p>
        </w:tc>
      </w:tr>
      <w:tr w:rsidR="00303760" w:rsidRPr="00E01B11" w14:paraId="4210C961" w14:textId="77777777" w:rsidTr="0005765A">
        <w:trPr>
          <w:trHeight w:val="320"/>
        </w:trPr>
        <w:tc>
          <w:tcPr>
            <w:tcW w:w="977" w:type="dxa"/>
            <w:shd w:val="clear" w:color="auto" w:fill="FFFFFF" w:themeFill="background1"/>
            <w:noWrap/>
            <w:vAlign w:val="center"/>
            <w:hideMark/>
          </w:tcPr>
          <w:p w14:paraId="1191BF57"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Australia</w:t>
            </w:r>
          </w:p>
        </w:tc>
        <w:tc>
          <w:tcPr>
            <w:tcW w:w="2268" w:type="dxa"/>
            <w:shd w:val="clear" w:color="000000" w:fill="FFFFFF"/>
            <w:noWrap/>
            <w:vAlign w:val="center"/>
            <w:hideMark/>
          </w:tcPr>
          <w:p w14:paraId="1F661F0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2BC1591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23.8%</w:t>
            </w:r>
          </w:p>
        </w:tc>
        <w:tc>
          <w:tcPr>
            <w:tcW w:w="1922" w:type="dxa"/>
            <w:shd w:val="clear" w:color="000000" w:fill="FFFFFF"/>
            <w:noWrap/>
            <w:vAlign w:val="center"/>
            <w:hideMark/>
          </w:tcPr>
          <w:p w14:paraId="338473E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7B5EE12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17.1%</w:t>
            </w:r>
          </w:p>
        </w:tc>
        <w:tc>
          <w:tcPr>
            <w:tcW w:w="2064" w:type="dxa"/>
            <w:shd w:val="clear" w:color="000000" w:fill="FFFFFF"/>
            <w:noWrap/>
            <w:vAlign w:val="center"/>
            <w:hideMark/>
          </w:tcPr>
          <w:p w14:paraId="01F12BA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Natural or cultured pearls, precious or semi-precious stones, precious metals, metals clad with precious metal, and articles thereof; imitation jewellery; coin</w:t>
            </w:r>
          </w:p>
        </w:tc>
        <w:tc>
          <w:tcPr>
            <w:tcW w:w="771" w:type="dxa"/>
            <w:shd w:val="clear" w:color="000000" w:fill="FFFFFF"/>
            <w:noWrap/>
            <w:vAlign w:val="center"/>
            <w:hideMark/>
          </w:tcPr>
          <w:p w14:paraId="1C256BD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6.4%</w:t>
            </w:r>
          </w:p>
        </w:tc>
        <w:tc>
          <w:tcPr>
            <w:tcW w:w="1781" w:type="dxa"/>
            <w:shd w:val="clear" w:color="000000" w:fill="FFC7CE"/>
            <w:noWrap/>
            <w:vAlign w:val="center"/>
            <w:hideMark/>
          </w:tcPr>
          <w:p w14:paraId="62A69801"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Commodities not specified according to kind</w:t>
            </w:r>
          </w:p>
        </w:tc>
        <w:tc>
          <w:tcPr>
            <w:tcW w:w="771" w:type="dxa"/>
            <w:shd w:val="clear" w:color="000000" w:fill="FFFFFF"/>
            <w:noWrap/>
            <w:vAlign w:val="center"/>
            <w:hideMark/>
          </w:tcPr>
          <w:p w14:paraId="2C22561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4.3%</w:t>
            </w:r>
          </w:p>
        </w:tc>
        <w:tc>
          <w:tcPr>
            <w:tcW w:w="1780" w:type="dxa"/>
            <w:shd w:val="clear" w:color="000000" w:fill="FFFFFF"/>
            <w:noWrap/>
            <w:vAlign w:val="center"/>
            <w:hideMark/>
          </w:tcPr>
          <w:p w14:paraId="3C4DE0F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Meat and edible meat offal</w:t>
            </w:r>
          </w:p>
        </w:tc>
        <w:tc>
          <w:tcPr>
            <w:tcW w:w="850" w:type="dxa"/>
            <w:shd w:val="clear" w:color="000000" w:fill="FFFFFF"/>
            <w:noWrap/>
            <w:vAlign w:val="center"/>
            <w:hideMark/>
          </w:tcPr>
          <w:p w14:paraId="12BC1C1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4.2%</w:t>
            </w:r>
          </w:p>
        </w:tc>
        <w:tc>
          <w:tcPr>
            <w:tcW w:w="581" w:type="dxa"/>
            <w:shd w:val="clear" w:color="000000" w:fill="FFFFFF"/>
            <w:noWrap/>
            <w:vAlign w:val="center"/>
            <w:hideMark/>
          </w:tcPr>
          <w:p w14:paraId="558DF58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56%</w:t>
            </w:r>
          </w:p>
        </w:tc>
      </w:tr>
      <w:tr w:rsidR="00303760" w:rsidRPr="00E01B11" w14:paraId="336A40E5" w14:textId="77777777" w:rsidTr="0005765A">
        <w:trPr>
          <w:trHeight w:val="320"/>
        </w:trPr>
        <w:tc>
          <w:tcPr>
            <w:tcW w:w="977" w:type="dxa"/>
            <w:shd w:val="clear" w:color="auto" w:fill="FFFFFF" w:themeFill="background1"/>
            <w:noWrap/>
            <w:vAlign w:val="center"/>
            <w:hideMark/>
          </w:tcPr>
          <w:p w14:paraId="190A74D1"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New Zealand</w:t>
            </w:r>
          </w:p>
        </w:tc>
        <w:tc>
          <w:tcPr>
            <w:tcW w:w="2268" w:type="dxa"/>
            <w:shd w:val="clear" w:color="000000" w:fill="FFFFFF"/>
            <w:noWrap/>
            <w:vAlign w:val="center"/>
            <w:hideMark/>
          </w:tcPr>
          <w:p w14:paraId="413042F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Dairy produce; birds' eggs; natural honey; edible products of animal origin, not elsewhere specified or included</w:t>
            </w:r>
          </w:p>
        </w:tc>
        <w:tc>
          <w:tcPr>
            <w:tcW w:w="771" w:type="dxa"/>
            <w:shd w:val="clear" w:color="000000" w:fill="FFFFFF"/>
            <w:noWrap/>
            <w:vAlign w:val="center"/>
            <w:hideMark/>
          </w:tcPr>
          <w:p w14:paraId="738559F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20.5%</w:t>
            </w:r>
          </w:p>
        </w:tc>
        <w:tc>
          <w:tcPr>
            <w:tcW w:w="1922" w:type="dxa"/>
            <w:shd w:val="clear" w:color="000000" w:fill="FFFFFF"/>
            <w:noWrap/>
            <w:vAlign w:val="center"/>
            <w:hideMark/>
          </w:tcPr>
          <w:p w14:paraId="5DDA267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Meat and edible meat offal</w:t>
            </w:r>
          </w:p>
        </w:tc>
        <w:tc>
          <w:tcPr>
            <w:tcW w:w="771" w:type="dxa"/>
            <w:shd w:val="clear" w:color="000000" w:fill="FFFFFF"/>
            <w:noWrap/>
            <w:vAlign w:val="center"/>
            <w:hideMark/>
          </w:tcPr>
          <w:p w14:paraId="150257E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12.9%</w:t>
            </w:r>
          </w:p>
        </w:tc>
        <w:tc>
          <w:tcPr>
            <w:tcW w:w="2064" w:type="dxa"/>
            <w:shd w:val="clear" w:color="000000" w:fill="FFFFFF"/>
            <w:noWrap/>
            <w:vAlign w:val="center"/>
            <w:hideMark/>
          </w:tcPr>
          <w:p w14:paraId="15F32D5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Wood and articles of wood; wood charcoal</w:t>
            </w:r>
          </w:p>
        </w:tc>
        <w:tc>
          <w:tcPr>
            <w:tcW w:w="771" w:type="dxa"/>
            <w:shd w:val="clear" w:color="000000" w:fill="FFFFFF"/>
            <w:noWrap/>
            <w:vAlign w:val="center"/>
            <w:hideMark/>
          </w:tcPr>
          <w:p w14:paraId="2D1FE03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6.8%</w:t>
            </w:r>
          </w:p>
        </w:tc>
        <w:tc>
          <w:tcPr>
            <w:tcW w:w="1781" w:type="dxa"/>
            <w:shd w:val="clear" w:color="000000" w:fill="FFC7CE"/>
            <w:noWrap/>
            <w:vAlign w:val="center"/>
            <w:hideMark/>
          </w:tcPr>
          <w:p w14:paraId="3AEA5861"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4B4D615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4.3%</w:t>
            </w:r>
          </w:p>
        </w:tc>
        <w:tc>
          <w:tcPr>
            <w:tcW w:w="1780" w:type="dxa"/>
            <w:shd w:val="clear" w:color="000000" w:fill="FFFFFF"/>
            <w:noWrap/>
            <w:vAlign w:val="center"/>
            <w:hideMark/>
          </w:tcPr>
          <w:p w14:paraId="729D551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Edible fruit and nuts; peel of citrus fruit or melons</w:t>
            </w:r>
          </w:p>
        </w:tc>
        <w:tc>
          <w:tcPr>
            <w:tcW w:w="850" w:type="dxa"/>
            <w:shd w:val="clear" w:color="000000" w:fill="FFFFFF"/>
            <w:noWrap/>
            <w:vAlign w:val="center"/>
            <w:hideMark/>
          </w:tcPr>
          <w:p w14:paraId="18D5926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3.7%</w:t>
            </w:r>
          </w:p>
        </w:tc>
        <w:tc>
          <w:tcPr>
            <w:tcW w:w="581" w:type="dxa"/>
            <w:shd w:val="clear" w:color="000000" w:fill="FFC000"/>
            <w:noWrap/>
            <w:vAlign w:val="center"/>
            <w:hideMark/>
          </w:tcPr>
          <w:p w14:paraId="545DF41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48%</w:t>
            </w:r>
          </w:p>
        </w:tc>
      </w:tr>
      <w:tr w:rsidR="00303760" w:rsidRPr="00E01B11" w14:paraId="0F4AC47F" w14:textId="77777777" w:rsidTr="0005765A">
        <w:trPr>
          <w:trHeight w:val="320"/>
        </w:trPr>
        <w:tc>
          <w:tcPr>
            <w:tcW w:w="977" w:type="dxa"/>
            <w:shd w:val="clear" w:color="auto" w:fill="FFFFFF" w:themeFill="background1"/>
            <w:noWrap/>
            <w:vAlign w:val="center"/>
            <w:hideMark/>
          </w:tcPr>
          <w:p w14:paraId="0E48548E"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South Africa</w:t>
            </w:r>
          </w:p>
        </w:tc>
        <w:tc>
          <w:tcPr>
            <w:tcW w:w="2268" w:type="dxa"/>
            <w:shd w:val="clear" w:color="000000" w:fill="FFFFFF"/>
            <w:noWrap/>
            <w:vAlign w:val="center"/>
            <w:hideMark/>
          </w:tcPr>
          <w:p w14:paraId="07E08A6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Natural or cultured pearls, precious or semi-precious stones, precious metals, metals clad with precious metal, and articles thereof; imitation jewellery; coin</w:t>
            </w:r>
          </w:p>
        </w:tc>
        <w:tc>
          <w:tcPr>
            <w:tcW w:w="771" w:type="dxa"/>
            <w:shd w:val="clear" w:color="000000" w:fill="FFFFFF"/>
            <w:noWrap/>
            <w:vAlign w:val="center"/>
            <w:hideMark/>
          </w:tcPr>
          <w:p w14:paraId="4C2966F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16.7%</w:t>
            </w:r>
          </w:p>
        </w:tc>
        <w:tc>
          <w:tcPr>
            <w:tcW w:w="1922" w:type="dxa"/>
            <w:shd w:val="clear" w:color="000000" w:fill="FFFFFF"/>
            <w:noWrap/>
            <w:vAlign w:val="center"/>
            <w:hideMark/>
          </w:tcPr>
          <w:p w14:paraId="6B5F95E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D07858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10.7%</w:t>
            </w:r>
          </w:p>
        </w:tc>
        <w:tc>
          <w:tcPr>
            <w:tcW w:w="2064" w:type="dxa"/>
            <w:shd w:val="clear" w:color="000000" w:fill="FFFFFF"/>
            <w:noWrap/>
            <w:vAlign w:val="center"/>
            <w:hideMark/>
          </w:tcPr>
          <w:p w14:paraId="349A838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Iron and steel</w:t>
            </w:r>
          </w:p>
        </w:tc>
        <w:tc>
          <w:tcPr>
            <w:tcW w:w="771" w:type="dxa"/>
            <w:shd w:val="clear" w:color="000000" w:fill="FFFFFF"/>
            <w:noWrap/>
            <w:vAlign w:val="center"/>
            <w:hideMark/>
          </w:tcPr>
          <w:p w14:paraId="26B5AD9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9.8%</w:t>
            </w:r>
          </w:p>
        </w:tc>
        <w:tc>
          <w:tcPr>
            <w:tcW w:w="1781" w:type="dxa"/>
            <w:shd w:val="clear" w:color="000000" w:fill="FFC7CE"/>
            <w:noWrap/>
            <w:vAlign w:val="center"/>
            <w:hideMark/>
          </w:tcPr>
          <w:p w14:paraId="22D0320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771" w:type="dxa"/>
            <w:shd w:val="clear" w:color="000000" w:fill="FFFFFF"/>
            <w:noWrap/>
            <w:vAlign w:val="center"/>
            <w:hideMark/>
          </w:tcPr>
          <w:p w14:paraId="281BD95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9.0%</w:t>
            </w:r>
          </w:p>
        </w:tc>
        <w:tc>
          <w:tcPr>
            <w:tcW w:w="1780" w:type="dxa"/>
            <w:shd w:val="clear" w:color="000000" w:fill="FFFFFF"/>
            <w:noWrap/>
            <w:vAlign w:val="center"/>
            <w:hideMark/>
          </w:tcPr>
          <w:p w14:paraId="4F6C905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850" w:type="dxa"/>
            <w:shd w:val="clear" w:color="000000" w:fill="FFFFFF"/>
            <w:noWrap/>
            <w:vAlign w:val="center"/>
            <w:hideMark/>
          </w:tcPr>
          <w:p w14:paraId="12E9BE2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8.4%</w:t>
            </w:r>
          </w:p>
        </w:tc>
        <w:tc>
          <w:tcPr>
            <w:tcW w:w="581" w:type="dxa"/>
            <w:shd w:val="clear" w:color="000000" w:fill="FFFFFF"/>
            <w:noWrap/>
            <w:vAlign w:val="center"/>
            <w:hideMark/>
          </w:tcPr>
          <w:p w14:paraId="2C31D87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55%</w:t>
            </w:r>
          </w:p>
        </w:tc>
      </w:tr>
      <w:tr w:rsidR="00303760" w:rsidRPr="00E01B11" w14:paraId="2B2034AF" w14:textId="77777777" w:rsidTr="0005765A">
        <w:trPr>
          <w:trHeight w:val="320"/>
        </w:trPr>
        <w:tc>
          <w:tcPr>
            <w:tcW w:w="977" w:type="dxa"/>
            <w:shd w:val="clear" w:color="auto" w:fill="FFFFFF" w:themeFill="background1"/>
            <w:noWrap/>
            <w:vAlign w:val="center"/>
            <w:hideMark/>
          </w:tcPr>
          <w:p w14:paraId="4260FF7F"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Brazil</w:t>
            </w:r>
          </w:p>
        </w:tc>
        <w:tc>
          <w:tcPr>
            <w:tcW w:w="2268" w:type="dxa"/>
            <w:shd w:val="clear" w:color="000000" w:fill="FFFFFF"/>
            <w:noWrap/>
            <w:vAlign w:val="center"/>
            <w:hideMark/>
          </w:tcPr>
          <w:p w14:paraId="1E36904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2E4A48F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8.9%</w:t>
            </w:r>
          </w:p>
        </w:tc>
        <w:tc>
          <w:tcPr>
            <w:tcW w:w="1922" w:type="dxa"/>
            <w:shd w:val="clear" w:color="000000" w:fill="FFC7CE"/>
            <w:noWrap/>
            <w:vAlign w:val="center"/>
            <w:hideMark/>
          </w:tcPr>
          <w:p w14:paraId="72DDFCA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771" w:type="dxa"/>
            <w:shd w:val="clear" w:color="000000" w:fill="FFFFFF"/>
            <w:noWrap/>
            <w:vAlign w:val="center"/>
            <w:hideMark/>
          </w:tcPr>
          <w:p w14:paraId="4932731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7.2%</w:t>
            </w:r>
          </w:p>
        </w:tc>
        <w:tc>
          <w:tcPr>
            <w:tcW w:w="2064" w:type="dxa"/>
            <w:shd w:val="clear" w:color="000000" w:fill="FFC7CE"/>
            <w:noWrap/>
            <w:vAlign w:val="center"/>
            <w:hideMark/>
          </w:tcPr>
          <w:p w14:paraId="2F767D98"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6FBCFF3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6.9%</w:t>
            </w:r>
          </w:p>
        </w:tc>
        <w:tc>
          <w:tcPr>
            <w:tcW w:w="1781" w:type="dxa"/>
            <w:shd w:val="clear" w:color="000000" w:fill="FFFFFF"/>
            <w:noWrap/>
            <w:vAlign w:val="center"/>
            <w:hideMark/>
          </w:tcPr>
          <w:p w14:paraId="4096E5E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77FD8B9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6.7%</w:t>
            </w:r>
          </w:p>
        </w:tc>
        <w:tc>
          <w:tcPr>
            <w:tcW w:w="1780" w:type="dxa"/>
            <w:shd w:val="clear" w:color="000000" w:fill="FFFFFF"/>
            <w:noWrap/>
            <w:vAlign w:val="center"/>
            <w:hideMark/>
          </w:tcPr>
          <w:p w14:paraId="54E0985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Oil seeds and oleaginous fruits; miscellaneous grains,seeds and fruit; industrial or medicinal plants; straw and fodder</w:t>
            </w:r>
          </w:p>
        </w:tc>
        <w:tc>
          <w:tcPr>
            <w:tcW w:w="850" w:type="dxa"/>
            <w:shd w:val="clear" w:color="000000" w:fill="FFFFFF"/>
            <w:noWrap/>
            <w:vAlign w:val="center"/>
            <w:hideMark/>
          </w:tcPr>
          <w:p w14:paraId="4741FB5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6.0%</w:t>
            </w:r>
          </w:p>
        </w:tc>
        <w:tc>
          <w:tcPr>
            <w:tcW w:w="581" w:type="dxa"/>
            <w:shd w:val="clear" w:color="000000" w:fill="FFC000"/>
            <w:noWrap/>
            <w:vAlign w:val="center"/>
            <w:hideMark/>
          </w:tcPr>
          <w:p w14:paraId="4953B3A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36%</w:t>
            </w:r>
          </w:p>
        </w:tc>
      </w:tr>
      <w:tr w:rsidR="00303760" w:rsidRPr="00E01B11" w14:paraId="56812828" w14:textId="77777777" w:rsidTr="0005765A">
        <w:trPr>
          <w:trHeight w:val="320"/>
        </w:trPr>
        <w:tc>
          <w:tcPr>
            <w:tcW w:w="977" w:type="dxa"/>
            <w:shd w:val="clear" w:color="auto" w:fill="FFFFFF" w:themeFill="background1"/>
            <w:noWrap/>
            <w:vAlign w:val="center"/>
            <w:hideMark/>
          </w:tcPr>
          <w:p w14:paraId="0D91F2B2"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Chile</w:t>
            </w:r>
          </w:p>
        </w:tc>
        <w:tc>
          <w:tcPr>
            <w:tcW w:w="2268" w:type="dxa"/>
            <w:shd w:val="clear" w:color="000000" w:fill="FFFFFF"/>
            <w:noWrap/>
            <w:vAlign w:val="center"/>
            <w:hideMark/>
          </w:tcPr>
          <w:p w14:paraId="3318575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Copper and articles thereof</w:t>
            </w:r>
          </w:p>
        </w:tc>
        <w:tc>
          <w:tcPr>
            <w:tcW w:w="771" w:type="dxa"/>
            <w:shd w:val="clear" w:color="000000" w:fill="FFFFFF"/>
            <w:noWrap/>
            <w:vAlign w:val="center"/>
            <w:hideMark/>
          </w:tcPr>
          <w:p w14:paraId="47DB01F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31.3%</w:t>
            </w:r>
          </w:p>
        </w:tc>
        <w:tc>
          <w:tcPr>
            <w:tcW w:w="1922" w:type="dxa"/>
            <w:shd w:val="clear" w:color="000000" w:fill="FFFFFF"/>
            <w:noWrap/>
            <w:vAlign w:val="center"/>
            <w:hideMark/>
          </w:tcPr>
          <w:p w14:paraId="37E823E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5FB5F1F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20.3%</w:t>
            </w:r>
          </w:p>
        </w:tc>
        <w:tc>
          <w:tcPr>
            <w:tcW w:w="2064" w:type="dxa"/>
            <w:shd w:val="clear" w:color="000000" w:fill="FFFFFF"/>
            <w:noWrap/>
            <w:vAlign w:val="center"/>
            <w:hideMark/>
          </w:tcPr>
          <w:p w14:paraId="6211630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Edible fruit and nuts; peel of citrus fruit or melons</w:t>
            </w:r>
          </w:p>
        </w:tc>
        <w:tc>
          <w:tcPr>
            <w:tcW w:w="771" w:type="dxa"/>
            <w:shd w:val="clear" w:color="000000" w:fill="FFFFFF"/>
            <w:noWrap/>
            <w:vAlign w:val="center"/>
            <w:hideMark/>
          </w:tcPr>
          <w:p w14:paraId="501107D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6.7%</w:t>
            </w:r>
          </w:p>
        </w:tc>
        <w:tc>
          <w:tcPr>
            <w:tcW w:w="1781" w:type="dxa"/>
            <w:shd w:val="clear" w:color="000000" w:fill="FFFFFF"/>
            <w:noWrap/>
            <w:vAlign w:val="center"/>
            <w:hideMark/>
          </w:tcPr>
          <w:p w14:paraId="3867A0F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Fish and crustaceans, molluscs and other aquatic invertebrates</w:t>
            </w:r>
          </w:p>
        </w:tc>
        <w:tc>
          <w:tcPr>
            <w:tcW w:w="771" w:type="dxa"/>
            <w:shd w:val="clear" w:color="000000" w:fill="FFFFFF"/>
            <w:noWrap/>
            <w:vAlign w:val="center"/>
            <w:hideMark/>
          </w:tcPr>
          <w:p w14:paraId="7A9640D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5.8%</w:t>
            </w:r>
          </w:p>
        </w:tc>
        <w:tc>
          <w:tcPr>
            <w:tcW w:w="1780" w:type="dxa"/>
            <w:shd w:val="clear" w:color="000000" w:fill="FFFFFF"/>
            <w:noWrap/>
            <w:vAlign w:val="center"/>
            <w:hideMark/>
          </w:tcPr>
          <w:p w14:paraId="7141C17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Wood and articles of wood; wood charcoal</w:t>
            </w:r>
          </w:p>
        </w:tc>
        <w:tc>
          <w:tcPr>
            <w:tcW w:w="850" w:type="dxa"/>
            <w:shd w:val="clear" w:color="000000" w:fill="FFFFFF"/>
            <w:noWrap/>
            <w:vAlign w:val="center"/>
            <w:hideMark/>
          </w:tcPr>
          <w:p w14:paraId="02A87C0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4.1%</w:t>
            </w:r>
          </w:p>
        </w:tc>
        <w:tc>
          <w:tcPr>
            <w:tcW w:w="581" w:type="dxa"/>
            <w:shd w:val="clear" w:color="000000" w:fill="FFFFFF"/>
            <w:noWrap/>
            <w:vAlign w:val="center"/>
            <w:hideMark/>
          </w:tcPr>
          <w:p w14:paraId="14A9F0A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68%</w:t>
            </w:r>
          </w:p>
        </w:tc>
      </w:tr>
      <w:tr w:rsidR="00303760" w:rsidRPr="00E01B11" w14:paraId="40A44B3B" w14:textId="77777777" w:rsidTr="0005765A">
        <w:trPr>
          <w:trHeight w:val="320"/>
        </w:trPr>
        <w:tc>
          <w:tcPr>
            <w:tcW w:w="977" w:type="dxa"/>
            <w:shd w:val="clear" w:color="auto" w:fill="FFFFFF" w:themeFill="background1"/>
            <w:noWrap/>
            <w:vAlign w:val="center"/>
            <w:hideMark/>
          </w:tcPr>
          <w:p w14:paraId="33EE64F1"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Colombia</w:t>
            </w:r>
          </w:p>
        </w:tc>
        <w:tc>
          <w:tcPr>
            <w:tcW w:w="2268" w:type="dxa"/>
            <w:shd w:val="clear" w:color="000000" w:fill="FFFFFF"/>
            <w:noWrap/>
            <w:vAlign w:val="center"/>
            <w:hideMark/>
          </w:tcPr>
          <w:p w14:paraId="5BA3464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21CC95C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45.8%</w:t>
            </w:r>
          </w:p>
        </w:tc>
        <w:tc>
          <w:tcPr>
            <w:tcW w:w="1922" w:type="dxa"/>
            <w:shd w:val="clear" w:color="000000" w:fill="FFFFFF"/>
            <w:noWrap/>
            <w:vAlign w:val="center"/>
            <w:hideMark/>
          </w:tcPr>
          <w:p w14:paraId="409B71D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Coffee, tea, matÃ© and spices</w:t>
            </w:r>
          </w:p>
        </w:tc>
        <w:tc>
          <w:tcPr>
            <w:tcW w:w="771" w:type="dxa"/>
            <w:shd w:val="clear" w:color="000000" w:fill="FFFFFF"/>
            <w:noWrap/>
            <w:vAlign w:val="center"/>
            <w:hideMark/>
          </w:tcPr>
          <w:p w14:paraId="266A86C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7.3%</w:t>
            </w:r>
          </w:p>
        </w:tc>
        <w:tc>
          <w:tcPr>
            <w:tcW w:w="2064" w:type="dxa"/>
            <w:shd w:val="clear" w:color="000000" w:fill="FFFFFF"/>
            <w:noWrap/>
            <w:vAlign w:val="center"/>
            <w:hideMark/>
          </w:tcPr>
          <w:p w14:paraId="5FC0E23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Live trees and other plants; bulbs, roots and the like; cut flowers and ornamental foliage</w:t>
            </w:r>
          </w:p>
        </w:tc>
        <w:tc>
          <w:tcPr>
            <w:tcW w:w="771" w:type="dxa"/>
            <w:shd w:val="clear" w:color="000000" w:fill="FFFFFF"/>
            <w:noWrap/>
            <w:vAlign w:val="center"/>
            <w:hideMark/>
          </w:tcPr>
          <w:p w14:paraId="05B46AF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3.9%</w:t>
            </w:r>
          </w:p>
        </w:tc>
        <w:tc>
          <w:tcPr>
            <w:tcW w:w="1781" w:type="dxa"/>
            <w:shd w:val="clear" w:color="000000" w:fill="FFFFFF"/>
            <w:noWrap/>
            <w:vAlign w:val="center"/>
            <w:hideMark/>
          </w:tcPr>
          <w:p w14:paraId="75779A8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Natural or cultured pearls, precious or semi-precious stones, precious metals, metals clad with precious metal, and articles thereof; imitation jewellery; coin</w:t>
            </w:r>
          </w:p>
        </w:tc>
        <w:tc>
          <w:tcPr>
            <w:tcW w:w="771" w:type="dxa"/>
            <w:shd w:val="clear" w:color="000000" w:fill="FFFFFF"/>
            <w:noWrap/>
            <w:vAlign w:val="center"/>
            <w:hideMark/>
          </w:tcPr>
          <w:p w14:paraId="086F49D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3.5%</w:t>
            </w:r>
          </w:p>
        </w:tc>
        <w:tc>
          <w:tcPr>
            <w:tcW w:w="1780" w:type="dxa"/>
            <w:shd w:val="clear" w:color="000000" w:fill="FFC7CE"/>
            <w:noWrap/>
            <w:vAlign w:val="center"/>
            <w:hideMark/>
          </w:tcPr>
          <w:p w14:paraId="30708410"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850" w:type="dxa"/>
            <w:shd w:val="clear" w:color="000000" w:fill="FFFFFF"/>
            <w:noWrap/>
            <w:vAlign w:val="center"/>
            <w:hideMark/>
          </w:tcPr>
          <w:p w14:paraId="6787342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3.4%</w:t>
            </w:r>
          </w:p>
        </w:tc>
        <w:tc>
          <w:tcPr>
            <w:tcW w:w="581" w:type="dxa"/>
            <w:shd w:val="clear" w:color="000000" w:fill="FFFFFF"/>
            <w:noWrap/>
            <w:vAlign w:val="center"/>
            <w:hideMark/>
          </w:tcPr>
          <w:p w14:paraId="48E97E6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64%</w:t>
            </w:r>
          </w:p>
        </w:tc>
      </w:tr>
      <w:tr w:rsidR="00303760" w:rsidRPr="00E01B11" w14:paraId="646C6522" w14:textId="77777777" w:rsidTr="0005765A">
        <w:trPr>
          <w:trHeight w:val="320"/>
        </w:trPr>
        <w:tc>
          <w:tcPr>
            <w:tcW w:w="977" w:type="dxa"/>
            <w:shd w:val="clear" w:color="auto" w:fill="FFFFFF" w:themeFill="background1"/>
            <w:noWrap/>
            <w:vAlign w:val="center"/>
            <w:hideMark/>
          </w:tcPr>
          <w:p w14:paraId="79E6E747"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Ecuador</w:t>
            </w:r>
          </w:p>
        </w:tc>
        <w:tc>
          <w:tcPr>
            <w:tcW w:w="2268" w:type="dxa"/>
            <w:shd w:val="clear" w:color="000000" w:fill="FFFFFF"/>
            <w:noWrap/>
            <w:vAlign w:val="center"/>
            <w:hideMark/>
          </w:tcPr>
          <w:p w14:paraId="2A438E9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7CC33F1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49.6%</w:t>
            </w:r>
          </w:p>
        </w:tc>
        <w:tc>
          <w:tcPr>
            <w:tcW w:w="1922" w:type="dxa"/>
            <w:shd w:val="clear" w:color="000000" w:fill="FFFFFF"/>
            <w:noWrap/>
            <w:vAlign w:val="center"/>
            <w:hideMark/>
          </w:tcPr>
          <w:p w14:paraId="6958C46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Edible fruit and nuts; peel of citrus fruit or melons</w:t>
            </w:r>
          </w:p>
        </w:tc>
        <w:tc>
          <w:tcPr>
            <w:tcW w:w="771" w:type="dxa"/>
            <w:shd w:val="clear" w:color="000000" w:fill="FFFFFF"/>
            <w:noWrap/>
            <w:vAlign w:val="center"/>
            <w:hideMark/>
          </w:tcPr>
          <w:p w14:paraId="0D72818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14.5%</w:t>
            </w:r>
          </w:p>
        </w:tc>
        <w:tc>
          <w:tcPr>
            <w:tcW w:w="2064" w:type="dxa"/>
            <w:shd w:val="clear" w:color="000000" w:fill="FFFFFF"/>
            <w:noWrap/>
            <w:vAlign w:val="center"/>
            <w:hideMark/>
          </w:tcPr>
          <w:p w14:paraId="7CDED12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Fish and crustaceans, molluscs and other aquatic invertebrates</w:t>
            </w:r>
          </w:p>
        </w:tc>
        <w:tc>
          <w:tcPr>
            <w:tcW w:w="771" w:type="dxa"/>
            <w:shd w:val="clear" w:color="000000" w:fill="FFFFFF"/>
            <w:noWrap/>
            <w:vAlign w:val="center"/>
            <w:hideMark/>
          </w:tcPr>
          <w:p w14:paraId="0B0BCF1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8.5%</w:t>
            </w:r>
          </w:p>
        </w:tc>
        <w:tc>
          <w:tcPr>
            <w:tcW w:w="1781" w:type="dxa"/>
            <w:shd w:val="clear" w:color="000000" w:fill="FFFFFF"/>
            <w:noWrap/>
            <w:vAlign w:val="center"/>
            <w:hideMark/>
          </w:tcPr>
          <w:p w14:paraId="5F1394A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Preparations of meat, of fish or of crustaceans, molluscs or other aquatic invertebrates</w:t>
            </w:r>
          </w:p>
        </w:tc>
        <w:tc>
          <w:tcPr>
            <w:tcW w:w="771" w:type="dxa"/>
            <w:shd w:val="clear" w:color="000000" w:fill="FFFFFF"/>
            <w:noWrap/>
            <w:vAlign w:val="center"/>
            <w:hideMark/>
          </w:tcPr>
          <w:p w14:paraId="0D3B47A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5.0%</w:t>
            </w:r>
          </w:p>
        </w:tc>
        <w:tc>
          <w:tcPr>
            <w:tcW w:w="1780" w:type="dxa"/>
            <w:shd w:val="clear" w:color="000000" w:fill="FFFFFF"/>
            <w:noWrap/>
            <w:vAlign w:val="center"/>
            <w:hideMark/>
          </w:tcPr>
          <w:p w14:paraId="3637A75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Live trees and other plants; bulbs, roots and the like; cut flowers and ornamental foliage</w:t>
            </w:r>
          </w:p>
        </w:tc>
        <w:tc>
          <w:tcPr>
            <w:tcW w:w="850" w:type="dxa"/>
            <w:shd w:val="clear" w:color="000000" w:fill="FFFFFF"/>
            <w:noWrap/>
            <w:vAlign w:val="center"/>
            <w:hideMark/>
          </w:tcPr>
          <w:p w14:paraId="101C2CE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3.9%</w:t>
            </w:r>
          </w:p>
        </w:tc>
        <w:tc>
          <w:tcPr>
            <w:tcW w:w="581" w:type="dxa"/>
            <w:shd w:val="clear" w:color="000000" w:fill="FFFFFF"/>
            <w:noWrap/>
            <w:vAlign w:val="center"/>
            <w:hideMark/>
          </w:tcPr>
          <w:p w14:paraId="23F40B9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82%</w:t>
            </w:r>
          </w:p>
        </w:tc>
      </w:tr>
      <w:tr w:rsidR="00303760" w:rsidRPr="00E01B11" w14:paraId="7EAE8026" w14:textId="77777777" w:rsidTr="0005765A">
        <w:trPr>
          <w:trHeight w:val="320"/>
        </w:trPr>
        <w:tc>
          <w:tcPr>
            <w:tcW w:w="977" w:type="dxa"/>
            <w:shd w:val="clear" w:color="auto" w:fill="FFFFFF" w:themeFill="background1"/>
            <w:noWrap/>
            <w:vAlign w:val="center"/>
            <w:hideMark/>
          </w:tcPr>
          <w:p w14:paraId="2D70B0AE"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Peru</w:t>
            </w:r>
          </w:p>
        </w:tc>
        <w:tc>
          <w:tcPr>
            <w:tcW w:w="2268" w:type="dxa"/>
            <w:shd w:val="clear" w:color="000000" w:fill="FFFFFF"/>
            <w:noWrap/>
            <w:vAlign w:val="center"/>
            <w:hideMark/>
          </w:tcPr>
          <w:p w14:paraId="5736C93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6BD14FA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21.7%</w:t>
            </w:r>
          </w:p>
        </w:tc>
        <w:tc>
          <w:tcPr>
            <w:tcW w:w="1922" w:type="dxa"/>
            <w:shd w:val="clear" w:color="000000" w:fill="FFFFFF"/>
            <w:noWrap/>
            <w:vAlign w:val="center"/>
            <w:hideMark/>
          </w:tcPr>
          <w:p w14:paraId="57EA180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Natural or cultured pearls, precious or semi-precious stones, precious metals, metals clad with precious metal, and articles thereof; imitation jewellery; coin</w:t>
            </w:r>
          </w:p>
        </w:tc>
        <w:tc>
          <w:tcPr>
            <w:tcW w:w="771" w:type="dxa"/>
            <w:shd w:val="clear" w:color="000000" w:fill="FFFFFF"/>
            <w:noWrap/>
            <w:vAlign w:val="center"/>
            <w:hideMark/>
          </w:tcPr>
          <w:p w14:paraId="4AA9AF1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20.8%</w:t>
            </w:r>
          </w:p>
        </w:tc>
        <w:tc>
          <w:tcPr>
            <w:tcW w:w="2064" w:type="dxa"/>
            <w:shd w:val="clear" w:color="000000" w:fill="FFFFFF"/>
            <w:noWrap/>
            <w:vAlign w:val="center"/>
            <w:hideMark/>
          </w:tcPr>
          <w:p w14:paraId="6AB0108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Copper and articles thereof</w:t>
            </w:r>
          </w:p>
        </w:tc>
        <w:tc>
          <w:tcPr>
            <w:tcW w:w="771" w:type="dxa"/>
            <w:shd w:val="clear" w:color="000000" w:fill="FFFFFF"/>
            <w:noWrap/>
            <w:vAlign w:val="center"/>
            <w:hideMark/>
          </w:tcPr>
          <w:p w14:paraId="7F76E3D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10.2%</w:t>
            </w:r>
          </w:p>
        </w:tc>
        <w:tc>
          <w:tcPr>
            <w:tcW w:w="1781" w:type="dxa"/>
            <w:shd w:val="clear" w:color="000000" w:fill="FFFFFF"/>
            <w:noWrap/>
            <w:vAlign w:val="center"/>
            <w:hideMark/>
          </w:tcPr>
          <w:p w14:paraId="0F0F459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57ED51D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8.0%</w:t>
            </w:r>
          </w:p>
        </w:tc>
        <w:tc>
          <w:tcPr>
            <w:tcW w:w="1780" w:type="dxa"/>
            <w:shd w:val="clear" w:color="000000" w:fill="FFC7CE"/>
            <w:noWrap/>
            <w:vAlign w:val="center"/>
            <w:hideMark/>
          </w:tcPr>
          <w:p w14:paraId="4669E12D"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Residues and waste from the food industries; prepared animal fodder</w:t>
            </w:r>
          </w:p>
        </w:tc>
        <w:tc>
          <w:tcPr>
            <w:tcW w:w="850" w:type="dxa"/>
            <w:shd w:val="clear" w:color="000000" w:fill="FFFFFF"/>
            <w:noWrap/>
            <w:vAlign w:val="center"/>
            <w:hideMark/>
          </w:tcPr>
          <w:p w14:paraId="66F0520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7.2%</w:t>
            </w:r>
          </w:p>
        </w:tc>
        <w:tc>
          <w:tcPr>
            <w:tcW w:w="581" w:type="dxa"/>
            <w:shd w:val="clear" w:color="000000" w:fill="FFFFFF"/>
            <w:noWrap/>
            <w:vAlign w:val="center"/>
            <w:hideMark/>
          </w:tcPr>
          <w:p w14:paraId="2C88298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68%</w:t>
            </w:r>
          </w:p>
        </w:tc>
      </w:tr>
      <w:tr w:rsidR="00303760" w:rsidRPr="00E01B11" w14:paraId="5FE0FCA5" w14:textId="77777777" w:rsidTr="0005765A">
        <w:trPr>
          <w:trHeight w:val="320"/>
        </w:trPr>
        <w:tc>
          <w:tcPr>
            <w:tcW w:w="977" w:type="dxa"/>
            <w:shd w:val="clear" w:color="auto" w:fill="FFFFFF" w:themeFill="background1"/>
            <w:noWrap/>
            <w:vAlign w:val="center"/>
            <w:hideMark/>
          </w:tcPr>
          <w:p w14:paraId="07773D06"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Bahrain</w:t>
            </w:r>
          </w:p>
        </w:tc>
        <w:tc>
          <w:tcPr>
            <w:tcW w:w="2268" w:type="dxa"/>
            <w:shd w:val="clear" w:color="000000" w:fill="FFFFFF"/>
            <w:noWrap/>
            <w:vAlign w:val="center"/>
            <w:hideMark/>
          </w:tcPr>
          <w:p w14:paraId="046CD58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5E48D81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66.1%</w:t>
            </w:r>
          </w:p>
        </w:tc>
        <w:tc>
          <w:tcPr>
            <w:tcW w:w="1922" w:type="dxa"/>
            <w:shd w:val="clear" w:color="000000" w:fill="FFFFFF"/>
            <w:noWrap/>
            <w:vAlign w:val="center"/>
            <w:hideMark/>
          </w:tcPr>
          <w:p w14:paraId="2B97A73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Aluminium and articles thereof</w:t>
            </w:r>
          </w:p>
        </w:tc>
        <w:tc>
          <w:tcPr>
            <w:tcW w:w="771" w:type="dxa"/>
            <w:shd w:val="clear" w:color="000000" w:fill="FFFFFF"/>
            <w:noWrap/>
            <w:vAlign w:val="center"/>
            <w:hideMark/>
          </w:tcPr>
          <w:p w14:paraId="73F73BF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13.2%</w:t>
            </w:r>
          </w:p>
        </w:tc>
        <w:tc>
          <w:tcPr>
            <w:tcW w:w="2064" w:type="dxa"/>
            <w:shd w:val="clear" w:color="000000" w:fill="FFFFFF"/>
            <w:noWrap/>
            <w:vAlign w:val="center"/>
            <w:hideMark/>
          </w:tcPr>
          <w:p w14:paraId="6EC4D2D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0FD9670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4.1%</w:t>
            </w:r>
          </w:p>
        </w:tc>
        <w:tc>
          <w:tcPr>
            <w:tcW w:w="1781" w:type="dxa"/>
            <w:shd w:val="clear" w:color="000000" w:fill="FFC7CE"/>
            <w:noWrap/>
            <w:vAlign w:val="center"/>
            <w:hideMark/>
          </w:tcPr>
          <w:p w14:paraId="2252918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54A57F9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2.0%</w:t>
            </w:r>
          </w:p>
        </w:tc>
        <w:tc>
          <w:tcPr>
            <w:tcW w:w="1780" w:type="dxa"/>
            <w:shd w:val="clear" w:color="000000" w:fill="FFC7CE"/>
            <w:noWrap/>
            <w:vAlign w:val="center"/>
            <w:hideMark/>
          </w:tcPr>
          <w:p w14:paraId="6C1BDF39"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850" w:type="dxa"/>
            <w:shd w:val="clear" w:color="000000" w:fill="FFFFFF"/>
            <w:noWrap/>
            <w:vAlign w:val="center"/>
            <w:hideMark/>
          </w:tcPr>
          <w:p w14:paraId="044F901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1.8%</w:t>
            </w:r>
          </w:p>
        </w:tc>
        <w:tc>
          <w:tcPr>
            <w:tcW w:w="581" w:type="dxa"/>
            <w:shd w:val="clear" w:color="000000" w:fill="FFFFFF"/>
            <w:noWrap/>
            <w:vAlign w:val="center"/>
            <w:hideMark/>
          </w:tcPr>
          <w:p w14:paraId="7B57519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87%</w:t>
            </w:r>
          </w:p>
        </w:tc>
      </w:tr>
      <w:tr w:rsidR="00303760" w:rsidRPr="00E01B11" w14:paraId="1DB87742" w14:textId="77777777" w:rsidTr="0005765A">
        <w:trPr>
          <w:trHeight w:val="320"/>
        </w:trPr>
        <w:tc>
          <w:tcPr>
            <w:tcW w:w="977" w:type="dxa"/>
            <w:shd w:val="clear" w:color="auto" w:fill="FFFFFF" w:themeFill="background1"/>
            <w:noWrap/>
            <w:vAlign w:val="center"/>
            <w:hideMark/>
          </w:tcPr>
          <w:p w14:paraId="55491F2E"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Kuwait</w:t>
            </w:r>
          </w:p>
        </w:tc>
        <w:tc>
          <w:tcPr>
            <w:tcW w:w="2268" w:type="dxa"/>
            <w:shd w:val="clear" w:color="000000" w:fill="FFFFFF"/>
            <w:noWrap/>
            <w:vAlign w:val="center"/>
            <w:hideMark/>
          </w:tcPr>
          <w:p w14:paraId="713E0E5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74B9D9C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92.9%</w:t>
            </w:r>
          </w:p>
        </w:tc>
        <w:tc>
          <w:tcPr>
            <w:tcW w:w="1922" w:type="dxa"/>
            <w:shd w:val="clear" w:color="000000" w:fill="FFC7CE"/>
            <w:noWrap/>
            <w:vAlign w:val="center"/>
            <w:hideMark/>
          </w:tcPr>
          <w:p w14:paraId="18E498F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771" w:type="dxa"/>
            <w:shd w:val="clear" w:color="000000" w:fill="FFFFFF"/>
            <w:noWrap/>
            <w:vAlign w:val="center"/>
            <w:hideMark/>
          </w:tcPr>
          <w:p w14:paraId="14CCDDF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2.7%</w:t>
            </w:r>
          </w:p>
        </w:tc>
        <w:tc>
          <w:tcPr>
            <w:tcW w:w="2064" w:type="dxa"/>
            <w:shd w:val="clear" w:color="000000" w:fill="FFC7CE"/>
            <w:noWrap/>
            <w:vAlign w:val="center"/>
            <w:hideMark/>
          </w:tcPr>
          <w:p w14:paraId="126C73AC"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Vehicles other than railway or tramway rolling-stock, and parts and accessories thereof</w:t>
            </w:r>
          </w:p>
        </w:tc>
        <w:tc>
          <w:tcPr>
            <w:tcW w:w="771" w:type="dxa"/>
            <w:shd w:val="clear" w:color="000000" w:fill="FFFFFF"/>
            <w:noWrap/>
            <w:vAlign w:val="center"/>
            <w:hideMark/>
          </w:tcPr>
          <w:p w14:paraId="659E5BA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0.8%</w:t>
            </w:r>
          </w:p>
        </w:tc>
        <w:tc>
          <w:tcPr>
            <w:tcW w:w="1781" w:type="dxa"/>
            <w:shd w:val="clear" w:color="000000" w:fill="FFFFFF"/>
            <w:noWrap/>
            <w:vAlign w:val="center"/>
            <w:hideMark/>
          </w:tcPr>
          <w:p w14:paraId="072E410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Organic chemicals</w:t>
            </w:r>
          </w:p>
        </w:tc>
        <w:tc>
          <w:tcPr>
            <w:tcW w:w="771" w:type="dxa"/>
            <w:shd w:val="clear" w:color="000000" w:fill="FFFFFF"/>
            <w:noWrap/>
            <w:vAlign w:val="center"/>
            <w:hideMark/>
          </w:tcPr>
          <w:p w14:paraId="14806D1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0.6%</w:t>
            </w:r>
          </w:p>
        </w:tc>
        <w:tc>
          <w:tcPr>
            <w:tcW w:w="1780" w:type="dxa"/>
            <w:shd w:val="clear" w:color="000000" w:fill="FFFFFF"/>
            <w:noWrap/>
            <w:vAlign w:val="center"/>
            <w:hideMark/>
          </w:tcPr>
          <w:p w14:paraId="1DE6389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Fertilisers</w:t>
            </w:r>
          </w:p>
        </w:tc>
        <w:tc>
          <w:tcPr>
            <w:tcW w:w="850" w:type="dxa"/>
            <w:shd w:val="clear" w:color="000000" w:fill="FFFFFF"/>
            <w:noWrap/>
            <w:vAlign w:val="center"/>
            <w:hideMark/>
          </w:tcPr>
          <w:p w14:paraId="2415D0E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0.4%</w:t>
            </w:r>
          </w:p>
        </w:tc>
        <w:tc>
          <w:tcPr>
            <w:tcW w:w="581" w:type="dxa"/>
            <w:shd w:val="clear" w:color="000000" w:fill="FFFFFF"/>
            <w:noWrap/>
            <w:vAlign w:val="center"/>
            <w:hideMark/>
          </w:tcPr>
          <w:p w14:paraId="73FBCB7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97%</w:t>
            </w:r>
          </w:p>
        </w:tc>
      </w:tr>
      <w:tr w:rsidR="00303760" w:rsidRPr="00E01B11" w14:paraId="2DCBE681" w14:textId="77777777" w:rsidTr="0005765A">
        <w:trPr>
          <w:trHeight w:val="320"/>
        </w:trPr>
        <w:tc>
          <w:tcPr>
            <w:tcW w:w="977" w:type="dxa"/>
            <w:shd w:val="clear" w:color="auto" w:fill="FFFFFF" w:themeFill="background1"/>
            <w:noWrap/>
            <w:vAlign w:val="center"/>
            <w:hideMark/>
          </w:tcPr>
          <w:p w14:paraId="48C3E449"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Qatar</w:t>
            </w:r>
          </w:p>
        </w:tc>
        <w:tc>
          <w:tcPr>
            <w:tcW w:w="2268" w:type="dxa"/>
            <w:shd w:val="clear" w:color="000000" w:fill="FFFFFF"/>
            <w:noWrap/>
            <w:vAlign w:val="center"/>
            <w:hideMark/>
          </w:tcPr>
          <w:p w14:paraId="1E199F0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57F6DFE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88.8%</w:t>
            </w:r>
          </w:p>
        </w:tc>
        <w:tc>
          <w:tcPr>
            <w:tcW w:w="1922" w:type="dxa"/>
            <w:shd w:val="clear" w:color="000000" w:fill="FFC7CE"/>
            <w:noWrap/>
            <w:vAlign w:val="center"/>
            <w:hideMark/>
          </w:tcPr>
          <w:p w14:paraId="34F98820"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771" w:type="dxa"/>
            <w:shd w:val="clear" w:color="000000" w:fill="FFFFFF"/>
            <w:noWrap/>
            <w:vAlign w:val="center"/>
            <w:hideMark/>
          </w:tcPr>
          <w:p w14:paraId="63E8053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2.8%</w:t>
            </w:r>
          </w:p>
        </w:tc>
        <w:tc>
          <w:tcPr>
            <w:tcW w:w="2064" w:type="dxa"/>
            <w:shd w:val="clear" w:color="000000" w:fill="FFFFFF"/>
            <w:noWrap/>
            <w:vAlign w:val="center"/>
            <w:hideMark/>
          </w:tcPr>
          <w:p w14:paraId="571D2E2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Fertilisers</w:t>
            </w:r>
          </w:p>
        </w:tc>
        <w:tc>
          <w:tcPr>
            <w:tcW w:w="771" w:type="dxa"/>
            <w:shd w:val="clear" w:color="000000" w:fill="FFFFFF"/>
            <w:noWrap/>
            <w:vAlign w:val="center"/>
            <w:hideMark/>
          </w:tcPr>
          <w:p w14:paraId="157F7A5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1.9%</w:t>
            </w:r>
          </w:p>
        </w:tc>
        <w:tc>
          <w:tcPr>
            <w:tcW w:w="1781" w:type="dxa"/>
            <w:shd w:val="clear" w:color="000000" w:fill="FFFFFF"/>
            <w:noWrap/>
            <w:vAlign w:val="center"/>
            <w:hideMark/>
          </w:tcPr>
          <w:p w14:paraId="5685009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Organic chemicals</w:t>
            </w:r>
          </w:p>
        </w:tc>
        <w:tc>
          <w:tcPr>
            <w:tcW w:w="771" w:type="dxa"/>
            <w:shd w:val="clear" w:color="000000" w:fill="FFFFFF"/>
            <w:noWrap/>
            <w:vAlign w:val="center"/>
            <w:hideMark/>
          </w:tcPr>
          <w:p w14:paraId="4775A34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1.5%</w:t>
            </w:r>
          </w:p>
        </w:tc>
        <w:tc>
          <w:tcPr>
            <w:tcW w:w="1780" w:type="dxa"/>
            <w:shd w:val="clear" w:color="000000" w:fill="FFFFFF"/>
            <w:noWrap/>
            <w:vAlign w:val="center"/>
            <w:hideMark/>
          </w:tcPr>
          <w:p w14:paraId="0705107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Iron and steel</w:t>
            </w:r>
          </w:p>
        </w:tc>
        <w:tc>
          <w:tcPr>
            <w:tcW w:w="850" w:type="dxa"/>
            <w:shd w:val="clear" w:color="000000" w:fill="FFFFFF"/>
            <w:noWrap/>
            <w:vAlign w:val="center"/>
            <w:hideMark/>
          </w:tcPr>
          <w:p w14:paraId="685577E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1.1%</w:t>
            </w:r>
          </w:p>
        </w:tc>
        <w:tc>
          <w:tcPr>
            <w:tcW w:w="581" w:type="dxa"/>
            <w:shd w:val="clear" w:color="000000" w:fill="FFFFFF"/>
            <w:noWrap/>
            <w:vAlign w:val="center"/>
            <w:hideMark/>
          </w:tcPr>
          <w:p w14:paraId="31E4B3A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96%</w:t>
            </w:r>
          </w:p>
        </w:tc>
      </w:tr>
      <w:tr w:rsidR="00303760" w:rsidRPr="00E01B11" w14:paraId="369F2873" w14:textId="77777777" w:rsidTr="0005765A">
        <w:trPr>
          <w:trHeight w:val="320"/>
        </w:trPr>
        <w:tc>
          <w:tcPr>
            <w:tcW w:w="977" w:type="dxa"/>
            <w:shd w:val="clear" w:color="auto" w:fill="FFFFFF" w:themeFill="background1"/>
            <w:noWrap/>
            <w:vAlign w:val="center"/>
            <w:hideMark/>
          </w:tcPr>
          <w:p w14:paraId="0256B37D"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Saudi Arabia</w:t>
            </w:r>
          </w:p>
        </w:tc>
        <w:tc>
          <w:tcPr>
            <w:tcW w:w="2268" w:type="dxa"/>
            <w:shd w:val="clear" w:color="000000" w:fill="FFFFFF"/>
            <w:noWrap/>
            <w:vAlign w:val="center"/>
            <w:hideMark/>
          </w:tcPr>
          <w:p w14:paraId="533086F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07B6B9A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87.0%</w:t>
            </w:r>
          </w:p>
        </w:tc>
        <w:tc>
          <w:tcPr>
            <w:tcW w:w="1922" w:type="dxa"/>
            <w:shd w:val="clear" w:color="000000" w:fill="FFFFFF"/>
            <w:noWrap/>
            <w:vAlign w:val="center"/>
            <w:hideMark/>
          </w:tcPr>
          <w:p w14:paraId="07FD192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Organic chemicals</w:t>
            </w:r>
          </w:p>
        </w:tc>
        <w:tc>
          <w:tcPr>
            <w:tcW w:w="771" w:type="dxa"/>
            <w:shd w:val="clear" w:color="000000" w:fill="FFFFFF"/>
            <w:noWrap/>
            <w:vAlign w:val="center"/>
            <w:hideMark/>
          </w:tcPr>
          <w:p w14:paraId="13BBC79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3.3%</w:t>
            </w:r>
          </w:p>
        </w:tc>
        <w:tc>
          <w:tcPr>
            <w:tcW w:w="2064" w:type="dxa"/>
            <w:shd w:val="clear" w:color="000000" w:fill="FFC7CE"/>
            <w:noWrap/>
            <w:vAlign w:val="center"/>
            <w:hideMark/>
          </w:tcPr>
          <w:p w14:paraId="25E3AE97"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771" w:type="dxa"/>
            <w:shd w:val="clear" w:color="000000" w:fill="FFFFFF"/>
            <w:noWrap/>
            <w:vAlign w:val="center"/>
            <w:hideMark/>
          </w:tcPr>
          <w:p w14:paraId="2AAD911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3.2%</w:t>
            </w:r>
          </w:p>
        </w:tc>
        <w:tc>
          <w:tcPr>
            <w:tcW w:w="1781" w:type="dxa"/>
            <w:shd w:val="clear" w:color="000000" w:fill="FFC7CE"/>
            <w:noWrap/>
            <w:vAlign w:val="center"/>
            <w:hideMark/>
          </w:tcPr>
          <w:p w14:paraId="5FA364E9"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1A6324C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0.5%</w:t>
            </w:r>
          </w:p>
        </w:tc>
        <w:tc>
          <w:tcPr>
            <w:tcW w:w="1780" w:type="dxa"/>
            <w:shd w:val="clear" w:color="000000" w:fill="FFFFFF"/>
            <w:noWrap/>
            <w:vAlign w:val="center"/>
            <w:hideMark/>
          </w:tcPr>
          <w:p w14:paraId="6886898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Fertilisers</w:t>
            </w:r>
          </w:p>
        </w:tc>
        <w:tc>
          <w:tcPr>
            <w:tcW w:w="850" w:type="dxa"/>
            <w:shd w:val="clear" w:color="000000" w:fill="FFFFFF"/>
            <w:noWrap/>
            <w:vAlign w:val="center"/>
            <w:hideMark/>
          </w:tcPr>
          <w:p w14:paraId="0C56284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0.4%</w:t>
            </w:r>
          </w:p>
        </w:tc>
        <w:tc>
          <w:tcPr>
            <w:tcW w:w="581" w:type="dxa"/>
            <w:shd w:val="clear" w:color="000000" w:fill="FFFFFF"/>
            <w:noWrap/>
            <w:vAlign w:val="center"/>
            <w:hideMark/>
          </w:tcPr>
          <w:p w14:paraId="6054F74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94%</w:t>
            </w:r>
          </w:p>
        </w:tc>
      </w:tr>
      <w:tr w:rsidR="00303760" w:rsidRPr="00E01B11" w14:paraId="274C7F2A" w14:textId="77777777" w:rsidTr="0005765A">
        <w:trPr>
          <w:trHeight w:val="320"/>
        </w:trPr>
        <w:tc>
          <w:tcPr>
            <w:tcW w:w="977" w:type="dxa"/>
            <w:shd w:val="clear" w:color="auto" w:fill="FFFFFF" w:themeFill="background1"/>
            <w:noWrap/>
            <w:vAlign w:val="center"/>
            <w:hideMark/>
          </w:tcPr>
          <w:p w14:paraId="12DF8C76"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UAE</w:t>
            </w:r>
          </w:p>
        </w:tc>
        <w:tc>
          <w:tcPr>
            <w:tcW w:w="2268" w:type="dxa"/>
            <w:shd w:val="clear" w:color="000000" w:fill="FFFFFF"/>
            <w:noWrap/>
            <w:vAlign w:val="center"/>
            <w:hideMark/>
          </w:tcPr>
          <w:p w14:paraId="251C45B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8AA3AF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44.8%</w:t>
            </w:r>
          </w:p>
        </w:tc>
        <w:tc>
          <w:tcPr>
            <w:tcW w:w="1922" w:type="dxa"/>
            <w:shd w:val="clear" w:color="000000" w:fill="FFC7CE"/>
            <w:noWrap/>
            <w:vAlign w:val="center"/>
            <w:hideMark/>
          </w:tcPr>
          <w:p w14:paraId="45A50141"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Commodities not specified according to kind</w:t>
            </w:r>
          </w:p>
        </w:tc>
        <w:tc>
          <w:tcPr>
            <w:tcW w:w="771" w:type="dxa"/>
            <w:shd w:val="clear" w:color="000000" w:fill="FFFFFF"/>
            <w:noWrap/>
            <w:vAlign w:val="center"/>
            <w:hideMark/>
          </w:tcPr>
          <w:p w14:paraId="662DE73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24.1%</w:t>
            </w:r>
          </w:p>
        </w:tc>
        <w:tc>
          <w:tcPr>
            <w:tcW w:w="2064" w:type="dxa"/>
            <w:shd w:val="clear" w:color="000000" w:fill="FFFFFF"/>
            <w:noWrap/>
            <w:vAlign w:val="center"/>
            <w:hideMark/>
          </w:tcPr>
          <w:p w14:paraId="0A0B0EB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Natural or cultured pearls, precious or semi-precious stones, precious metals, metals clad with precious metal, and articles thereof; imitation jewellery; coin</w:t>
            </w:r>
          </w:p>
        </w:tc>
        <w:tc>
          <w:tcPr>
            <w:tcW w:w="771" w:type="dxa"/>
            <w:shd w:val="clear" w:color="000000" w:fill="FFFFFF"/>
            <w:noWrap/>
            <w:vAlign w:val="center"/>
            <w:hideMark/>
          </w:tcPr>
          <w:p w14:paraId="653FE94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8.7%</w:t>
            </w:r>
          </w:p>
        </w:tc>
        <w:tc>
          <w:tcPr>
            <w:tcW w:w="1781" w:type="dxa"/>
            <w:shd w:val="clear" w:color="000000" w:fill="FFC7CE"/>
            <w:noWrap/>
            <w:vAlign w:val="center"/>
            <w:hideMark/>
          </w:tcPr>
          <w:p w14:paraId="5FE62DF9"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Electrical machinery and equipment and parts thereof; sound recorders and reproducers, television image and sound recorders and reproducers, and parts and accessories of such articles</w:t>
            </w:r>
          </w:p>
        </w:tc>
        <w:tc>
          <w:tcPr>
            <w:tcW w:w="771" w:type="dxa"/>
            <w:shd w:val="clear" w:color="000000" w:fill="FFFFFF"/>
            <w:noWrap/>
            <w:vAlign w:val="center"/>
            <w:hideMark/>
          </w:tcPr>
          <w:p w14:paraId="1C7EA51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3.7%</w:t>
            </w:r>
          </w:p>
        </w:tc>
        <w:tc>
          <w:tcPr>
            <w:tcW w:w="1780" w:type="dxa"/>
            <w:shd w:val="clear" w:color="000000" w:fill="FFC7CE"/>
            <w:noWrap/>
            <w:vAlign w:val="center"/>
            <w:hideMark/>
          </w:tcPr>
          <w:p w14:paraId="419031F5"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850" w:type="dxa"/>
            <w:shd w:val="clear" w:color="000000" w:fill="FFFFFF"/>
            <w:noWrap/>
            <w:vAlign w:val="center"/>
            <w:hideMark/>
          </w:tcPr>
          <w:p w14:paraId="53D94C3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3.0%</w:t>
            </w:r>
          </w:p>
        </w:tc>
        <w:tc>
          <w:tcPr>
            <w:tcW w:w="581" w:type="dxa"/>
            <w:shd w:val="clear" w:color="000000" w:fill="FFFFFF"/>
            <w:noWrap/>
            <w:vAlign w:val="center"/>
            <w:hideMark/>
          </w:tcPr>
          <w:p w14:paraId="524E778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84%</w:t>
            </w:r>
          </w:p>
        </w:tc>
      </w:tr>
      <w:tr w:rsidR="00303760" w:rsidRPr="00E01B11" w14:paraId="3A589BA0" w14:textId="77777777" w:rsidTr="0005765A">
        <w:trPr>
          <w:trHeight w:val="320"/>
        </w:trPr>
        <w:tc>
          <w:tcPr>
            <w:tcW w:w="977" w:type="dxa"/>
            <w:shd w:val="clear" w:color="auto" w:fill="FFFFFF" w:themeFill="background1"/>
            <w:noWrap/>
            <w:vAlign w:val="center"/>
            <w:hideMark/>
          </w:tcPr>
          <w:p w14:paraId="3CB7312B"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Brunei</w:t>
            </w:r>
          </w:p>
        </w:tc>
        <w:tc>
          <w:tcPr>
            <w:tcW w:w="2268" w:type="dxa"/>
            <w:shd w:val="clear" w:color="000000" w:fill="FFFFFF"/>
            <w:noWrap/>
            <w:vAlign w:val="center"/>
            <w:hideMark/>
          </w:tcPr>
          <w:p w14:paraId="5AE6205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9730AF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91.8%</w:t>
            </w:r>
          </w:p>
        </w:tc>
        <w:tc>
          <w:tcPr>
            <w:tcW w:w="1922" w:type="dxa"/>
            <w:shd w:val="clear" w:color="000000" w:fill="FFC7CE"/>
            <w:noWrap/>
            <w:vAlign w:val="center"/>
            <w:hideMark/>
          </w:tcPr>
          <w:p w14:paraId="5D784E0A"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Articles of apparel and clothing accessories, knitted or crocheted</w:t>
            </w:r>
          </w:p>
        </w:tc>
        <w:tc>
          <w:tcPr>
            <w:tcW w:w="771" w:type="dxa"/>
            <w:shd w:val="clear" w:color="000000" w:fill="FFFFFF"/>
            <w:noWrap/>
            <w:vAlign w:val="center"/>
            <w:hideMark/>
          </w:tcPr>
          <w:p w14:paraId="6B56CB3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1.7%</w:t>
            </w:r>
          </w:p>
        </w:tc>
        <w:tc>
          <w:tcPr>
            <w:tcW w:w="2064" w:type="dxa"/>
            <w:shd w:val="clear" w:color="000000" w:fill="FFC7CE"/>
            <w:noWrap/>
            <w:vAlign w:val="center"/>
            <w:hideMark/>
          </w:tcPr>
          <w:p w14:paraId="7BBE16C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Ships, boats and floating structures</w:t>
            </w:r>
          </w:p>
        </w:tc>
        <w:tc>
          <w:tcPr>
            <w:tcW w:w="771" w:type="dxa"/>
            <w:shd w:val="clear" w:color="000000" w:fill="FFFFFF"/>
            <w:noWrap/>
            <w:vAlign w:val="center"/>
            <w:hideMark/>
          </w:tcPr>
          <w:p w14:paraId="467CB36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w:t>
            </w:r>
          </w:p>
        </w:tc>
        <w:tc>
          <w:tcPr>
            <w:tcW w:w="1781" w:type="dxa"/>
            <w:shd w:val="clear" w:color="000000" w:fill="FFC7CE"/>
            <w:noWrap/>
            <w:vAlign w:val="center"/>
            <w:hideMark/>
          </w:tcPr>
          <w:p w14:paraId="38FC1C10"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771" w:type="dxa"/>
            <w:shd w:val="clear" w:color="000000" w:fill="FFFFFF"/>
            <w:noWrap/>
            <w:vAlign w:val="center"/>
            <w:hideMark/>
          </w:tcPr>
          <w:p w14:paraId="3ACD65E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0.9%</w:t>
            </w:r>
          </w:p>
        </w:tc>
        <w:tc>
          <w:tcPr>
            <w:tcW w:w="1780" w:type="dxa"/>
            <w:shd w:val="clear" w:color="000000" w:fill="FFC7CE"/>
            <w:noWrap/>
            <w:vAlign w:val="center"/>
            <w:hideMark/>
          </w:tcPr>
          <w:p w14:paraId="74CA614C"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Articles of apparel and clothing accessories,not knitted or crocheted</w:t>
            </w:r>
          </w:p>
        </w:tc>
        <w:tc>
          <w:tcPr>
            <w:tcW w:w="850" w:type="dxa"/>
            <w:shd w:val="clear" w:color="000000" w:fill="FFFFFF"/>
            <w:noWrap/>
            <w:vAlign w:val="center"/>
            <w:hideMark/>
          </w:tcPr>
          <w:p w14:paraId="1303846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0.9%</w:t>
            </w:r>
          </w:p>
        </w:tc>
        <w:tc>
          <w:tcPr>
            <w:tcW w:w="581" w:type="dxa"/>
            <w:shd w:val="clear" w:color="000000" w:fill="FFFFFF"/>
            <w:noWrap/>
            <w:vAlign w:val="center"/>
            <w:hideMark/>
          </w:tcPr>
          <w:p w14:paraId="08FBAE4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96%</w:t>
            </w:r>
          </w:p>
        </w:tc>
      </w:tr>
      <w:tr w:rsidR="00303760" w:rsidRPr="00E01B11" w14:paraId="2CFCACE2" w14:textId="77777777" w:rsidTr="0005765A">
        <w:trPr>
          <w:trHeight w:val="320"/>
        </w:trPr>
        <w:tc>
          <w:tcPr>
            <w:tcW w:w="977" w:type="dxa"/>
            <w:shd w:val="clear" w:color="auto" w:fill="FFFFFF" w:themeFill="background1"/>
            <w:noWrap/>
            <w:vAlign w:val="center"/>
            <w:hideMark/>
          </w:tcPr>
          <w:p w14:paraId="745722D0"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Indonesia</w:t>
            </w:r>
          </w:p>
        </w:tc>
        <w:tc>
          <w:tcPr>
            <w:tcW w:w="2268" w:type="dxa"/>
            <w:shd w:val="clear" w:color="000000" w:fill="FFFFFF"/>
            <w:noWrap/>
            <w:vAlign w:val="center"/>
            <w:hideMark/>
          </w:tcPr>
          <w:p w14:paraId="4DDF6FA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0FCB880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26.9%</w:t>
            </w:r>
          </w:p>
        </w:tc>
        <w:tc>
          <w:tcPr>
            <w:tcW w:w="1922" w:type="dxa"/>
            <w:shd w:val="clear" w:color="000000" w:fill="FFFFFF"/>
            <w:noWrap/>
            <w:vAlign w:val="center"/>
            <w:hideMark/>
          </w:tcPr>
          <w:p w14:paraId="0E2E420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Animal or vegetable fats and oils and their cleavage products; prepared edible fats; animal or vegetable waxes</w:t>
            </w:r>
          </w:p>
        </w:tc>
        <w:tc>
          <w:tcPr>
            <w:tcW w:w="771" w:type="dxa"/>
            <w:shd w:val="clear" w:color="000000" w:fill="FFFFFF"/>
            <w:noWrap/>
            <w:vAlign w:val="center"/>
            <w:hideMark/>
          </w:tcPr>
          <w:p w14:paraId="1FA78C9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7.4%</w:t>
            </w:r>
          </w:p>
        </w:tc>
        <w:tc>
          <w:tcPr>
            <w:tcW w:w="2064" w:type="dxa"/>
            <w:shd w:val="clear" w:color="000000" w:fill="FFC7CE"/>
            <w:noWrap/>
            <w:vAlign w:val="center"/>
            <w:hideMark/>
          </w:tcPr>
          <w:p w14:paraId="79CA31DB"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Electrical machinery and equipment and parts thereof; sound recorders and reproducers, television image and sound recorders and reproducers, and parts and accessories of such articles</w:t>
            </w:r>
          </w:p>
        </w:tc>
        <w:tc>
          <w:tcPr>
            <w:tcW w:w="771" w:type="dxa"/>
            <w:shd w:val="clear" w:color="000000" w:fill="FFFFFF"/>
            <w:noWrap/>
            <w:vAlign w:val="center"/>
            <w:hideMark/>
          </w:tcPr>
          <w:p w14:paraId="5CE7A20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7.3%</w:t>
            </w:r>
          </w:p>
        </w:tc>
        <w:tc>
          <w:tcPr>
            <w:tcW w:w="1781" w:type="dxa"/>
            <w:shd w:val="clear" w:color="000000" w:fill="FFFFFF"/>
            <w:noWrap/>
            <w:vAlign w:val="center"/>
            <w:hideMark/>
          </w:tcPr>
          <w:p w14:paraId="3D40EAE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Rubber and articles thereof</w:t>
            </w:r>
          </w:p>
        </w:tc>
        <w:tc>
          <w:tcPr>
            <w:tcW w:w="771" w:type="dxa"/>
            <w:shd w:val="clear" w:color="000000" w:fill="FFFFFF"/>
            <w:noWrap/>
            <w:vAlign w:val="center"/>
            <w:hideMark/>
          </w:tcPr>
          <w:p w14:paraId="7E803E0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4.2%</w:t>
            </w:r>
          </w:p>
        </w:tc>
        <w:tc>
          <w:tcPr>
            <w:tcW w:w="1780" w:type="dxa"/>
            <w:shd w:val="clear" w:color="000000" w:fill="FFFFFF"/>
            <w:noWrap/>
            <w:vAlign w:val="center"/>
            <w:hideMark/>
          </w:tcPr>
          <w:p w14:paraId="18D8E03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Wood and articles of wood; wood charcoal</w:t>
            </w:r>
          </w:p>
        </w:tc>
        <w:tc>
          <w:tcPr>
            <w:tcW w:w="850" w:type="dxa"/>
            <w:shd w:val="clear" w:color="000000" w:fill="FFFFFF"/>
            <w:noWrap/>
            <w:vAlign w:val="center"/>
            <w:hideMark/>
          </w:tcPr>
          <w:p w14:paraId="531EB56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4.0%</w:t>
            </w:r>
          </w:p>
        </w:tc>
        <w:tc>
          <w:tcPr>
            <w:tcW w:w="581" w:type="dxa"/>
            <w:shd w:val="clear" w:color="000000" w:fill="FFFFFF"/>
            <w:noWrap/>
            <w:vAlign w:val="center"/>
            <w:hideMark/>
          </w:tcPr>
          <w:p w14:paraId="5C225AA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50%</w:t>
            </w:r>
          </w:p>
        </w:tc>
      </w:tr>
      <w:tr w:rsidR="00303760" w:rsidRPr="00E01B11" w14:paraId="456C475C" w14:textId="77777777" w:rsidTr="0005765A">
        <w:trPr>
          <w:trHeight w:val="320"/>
        </w:trPr>
        <w:tc>
          <w:tcPr>
            <w:tcW w:w="977" w:type="dxa"/>
            <w:shd w:val="clear" w:color="auto" w:fill="FFFFFF" w:themeFill="background1"/>
            <w:noWrap/>
            <w:vAlign w:val="center"/>
            <w:hideMark/>
          </w:tcPr>
          <w:p w14:paraId="7481295F"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PNG</w:t>
            </w:r>
          </w:p>
        </w:tc>
        <w:tc>
          <w:tcPr>
            <w:tcW w:w="2268" w:type="dxa"/>
            <w:shd w:val="clear" w:color="000000" w:fill="FFFFFF"/>
            <w:noWrap/>
            <w:vAlign w:val="center"/>
            <w:hideMark/>
          </w:tcPr>
          <w:p w14:paraId="1A1D287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6BA5EF9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31.1%</w:t>
            </w:r>
          </w:p>
        </w:tc>
        <w:tc>
          <w:tcPr>
            <w:tcW w:w="1922" w:type="dxa"/>
            <w:shd w:val="clear" w:color="000000" w:fill="FFFFFF"/>
            <w:noWrap/>
            <w:vAlign w:val="center"/>
            <w:hideMark/>
          </w:tcPr>
          <w:p w14:paraId="57E53A9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Natural or cultured pearls, precious or semi-precious stones, precious metals, metals clad with precious metal, and articles thereof; imitation jewellery; coin</w:t>
            </w:r>
          </w:p>
        </w:tc>
        <w:tc>
          <w:tcPr>
            <w:tcW w:w="771" w:type="dxa"/>
            <w:shd w:val="clear" w:color="000000" w:fill="FFFFFF"/>
            <w:noWrap/>
            <w:vAlign w:val="center"/>
            <w:hideMark/>
          </w:tcPr>
          <w:p w14:paraId="1005785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19.3%</w:t>
            </w:r>
          </w:p>
        </w:tc>
        <w:tc>
          <w:tcPr>
            <w:tcW w:w="2064" w:type="dxa"/>
            <w:shd w:val="clear" w:color="000000" w:fill="FFFFFF"/>
            <w:noWrap/>
            <w:vAlign w:val="center"/>
            <w:hideMark/>
          </w:tcPr>
          <w:p w14:paraId="3CE57D8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4B0CEC5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18.2%</w:t>
            </w:r>
          </w:p>
        </w:tc>
        <w:tc>
          <w:tcPr>
            <w:tcW w:w="1781" w:type="dxa"/>
            <w:shd w:val="clear" w:color="000000" w:fill="FFFFFF"/>
            <w:noWrap/>
            <w:vAlign w:val="center"/>
            <w:hideMark/>
          </w:tcPr>
          <w:p w14:paraId="49D4D3E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Animal or vegetable fats and oils and their cleavage products; prepared edible fats; animal or vegetable waxes</w:t>
            </w:r>
          </w:p>
        </w:tc>
        <w:tc>
          <w:tcPr>
            <w:tcW w:w="771" w:type="dxa"/>
            <w:shd w:val="clear" w:color="000000" w:fill="FFFFFF"/>
            <w:noWrap/>
            <w:vAlign w:val="center"/>
            <w:hideMark/>
          </w:tcPr>
          <w:p w14:paraId="04D2F5A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9.0%</w:t>
            </w:r>
          </w:p>
        </w:tc>
        <w:tc>
          <w:tcPr>
            <w:tcW w:w="1780" w:type="dxa"/>
            <w:shd w:val="clear" w:color="000000" w:fill="FFFFFF"/>
            <w:noWrap/>
            <w:vAlign w:val="center"/>
            <w:hideMark/>
          </w:tcPr>
          <w:p w14:paraId="2C26D73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Coffee, tea, matÃ© and spices</w:t>
            </w:r>
          </w:p>
        </w:tc>
        <w:tc>
          <w:tcPr>
            <w:tcW w:w="850" w:type="dxa"/>
            <w:shd w:val="clear" w:color="000000" w:fill="FFFFFF"/>
            <w:noWrap/>
            <w:vAlign w:val="center"/>
            <w:hideMark/>
          </w:tcPr>
          <w:p w14:paraId="691C3B9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6.1%</w:t>
            </w:r>
          </w:p>
        </w:tc>
        <w:tc>
          <w:tcPr>
            <w:tcW w:w="581" w:type="dxa"/>
            <w:shd w:val="clear" w:color="000000" w:fill="FFFFFF"/>
            <w:noWrap/>
            <w:vAlign w:val="center"/>
            <w:hideMark/>
          </w:tcPr>
          <w:p w14:paraId="7B27EAE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84%</w:t>
            </w:r>
          </w:p>
        </w:tc>
      </w:tr>
      <w:tr w:rsidR="00303760" w:rsidRPr="00E01B11" w14:paraId="3FF186D4" w14:textId="77777777" w:rsidTr="0005765A">
        <w:trPr>
          <w:trHeight w:val="320"/>
        </w:trPr>
        <w:tc>
          <w:tcPr>
            <w:tcW w:w="977" w:type="dxa"/>
            <w:shd w:val="clear" w:color="auto" w:fill="FFFFFF" w:themeFill="background1"/>
            <w:noWrap/>
            <w:vAlign w:val="center"/>
            <w:hideMark/>
          </w:tcPr>
          <w:p w14:paraId="65FA765A"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Azerbaijan</w:t>
            </w:r>
          </w:p>
        </w:tc>
        <w:tc>
          <w:tcPr>
            <w:tcW w:w="2268" w:type="dxa"/>
            <w:shd w:val="clear" w:color="000000" w:fill="FFFFFF"/>
            <w:noWrap/>
            <w:vAlign w:val="center"/>
            <w:hideMark/>
          </w:tcPr>
          <w:p w14:paraId="549B440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638E42A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85.8%</w:t>
            </w:r>
          </w:p>
        </w:tc>
        <w:tc>
          <w:tcPr>
            <w:tcW w:w="1922" w:type="dxa"/>
            <w:shd w:val="clear" w:color="000000" w:fill="FFFFFF"/>
            <w:noWrap/>
            <w:vAlign w:val="center"/>
            <w:hideMark/>
          </w:tcPr>
          <w:p w14:paraId="63A090C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Cotton</w:t>
            </w:r>
          </w:p>
        </w:tc>
        <w:tc>
          <w:tcPr>
            <w:tcW w:w="771" w:type="dxa"/>
            <w:shd w:val="clear" w:color="000000" w:fill="FFFFFF"/>
            <w:noWrap/>
            <w:vAlign w:val="center"/>
            <w:hideMark/>
          </w:tcPr>
          <w:p w14:paraId="21E02440"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1.9%</w:t>
            </w:r>
          </w:p>
        </w:tc>
        <w:tc>
          <w:tcPr>
            <w:tcW w:w="2064" w:type="dxa"/>
            <w:shd w:val="clear" w:color="000000" w:fill="FFFFFF"/>
            <w:noWrap/>
            <w:vAlign w:val="center"/>
            <w:hideMark/>
          </w:tcPr>
          <w:p w14:paraId="2EDB76E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Edible fruit and nuts; peel of citrus fruit or melons</w:t>
            </w:r>
          </w:p>
        </w:tc>
        <w:tc>
          <w:tcPr>
            <w:tcW w:w="771" w:type="dxa"/>
            <w:shd w:val="clear" w:color="000000" w:fill="FFFFFF"/>
            <w:noWrap/>
            <w:vAlign w:val="center"/>
            <w:hideMark/>
          </w:tcPr>
          <w:p w14:paraId="346E4D79"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1.3%</w:t>
            </w:r>
          </w:p>
        </w:tc>
        <w:tc>
          <w:tcPr>
            <w:tcW w:w="1781" w:type="dxa"/>
            <w:shd w:val="clear" w:color="000000" w:fill="FFC7CE"/>
            <w:noWrap/>
            <w:vAlign w:val="center"/>
            <w:hideMark/>
          </w:tcPr>
          <w:p w14:paraId="069ED99A"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Plastics and articles thereof</w:t>
            </w:r>
          </w:p>
        </w:tc>
        <w:tc>
          <w:tcPr>
            <w:tcW w:w="771" w:type="dxa"/>
            <w:shd w:val="clear" w:color="000000" w:fill="FFFFFF"/>
            <w:noWrap/>
            <w:vAlign w:val="center"/>
            <w:hideMark/>
          </w:tcPr>
          <w:p w14:paraId="170E96B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w:t>
            </w:r>
          </w:p>
        </w:tc>
        <w:tc>
          <w:tcPr>
            <w:tcW w:w="1780" w:type="dxa"/>
            <w:shd w:val="clear" w:color="000000" w:fill="FFC7CE"/>
            <w:noWrap/>
            <w:vAlign w:val="center"/>
            <w:hideMark/>
          </w:tcPr>
          <w:p w14:paraId="25B936BD"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Ships, boats and floating structures</w:t>
            </w:r>
          </w:p>
        </w:tc>
        <w:tc>
          <w:tcPr>
            <w:tcW w:w="850" w:type="dxa"/>
            <w:shd w:val="clear" w:color="000000" w:fill="FFFFFF"/>
            <w:noWrap/>
            <w:vAlign w:val="center"/>
            <w:hideMark/>
          </w:tcPr>
          <w:p w14:paraId="4D75A9F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w:t>
            </w:r>
          </w:p>
        </w:tc>
        <w:tc>
          <w:tcPr>
            <w:tcW w:w="581" w:type="dxa"/>
            <w:shd w:val="clear" w:color="000000" w:fill="FFFFFF"/>
            <w:noWrap/>
            <w:vAlign w:val="center"/>
            <w:hideMark/>
          </w:tcPr>
          <w:p w14:paraId="3606DA4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91%</w:t>
            </w:r>
          </w:p>
        </w:tc>
      </w:tr>
      <w:tr w:rsidR="00303760" w:rsidRPr="00E01B11" w14:paraId="1B60C4DA" w14:textId="77777777" w:rsidTr="0005765A">
        <w:trPr>
          <w:trHeight w:val="320"/>
        </w:trPr>
        <w:tc>
          <w:tcPr>
            <w:tcW w:w="977" w:type="dxa"/>
            <w:shd w:val="clear" w:color="auto" w:fill="FFFFFF" w:themeFill="background1"/>
            <w:noWrap/>
            <w:vAlign w:val="center"/>
            <w:hideMark/>
          </w:tcPr>
          <w:p w14:paraId="2FCE381A" w14:textId="77777777" w:rsidR="00303760" w:rsidRPr="00F97C97" w:rsidRDefault="00303760" w:rsidP="0005765A">
            <w:pPr>
              <w:jc w:val="center"/>
              <w:rPr>
                <w:rFonts w:ascii="Calibri" w:eastAsia="Times New Roman" w:hAnsi="Calibri" w:cs="Arial"/>
                <w:b/>
                <w:color w:val="000000"/>
                <w:sz w:val="16"/>
                <w:szCs w:val="16"/>
              </w:rPr>
            </w:pPr>
            <w:r w:rsidRPr="00F97C97">
              <w:rPr>
                <w:rFonts w:ascii="Calibri" w:eastAsia="Times New Roman" w:hAnsi="Calibri" w:cs="Arial"/>
                <w:b/>
                <w:color w:val="000000"/>
                <w:sz w:val="16"/>
                <w:szCs w:val="16"/>
              </w:rPr>
              <w:t>Kazakhstan</w:t>
            </w:r>
          </w:p>
        </w:tc>
        <w:tc>
          <w:tcPr>
            <w:tcW w:w="2268" w:type="dxa"/>
            <w:shd w:val="clear" w:color="000000" w:fill="FFFFFF"/>
            <w:noWrap/>
            <w:vAlign w:val="center"/>
            <w:hideMark/>
          </w:tcPr>
          <w:p w14:paraId="154B030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79C1001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62.4%</w:t>
            </w:r>
          </w:p>
        </w:tc>
        <w:tc>
          <w:tcPr>
            <w:tcW w:w="1922" w:type="dxa"/>
            <w:shd w:val="clear" w:color="000000" w:fill="FFFFFF"/>
            <w:noWrap/>
            <w:vAlign w:val="center"/>
            <w:hideMark/>
          </w:tcPr>
          <w:p w14:paraId="7C2E0BB5"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Iron and steel</w:t>
            </w:r>
          </w:p>
        </w:tc>
        <w:tc>
          <w:tcPr>
            <w:tcW w:w="771" w:type="dxa"/>
            <w:shd w:val="clear" w:color="000000" w:fill="FFFFFF"/>
            <w:noWrap/>
            <w:vAlign w:val="center"/>
            <w:hideMark/>
          </w:tcPr>
          <w:p w14:paraId="0D84215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9.2%</w:t>
            </w:r>
          </w:p>
        </w:tc>
        <w:tc>
          <w:tcPr>
            <w:tcW w:w="2064" w:type="dxa"/>
            <w:shd w:val="clear" w:color="000000" w:fill="FFFFFF"/>
            <w:noWrap/>
            <w:vAlign w:val="center"/>
            <w:hideMark/>
          </w:tcPr>
          <w:p w14:paraId="21006A9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Copper and articles thereof</w:t>
            </w:r>
          </w:p>
        </w:tc>
        <w:tc>
          <w:tcPr>
            <w:tcW w:w="771" w:type="dxa"/>
            <w:shd w:val="clear" w:color="000000" w:fill="FFFFFF"/>
            <w:noWrap/>
            <w:vAlign w:val="center"/>
            <w:hideMark/>
          </w:tcPr>
          <w:p w14:paraId="2806D89C"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6.0%</w:t>
            </w:r>
          </w:p>
        </w:tc>
        <w:tc>
          <w:tcPr>
            <w:tcW w:w="1781" w:type="dxa"/>
            <w:shd w:val="clear" w:color="000000" w:fill="FFFFFF"/>
            <w:noWrap/>
            <w:vAlign w:val="center"/>
            <w:hideMark/>
          </w:tcPr>
          <w:p w14:paraId="29B0AEC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Inorganic chemicals; organic or inorganic compounds of precious metals, of rare-earth metals, of radioactive elements or of isotopes</w:t>
            </w:r>
          </w:p>
        </w:tc>
        <w:tc>
          <w:tcPr>
            <w:tcW w:w="771" w:type="dxa"/>
            <w:shd w:val="clear" w:color="000000" w:fill="FFFFFF"/>
            <w:noWrap/>
            <w:vAlign w:val="center"/>
            <w:hideMark/>
          </w:tcPr>
          <w:p w14:paraId="7A2D63B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4.0%</w:t>
            </w:r>
          </w:p>
        </w:tc>
        <w:tc>
          <w:tcPr>
            <w:tcW w:w="1780" w:type="dxa"/>
            <w:shd w:val="clear" w:color="000000" w:fill="FFFFFF"/>
            <w:noWrap/>
            <w:vAlign w:val="center"/>
            <w:hideMark/>
          </w:tcPr>
          <w:p w14:paraId="3A57BE3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850" w:type="dxa"/>
            <w:shd w:val="clear" w:color="000000" w:fill="FFFFFF"/>
            <w:noWrap/>
            <w:vAlign w:val="center"/>
            <w:hideMark/>
          </w:tcPr>
          <w:p w14:paraId="5328661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3.3%</w:t>
            </w:r>
          </w:p>
        </w:tc>
        <w:tc>
          <w:tcPr>
            <w:tcW w:w="581" w:type="dxa"/>
            <w:shd w:val="clear" w:color="000000" w:fill="FFFFFF"/>
            <w:noWrap/>
            <w:vAlign w:val="center"/>
            <w:hideMark/>
          </w:tcPr>
          <w:p w14:paraId="4FE1901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85%</w:t>
            </w:r>
          </w:p>
        </w:tc>
      </w:tr>
      <w:tr w:rsidR="00303760" w:rsidRPr="00E01B11" w14:paraId="268A7A9A" w14:textId="77777777" w:rsidTr="0005765A">
        <w:trPr>
          <w:trHeight w:val="320"/>
        </w:trPr>
        <w:tc>
          <w:tcPr>
            <w:tcW w:w="977" w:type="dxa"/>
            <w:shd w:val="clear" w:color="auto" w:fill="FFFFFF" w:themeFill="background1"/>
            <w:noWrap/>
            <w:vAlign w:val="center"/>
            <w:hideMark/>
          </w:tcPr>
          <w:p w14:paraId="6A6CAF84" w14:textId="77777777" w:rsidR="00303760" w:rsidRPr="00F97C97" w:rsidRDefault="00303760" w:rsidP="0005765A">
            <w:pPr>
              <w:jc w:val="center"/>
              <w:rPr>
                <w:rFonts w:ascii="Calibri" w:eastAsia="Times New Roman" w:hAnsi="Calibri" w:cs="Arial"/>
                <w:b/>
                <w:sz w:val="16"/>
                <w:szCs w:val="16"/>
              </w:rPr>
            </w:pPr>
            <w:r w:rsidRPr="00F97C97">
              <w:rPr>
                <w:rFonts w:ascii="Calibri" w:eastAsia="Times New Roman" w:hAnsi="Calibri" w:cs="Arial"/>
                <w:b/>
                <w:sz w:val="16"/>
                <w:szCs w:val="16"/>
              </w:rPr>
              <w:t>Russia</w:t>
            </w:r>
          </w:p>
        </w:tc>
        <w:tc>
          <w:tcPr>
            <w:tcW w:w="2268" w:type="dxa"/>
            <w:shd w:val="clear" w:color="000000" w:fill="FFFFFF"/>
            <w:noWrap/>
            <w:vAlign w:val="center"/>
            <w:hideMark/>
          </w:tcPr>
          <w:p w14:paraId="6696505D"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2F95F1D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58.7%</w:t>
            </w:r>
          </w:p>
        </w:tc>
        <w:tc>
          <w:tcPr>
            <w:tcW w:w="1922" w:type="dxa"/>
            <w:shd w:val="clear" w:color="000000" w:fill="FFC7CE"/>
            <w:noWrap/>
            <w:vAlign w:val="center"/>
            <w:hideMark/>
          </w:tcPr>
          <w:p w14:paraId="266B1707"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Commodities not specified according to kind</w:t>
            </w:r>
          </w:p>
        </w:tc>
        <w:tc>
          <w:tcPr>
            <w:tcW w:w="771" w:type="dxa"/>
            <w:shd w:val="clear" w:color="000000" w:fill="FFFFFF"/>
            <w:noWrap/>
            <w:vAlign w:val="center"/>
            <w:hideMark/>
          </w:tcPr>
          <w:p w14:paraId="755F262E"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7.9%</w:t>
            </w:r>
          </w:p>
        </w:tc>
        <w:tc>
          <w:tcPr>
            <w:tcW w:w="2064" w:type="dxa"/>
            <w:shd w:val="clear" w:color="000000" w:fill="FFFFFF"/>
            <w:noWrap/>
            <w:vAlign w:val="center"/>
            <w:hideMark/>
          </w:tcPr>
          <w:p w14:paraId="5E48AD3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Iron and steel</w:t>
            </w:r>
          </w:p>
        </w:tc>
        <w:tc>
          <w:tcPr>
            <w:tcW w:w="771" w:type="dxa"/>
            <w:shd w:val="clear" w:color="000000" w:fill="FFFFFF"/>
            <w:noWrap/>
            <w:vAlign w:val="center"/>
            <w:hideMark/>
          </w:tcPr>
          <w:p w14:paraId="252A169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5.9%</w:t>
            </w:r>
          </w:p>
        </w:tc>
        <w:tc>
          <w:tcPr>
            <w:tcW w:w="1781" w:type="dxa"/>
            <w:shd w:val="clear" w:color="000000" w:fill="FFFFFF"/>
            <w:noWrap/>
            <w:vAlign w:val="center"/>
            <w:hideMark/>
          </w:tcPr>
          <w:p w14:paraId="5AB138C8"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Aluminium and articles thereof</w:t>
            </w:r>
          </w:p>
        </w:tc>
        <w:tc>
          <w:tcPr>
            <w:tcW w:w="771" w:type="dxa"/>
            <w:shd w:val="clear" w:color="000000" w:fill="FFFFFF"/>
            <w:noWrap/>
            <w:vAlign w:val="center"/>
            <w:hideMark/>
          </w:tcPr>
          <w:p w14:paraId="5BDC24A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3.0%</w:t>
            </w:r>
          </w:p>
        </w:tc>
        <w:tc>
          <w:tcPr>
            <w:tcW w:w="1780" w:type="dxa"/>
            <w:shd w:val="clear" w:color="000000" w:fill="FFC7CE"/>
            <w:noWrap/>
            <w:vAlign w:val="center"/>
            <w:hideMark/>
          </w:tcPr>
          <w:p w14:paraId="2776E5E6"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Nuclear reactors, boilers, machinery and mechanical appliances; parts thereof</w:t>
            </w:r>
          </w:p>
        </w:tc>
        <w:tc>
          <w:tcPr>
            <w:tcW w:w="850" w:type="dxa"/>
            <w:shd w:val="clear" w:color="000000" w:fill="FFFFFF"/>
            <w:noWrap/>
            <w:vAlign w:val="center"/>
            <w:hideMark/>
          </w:tcPr>
          <w:p w14:paraId="175E6A1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2.1%</w:t>
            </w:r>
          </w:p>
        </w:tc>
        <w:tc>
          <w:tcPr>
            <w:tcW w:w="581" w:type="dxa"/>
            <w:shd w:val="clear" w:color="000000" w:fill="FFFFFF"/>
            <w:noWrap/>
            <w:vAlign w:val="center"/>
            <w:hideMark/>
          </w:tcPr>
          <w:p w14:paraId="1C19D844"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78%</w:t>
            </w:r>
          </w:p>
        </w:tc>
      </w:tr>
      <w:tr w:rsidR="00303760" w:rsidRPr="00E01B11" w14:paraId="5F18D137" w14:textId="77777777" w:rsidTr="0005765A">
        <w:trPr>
          <w:trHeight w:val="320"/>
        </w:trPr>
        <w:tc>
          <w:tcPr>
            <w:tcW w:w="977" w:type="dxa"/>
            <w:shd w:val="clear" w:color="auto" w:fill="FFFFFF" w:themeFill="background1"/>
            <w:noWrap/>
            <w:vAlign w:val="center"/>
            <w:hideMark/>
          </w:tcPr>
          <w:p w14:paraId="298E2DE1" w14:textId="77777777" w:rsidR="00303760" w:rsidRPr="00F97C97" w:rsidRDefault="00303760" w:rsidP="0005765A">
            <w:pPr>
              <w:jc w:val="center"/>
              <w:rPr>
                <w:rFonts w:ascii="Calibri" w:eastAsia="Times New Roman" w:hAnsi="Calibri" w:cs="Arial"/>
                <w:b/>
                <w:bCs/>
                <w:color w:val="305496"/>
                <w:sz w:val="16"/>
                <w:szCs w:val="16"/>
              </w:rPr>
            </w:pPr>
            <w:r w:rsidRPr="00F97C97">
              <w:rPr>
                <w:rFonts w:ascii="Calibri" w:eastAsia="Times New Roman" w:hAnsi="Calibri" w:cs="Arial"/>
                <w:b/>
                <w:bCs/>
                <w:color w:val="305496"/>
                <w:sz w:val="16"/>
                <w:szCs w:val="16"/>
              </w:rPr>
              <w:t>Mongolia</w:t>
            </w:r>
          </w:p>
        </w:tc>
        <w:tc>
          <w:tcPr>
            <w:tcW w:w="2268" w:type="dxa"/>
            <w:shd w:val="clear" w:color="000000" w:fill="FFFFFF"/>
            <w:noWrap/>
            <w:vAlign w:val="center"/>
            <w:hideMark/>
          </w:tcPr>
          <w:p w14:paraId="4E82D29A"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Ores, slag and ash</w:t>
            </w:r>
          </w:p>
        </w:tc>
        <w:tc>
          <w:tcPr>
            <w:tcW w:w="771" w:type="dxa"/>
            <w:shd w:val="clear" w:color="000000" w:fill="FFFFFF"/>
            <w:noWrap/>
            <w:vAlign w:val="center"/>
            <w:hideMark/>
          </w:tcPr>
          <w:p w14:paraId="0BD62AD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42.2%</w:t>
            </w:r>
          </w:p>
        </w:tc>
        <w:tc>
          <w:tcPr>
            <w:tcW w:w="1922" w:type="dxa"/>
            <w:shd w:val="clear" w:color="000000" w:fill="FFFFFF"/>
            <w:noWrap/>
            <w:vAlign w:val="center"/>
            <w:hideMark/>
          </w:tcPr>
          <w:p w14:paraId="3235A211"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Natural or cultured pearls, precious or semi-precious stones, precious metals, metals clad with precious metal, and articles thereof; imitation jewellery; coin</w:t>
            </w:r>
          </w:p>
        </w:tc>
        <w:tc>
          <w:tcPr>
            <w:tcW w:w="771" w:type="dxa"/>
            <w:shd w:val="clear" w:color="000000" w:fill="FFFFFF"/>
            <w:noWrap/>
            <w:vAlign w:val="center"/>
            <w:hideMark/>
          </w:tcPr>
          <w:p w14:paraId="4E972F9B"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11.0%</w:t>
            </w:r>
          </w:p>
        </w:tc>
        <w:tc>
          <w:tcPr>
            <w:tcW w:w="2064" w:type="dxa"/>
            <w:shd w:val="clear" w:color="000000" w:fill="FFFFFF"/>
            <w:noWrap/>
            <w:vAlign w:val="center"/>
            <w:hideMark/>
          </w:tcPr>
          <w:p w14:paraId="190A2773"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Wool, fine or coarse animal hair; horsehair yarn and woven fabric</w:t>
            </w:r>
          </w:p>
        </w:tc>
        <w:tc>
          <w:tcPr>
            <w:tcW w:w="771" w:type="dxa"/>
            <w:shd w:val="clear" w:color="000000" w:fill="FFFFFF"/>
            <w:noWrap/>
            <w:vAlign w:val="center"/>
            <w:hideMark/>
          </w:tcPr>
          <w:p w14:paraId="35982DF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10.6%</w:t>
            </w:r>
          </w:p>
        </w:tc>
        <w:tc>
          <w:tcPr>
            <w:tcW w:w="1781" w:type="dxa"/>
            <w:shd w:val="clear" w:color="000000" w:fill="FFFFFF"/>
            <w:noWrap/>
            <w:vAlign w:val="center"/>
            <w:hideMark/>
          </w:tcPr>
          <w:p w14:paraId="2A27FF46"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Mineral fuels, mineral oils and products of their distillation; bituminous substances; mineral waxes</w:t>
            </w:r>
          </w:p>
        </w:tc>
        <w:tc>
          <w:tcPr>
            <w:tcW w:w="771" w:type="dxa"/>
            <w:shd w:val="clear" w:color="000000" w:fill="FFFFFF"/>
            <w:noWrap/>
            <w:vAlign w:val="center"/>
            <w:hideMark/>
          </w:tcPr>
          <w:p w14:paraId="5B78F027"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7.9%</w:t>
            </w:r>
          </w:p>
        </w:tc>
        <w:tc>
          <w:tcPr>
            <w:tcW w:w="1780" w:type="dxa"/>
            <w:shd w:val="clear" w:color="000000" w:fill="FFC7CE"/>
            <w:noWrap/>
            <w:vAlign w:val="center"/>
            <w:hideMark/>
          </w:tcPr>
          <w:p w14:paraId="49A1EC32" w14:textId="77777777" w:rsidR="00303760" w:rsidRPr="00F97C97" w:rsidRDefault="00303760" w:rsidP="0005765A">
            <w:pPr>
              <w:jc w:val="center"/>
              <w:rPr>
                <w:rFonts w:ascii="Calibri" w:eastAsia="Times New Roman" w:hAnsi="Calibri" w:cs="Times New Roman"/>
                <w:color w:val="9C0006"/>
                <w:sz w:val="16"/>
                <w:szCs w:val="16"/>
              </w:rPr>
            </w:pPr>
            <w:r w:rsidRPr="00F97C97">
              <w:rPr>
                <w:rFonts w:ascii="Calibri" w:eastAsia="Times New Roman" w:hAnsi="Calibri" w:cs="Times New Roman"/>
                <w:color w:val="9C0006"/>
                <w:sz w:val="16"/>
                <w:szCs w:val="16"/>
              </w:rPr>
              <w:t>Articles of apparel and clothing accessories,not knitted or crocheted</w:t>
            </w:r>
          </w:p>
        </w:tc>
        <w:tc>
          <w:tcPr>
            <w:tcW w:w="850" w:type="dxa"/>
            <w:shd w:val="clear" w:color="000000" w:fill="FFFFFF"/>
            <w:noWrap/>
            <w:vAlign w:val="center"/>
            <w:hideMark/>
          </w:tcPr>
          <w:p w14:paraId="63EF26CF"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6.6%</w:t>
            </w:r>
          </w:p>
        </w:tc>
        <w:tc>
          <w:tcPr>
            <w:tcW w:w="581" w:type="dxa"/>
            <w:shd w:val="clear" w:color="000000" w:fill="FFFFFF"/>
            <w:noWrap/>
            <w:vAlign w:val="center"/>
            <w:hideMark/>
          </w:tcPr>
          <w:p w14:paraId="68B0BB92" w14:textId="77777777" w:rsidR="00303760" w:rsidRPr="00F97C97" w:rsidRDefault="00303760" w:rsidP="0005765A">
            <w:pPr>
              <w:jc w:val="center"/>
              <w:rPr>
                <w:rFonts w:ascii="Calibri" w:eastAsia="Times New Roman" w:hAnsi="Calibri" w:cs="Times New Roman"/>
                <w:sz w:val="16"/>
                <w:szCs w:val="16"/>
              </w:rPr>
            </w:pPr>
            <w:r w:rsidRPr="00F97C97">
              <w:rPr>
                <w:rFonts w:ascii="Calibri" w:eastAsia="Times New Roman" w:hAnsi="Calibri" w:cs="Times New Roman"/>
                <w:sz w:val="16"/>
                <w:szCs w:val="16"/>
              </w:rPr>
              <w:t>78%</w:t>
            </w:r>
          </w:p>
        </w:tc>
      </w:tr>
    </w:tbl>
    <w:p w14:paraId="561F0A83" w14:textId="77777777" w:rsidR="00303760" w:rsidRPr="00E01B11" w:rsidRDefault="00303760" w:rsidP="00303760">
      <w:pPr>
        <w:rPr>
          <w:rFonts w:ascii="Calibri" w:hAnsi="Calibri"/>
        </w:rPr>
      </w:pPr>
    </w:p>
    <w:p w14:paraId="7FE33421" w14:textId="77777777" w:rsidR="00303760" w:rsidRPr="00E01B11" w:rsidRDefault="00303760" w:rsidP="00303760">
      <w:pPr>
        <w:rPr>
          <w:rFonts w:ascii="Calibri" w:hAnsi="Calibri"/>
        </w:rPr>
      </w:pPr>
    </w:p>
    <w:p w14:paraId="4A53CF72" w14:textId="77777777" w:rsidR="00303760" w:rsidRPr="00E01B11" w:rsidRDefault="00303760" w:rsidP="00303760">
      <w:pPr>
        <w:rPr>
          <w:rFonts w:ascii="Calibri" w:hAnsi="Calibri"/>
        </w:rPr>
      </w:pPr>
      <w:r w:rsidRPr="00E01B11">
        <w:rPr>
          <w:rFonts w:ascii="Calibri" w:hAnsi="Calibri"/>
        </w:rPr>
        <w:t>Key:</w:t>
      </w:r>
    </w:p>
    <w:p w14:paraId="0C4A3331" w14:textId="77777777" w:rsidR="00303760" w:rsidRPr="00E01B11" w:rsidRDefault="00303760" w:rsidP="00303760">
      <w:pPr>
        <w:pStyle w:val="ListParagraph"/>
        <w:numPr>
          <w:ilvl w:val="0"/>
          <w:numId w:val="43"/>
        </w:numPr>
        <w:rPr>
          <w:rFonts w:ascii="Calibri" w:hAnsi="Calibri"/>
        </w:rPr>
      </w:pPr>
      <w:r w:rsidRPr="00E01B11">
        <w:rPr>
          <w:rFonts w:ascii="Calibri" w:hAnsi="Calibri"/>
        </w:rPr>
        <w:t>Cells shaded red and with red text are not included in computing the commodity indices as the export commodity was a manufactured good.</w:t>
      </w:r>
    </w:p>
    <w:p w14:paraId="159A8C0F" w14:textId="77777777" w:rsidR="00303760" w:rsidRPr="00E01B11" w:rsidRDefault="00303760" w:rsidP="00303760">
      <w:pPr>
        <w:pStyle w:val="ListParagraph"/>
        <w:numPr>
          <w:ilvl w:val="0"/>
          <w:numId w:val="43"/>
        </w:numPr>
        <w:rPr>
          <w:rFonts w:ascii="Calibri" w:hAnsi="Calibri"/>
        </w:rPr>
      </w:pPr>
      <w:r>
        <w:rPr>
          <w:rFonts w:ascii="Calibri" w:hAnsi="Calibri"/>
        </w:rPr>
        <w:t>Cells with the last column</w:t>
      </w:r>
      <w:r w:rsidRPr="00E01B11">
        <w:rPr>
          <w:rFonts w:ascii="Calibri" w:hAnsi="Calibri"/>
        </w:rPr>
        <w:t xml:space="preserve"> shaded in yellow are countries who commodity index is only composed of oil.</w:t>
      </w:r>
    </w:p>
    <w:p w14:paraId="64FBEA32" w14:textId="77777777" w:rsidR="00303760" w:rsidRPr="00C70ABA" w:rsidRDefault="00303760" w:rsidP="00303760">
      <w:pPr>
        <w:pStyle w:val="ListParagraph"/>
        <w:numPr>
          <w:ilvl w:val="0"/>
          <w:numId w:val="43"/>
        </w:numPr>
        <w:rPr>
          <w:rFonts w:ascii="Calibri" w:hAnsi="Calibri"/>
        </w:rPr>
      </w:pPr>
      <w:r w:rsidRPr="00E01B11">
        <w:rPr>
          <w:rFonts w:ascii="Calibri" w:hAnsi="Calibri"/>
        </w:rPr>
        <w:t>The value of 18.9% in cell C2 means that between 1990-2015, the average share of the commodity in B2 in the exports of Canada was 18.9%. That is, annual shares were calculated and an average of taken for a given commodity over all years. The commodities with the highest averages are included here.</w:t>
      </w:r>
    </w:p>
    <w:p w14:paraId="2F547CB2" w14:textId="77777777" w:rsidR="00303760" w:rsidRDefault="00303760" w:rsidP="00303760">
      <w:pPr>
        <w:jc w:val="center"/>
        <w:rPr>
          <w:rFonts w:ascii="Calibri" w:hAnsi="Calibri"/>
        </w:rPr>
      </w:pPr>
    </w:p>
    <w:p w14:paraId="57408E28" w14:textId="77777777" w:rsidR="00303760" w:rsidRPr="00C70ABA" w:rsidRDefault="00303760" w:rsidP="00303760">
      <w:pPr>
        <w:rPr>
          <w:rFonts w:ascii="Calibri" w:hAnsi="Calibri"/>
          <w:b/>
          <w:u w:val="single"/>
        </w:rPr>
      </w:pPr>
      <w:r w:rsidRPr="00C70ABA">
        <w:rPr>
          <w:rFonts w:ascii="Calibri" w:hAnsi="Calibri"/>
          <w:b/>
          <w:u w:val="single"/>
        </w:rPr>
        <w:t>Table 2: Commodity Matches</w:t>
      </w:r>
    </w:p>
    <w:p w14:paraId="629A7809" w14:textId="77777777" w:rsidR="00303760" w:rsidRDefault="00303760" w:rsidP="00303760">
      <w:pPr>
        <w:rPr>
          <w:rFonts w:ascii="Calibri" w:hAnsi="Calibri"/>
        </w:rPr>
      </w:pPr>
    </w:p>
    <w:tbl>
      <w:tblPr>
        <w:tblW w:w="15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0"/>
        <w:gridCol w:w="2694"/>
        <w:gridCol w:w="2955"/>
      </w:tblGrid>
      <w:tr w:rsidR="00303760" w:rsidRPr="000547E6" w14:paraId="7F2D059C" w14:textId="77777777" w:rsidTr="0005765A">
        <w:trPr>
          <w:trHeight w:val="320"/>
        </w:trPr>
        <w:tc>
          <w:tcPr>
            <w:tcW w:w="10190" w:type="dxa"/>
            <w:shd w:val="clear" w:color="auto" w:fill="auto"/>
            <w:noWrap/>
            <w:vAlign w:val="bottom"/>
            <w:hideMark/>
          </w:tcPr>
          <w:p w14:paraId="5AFBD380" w14:textId="77777777" w:rsidR="00303760" w:rsidRPr="000547E6" w:rsidRDefault="00303760" w:rsidP="0005765A">
            <w:pPr>
              <w:rPr>
                <w:rFonts w:ascii="Calibri" w:eastAsia="Times New Roman" w:hAnsi="Calibri" w:cs="Times New Roman"/>
                <w:b/>
                <w:bCs/>
                <w:color w:val="000000"/>
              </w:rPr>
            </w:pPr>
            <w:r w:rsidRPr="000547E6">
              <w:rPr>
                <w:rFonts w:ascii="Calibri" w:eastAsia="Times New Roman" w:hAnsi="Calibri" w:cs="Times New Roman"/>
                <w:b/>
                <w:bCs/>
                <w:color w:val="000000"/>
              </w:rPr>
              <w:t>HS-2 Classification</w:t>
            </w:r>
          </w:p>
        </w:tc>
        <w:tc>
          <w:tcPr>
            <w:tcW w:w="5649" w:type="dxa"/>
            <w:gridSpan w:val="2"/>
            <w:shd w:val="clear" w:color="auto" w:fill="auto"/>
            <w:noWrap/>
            <w:vAlign w:val="bottom"/>
            <w:hideMark/>
          </w:tcPr>
          <w:p w14:paraId="09EDB45D" w14:textId="77777777" w:rsidR="00303760" w:rsidRPr="000547E6" w:rsidRDefault="00303760" w:rsidP="0005765A">
            <w:pPr>
              <w:jc w:val="center"/>
              <w:rPr>
                <w:rFonts w:ascii="Calibri" w:eastAsia="Times New Roman" w:hAnsi="Calibri" w:cs="Times New Roman"/>
                <w:b/>
                <w:bCs/>
                <w:color w:val="000000"/>
              </w:rPr>
            </w:pPr>
            <w:r w:rsidRPr="000547E6">
              <w:rPr>
                <w:rFonts w:ascii="Calibri" w:eastAsia="Times New Roman" w:hAnsi="Calibri" w:cs="Times New Roman"/>
                <w:b/>
                <w:bCs/>
                <w:color w:val="000000"/>
              </w:rPr>
              <w:t>Closest Match from Price Data</w:t>
            </w:r>
          </w:p>
        </w:tc>
      </w:tr>
      <w:tr w:rsidR="00303760" w:rsidRPr="000547E6" w14:paraId="52138F26" w14:textId="77777777" w:rsidTr="0005765A">
        <w:trPr>
          <w:trHeight w:val="320"/>
        </w:trPr>
        <w:tc>
          <w:tcPr>
            <w:tcW w:w="10190" w:type="dxa"/>
            <w:shd w:val="clear" w:color="auto" w:fill="auto"/>
            <w:noWrap/>
            <w:vAlign w:val="bottom"/>
            <w:hideMark/>
          </w:tcPr>
          <w:p w14:paraId="7D3D29DA"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Meat and edible meat offal</w:t>
            </w:r>
          </w:p>
        </w:tc>
        <w:tc>
          <w:tcPr>
            <w:tcW w:w="2694" w:type="dxa"/>
            <w:shd w:val="clear" w:color="auto" w:fill="auto"/>
            <w:noWrap/>
            <w:vAlign w:val="bottom"/>
            <w:hideMark/>
          </w:tcPr>
          <w:p w14:paraId="2E7B9DE3"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Meat, sheep</w:t>
            </w:r>
          </w:p>
        </w:tc>
        <w:tc>
          <w:tcPr>
            <w:tcW w:w="2955" w:type="dxa"/>
            <w:shd w:val="clear" w:color="auto" w:fill="auto"/>
            <w:noWrap/>
            <w:vAlign w:val="bottom"/>
            <w:hideMark/>
          </w:tcPr>
          <w:p w14:paraId="5764D386"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WLDLAMB</w:t>
            </w:r>
          </w:p>
        </w:tc>
      </w:tr>
      <w:tr w:rsidR="00303760" w:rsidRPr="000547E6" w14:paraId="3B3260EA" w14:textId="77777777" w:rsidTr="0005765A">
        <w:trPr>
          <w:trHeight w:val="320"/>
        </w:trPr>
        <w:tc>
          <w:tcPr>
            <w:tcW w:w="10190" w:type="dxa"/>
            <w:shd w:val="clear" w:color="auto" w:fill="auto"/>
            <w:noWrap/>
            <w:vAlign w:val="bottom"/>
            <w:hideMark/>
          </w:tcPr>
          <w:p w14:paraId="53678BF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Fish and crustaceans, molluscs and other aquatic invertebrates</w:t>
            </w:r>
          </w:p>
        </w:tc>
        <w:tc>
          <w:tcPr>
            <w:tcW w:w="2694" w:type="dxa"/>
            <w:shd w:val="clear" w:color="auto" w:fill="auto"/>
            <w:noWrap/>
            <w:vAlign w:val="bottom"/>
            <w:hideMark/>
          </w:tcPr>
          <w:p w14:paraId="4671FA98"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Shirmps, Mexican</w:t>
            </w:r>
          </w:p>
        </w:tc>
        <w:tc>
          <w:tcPr>
            <w:tcW w:w="2955" w:type="dxa"/>
            <w:shd w:val="clear" w:color="auto" w:fill="auto"/>
            <w:noWrap/>
            <w:vAlign w:val="bottom"/>
            <w:hideMark/>
          </w:tcPr>
          <w:p w14:paraId="1DA76DF7"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WLDSHRIMP_MEX</w:t>
            </w:r>
          </w:p>
        </w:tc>
      </w:tr>
      <w:tr w:rsidR="00303760" w:rsidRPr="000547E6" w14:paraId="11E8B842" w14:textId="77777777" w:rsidTr="0005765A">
        <w:trPr>
          <w:trHeight w:val="320"/>
        </w:trPr>
        <w:tc>
          <w:tcPr>
            <w:tcW w:w="10190" w:type="dxa"/>
            <w:shd w:val="clear" w:color="auto" w:fill="auto"/>
            <w:noWrap/>
            <w:vAlign w:val="bottom"/>
            <w:hideMark/>
          </w:tcPr>
          <w:p w14:paraId="16BCD617"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Dairy produce; birds' eggs; natural honey; edible products of animal origin, not elsewhere specified or included</w:t>
            </w:r>
          </w:p>
        </w:tc>
        <w:tc>
          <w:tcPr>
            <w:tcW w:w="2694" w:type="dxa"/>
            <w:shd w:val="clear" w:color="auto" w:fill="auto"/>
            <w:noWrap/>
            <w:vAlign w:val="bottom"/>
            <w:hideMark/>
          </w:tcPr>
          <w:p w14:paraId="656DE51A"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Other Food</w:t>
            </w:r>
          </w:p>
        </w:tc>
        <w:tc>
          <w:tcPr>
            <w:tcW w:w="2955" w:type="dxa"/>
            <w:shd w:val="clear" w:color="auto" w:fill="auto"/>
            <w:noWrap/>
            <w:vAlign w:val="bottom"/>
            <w:hideMark/>
          </w:tcPr>
          <w:p w14:paraId="43FB11DA"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WLDIOTHERFOOD</w:t>
            </w:r>
          </w:p>
        </w:tc>
      </w:tr>
      <w:tr w:rsidR="00303760" w:rsidRPr="000547E6" w14:paraId="22B51AC0" w14:textId="77777777" w:rsidTr="0005765A">
        <w:trPr>
          <w:trHeight w:val="320"/>
        </w:trPr>
        <w:tc>
          <w:tcPr>
            <w:tcW w:w="10190" w:type="dxa"/>
            <w:shd w:val="clear" w:color="auto" w:fill="auto"/>
            <w:noWrap/>
            <w:vAlign w:val="bottom"/>
            <w:hideMark/>
          </w:tcPr>
          <w:p w14:paraId="27F16A36" w14:textId="77777777" w:rsidR="00303760" w:rsidRPr="000547E6" w:rsidRDefault="00303760" w:rsidP="0005765A">
            <w:pPr>
              <w:rPr>
                <w:rFonts w:ascii="Calibri" w:eastAsia="Times New Roman" w:hAnsi="Calibri" w:cs="Times New Roman"/>
                <w:i/>
                <w:iCs/>
                <w:color w:val="000000"/>
              </w:rPr>
            </w:pPr>
            <w:r w:rsidRPr="000547E6">
              <w:rPr>
                <w:rFonts w:ascii="Calibri" w:eastAsia="Times New Roman" w:hAnsi="Calibri" w:cs="Times New Roman"/>
                <w:i/>
                <w:iCs/>
                <w:color w:val="000000"/>
              </w:rPr>
              <w:t>Live trees and other plants; bulbs, roots and the like; cut flowers and ornamental foliage</w:t>
            </w:r>
          </w:p>
        </w:tc>
        <w:tc>
          <w:tcPr>
            <w:tcW w:w="2694" w:type="dxa"/>
            <w:shd w:val="clear" w:color="auto" w:fill="auto"/>
            <w:noWrap/>
            <w:vAlign w:val="bottom"/>
            <w:hideMark/>
          </w:tcPr>
          <w:p w14:paraId="73844FDD"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Agriculture</w:t>
            </w:r>
          </w:p>
        </w:tc>
        <w:tc>
          <w:tcPr>
            <w:tcW w:w="2955" w:type="dxa"/>
            <w:shd w:val="clear" w:color="auto" w:fill="auto"/>
            <w:noWrap/>
            <w:vAlign w:val="bottom"/>
            <w:hideMark/>
          </w:tcPr>
          <w:p w14:paraId="35F8BE9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WLDIAGRICULTURE</w:t>
            </w:r>
          </w:p>
        </w:tc>
      </w:tr>
      <w:tr w:rsidR="00303760" w:rsidRPr="000547E6" w14:paraId="707AACAC" w14:textId="77777777" w:rsidTr="0005765A">
        <w:trPr>
          <w:trHeight w:val="320"/>
        </w:trPr>
        <w:tc>
          <w:tcPr>
            <w:tcW w:w="10190" w:type="dxa"/>
            <w:shd w:val="clear" w:color="auto" w:fill="auto"/>
            <w:noWrap/>
            <w:vAlign w:val="bottom"/>
            <w:hideMark/>
          </w:tcPr>
          <w:p w14:paraId="18CFF472"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Edible fruit and nuts; peel of citrus fruit or melons</w:t>
            </w:r>
          </w:p>
        </w:tc>
        <w:tc>
          <w:tcPr>
            <w:tcW w:w="2694" w:type="dxa"/>
            <w:shd w:val="clear" w:color="auto" w:fill="auto"/>
            <w:noWrap/>
            <w:vAlign w:val="bottom"/>
            <w:hideMark/>
          </w:tcPr>
          <w:p w14:paraId="7CE171D5"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Agriculture</w:t>
            </w:r>
          </w:p>
        </w:tc>
        <w:tc>
          <w:tcPr>
            <w:tcW w:w="2955" w:type="dxa"/>
            <w:shd w:val="clear" w:color="auto" w:fill="auto"/>
            <w:noWrap/>
            <w:vAlign w:val="bottom"/>
            <w:hideMark/>
          </w:tcPr>
          <w:p w14:paraId="6FD8EFF6"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WLDIAGRICULTURE</w:t>
            </w:r>
          </w:p>
        </w:tc>
      </w:tr>
      <w:tr w:rsidR="00303760" w:rsidRPr="000547E6" w14:paraId="75B02EF2" w14:textId="77777777" w:rsidTr="0005765A">
        <w:trPr>
          <w:trHeight w:val="320"/>
        </w:trPr>
        <w:tc>
          <w:tcPr>
            <w:tcW w:w="10190" w:type="dxa"/>
            <w:shd w:val="clear" w:color="auto" w:fill="auto"/>
            <w:noWrap/>
            <w:vAlign w:val="bottom"/>
            <w:hideMark/>
          </w:tcPr>
          <w:p w14:paraId="2D3F2983"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Coffee, tea, matÃ© and spices</w:t>
            </w:r>
          </w:p>
        </w:tc>
        <w:tc>
          <w:tcPr>
            <w:tcW w:w="2694" w:type="dxa"/>
            <w:shd w:val="clear" w:color="auto" w:fill="auto"/>
            <w:noWrap/>
            <w:vAlign w:val="bottom"/>
            <w:hideMark/>
          </w:tcPr>
          <w:p w14:paraId="6B285723"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Beverages</w:t>
            </w:r>
          </w:p>
        </w:tc>
        <w:tc>
          <w:tcPr>
            <w:tcW w:w="2955" w:type="dxa"/>
            <w:shd w:val="clear" w:color="auto" w:fill="auto"/>
            <w:noWrap/>
            <w:vAlign w:val="bottom"/>
            <w:hideMark/>
          </w:tcPr>
          <w:p w14:paraId="05A3BDAC"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WLDIBEVERAGES</w:t>
            </w:r>
          </w:p>
        </w:tc>
      </w:tr>
      <w:tr w:rsidR="00303760" w:rsidRPr="000547E6" w14:paraId="7E05595B" w14:textId="77777777" w:rsidTr="0005765A">
        <w:trPr>
          <w:trHeight w:val="320"/>
        </w:trPr>
        <w:tc>
          <w:tcPr>
            <w:tcW w:w="10190" w:type="dxa"/>
            <w:shd w:val="clear" w:color="auto" w:fill="auto"/>
            <w:noWrap/>
            <w:vAlign w:val="bottom"/>
            <w:hideMark/>
          </w:tcPr>
          <w:p w14:paraId="0305F45A"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Oil seeds and oleaginous fruits; miscellaneous grains,seeds and fruit; industrial or medicinal plants; straw and fodder</w:t>
            </w:r>
          </w:p>
        </w:tc>
        <w:tc>
          <w:tcPr>
            <w:tcW w:w="2694" w:type="dxa"/>
            <w:shd w:val="clear" w:color="auto" w:fill="auto"/>
            <w:noWrap/>
            <w:vAlign w:val="bottom"/>
            <w:hideMark/>
          </w:tcPr>
          <w:p w14:paraId="167BCCAE"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Oils &amp; Meals</w:t>
            </w:r>
          </w:p>
        </w:tc>
        <w:tc>
          <w:tcPr>
            <w:tcW w:w="2955" w:type="dxa"/>
            <w:shd w:val="clear" w:color="auto" w:fill="auto"/>
            <w:noWrap/>
            <w:vAlign w:val="bottom"/>
            <w:hideMark/>
          </w:tcPr>
          <w:p w14:paraId="2667FA98"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WLDIFATS_OILS</w:t>
            </w:r>
          </w:p>
        </w:tc>
      </w:tr>
      <w:tr w:rsidR="00303760" w:rsidRPr="000547E6" w14:paraId="12382146" w14:textId="77777777" w:rsidTr="0005765A">
        <w:trPr>
          <w:trHeight w:val="320"/>
        </w:trPr>
        <w:tc>
          <w:tcPr>
            <w:tcW w:w="10190" w:type="dxa"/>
            <w:shd w:val="clear" w:color="auto" w:fill="auto"/>
            <w:noWrap/>
            <w:vAlign w:val="bottom"/>
            <w:hideMark/>
          </w:tcPr>
          <w:p w14:paraId="2E41E47B" w14:textId="77777777" w:rsidR="00303760" w:rsidRPr="000547E6" w:rsidRDefault="00303760" w:rsidP="0005765A">
            <w:pPr>
              <w:rPr>
                <w:rFonts w:ascii="Calibri" w:eastAsia="Times New Roman" w:hAnsi="Calibri" w:cs="Times New Roman"/>
                <w:i/>
                <w:iCs/>
                <w:color w:val="000000"/>
              </w:rPr>
            </w:pPr>
            <w:r w:rsidRPr="000547E6">
              <w:rPr>
                <w:rFonts w:ascii="Calibri" w:eastAsia="Times New Roman" w:hAnsi="Calibri" w:cs="Times New Roman"/>
                <w:i/>
                <w:iCs/>
                <w:color w:val="000000"/>
              </w:rPr>
              <w:t>Animal or vegetable fats and oils and their cleavage products; prepared edible fats; animal or vegetable waxes</w:t>
            </w:r>
          </w:p>
        </w:tc>
        <w:tc>
          <w:tcPr>
            <w:tcW w:w="2694" w:type="dxa"/>
            <w:shd w:val="clear" w:color="auto" w:fill="auto"/>
            <w:noWrap/>
            <w:vAlign w:val="bottom"/>
            <w:hideMark/>
          </w:tcPr>
          <w:p w14:paraId="30E7163B"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Food</w:t>
            </w:r>
          </w:p>
        </w:tc>
        <w:tc>
          <w:tcPr>
            <w:tcW w:w="2955" w:type="dxa"/>
            <w:shd w:val="clear" w:color="auto" w:fill="auto"/>
            <w:noWrap/>
            <w:vAlign w:val="bottom"/>
            <w:hideMark/>
          </w:tcPr>
          <w:p w14:paraId="2C4C9D37"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WLDIFOOD</w:t>
            </w:r>
          </w:p>
        </w:tc>
      </w:tr>
      <w:tr w:rsidR="00303760" w:rsidRPr="000547E6" w14:paraId="7060A45B" w14:textId="77777777" w:rsidTr="0005765A">
        <w:trPr>
          <w:trHeight w:val="320"/>
        </w:trPr>
        <w:tc>
          <w:tcPr>
            <w:tcW w:w="10190" w:type="dxa"/>
            <w:shd w:val="clear" w:color="auto" w:fill="auto"/>
            <w:noWrap/>
            <w:vAlign w:val="bottom"/>
            <w:hideMark/>
          </w:tcPr>
          <w:p w14:paraId="0E612930"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Preparations of meat, of fish or of crustaceans, molluscs or other aquatic invertebrates</w:t>
            </w:r>
          </w:p>
        </w:tc>
        <w:tc>
          <w:tcPr>
            <w:tcW w:w="2694" w:type="dxa"/>
            <w:shd w:val="clear" w:color="auto" w:fill="auto"/>
            <w:noWrap/>
            <w:vAlign w:val="bottom"/>
            <w:hideMark/>
          </w:tcPr>
          <w:p w14:paraId="4075D71A"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Shirmps, Mexican</w:t>
            </w:r>
          </w:p>
        </w:tc>
        <w:tc>
          <w:tcPr>
            <w:tcW w:w="2955" w:type="dxa"/>
            <w:shd w:val="clear" w:color="auto" w:fill="auto"/>
            <w:noWrap/>
            <w:vAlign w:val="bottom"/>
            <w:hideMark/>
          </w:tcPr>
          <w:p w14:paraId="03C9D0EC"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WLDSHRIMP_MEX</w:t>
            </w:r>
          </w:p>
        </w:tc>
      </w:tr>
      <w:tr w:rsidR="00303760" w:rsidRPr="000547E6" w14:paraId="2837FB49" w14:textId="77777777" w:rsidTr="0005765A">
        <w:trPr>
          <w:trHeight w:val="320"/>
        </w:trPr>
        <w:tc>
          <w:tcPr>
            <w:tcW w:w="10190" w:type="dxa"/>
            <w:shd w:val="clear" w:color="auto" w:fill="auto"/>
            <w:noWrap/>
            <w:vAlign w:val="bottom"/>
            <w:hideMark/>
          </w:tcPr>
          <w:p w14:paraId="468E20D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Ores, slag and ash</w:t>
            </w:r>
          </w:p>
        </w:tc>
        <w:tc>
          <w:tcPr>
            <w:tcW w:w="2694" w:type="dxa"/>
            <w:shd w:val="clear" w:color="auto" w:fill="auto"/>
            <w:noWrap/>
            <w:vAlign w:val="bottom"/>
            <w:hideMark/>
          </w:tcPr>
          <w:p w14:paraId="558F5DAE"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Metals  &amp; Minerals</w:t>
            </w:r>
          </w:p>
        </w:tc>
        <w:tc>
          <w:tcPr>
            <w:tcW w:w="2955" w:type="dxa"/>
            <w:shd w:val="clear" w:color="auto" w:fill="auto"/>
            <w:noWrap/>
            <w:vAlign w:val="bottom"/>
            <w:hideMark/>
          </w:tcPr>
          <w:p w14:paraId="7809BA2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WLDIMETMIN</w:t>
            </w:r>
          </w:p>
        </w:tc>
      </w:tr>
      <w:tr w:rsidR="00303760" w:rsidRPr="000547E6" w14:paraId="3B25BB19" w14:textId="77777777" w:rsidTr="0005765A">
        <w:trPr>
          <w:trHeight w:val="320"/>
        </w:trPr>
        <w:tc>
          <w:tcPr>
            <w:tcW w:w="10190" w:type="dxa"/>
            <w:shd w:val="clear" w:color="auto" w:fill="auto"/>
            <w:noWrap/>
            <w:vAlign w:val="bottom"/>
            <w:hideMark/>
          </w:tcPr>
          <w:p w14:paraId="06AFD625"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Mineral fuels, mineral oils and products of their distillation; bituminous substances; mineral waxes</w:t>
            </w:r>
          </w:p>
        </w:tc>
        <w:tc>
          <w:tcPr>
            <w:tcW w:w="2694" w:type="dxa"/>
            <w:shd w:val="clear" w:color="auto" w:fill="auto"/>
            <w:noWrap/>
            <w:vAlign w:val="bottom"/>
            <w:hideMark/>
          </w:tcPr>
          <w:p w14:paraId="22B70CE1"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Crude oil, Brent</w:t>
            </w:r>
          </w:p>
        </w:tc>
        <w:tc>
          <w:tcPr>
            <w:tcW w:w="2955" w:type="dxa"/>
            <w:shd w:val="clear" w:color="auto" w:fill="auto"/>
            <w:noWrap/>
            <w:vAlign w:val="bottom"/>
            <w:hideMark/>
          </w:tcPr>
          <w:p w14:paraId="6375D97F"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WLDCRUDE_BRENT</w:t>
            </w:r>
          </w:p>
        </w:tc>
      </w:tr>
      <w:tr w:rsidR="00303760" w:rsidRPr="000547E6" w14:paraId="4F8B8C18" w14:textId="77777777" w:rsidTr="0005765A">
        <w:trPr>
          <w:trHeight w:val="320"/>
        </w:trPr>
        <w:tc>
          <w:tcPr>
            <w:tcW w:w="10190" w:type="dxa"/>
            <w:shd w:val="clear" w:color="auto" w:fill="auto"/>
            <w:noWrap/>
            <w:vAlign w:val="bottom"/>
            <w:hideMark/>
          </w:tcPr>
          <w:p w14:paraId="31877F61"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Fertilisers</w:t>
            </w:r>
          </w:p>
        </w:tc>
        <w:tc>
          <w:tcPr>
            <w:tcW w:w="2694" w:type="dxa"/>
            <w:shd w:val="clear" w:color="auto" w:fill="auto"/>
            <w:noWrap/>
            <w:vAlign w:val="bottom"/>
            <w:hideMark/>
          </w:tcPr>
          <w:p w14:paraId="362E8926"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Fertilizers</w:t>
            </w:r>
          </w:p>
        </w:tc>
        <w:tc>
          <w:tcPr>
            <w:tcW w:w="2955" w:type="dxa"/>
            <w:shd w:val="clear" w:color="auto" w:fill="auto"/>
            <w:noWrap/>
            <w:vAlign w:val="bottom"/>
            <w:hideMark/>
          </w:tcPr>
          <w:p w14:paraId="325059A3"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WLDIFERTILIZERS</w:t>
            </w:r>
          </w:p>
        </w:tc>
      </w:tr>
      <w:tr w:rsidR="00303760" w:rsidRPr="000547E6" w14:paraId="12052689" w14:textId="77777777" w:rsidTr="0005765A">
        <w:trPr>
          <w:trHeight w:val="320"/>
        </w:trPr>
        <w:tc>
          <w:tcPr>
            <w:tcW w:w="10190" w:type="dxa"/>
            <w:shd w:val="clear" w:color="auto" w:fill="auto"/>
            <w:noWrap/>
            <w:vAlign w:val="bottom"/>
            <w:hideMark/>
          </w:tcPr>
          <w:p w14:paraId="378A524E"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Rubber and articles thereof</w:t>
            </w:r>
          </w:p>
        </w:tc>
        <w:tc>
          <w:tcPr>
            <w:tcW w:w="2694" w:type="dxa"/>
            <w:shd w:val="clear" w:color="auto" w:fill="auto"/>
            <w:noWrap/>
            <w:vAlign w:val="bottom"/>
            <w:hideMark/>
          </w:tcPr>
          <w:p w14:paraId="50844F27"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Rubber, MYSG</w:t>
            </w:r>
          </w:p>
        </w:tc>
        <w:tc>
          <w:tcPr>
            <w:tcW w:w="2955" w:type="dxa"/>
            <w:shd w:val="clear" w:color="auto" w:fill="auto"/>
            <w:noWrap/>
            <w:vAlign w:val="bottom"/>
            <w:hideMark/>
          </w:tcPr>
          <w:p w14:paraId="7EDD7CAE"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WLDRUBBER1_MYSG</w:t>
            </w:r>
          </w:p>
        </w:tc>
      </w:tr>
      <w:tr w:rsidR="00303760" w:rsidRPr="000547E6" w14:paraId="74AF26B2" w14:textId="77777777" w:rsidTr="0005765A">
        <w:trPr>
          <w:trHeight w:val="320"/>
        </w:trPr>
        <w:tc>
          <w:tcPr>
            <w:tcW w:w="10190" w:type="dxa"/>
            <w:shd w:val="clear" w:color="auto" w:fill="auto"/>
            <w:noWrap/>
            <w:vAlign w:val="bottom"/>
            <w:hideMark/>
          </w:tcPr>
          <w:p w14:paraId="6AA40B0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Wood and articles of wood; wood charcoal</w:t>
            </w:r>
          </w:p>
        </w:tc>
        <w:tc>
          <w:tcPr>
            <w:tcW w:w="2694" w:type="dxa"/>
            <w:shd w:val="clear" w:color="auto" w:fill="auto"/>
            <w:noWrap/>
            <w:vAlign w:val="bottom"/>
            <w:hideMark/>
          </w:tcPr>
          <w:p w14:paraId="32488475"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Timber</w:t>
            </w:r>
          </w:p>
        </w:tc>
        <w:tc>
          <w:tcPr>
            <w:tcW w:w="2955" w:type="dxa"/>
            <w:shd w:val="clear" w:color="auto" w:fill="auto"/>
            <w:noWrap/>
            <w:vAlign w:val="bottom"/>
            <w:hideMark/>
          </w:tcPr>
          <w:p w14:paraId="230E3FB7"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WLDITIMBER</w:t>
            </w:r>
          </w:p>
        </w:tc>
      </w:tr>
      <w:tr w:rsidR="00303760" w:rsidRPr="000547E6" w14:paraId="6680E07D" w14:textId="77777777" w:rsidTr="0005765A">
        <w:trPr>
          <w:trHeight w:val="320"/>
        </w:trPr>
        <w:tc>
          <w:tcPr>
            <w:tcW w:w="10190" w:type="dxa"/>
            <w:shd w:val="clear" w:color="auto" w:fill="auto"/>
            <w:noWrap/>
            <w:vAlign w:val="bottom"/>
            <w:hideMark/>
          </w:tcPr>
          <w:p w14:paraId="7E6C64FC"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Cotton</w:t>
            </w:r>
          </w:p>
        </w:tc>
        <w:tc>
          <w:tcPr>
            <w:tcW w:w="2694" w:type="dxa"/>
            <w:shd w:val="clear" w:color="auto" w:fill="auto"/>
            <w:noWrap/>
            <w:vAlign w:val="bottom"/>
            <w:hideMark/>
          </w:tcPr>
          <w:p w14:paraId="1F6B0E29"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Cotton, A Index</w:t>
            </w:r>
          </w:p>
        </w:tc>
        <w:tc>
          <w:tcPr>
            <w:tcW w:w="2955" w:type="dxa"/>
            <w:shd w:val="clear" w:color="auto" w:fill="auto"/>
            <w:noWrap/>
            <w:vAlign w:val="bottom"/>
            <w:hideMark/>
          </w:tcPr>
          <w:p w14:paraId="690B030C"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WLDCOTTON_A_INDX</w:t>
            </w:r>
          </w:p>
        </w:tc>
      </w:tr>
      <w:tr w:rsidR="00303760" w:rsidRPr="000547E6" w14:paraId="555A8921" w14:textId="77777777" w:rsidTr="0005765A">
        <w:trPr>
          <w:trHeight w:val="320"/>
        </w:trPr>
        <w:tc>
          <w:tcPr>
            <w:tcW w:w="10190" w:type="dxa"/>
            <w:shd w:val="clear" w:color="auto" w:fill="auto"/>
            <w:noWrap/>
            <w:vAlign w:val="bottom"/>
            <w:hideMark/>
          </w:tcPr>
          <w:p w14:paraId="79310249"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Natural or cultured pearls, precious or semi-precious stones, precious metals, metals clad with precious metal, and articles thereof; imitation jewellery; coin</w:t>
            </w:r>
          </w:p>
        </w:tc>
        <w:tc>
          <w:tcPr>
            <w:tcW w:w="2694" w:type="dxa"/>
            <w:shd w:val="clear" w:color="auto" w:fill="auto"/>
            <w:noWrap/>
            <w:vAlign w:val="bottom"/>
            <w:hideMark/>
          </w:tcPr>
          <w:p w14:paraId="6831936B"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Precious Metals</w:t>
            </w:r>
          </w:p>
        </w:tc>
        <w:tc>
          <w:tcPr>
            <w:tcW w:w="2955" w:type="dxa"/>
            <w:shd w:val="clear" w:color="auto" w:fill="auto"/>
            <w:noWrap/>
            <w:vAlign w:val="bottom"/>
            <w:hideMark/>
          </w:tcPr>
          <w:p w14:paraId="50F15519"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WLDIPRECMET</w:t>
            </w:r>
          </w:p>
        </w:tc>
      </w:tr>
      <w:tr w:rsidR="00303760" w:rsidRPr="000547E6" w14:paraId="4B4A9447" w14:textId="77777777" w:rsidTr="0005765A">
        <w:trPr>
          <w:trHeight w:val="320"/>
        </w:trPr>
        <w:tc>
          <w:tcPr>
            <w:tcW w:w="10190" w:type="dxa"/>
            <w:shd w:val="clear" w:color="auto" w:fill="auto"/>
            <w:noWrap/>
            <w:vAlign w:val="bottom"/>
            <w:hideMark/>
          </w:tcPr>
          <w:p w14:paraId="0D4BAA28"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Iron and steel</w:t>
            </w:r>
          </w:p>
        </w:tc>
        <w:tc>
          <w:tcPr>
            <w:tcW w:w="2694" w:type="dxa"/>
            <w:shd w:val="clear" w:color="auto" w:fill="auto"/>
            <w:noWrap/>
            <w:vAlign w:val="bottom"/>
            <w:hideMark/>
          </w:tcPr>
          <w:p w14:paraId="2ACB7AFA"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 xml:space="preserve">Iron ore, cfr </w:t>
            </w:r>
          </w:p>
        </w:tc>
        <w:tc>
          <w:tcPr>
            <w:tcW w:w="2955" w:type="dxa"/>
            <w:shd w:val="clear" w:color="auto" w:fill="auto"/>
            <w:noWrap/>
            <w:vAlign w:val="bottom"/>
            <w:hideMark/>
          </w:tcPr>
          <w:p w14:paraId="5B39965F"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WLDIRON_ORE</w:t>
            </w:r>
          </w:p>
        </w:tc>
      </w:tr>
      <w:tr w:rsidR="00303760" w:rsidRPr="000547E6" w14:paraId="3B86CACE" w14:textId="77777777" w:rsidTr="0005765A">
        <w:trPr>
          <w:trHeight w:val="320"/>
        </w:trPr>
        <w:tc>
          <w:tcPr>
            <w:tcW w:w="10190" w:type="dxa"/>
            <w:shd w:val="clear" w:color="auto" w:fill="auto"/>
            <w:noWrap/>
            <w:vAlign w:val="bottom"/>
            <w:hideMark/>
          </w:tcPr>
          <w:p w14:paraId="07273280"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Copper and articles thereof</w:t>
            </w:r>
          </w:p>
        </w:tc>
        <w:tc>
          <w:tcPr>
            <w:tcW w:w="2694" w:type="dxa"/>
            <w:shd w:val="clear" w:color="auto" w:fill="auto"/>
            <w:noWrap/>
            <w:vAlign w:val="bottom"/>
            <w:hideMark/>
          </w:tcPr>
          <w:p w14:paraId="05C90FA7"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Copper</w:t>
            </w:r>
          </w:p>
        </w:tc>
        <w:tc>
          <w:tcPr>
            <w:tcW w:w="2955" w:type="dxa"/>
            <w:shd w:val="clear" w:color="auto" w:fill="auto"/>
            <w:noWrap/>
            <w:vAlign w:val="bottom"/>
            <w:hideMark/>
          </w:tcPr>
          <w:p w14:paraId="0D6A2129"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WLDCOPPER</w:t>
            </w:r>
          </w:p>
        </w:tc>
      </w:tr>
      <w:tr w:rsidR="00303760" w:rsidRPr="000547E6" w14:paraId="160B1B4E" w14:textId="77777777" w:rsidTr="0005765A">
        <w:trPr>
          <w:trHeight w:val="320"/>
        </w:trPr>
        <w:tc>
          <w:tcPr>
            <w:tcW w:w="10190" w:type="dxa"/>
            <w:shd w:val="clear" w:color="auto" w:fill="auto"/>
            <w:noWrap/>
            <w:vAlign w:val="bottom"/>
            <w:hideMark/>
          </w:tcPr>
          <w:p w14:paraId="3D1F216B"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Aluminium and articles thereof</w:t>
            </w:r>
          </w:p>
        </w:tc>
        <w:tc>
          <w:tcPr>
            <w:tcW w:w="2694" w:type="dxa"/>
            <w:shd w:val="clear" w:color="auto" w:fill="auto"/>
            <w:noWrap/>
            <w:vAlign w:val="bottom"/>
            <w:hideMark/>
          </w:tcPr>
          <w:p w14:paraId="6E51E4E1" w14:textId="77777777" w:rsidR="00303760" w:rsidRPr="000547E6" w:rsidRDefault="00303760" w:rsidP="0005765A">
            <w:pPr>
              <w:rPr>
                <w:rFonts w:ascii="Arial" w:eastAsia="Times New Roman" w:hAnsi="Arial" w:cs="Arial"/>
                <w:sz w:val="20"/>
                <w:szCs w:val="20"/>
              </w:rPr>
            </w:pPr>
            <w:r w:rsidRPr="000547E6">
              <w:rPr>
                <w:rFonts w:ascii="Arial" w:eastAsia="Times New Roman" w:hAnsi="Arial" w:cs="Arial"/>
                <w:sz w:val="20"/>
                <w:szCs w:val="20"/>
              </w:rPr>
              <w:t>Aluminum</w:t>
            </w:r>
          </w:p>
        </w:tc>
        <w:tc>
          <w:tcPr>
            <w:tcW w:w="2955" w:type="dxa"/>
            <w:shd w:val="clear" w:color="auto" w:fill="auto"/>
            <w:noWrap/>
            <w:vAlign w:val="bottom"/>
            <w:hideMark/>
          </w:tcPr>
          <w:p w14:paraId="56C671DD" w14:textId="77777777" w:rsidR="00303760" w:rsidRPr="000547E6" w:rsidRDefault="00303760" w:rsidP="0005765A">
            <w:pPr>
              <w:rPr>
                <w:rFonts w:ascii="Calibri" w:eastAsia="Times New Roman" w:hAnsi="Calibri" w:cs="Times New Roman"/>
                <w:color w:val="000000"/>
              </w:rPr>
            </w:pPr>
            <w:r w:rsidRPr="000547E6">
              <w:rPr>
                <w:rFonts w:ascii="Calibri" w:eastAsia="Times New Roman" w:hAnsi="Calibri" w:cs="Times New Roman"/>
                <w:color w:val="000000"/>
              </w:rPr>
              <w:t>WLDALUMINUM</w:t>
            </w:r>
          </w:p>
        </w:tc>
      </w:tr>
    </w:tbl>
    <w:p w14:paraId="43234804" w14:textId="77777777" w:rsidR="00303760" w:rsidRDefault="00303760" w:rsidP="00303760">
      <w:pPr>
        <w:rPr>
          <w:rFonts w:ascii="Calibri" w:hAnsi="Calibri"/>
        </w:rPr>
      </w:pPr>
    </w:p>
    <w:p w14:paraId="3B8EA2A3" w14:textId="77777777" w:rsidR="00303760" w:rsidRPr="00C70ABA" w:rsidRDefault="00303760" w:rsidP="00303760">
      <w:pPr>
        <w:rPr>
          <w:rFonts w:ascii="Calibri" w:hAnsi="Calibri"/>
          <w:b/>
        </w:rPr>
      </w:pPr>
      <w:r w:rsidRPr="00C70ABA">
        <w:rPr>
          <w:rFonts w:ascii="Calibri" w:hAnsi="Calibri"/>
          <w:b/>
        </w:rPr>
        <w:t>Unmatched:</w:t>
      </w:r>
    </w:p>
    <w:p w14:paraId="6A02113E" w14:textId="77777777" w:rsidR="00303760" w:rsidRDefault="00303760" w:rsidP="00303760">
      <w:pPr>
        <w:rPr>
          <w:rFonts w:ascii="Calibri" w:hAnsi="Calibri"/>
        </w:rPr>
      </w:pPr>
    </w:p>
    <w:tbl>
      <w:tblPr>
        <w:tblW w:w="15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3"/>
        <w:gridCol w:w="1488"/>
      </w:tblGrid>
      <w:tr w:rsidR="00303760" w:rsidRPr="003A008F" w14:paraId="40AEB63D" w14:textId="77777777" w:rsidTr="0005765A">
        <w:trPr>
          <w:trHeight w:val="320"/>
        </w:trPr>
        <w:tc>
          <w:tcPr>
            <w:tcW w:w="14053" w:type="dxa"/>
            <w:shd w:val="clear" w:color="auto" w:fill="auto"/>
            <w:noWrap/>
            <w:vAlign w:val="bottom"/>
            <w:hideMark/>
          </w:tcPr>
          <w:p w14:paraId="6C5C630B"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Wool, fine or coarse animal hair; horsehair yarn and woven fabric</w:t>
            </w:r>
          </w:p>
        </w:tc>
        <w:tc>
          <w:tcPr>
            <w:tcW w:w="1347" w:type="dxa"/>
            <w:shd w:val="clear" w:color="auto" w:fill="auto"/>
            <w:noWrap/>
            <w:vAlign w:val="bottom"/>
            <w:hideMark/>
          </w:tcPr>
          <w:p w14:paraId="2F508FF0"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Best Match?</w:t>
            </w:r>
          </w:p>
        </w:tc>
      </w:tr>
      <w:tr w:rsidR="00303760" w:rsidRPr="003A008F" w14:paraId="29A7E26E" w14:textId="77777777" w:rsidTr="0005765A">
        <w:trPr>
          <w:trHeight w:val="320"/>
        </w:trPr>
        <w:tc>
          <w:tcPr>
            <w:tcW w:w="14053" w:type="dxa"/>
            <w:shd w:val="clear" w:color="auto" w:fill="auto"/>
            <w:noWrap/>
            <w:vAlign w:val="bottom"/>
            <w:hideMark/>
          </w:tcPr>
          <w:p w14:paraId="09922A04"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Inorganic chemicals; organic or inorganic compounds of precious metals, of rare-earth metals, of radioactive elements or of isotopes</w:t>
            </w:r>
          </w:p>
        </w:tc>
        <w:tc>
          <w:tcPr>
            <w:tcW w:w="1347" w:type="dxa"/>
            <w:shd w:val="clear" w:color="auto" w:fill="auto"/>
            <w:noWrap/>
            <w:vAlign w:val="bottom"/>
            <w:hideMark/>
          </w:tcPr>
          <w:p w14:paraId="4762857D"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Best Match?</w:t>
            </w:r>
          </w:p>
        </w:tc>
      </w:tr>
      <w:tr w:rsidR="00303760" w:rsidRPr="003A008F" w14:paraId="70E2C082" w14:textId="77777777" w:rsidTr="0005765A">
        <w:trPr>
          <w:trHeight w:val="320"/>
        </w:trPr>
        <w:tc>
          <w:tcPr>
            <w:tcW w:w="14053" w:type="dxa"/>
            <w:shd w:val="clear" w:color="auto" w:fill="auto"/>
            <w:noWrap/>
            <w:vAlign w:val="bottom"/>
            <w:hideMark/>
          </w:tcPr>
          <w:p w14:paraId="28A65D85"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Residues and waste from the food industries; prepared animal fodder</w:t>
            </w:r>
          </w:p>
        </w:tc>
        <w:tc>
          <w:tcPr>
            <w:tcW w:w="1347" w:type="dxa"/>
            <w:shd w:val="clear" w:color="auto" w:fill="auto"/>
            <w:noWrap/>
            <w:vAlign w:val="bottom"/>
            <w:hideMark/>
          </w:tcPr>
          <w:p w14:paraId="115E7CB4"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Best Match?</w:t>
            </w:r>
          </w:p>
        </w:tc>
      </w:tr>
      <w:tr w:rsidR="00303760" w:rsidRPr="003A008F" w14:paraId="426A3C9E" w14:textId="77777777" w:rsidTr="0005765A">
        <w:trPr>
          <w:trHeight w:val="320"/>
        </w:trPr>
        <w:tc>
          <w:tcPr>
            <w:tcW w:w="14053" w:type="dxa"/>
            <w:shd w:val="clear" w:color="auto" w:fill="auto"/>
            <w:noWrap/>
            <w:vAlign w:val="bottom"/>
            <w:hideMark/>
          </w:tcPr>
          <w:p w14:paraId="46002121" w14:textId="77777777" w:rsidR="00303760" w:rsidRPr="003A008F" w:rsidRDefault="00303760" w:rsidP="0005765A">
            <w:pPr>
              <w:rPr>
                <w:rFonts w:ascii="Calibri" w:eastAsia="Times New Roman" w:hAnsi="Calibri" w:cs="Times New Roman"/>
                <w:color w:val="000000"/>
              </w:rPr>
            </w:pPr>
          </w:p>
        </w:tc>
        <w:tc>
          <w:tcPr>
            <w:tcW w:w="1347" w:type="dxa"/>
            <w:shd w:val="clear" w:color="auto" w:fill="auto"/>
            <w:noWrap/>
            <w:vAlign w:val="bottom"/>
            <w:hideMark/>
          </w:tcPr>
          <w:p w14:paraId="0E03CA08" w14:textId="77777777" w:rsidR="00303760" w:rsidRPr="003A008F" w:rsidRDefault="00303760" w:rsidP="0005765A">
            <w:pPr>
              <w:rPr>
                <w:rFonts w:ascii="Times New Roman" w:eastAsia="Times New Roman" w:hAnsi="Times New Roman" w:cs="Times New Roman"/>
                <w:sz w:val="20"/>
                <w:szCs w:val="20"/>
              </w:rPr>
            </w:pPr>
          </w:p>
        </w:tc>
      </w:tr>
      <w:tr w:rsidR="00303760" w:rsidRPr="003A008F" w14:paraId="65C605AE" w14:textId="77777777" w:rsidTr="0005765A">
        <w:trPr>
          <w:trHeight w:val="320"/>
        </w:trPr>
        <w:tc>
          <w:tcPr>
            <w:tcW w:w="14053" w:type="dxa"/>
            <w:shd w:val="clear" w:color="auto" w:fill="auto"/>
            <w:noWrap/>
            <w:vAlign w:val="bottom"/>
            <w:hideMark/>
          </w:tcPr>
          <w:p w14:paraId="00A45D95"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Electrical machinery and equipment and parts thereof; sound recorders and reproducers, television image and sound recorders and reproducers, and parts and accessories of such articles</w:t>
            </w:r>
          </w:p>
        </w:tc>
        <w:tc>
          <w:tcPr>
            <w:tcW w:w="1347" w:type="dxa"/>
            <w:shd w:val="clear" w:color="auto" w:fill="auto"/>
            <w:noWrap/>
            <w:vAlign w:val="bottom"/>
            <w:hideMark/>
          </w:tcPr>
          <w:p w14:paraId="3CA6CAFC"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22492AFD" w14:textId="77777777" w:rsidTr="0005765A">
        <w:trPr>
          <w:trHeight w:val="320"/>
        </w:trPr>
        <w:tc>
          <w:tcPr>
            <w:tcW w:w="14053" w:type="dxa"/>
            <w:shd w:val="clear" w:color="auto" w:fill="auto"/>
            <w:noWrap/>
            <w:vAlign w:val="bottom"/>
            <w:hideMark/>
          </w:tcPr>
          <w:p w14:paraId="78D4CB3C"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Articles of apparel and clothing accessories,not knitted or crocheted</w:t>
            </w:r>
          </w:p>
        </w:tc>
        <w:tc>
          <w:tcPr>
            <w:tcW w:w="1347" w:type="dxa"/>
            <w:shd w:val="clear" w:color="auto" w:fill="auto"/>
            <w:noWrap/>
            <w:vAlign w:val="bottom"/>
            <w:hideMark/>
          </w:tcPr>
          <w:p w14:paraId="1685B3A3"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3C9E130E" w14:textId="77777777" w:rsidTr="0005765A">
        <w:trPr>
          <w:trHeight w:val="320"/>
        </w:trPr>
        <w:tc>
          <w:tcPr>
            <w:tcW w:w="14053" w:type="dxa"/>
            <w:shd w:val="clear" w:color="auto" w:fill="auto"/>
            <w:noWrap/>
            <w:vAlign w:val="bottom"/>
            <w:hideMark/>
          </w:tcPr>
          <w:p w14:paraId="6C02FD48"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Vehicles other than railway or tramway rolling-stock, and parts and accessories thereof</w:t>
            </w:r>
          </w:p>
        </w:tc>
        <w:tc>
          <w:tcPr>
            <w:tcW w:w="1347" w:type="dxa"/>
            <w:shd w:val="clear" w:color="auto" w:fill="auto"/>
            <w:noWrap/>
            <w:vAlign w:val="bottom"/>
            <w:hideMark/>
          </w:tcPr>
          <w:p w14:paraId="49BB9709"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4B0A0F87" w14:textId="77777777" w:rsidTr="0005765A">
        <w:trPr>
          <w:trHeight w:val="320"/>
        </w:trPr>
        <w:tc>
          <w:tcPr>
            <w:tcW w:w="14053" w:type="dxa"/>
            <w:shd w:val="clear" w:color="auto" w:fill="auto"/>
            <w:noWrap/>
            <w:vAlign w:val="bottom"/>
            <w:hideMark/>
          </w:tcPr>
          <w:p w14:paraId="174DD150"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Plastics and articles thereof</w:t>
            </w:r>
          </w:p>
        </w:tc>
        <w:tc>
          <w:tcPr>
            <w:tcW w:w="1347" w:type="dxa"/>
            <w:shd w:val="clear" w:color="auto" w:fill="auto"/>
            <w:noWrap/>
            <w:vAlign w:val="bottom"/>
            <w:hideMark/>
          </w:tcPr>
          <w:p w14:paraId="1F6399A5"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629EB32C" w14:textId="77777777" w:rsidTr="0005765A">
        <w:trPr>
          <w:trHeight w:val="320"/>
        </w:trPr>
        <w:tc>
          <w:tcPr>
            <w:tcW w:w="14053" w:type="dxa"/>
            <w:shd w:val="clear" w:color="auto" w:fill="auto"/>
            <w:noWrap/>
            <w:vAlign w:val="bottom"/>
            <w:hideMark/>
          </w:tcPr>
          <w:p w14:paraId="5C029DE9"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Organic chemicals</w:t>
            </w:r>
          </w:p>
        </w:tc>
        <w:tc>
          <w:tcPr>
            <w:tcW w:w="1347" w:type="dxa"/>
            <w:shd w:val="clear" w:color="auto" w:fill="auto"/>
            <w:noWrap/>
            <w:vAlign w:val="bottom"/>
            <w:hideMark/>
          </w:tcPr>
          <w:p w14:paraId="6B70D4C0"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38D0F9C4" w14:textId="77777777" w:rsidTr="0005765A">
        <w:trPr>
          <w:trHeight w:val="320"/>
        </w:trPr>
        <w:tc>
          <w:tcPr>
            <w:tcW w:w="14053" w:type="dxa"/>
            <w:shd w:val="clear" w:color="auto" w:fill="auto"/>
            <w:noWrap/>
            <w:vAlign w:val="bottom"/>
            <w:hideMark/>
          </w:tcPr>
          <w:p w14:paraId="7D4C8EB3"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Commodities not specified according to kind</w:t>
            </w:r>
          </w:p>
        </w:tc>
        <w:tc>
          <w:tcPr>
            <w:tcW w:w="1347" w:type="dxa"/>
            <w:shd w:val="clear" w:color="auto" w:fill="auto"/>
            <w:noWrap/>
            <w:vAlign w:val="bottom"/>
            <w:hideMark/>
          </w:tcPr>
          <w:p w14:paraId="7D0B628F"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41D01F52" w14:textId="77777777" w:rsidTr="0005765A">
        <w:trPr>
          <w:trHeight w:val="320"/>
        </w:trPr>
        <w:tc>
          <w:tcPr>
            <w:tcW w:w="14053" w:type="dxa"/>
            <w:shd w:val="clear" w:color="auto" w:fill="auto"/>
            <w:noWrap/>
            <w:vAlign w:val="bottom"/>
            <w:hideMark/>
          </w:tcPr>
          <w:p w14:paraId="440AAABF"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Articles of apparel and clothing accessories, knitted or crocheted</w:t>
            </w:r>
          </w:p>
        </w:tc>
        <w:tc>
          <w:tcPr>
            <w:tcW w:w="1347" w:type="dxa"/>
            <w:shd w:val="clear" w:color="auto" w:fill="auto"/>
            <w:noWrap/>
            <w:vAlign w:val="bottom"/>
            <w:hideMark/>
          </w:tcPr>
          <w:p w14:paraId="6845335B"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57F5A94E" w14:textId="77777777" w:rsidTr="0005765A">
        <w:trPr>
          <w:trHeight w:val="320"/>
        </w:trPr>
        <w:tc>
          <w:tcPr>
            <w:tcW w:w="14053" w:type="dxa"/>
            <w:shd w:val="clear" w:color="auto" w:fill="auto"/>
            <w:noWrap/>
            <w:vAlign w:val="bottom"/>
            <w:hideMark/>
          </w:tcPr>
          <w:p w14:paraId="684E70E4"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Nuclear reactors, boilers, machinery and mechanical appliances; parts thereof</w:t>
            </w:r>
          </w:p>
        </w:tc>
        <w:tc>
          <w:tcPr>
            <w:tcW w:w="1347" w:type="dxa"/>
            <w:shd w:val="clear" w:color="auto" w:fill="auto"/>
            <w:noWrap/>
            <w:vAlign w:val="bottom"/>
            <w:hideMark/>
          </w:tcPr>
          <w:p w14:paraId="244DCE72"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6277023C" w14:textId="77777777" w:rsidTr="0005765A">
        <w:trPr>
          <w:trHeight w:val="320"/>
        </w:trPr>
        <w:tc>
          <w:tcPr>
            <w:tcW w:w="14053" w:type="dxa"/>
            <w:shd w:val="clear" w:color="auto" w:fill="auto"/>
            <w:noWrap/>
            <w:vAlign w:val="bottom"/>
            <w:hideMark/>
          </w:tcPr>
          <w:p w14:paraId="066CF087"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Ships, boats and floating structures</w:t>
            </w:r>
          </w:p>
        </w:tc>
        <w:tc>
          <w:tcPr>
            <w:tcW w:w="1347" w:type="dxa"/>
            <w:shd w:val="clear" w:color="auto" w:fill="auto"/>
            <w:noWrap/>
            <w:vAlign w:val="bottom"/>
            <w:hideMark/>
          </w:tcPr>
          <w:p w14:paraId="1C5420B2"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64A121FB" w14:textId="77777777" w:rsidTr="0005765A">
        <w:trPr>
          <w:trHeight w:val="320"/>
        </w:trPr>
        <w:tc>
          <w:tcPr>
            <w:tcW w:w="14053" w:type="dxa"/>
            <w:shd w:val="clear" w:color="auto" w:fill="auto"/>
            <w:noWrap/>
            <w:vAlign w:val="bottom"/>
            <w:hideMark/>
          </w:tcPr>
          <w:p w14:paraId="0A9DB322"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Footwear, gaiters and the like; parts of such articles</w:t>
            </w:r>
          </w:p>
        </w:tc>
        <w:tc>
          <w:tcPr>
            <w:tcW w:w="1347" w:type="dxa"/>
            <w:shd w:val="clear" w:color="auto" w:fill="auto"/>
            <w:noWrap/>
            <w:vAlign w:val="bottom"/>
            <w:hideMark/>
          </w:tcPr>
          <w:p w14:paraId="5EEDD214"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r w:rsidR="00303760" w:rsidRPr="003A008F" w14:paraId="32885016" w14:textId="77777777" w:rsidTr="0005765A">
        <w:trPr>
          <w:trHeight w:val="320"/>
        </w:trPr>
        <w:tc>
          <w:tcPr>
            <w:tcW w:w="14053" w:type="dxa"/>
            <w:shd w:val="clear" w:color="auto" w:fill="auto"/>
            <w:noWrap/>
            <w:vAlign w:val="bottom"/>
            <w:hideMark/>
          </w:tcPr>
          <w:p w14:paraId="14A1766C"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Optical, photographic, cinematographic, measuring, checking, precision, medical or surgical instruments and apparatus; parts and accessories thereof</w:t>
            </w:r>
          </w:p>
        </w:tc>
        <w:tc>
          <w:tcPr>
            <w:tcW w:w="1347" w:type="dxa"/>
            <w:shd w:val="clear" w:color="auto" w:fill="auto"/>
            <w:noWrap/>
            <w:vAlign w:val="bottom"/>
            <w:hideMark/>
          </w:tcPr>
          <w:p w14:paraId="1148D7B7" w14:textId="77777777" w:rsidR="00303760" w:rsidRPr="003A008F" w:rsidRDefault="00303760" w:rsidP="0005765A">
            <w:pPr>
              <w:rPr>
                <w:rFonts w:ascii="Calibri" w:eastAsia="Times New Roman" w:hAnsi="Calibri" w:cs="Times New Roman"/>
                <w:color w:val="000000"/>
              </w:rPr>
            </w:pPr>
            <w:r w:rsidRPr="003A008F">
              <w:rPr>
                <w:rFonts w:ascii="Calibri" w:eastAsia="Times New Roman" w:hAnsi="Calibri" w:cs="Times New Roman"/>
                <w:color w:val="000000"/>
              </w:rPr>
              <w:t>Manufacture</w:t>
            </w:r>
          </w:p>
        </w:tc>
      </w:tr>
    </w:tbl>
    <w:p w14:paraId="32753635" w14:textId="77777777" w:rsidR="00303760" w:rsidRDefault="00303760" w:rsidP="00303760">
      <w:pPr>
        <w:rPr>
          <w:rFonts w:ascii="Calibri" w:hAnsi="Calibri"/>
        </w:rPr>
      </w:pPr>
    </w:p>
    <w:p w14:paraId="55AD5D67" w14:textId="77777777" w:rsidR="00303760" w:rsidRPr="00E01B11" w:rsidRDefault="00303760" w:rsidP="00303760">
      <w:pPr>
        <w:rPr>
          <w:rFonts w:ascii="Calibri" w:hAnsi="Calibri"/>
        </w:rPr>
      </w:pPr>
      <w:r w:rsidRPr="00CD1E1E">
        <w:rPr>
          <w:rFonts w:ascii="Calibri" w:hAnsi="Calibri"/>
          <w:b/>
        </w:rPr>
        <w:t>Note</w:t>
      </w:r>
      <w:r>
        <w:rPr>
          <w:rFonts w:ascii="Calibri" w:hAnsi="Calibri"/>
        </w:rPr>
        <w:t>: Details of what commodities are included in the indices contain can be found on the Global Economic Monitor Commodity Price data section or the World Bank Pink Sheet.</w:t>
      </w:r>
    </w:p>
    <w:p w14:paraId="1C840D79" w14:textId="1999B63A" w:rsidR="00303760" w:rsidRPr="00215440" w:rsidRDefault="00303760" w:rsidP="00303760">
      <w:pPr>
        <w:rPr>
          <w:rFonts w:ascii="Arial" w:hAnsi="Arial" w:cs="Arial"/>
          <w:color w:val="353535"/>
        </w:rPr>
      </w:pPr>
    </w:p>
    <w:sectPr w:rsidR="00303760" w:rsidRPr="00215440" w:rsidSect="0005765A">
      <w:pgSz w:w="16840" w:h="1190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A6C38B4"/>
    <w:lvl w:ilvl="0" w:tplc="00000001">
      <w:start w:val="1"/>
      <w:numFmt w:val="decimal"/>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00000066">
      <w:start w:val="1"/>
      <w:numFmt w:val="bullet"/>
      <w:lvlText w:val="•"/>
      <w:lvlJc w:val="left"/>
      <w:pPr>
        <w:ind w:left="1440" w:hanging="360"/>
      </w:pPr>
    </w:lvl>
    <w:lvl w:ilvl="2" w:tplc="0000006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start w:val="1"/>
      <w:numFmt w:val="bullet"/>
      <w:lvlText w:val="•"/>
      <w:lvlJc w:val="left"/>
      <w:pPr>
        <w:ind w:left="1440" w:hanging="360"/>
      </w:pPr>
    </w:lvl>
    <w:lvl w:ilvl="2" w:tplc="0000025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1071164"/>
    <w:multiLevelType w:val="hybridMultilevel"/>
    <w:tmpl w:val="8F0674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D80874"/>
    <w:multiLevelType w:val="hybridMultilevel"/>
    <w:tmpl w:val="3B4091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C87430F"/>
    <w:multiLevelType w:val="hybridMultilevel"/>
    <w:tmpl w:val="C24A0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1761D0"/>
    <w:multiLevelType w:val="hybridMultilevel"/>
    <w:tmpl w:val="3500D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4DD25F1"/>
    <w:multiLevelType w:val="hybridMultilevel"/>
    <w:tmpl w:val="FD822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14225F"/>
    <w:multiLevelType w:val="hybridMultilevel"/>
    <w:tmpl w:val="D4CC2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A76616"/>
    <w:multiLevelType w:val="hybridMultilevel"/>
    <w:tmpl w:val="1938C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165A6F"/>
    <w:multiLevelType w:val="hybridMultilevel"/>
    <w:tmpl w:val="C62CF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7A43B8"/>
    <w:multiLevelType w:val="hybridMultilevel"/>
    <w:tmpl w:val="7EB43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0E6C70"/>
    <w:multiLevelType w:val="hybridMultilevel"/>
    <w:tmpl w:val="6B865CD8"/>
    <w:lvl w:ilvl="0" w:tplc="9CEC76B8">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4CEA1620">
      <w:start w:val="1"/>
      <w:numFmt w:val="bullet"/>
      <w:lvlText w:val="-"/>
      <w:lvlJc w:val="left"/>
      <w:pPr>
        <w:ind w:left="2340" w:hanging="36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9E2F37"/>
    <w:multiLevelType w:val="hybridMultilevel"/>
    <w:tmpl w:val="FCBE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F3709F5"/>
    <w:multiLevelType w:val="hybridMultilevel"/>
    <w:tmpl w:val="98B49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0777D9C"/>
    <w:multiLevelType w:val="hybridMultilevel"/>
    <w:tmpl w:val="136C9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E049AE"/>
    <w:multiLevelType w:val="hybridMultilevel"/>
    <w:tmpl w:val="2B92D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4BA0CE5"/>
    <w:multiLevelType w:val="hybridMultilevel"/>
    <w:tmpl w:val="B488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97A6C"/>
    <w:multiLevelType w:val="hybridMultilevel"/>
    <w:tmpl w:val="4FCA7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928D6"/>
    <w:multiLevelType w:val="hybridMultilevel"/>
    <w:tmpl w:val="6ACA60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43A1AAF"/>
    <w:multiLevelType w:val="hybridMultilevel"/>
    <w:tmpl w:val="A3B4C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02119B"/>
    <w:multiLevelType w:val="hybridMultilevel"/>
    <w:tmpl w:val="62B4F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171157"/>
    <w:multiLevelType w:val="hybridMultilevel"/>
    <w:tmpl w:val="1C16F9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B35364"/>
    <w:multiLevelType w:val="hybridMultilevel"/>
    <w:tmpl w:val="7374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F565DAA"/>
    <w:multiLevelType w:val="hybridMultilevel"/>
    <w:tmpl w:val="2EB2D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670106"/>
    <w:multiLevelType w:val="hybridMultilevel"/>
    <w:tmpl w:val="861A0B0C"/>
    <w:lvl w:ilvl="0" w:tplc="0409000F">
      <w:start w:val="1"/>
      <w:numFmt w:val="decimal"/>
      <w:lvlText w:val="%1."/>
      <w:lvlJc w:val="left"/>
      <w:pPr>
        <w:ind w:left="720" w:hanging="360"/>
      </w:pPr>
      <w:rPr>
        <w:rFonts w:hint="default"/>
      </w:rPr>
    </w:lvl>
    <w:lvl w:ilvl="1" w:tplc="289077E2">
      <w:start w:val="1"/>
      <w:numFmt w:val="bullet"/>
      <w:lvlText w:val=""/>
      <w:lvlJc w:val="left"/>
      <w:pPr>
        <w:ind w:left="1440" w:hanging="360"/>
      </w:pPr>
      <w:rPr>
        <w:rFonts w:ascii="Symbol" w:eastAsiaTheme="minorHAnsi" w:hAnsi="Symbol" w:cs="Helvetic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BE4FBC"/>
    <w:multiLevelType w:val="hybridMultilevel"/>
    <w:tmpl w:val="41409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57F92916"/>
    <w:multiLevelType w:val="hybridMultilevel"/>
    <w:tmpl w:val="0FE89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1E6E13"/>
    <w:multiLevelType w:val="hybridMultilevel"/>
    <w:tmpl w:val="ABA0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BF5F6A"/>
    <w:multiLevelType w:val="hybridMultilevel"/>
    <w:tmpl w:val="2B92D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412430"/>
    <w:multiLevelType w:val="hybridMultilevel"/>
    <w:tmpl w:val="19C851A4"/>
    <w:lvl w:ilvl="0" w:tplc="A80EB338">
      <w:start w:val="1"/>
      <w:numFmt w:val="bullet"/>
      <w:lvlText w:val="-"/>
      <w:lvlJc w:val="left"/>
      <w:pPr>
        <w:ind w:left="720" w:hanging="360"/>
      </w:pPr>
      <w:rPr>
        <w:rFonts w:ascii="Calibri" w:eastAsiaTheme="minorHAnsi" w:hAnsi="Calibri"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8E7CB0"/>
    <w:multiLevelType w:val="hybridMultilevel"/>
    <w:tmpl w:val="478C3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7F2373"/>
    <w:multiLevelType w:val="hybridMultilevel"/>
    <w:tmpl w:val="31DE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2487E"/>
    <w:multiLevelType w:val="hybridMultilevel"/>
    <w:tmpl w:val="8BF23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3A145A"/>
    <w:multiLevelType w:val="hybridMultilevel"/>
    <w:tmpl w:val="E3721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9B7F6D"/>
    <w:multiLevelType w:val="hybridMultilevel"/>
    <w:tmpl w:val="6A408272"/>
    <w:lvl w:ilvl="0" w:tplc="D84C9F14">
      <w:start w:val="1"/>
      <w:numFmt w:val="decimal"/>
      <w:lvlText w:val="%1."/>
      <w:lvlJc w:val="left"/>
      <w:pPr>
        <w:ind w:left="720" w:hanging="360"/>
      </w:pPr>
      <w:rPr>
        <w:rFonts w:ascii="Helvetica" w:hAnsi="Helvetica" w:cs="Helvetica" w:hint="default"/>
        <w:color w:val="3535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3D11A4"/>
    <w:multiLevelType w:val="hybridMultilevel"/>
    <w:tmpl w:val="9B8CC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11"/>
  </w:num>
  <w:num w:numId="3">
    <w:abstractNumId w:val="25"/>
  </w:num>
  <w:num w:numId="4">
    <w:abstractNumId w:val="0"/>
  </w:num>
  <w:num w:numId="5">
    <w:abstractNumId w:val="37"/>
  </w:num>
  <w:num w:numId="6">
    <w:abstractNumId w:val="1"/>
  </w:num>
  <w:num w:numId="7">
    <w:abstractNumId w:val="30"/>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4"/>
  </w:num>
  <w:num w:numId="17">
    <w:abstractNumId w:val="10"/>
  </w:num>
  <w:num w:numId="18">
    <w:abstractNumId w:val="35"/>
  </w:num>
  <w:num w:numId="19">
    <w:abstractNumId w:val="13"/>
  </w:num>
  <w:num w:numId="20">
    <w:abstractNumId w:val="26"/>
  </w:num>
  <w:num w:numId="21">
    <w:abstractNumId w:val="33"/>
  </w:num>
  <w:num w:numId="22">
    <w:abstractNumId w:val="27"/>
  </w:num>
  <w:num w:numId="23">
    <w:abstractNumId w:val="36"/>
  </w:num>
  <w:num w:numId="24">
    <w:abstractNumId w:val="23"/>
  </w:num>
  <w:num w:numId="25">
    <w:abstractNumId w:val="28"/>
  </w:num>
  <w:num w:numId="26">
    <w:abstractNumId w:val="22"/>
  </w:num>
  <w:num w:numId="27">
    <w:abstractNumId w:val="34"/>
  </w:num>
  <w:num w:numId="28">
    <w:abstractNumId w:val="20"/>
  </w:num>
  <w:num w:numId="29">
    <w:abstractNumId w:val="16"/>
  </w:num>
  <w:num w:numId="30">
    <w:abstractNumId w:val="41"/>
  </w:num>
  <w:num w:numId="31">
    <w:abstractNumId w:val="32"/>
  </w:num>
  <w:num w:numId="32">
    <w:abstractNumId w:val="43"/>
  </w:num>
  <w:num w:numId="33">
    <w:abstractNumId w:val="17"/>
  </w:num>
  <w:num w:numId="34">
    <w:abstractNumId w:val="40"/>
  </w:num>
  <w:num w:numId="35">
    <w:abstractNumId w:val="31"/>
  </w:num>
  <w:num w:numId="36">
    <w:abstractNumId w:val="24"/>
  </w:num>
  <w:num w:numId="37">
    <w:abstractNumId w:val="39"/>
  </w:num>
  <w:num w:numId="38">
    <w:abstractNumId w:val="21"/>
  </w:num>
  <w:num w:numId="39">
    <w:abstractNumId w:val="15"/>
  </w:num>
  <w:num w:numId="40">
    <w:abstractNumId w:val="38"/>
  </w:num>
  <w:num w:numId="41">
    <w:abstractNumId w:val="12"/>
  </w:num>
  <w:num w:numId="42">
    <w:abstractNumId w:val="19"/>
  </w:num>
  <w:num w:numId="43">
    <w:abstractNumId w:val="29"/>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FC6"/>
    <w:rsid w:val="0001151E"/>
    <w:rsid w:val="000560EC"/>
    <w:rsid w:val="0005765A"/>
    <w:rsid w:val="000836A1"/>
    <w:rsid w:val="0009176A"/>
    <w:rsid w:val="000B6CCB"/>
    <w:rsid w:val="000E2548"/>
    <w:rsid w:val="001009AA"/>
    <w:rsid w:val="00110769"/>
    <w:rsid w:val="00162E4F"/>
    <w:rsid w:val="0018559D"/>
    <w:rsid w:val="001A4DC7"/>
    <w:rsid w:val="001A5B75"/>
    <w:rsid w:val="001C53C6"/>
    <w:rsid w:val="001C7243"/>
    <w:rsid w:val="001C7726"/>
    <w:rsid w:val="00215440"/>
    <w:rsid w:val="0022225C"/>
    <w:rsid w:val="002506ED"/>
    <w:rsid w:val="002B70AD"/>
    <w:rsid w:val="002D4C60"/>
    <w:rsid w:val="002D5011"/>
    <w:rsid w:val="002E2A0E"/>
    <w:rsid w:val="00303760"/>
    <w:rsid w:val="00303C33"/>
    <w:rsid w:val="00343012"/>
    <w:rsid w:val="00363DD1"/>
    <w:rsid w:val="00392CFB"/>
    <w:rsid w:val="003B7DE0"/>
    <w:rsid w:val="004972B8"/>
    <w:rsid w:val="004B254C"/>
    <w:rsid w:val="004D6729"/>
    <w:rsid w:val="004E0D7F"/>
    <w:rsid w:val="004E3754"/>
    <w:rsid w:val="00564AB4"/>
    <w:rsid w:val="00565BB4"/>
    <w:rsid w:val="00575078"/>
    <w:rsid w:val="00577B8F"/>
    <w:rsid w:val="0059041C"/>
    <w:rsid w:val="005B45BD"/>
    <w:rsid w:val="005C118A"/>
    <w:rsid w:val="005F4448"/>
    <w:rsid w:val="00600F07"/>
    <w:rsid w:val="00643D0F"/>
    <w:rsid w:val="00656281"/>
    <w:rsid w:val="00657830"/>
    <w:rsid w:val="006654D3"/>
    <w:rsid w:val="006A45E5"/>
    <w:rsid w:val="006B4FBD"/>
    <w:rsid w:val="006C31AD"/>
    <w:rsid w:val="006D4C1A"/>
    <w:rsid w:val="006E4AB4"/>
    <w:rsid w:val="00735BBC"/>
    <w:rsid w:val="00752EFB"/>
    <w:rsid w:val="00765DDC"/>
    <w:rsid w:val="007A4461"/>
    <w:rsid w:val="008007C5"/>
    <w:rsid w:val="00802F52"/>
    <w:rsid w:val="0081076D"/>
    <w:rsid w:val="00837893"/>
    <w:rsid w:val="00854659"/>
    <w:rsid w:val="0085771B"/>
    <w:rsid w:val="00872788"/>
    <w:rsid w:val="00891C81"/>
    <w:rsid w:val="008A0887"/>
    <w:rsid w:val="008A427D"/>
    <w:rsid w:val="008C1AC3"/>
    <w:rsid w:val="0090468D"/>
    <w:rsid w:val="009B1AA6"/>
    <w:rsid w:val="009E2A62"/>
    <w:rsid w:val="00A0533E"/>
    <w:rsid w:val="00A45D6F"/>
    <w:rsid w:val="00A70CD4"/>
    <w:rsid w:val="00AA31F7"/>
    <w:rsid w:val="00B06D02"/>
    <w:rsid w:val="00B50279"/>
    <w:rsid w:val="00BA6906"/>
    <w:rsid w:val="00C2107D"/>
    <w:rsid w:val="00CB387D"/>
    <w:rsid w:val="00D215BF"/>
    <w:rsid w:val="00D351B2"/>
    <w:rsid w:val="00D423F0"/>
    <w:rsid w:val="00DC7CA3"/>
    <w:rsid w:val="00E518EA"/>
    <w:rsid w:val="00E56064"/>
    <w:rsid w:val="00E97751"/>
    <w:rsid w:val="00EA6731"/>
    <w:rsid w:val="00EC5A2E"/>
    <w:rsid w:val="00EE5A40"/>
    <w:rsid w:val="00F13D2E"/>
    <w:rsid w:val="00F1635B"/>
    <w:rsid w:val="00F27A20"/>
    <w:rsid w:val="00F34FC6"/>
    <w:rsid w:val="00F852E6"/>
    <w:rsid w:val="00FA1E3C"/>
    <w:rsid w:val="00FC25B5"/>
    <w:rsid w:val="00FC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C6"/>
  </w:style>
  <w:style w:type="paragraph" w:styleId="Heading1">
    <w:name w:val="heading 1"/>
    <w:basedOn w:val="Normal"/>
    <w:next w:val="Normal"/>
    <w:link w:val="Heading1Char"/>
    <w:uiPriority w:val="9"/>
    <w:qFormat/>
    <w:rsid w:val="000576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6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FC6"/>
    <w:pPr>
      <w:ind w:left="720"/>
      <w:contextualSpacing/>
    </w:pPr>
  </w:style>
  <w:style w:type="character" w:styleId="Hyperlink">
    <w:name w:val="Hyperlink"/>
    <w:basedOn w:val="DefaultParagraphFont"/>
    <w:uiPriority w:val="99"/>
    <w:unhideWhenUsed/>
    <w:rsid w:val="002D5011"/>
    <w:rPr>
      <w:color w:val="0563C1" w:themeColor="hyperlink"/>
      <w:u w:val="single"/>
    </w:rPr>
  </w:style>
  <w:style w:type="character" w:customStyle="1" w:styleId="Heading1Char">
    <w:name w:val="Heading 1 Char"/>
    <w:basedOn w:val="DefaultParagraphFont"/>
    <w:link w:val="Heading1"/>
    <w:uiPriority w:val="9"/>
    <w:rsid w:val="000576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65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57830"/>
    <w:rPr>
      <w:rFonts w:ascii="Tahoma" w:hAnsi="Tahoma" w:cs="Tahoma"/>
      <w:sz w:val="16"/>
      <w:szCs w:val="16"/>
    </w:rPr>
  </w:style>
  <w:style w:type="character" w:customStyle="1" w:styleId="BalloonTextChar">
    <w:name w:val="Balloon Text Char"/>
    <w:basedOn w:val="DefaultParagraphFont"/>
    <w:link w:val="BalloonText"/>
    <w:uiPriority w:val="99"/>
    <w:semiHidden/>
    <w:rsid w:val="006578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FC6"/>
  </w:style>
  <w:style w:type="paragraph" w:styleId="Heading1">
    <w:name w:val="heading 1"/>
    <w:basedOn w:val="Normal"/>
    <w:next w:val="Normal"/>
    <w:link w:val="Heading1Char"/>
    <w:uiPriority w:val="9"/>
    <w:qFormat/>
    <w:rsid w:val="000576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5765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FC6"/>
    <w:pPr>
      <w:ind w:left="720"/>
      <w:contextualSpacing/>
    </w:pPr>
  </w:style>
  <w:style w:type="character" w:styleId="Hyperlink">
    <w:name w:val="Hyperlink"/>
    <w:basedOn w:val="DefaultParagraphFont"/>
    <w:uiPriority w:val="99"/>
    <w:unhideWhenUsed/>
    <w:rsid w:val="002D5011"/>
    <w:rPr>
      <w:color w:val="0563C1" w:themeColor="hyperlink"/>
      <w:u w:val="single"/>
    </w:rPr>
  </w:style>
  <w:style w:type="character" w:customStyle="1" w:styleId="Heading1Char">
    <w:name w:val="Heading 1 Char"/>
    <w:basedOn w:val="DefaultParagraphFont"/>
    <w:link w:val="Heading1"/>
    <w:uiPriority w:val="9"/>
    <w:rsid w:val="0005765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5765A"/>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657830"/>
    <w:rPr>
      <w:rFonts w:ascii="Tahoma" w:hAnsi="Tahoma" w:cs="Tahoma"/>
      <w:sz w:val="16"/>
      <w:szCs w:val="16"/>
    </w:rPr>
  </w:style>
  <w:style w:type="character" w:customStyle="1" w:styleId="BalloonTextChar">
    <w:name w:val="Balloon Text Char"/>
    <w:basedOn w:val="DefaultParagraphFont"/>
    <w:link w:val="BalloonText"/>
    <w:uiPriority w:val="99"/>
    <w:semiHidden/>
    <w:rsid w:val="006578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295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ed.stlouisfed.org/series/VIXCLS/downloaddata" TargetMode="External"/><Relationship Id="rId13" Type="http://schemas.openxmlformats.org/officeDocument/2006/relationships/hyperlink" Target="http://www.carmenreinhart.com/data/browse-by-topic/topics/1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thestreet.com/topic/47306/vix.html" TargetMode="External"/><Relationship Id="rId12" Type="http://schemas.openxmlformats.org/officeDocument/2006/relationships/hyperlink" Target="https://fred.stlouisfed.org/series/CPIAUCSL?cid=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mf.org/external/terms.htm" TargetMode="External"/><Relationship Id="rId1" Type="http://schemas.openxmlformats.org/officeDocument/2006/relationships/numbering" Target="numbering.xml"/><Relationship Id="rId6" Type="http://schemas.openxmlformats.org/officeDocument/2006/relationships/hyperlink" Target="http://bruegel.org/publications/datasets/real-effective-exchange-rates-for-178-countries-a-new-database/" TargetMode="External"/><Relationship Id="rId11" Type="http://schemas.openxmlformats.org/officeDocument/2006/relationships/hyperlink" Target="http://data.worldbank.org/data-catalog/commodity-price-data" TargetMode="External"/><Relationship Id="rId5" Type="http://schemas.openxmlformats.org/officeDocument/2006/relationships/webSettings" Target="webSettings.xml"/><Relationship Id="rId15" Type="http://schemas.openxmlformats.org/officeDocument/2006/relationships/hyperlink" Target="http://data.worldbank.org/indicator/BN.FIN.TOTL.CD?end=2015&amp;start=1997" TargetMode="External"/><Relationship Id="rId10" Type="http://schemas.openxmlformats.org/officeDocument/2006/relationships/hyperlink" Target="https://comtrade.un.org/data/" TargetMode="External"/><Relationship Id="rId4" Type="http://schemas.openxmlformats.org/officeDocument/2006/relationships/settings" Target="settings.xml"/><Relationship Id="rId9" Type="http://schemas.openxmlformats.org/officeDocument/2006/relationships/hyperlink" Target="http://www.policyuncertainty.com/global_monthly.html" TargetMode="External"/><Relationship Id="rId14" Type="http://schemas.openxmlformats.org/officeDocument/2006/relationships/hyperlink" Target="https://comtrade.un.org/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4340</Words>
  <Characters>24742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29024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Dell</cp:lastModifiedBy>
  <cp:revision>2</cp:revision>
  <cp:lastPrinted>2017-04-29T03:13:00Z</cp:lastPrinted>
  <dcterms:created xsi:type="dcterms:W3CDTF">2017-07-29T21:19:00Z</dcterms:created>
  <dcterms:modified xsi:type="dcterms:W3CDTF">2017-07-29T21:19:00Z</dcterms:modified>
</cp:coreProperties>
</file>