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75A17" w14:textId="77777777" w:rsidR="0074478A" w:rsidRDefault="00690393">
      <w:pPr>
        <w:jc w:val="center"/>
        <w:rPr>
          <w:rFonts w:ascii="Times New Roman" w:hAnsi="Times New Roman" w:cs="Times New Roman"/>
          <w:b/>
          <w:bCs/>
          <w:sz w:val="28"/>
          <w:szCs w:val="28"/>
        </w:rPr>
      </w:pPr>
      <w:bookmarkStart w:id="0" w:name="OLE_LINK28"/>
      <w:bookmarkStart w:id="1" w:name="OLE_LINK35"/>
      <w:bookmarkStart w:id="2" w:name="OLE_LINK25"/>
      <w:r>
        <w:rPr>
          <w:rFonts w:ascii="Times New Roman" w:hAnsi="Times New Roman" w:cs="Times New Roman"/>
          <w:b/>
          <w:bCs/>
          <w:sz w:val="28"/>
          <w:szCs w:val="28"/>
        </w:rPr>
        <w:t xml:space="preserve">Estimation of </w:t>
      </w:r>
      <w:r>
        <w:rPr>
          <w:rFonts w:ascii="Times New Roman" w:hAnsi="Times New Roman" w:cs="Times New Roman" w:hint="eastAsia"/>
          <w:b/>
          <w:bCs/>
          <w:sz w:val="28"/>
          <w:szCs w:val="28"/>
        </w:rPr>
        <w:t xml:space="preserve">Nonlinear Exchange Rate Dynamics </w:t>
      </w:r>
    </w:p>
    <w:p w14:paraId="7A07F99F" w14:textId="77777777" w:rsidR="0074478A" w:rsidRDefault="00690393">
      <w:pPr>
        <w:spacing w:afterLines="100" w:after="312"/>
        <w:jc w:val="center"/>
        <w:rPr>
          <w:rFonts w:ascii="Times New Roman" w:hAnsi="Times New Roman" w:cs="Times New Roman"/>
          <w:b/>
          <w:bCs/>
          <w:sz w:val="28"/>
          <w:szCs w:val="28"/>
        </w:rPr>
      </w:pPr>
      <w:r>
        <w:rPr>
          <w:rFonts w:ascii="Times New Roman" w:hAnsi="Times New Roman" w:cs="Times New Roman" w:hint="eastAsia"/>
          <w:b/>
          <w:bCs/>
          <w:sz w:val="28"/>
          <w:szCs w:val="28"/>
        </w:rPr>
        <w:t>in Evolving Regimes</w:t>
      </w:r>
      <w:bookmarkEnd w:id="0"/>
    </w:p>
    <w:p w14:paraId="1F003DBA" w14:textId="77777777" w:rsidR="0074478A" w:rsidRDefault="00690393">
      <w:pPr>
        <w:spacing w:afterLines="100" w:after="312"/>
        <w:jc w:val="center"/>
        <w:rPr>
          <w:rFonts w:ascii="Times New Roman" w:hAnsi="Times New Roman" w:cs="Times New Roman"/>
          <w:szCs w:val="21"/>
        </w:rPr>
      </w:pPr>
      <w:bookmarkStart w:id="3" w:name="OLE_LINK29"/>
      <w:bookmarkEnd w:id="1"/>
      <w:r>
        <w:rPr>
          <w:rFonts w:ascii="Times New Roman" w:hAnsi="Times New Roman" w:cs="Times New Roman" w:hint="eastAsia"/>
          <w:szCs w:val="21"/>
        </w:rPr>
        <w:t>Jeffrey Frankel</w:t>
      </w:r>
      <w:r>
        <w:rPr>
          <w:rStyle w:val="FootnoteReference"/>
          <w:rFonts w:ascii="Times New Roman" w:hAnsi="Times New Roman" w:cs="Times New Roman" w:hint="eastAsia"/>
          <w:szCs w:val="21"/>
        </w:rPr>
        <w:footnoteReference w:id="1"/>
      </w:r>
      <w:r>
        <w:rPr>
          <w:rFonts w:ascii="Times New Roman" w:hAnsi="Times New Roman" w:cs="Times New Roman" w:hint="eastAsia"/>
          <w:szCs w:val="21"/>
        </w:rPr>
        <w:t xml:space="preserve"> Yao Hou</w:t>
      </w:r>
      <w:r>
        <w:rPr>
          <w:rStyle w:val="FootnoteReference"/>
          <w:rFonts w:ascii="Times New Roman" w:hAnsi="Times New Roman" w:cs="Times New Roman" w:hint="eastAsia"/>
          <w:szCs w:val="21"/>
        </w:rPr>
        <w:footnoteReference w:id="2"/>
      </w:r>
      <w:r>
        <w:rPr>
          <w:rFonts w:ascii="Times New Roman" w:hAnsi="Times New Roman" w:cs="Times New Roman" w:hint="eastAsia"/>
          <w:szCs w:val="21"/>
        </w:rPr>
        <w:t xml:space="preserve"> Danxia Xie</w:t>
      </w:r>
      <w:bookmarkEnd w:id="3"/>
      <w:r>
        <w:rPr>
          <w:rStyle w:val="FootnoteReference"/>
          <w:rFonts w:ascii="Times New Roman" w:hAnsi="Times New Roman" w:cs="Times New Roman" w:hint="eastAsia"/>
          <w:szCs w:val="21"/>
        </w:rPr>
        <w:footnoteReference w:id="3"/>
      </w:r>
    </w:p>
    <w:p w14:paraId="674CD0E0" w14:textId="69E3B0E3" w:rsidR="0074478A" w:rsidRDefault="00DC2430">
      <w:pPr>
        <w:spacing w:afterLines="100" w:after="312"/>
        <w:jc w:val="center"/>
        <w:rPr>
          <w:rFonts w:ascii="Times New Roman" w:hAnsi="Times New Roman" w:cs="Times New Roman"/>
          <w:b/>
          <w:bCs/>
          <w:szCs w:val="21"/>
        </w:rPr>
      </w:pPr>
      <w:r>
        <w:rPr>
          <w:rFonts w:ascii="Times New Roman" w:hAnsi="Times New Roman" w:cs="Times New Roman"/>
          <w:szCs w:val="21"/>
        </w:rPr>
        <w:t>R</w:t>
      </w:r>
      <w:r w:rsidR="00690393">
        <w:rPr>
          <w:rFonts w:ascii="Times New Roman" w:hAnsi="Times New Roman" w:cs="Times New Roman" w:hint="eastAsia"/>
          <w:szCs w:val="21"/>
        </w:rPr>
        <w:t>evised</w:t>
      </w:r>
      <w:r>
        <w:rPr>
          <w:rFonts w:ascii="Times New Roman" w:hAnsi="Times New Roman" w:cs="Times New Roman"/>
          <w:szCs w:val="21"/>
        </w:rPr>
        <w:t>,</w:t>
      </w:r>
      <w:r w:rsidR="00690393">
        <w:rPr>
          <w:rFonts w:ascii="Times New Roman" w:hAnsi="Times New Roman" w:cs="Times New Roman" w:hint="eastAsia"/>
          <w:szCs w:val="21"/>
        </w:rPr>
        <w:t xml:space="preserve"> </w:t>
      </w:r>
      <w:r w:rsidR="003F2717">
        <w:rPr>
          <w:rFonts w:ascii="Times New Roman" w:hAnsi="Times New Roman" w:cs="Times New Roman"/>
          <w:szCs w:val="21"/>
        </w:rPr>
        <w:t>June 2</w:t>
      </w:r>
      <w:r w:rsidR="002F4CF4">
        <w:rPr>
          <w:rFonts w:ascii="Times New Roman" w:hAnsi="Times New Roman" w:cs="Times New Roman"/>
          <w:szCs w:val="21"/>
        </w:rPr>
        <w:t>2</w:t>
      </w:r>
      <w:r w:rsidR="003F2717">
        <w:rPr>
          <w:rFonts w:ascii="Times New Roman" w:hAnsi="Times New Roman" w:cs="Times New Roman"/>
          <w:szCs w:val="21"/>
        </w:rPr>
        <w:t xml:space="preserve">, </w:t>
      </w:r>
      <w:r w:rsidR="00690393">
        <w:rPr>
          <w:rFonts w:ascii="Times New Roman" w:hAnsi="Times New Roman" w:cs="Times New Roman" w:hint="eastAsia"/>
          <w:szCs w:val="21"/>
        </w:rPr>
        <w:t>2024</w:t>
      </w:r>
    </w:p>
    <w:p w14:paraId="08F60615" w14:textId="77777777" w:rsidR="0074478A" w:rsidRDefault="00690393">
      <w:pPr>
        <w:spacing w:afterLines="100" w:after="312"/>
        <w:jc w:val="center"/>
        <w:rPr>
          <w:rFonts w:ascii="Times New Roman" w:hAnsi="Times New Roman" w:cs="Times New Roman"/>
          <w:b/>
          <w:bCs/>
          <w:szCs w:val="21"/>
        </w:rPr>
      </w:pPr>
      <w:r>
        <w:rPr>
          <w:rFonts w:ascii="Times New Roman" w:hAnsi="Times New Roman" w:cs="Times New Roman"/>
          <w:b/>
          <w:bCs/>
          <w:szCs w:val="21"/>
        </w:rPr>
        <w:t>Abstract</w:t>
      </w:r>
    </w:p>
    <w:p w14:paraId="61540BE6" w14:textId="77777777" w:rsidR="0074478A" w:rsidRDefault="00690393">
      <w:pPr>
        <w:spacing w:afterLines="100" w:after="312"/>
        <w:rPr>
          <w:rFonts w:ascii="Times New Roman" w:hAnsi="Times New Roman" w:cs="Times New Roman"/>
          <w:szCs w:val="21"/>
        </w:rPr>
      </w:pPr>
      <w:bookmarkStart w:id="6" w:name="OLE_LINK78"/>
      <w:r>
        <w:rPr>
          <w:rFonts w:ascii="Times New Roman" w:hAnsi="Times New Roman" w:cs="Times New Roman" w:hint="eastAsia"/>
          <w:szCs w:val="21"/>
        </w:rPr>
        <w:t xml:space="preserve">This paper </w:t>
      </w:r>
      <w:bookmarkStart w:id="7" w:name="OLE_LINK109"/>
      <w:r>
        <w:rPr>
          <w:rFonts w:ascii="Times New Roman" w:hAnsi="Times New Roman" w:cs="Times New Roman" w:hint="eastAsia"/>
          <w:szCs w:val="21"/>
        </w:rPr>
        <w:t>develops a new econometric framework</w:t>
      </w:r>
      <w:bookmarkEnd w:id="7"/>
      <w:r>
        <w:rPr>
          <w:rFonts w:ascii="Times New Roman" w:hAnsi="Times New Roman" w:cs="Times New Roman" w:hint="eastAsia"/>
          <w:szCs w:val="21"/>
        </w:rPr>
        <w:t xml:space="preserve"> to</w:t>
      </w:r>
      <w:r>
        <w:rPr>
          <w:rFonts w:ascii="Times New Roman" w:hAnsi="Times New Roman" w:cs="Times New Roman"/>
          <w:szCs w:val="21"/>
        </w:rPr>
        <w:t xml:space="preserve"> estimate and</w:t>
      </w:r>
      <w:r>
        <w:rPr>
          <w:rFonts w:ascii="Times New Roman" w:hAnsi="Times New Roman" w:cs="Times New Roman" w:hint="eastAsia"/>
          <w:szCs w:val="21"/>
        </w:rPr>
        <w:t xml:space="preserve"> classify exchange rate regimes.</w:t>
      </w:r>
      <w:r>
        <w:rPr>
          <w:rStyle w:val="CommentReference"/>
          <w:rFonts w:hint="eastAsia"/>
        </w:rPr>
        <w:t xml:space="preserve"> </w:t>
      </w:r>
      <w:r>
        <w:rPr>
          <w:rFonts w:ascii="Times New Roman" w:hAnsi="Times New Roman" w:cs="Times New Roman" w:hint="eastAsia"/>
        </w:rPr>
        <w:t xml:space="preserve">They are </w:t>
      </w:r>
      <w:bookmarkStart w:id="8" w:name="OLE_LINK110"/>
      <w:r>
        <w:rPr>
          <w:rFonts w:ascii="Times New Roman" w:hAnsi="Times New Roman" w:cs="Times New Roman" w:hint="eastAsia"/>
        </w:rPr>
        <w:t>classified</w:t>
      </w:r>
      <w:r>
        <w:rPr>
          <w:rFonts w:ascii="Times New Roman" w:hAnsi="Times New Roman" w:cs="Times New Roman"/>
        </w:rPr>
        <w:t xml:space="preserve"> into</w:t>
      </w:r>
      <w:bookmarkEnd w:id="8"/>
      <w:r>
        <w:rPr>
          <w:rFonts w:ascii="Times New Roman" w:hAnsi="Times New Roman" w:cs="Times New Roman"/>
        </w:rPr>
        <w:t xml:space="preserve"> </w:t>
      </w:r>
      <w:r>
        <w:rPr>
          <w:rFonts w:ascii="Times New Roman" w:hAnsi="Times New Roman" w:cs="Times New Roman" w:hint="eastAsia"/>
        </w:rPr>
        <w:t>four distinct categories</w:t>
      </w:r>
      <w:r>
        <w:rPr>
          <w:rFonts w:ascii="Times New Roman" w:hAnsi="Times New Roman" w:cs="Times New Roman"/>
        </w:rPr>
        <w:t xml:space="preserve">: </w:t>
      </w:r>
      <w:r>
        <w:rPr>
          <w:rFonts w:ascii="Times New Roman" w:hAnsi="Times New Roman" w:cs="Times New Roman" w:hint="eastAsia"/>
        </w:rPr>
        <w:t xml:space="preserve">fixed </w:t>
      </w:r>
      <w:r>
        <w:rPr>
          <w:rFonts w:ascii="Times New Roman" w:hAnsi="Times New Roman" w:cs="Times New Roman"/>
        </w:rPr>
        <w:t>exchange rates,</w:t>
      </w:r>
      <w:r>
        <w:rPr>
          <w:rFonts w:ascii="Times New Roman" w:hAnsi="Times New Roman" w:cs="Times New Roman" w:hint="eastAsia"/>
        </w:rPr>
        <w:t xml:space="preserve"> </w:t>
      </w:r>
      <w:r>
        <w:rPr>
          <w:rFonts w:ascii="Times New Roman" w:hAnsi="Times New Roman" w:cs="Times New Roman"/>
        </w:rPr>
        <w:t xml:space="preserve">BBC </w:t>
      </w:r>
      <w:bookmarkStart w:id="9" w:name="OLE_LINK108"/>
      <w:r>
        <w:rPr>
          <w:rFonts w:ascii="Times New Roman" w:hAnsi="Times New Roman" w:cs="Times New Roman"/>
        </w:rPr>
        <w:t>(band, basket and crawl)</w:t>
      </w:r>
      <w:bookmarkEnd w:id="9"/>
      <w:r>
        <w:rPr>
          <w:rFonts w:ascii="Times New Roman" w:hAnsi="Times New Roman" w:cs="Times New Roman"/>
        </w:rPr>
        <w:t>,</w:t>
      </w:r>
      <w:r>
        <w:rPr>
          <w:rFonts w:ascii="Times New Roman" w:hAnsi="Times New Roman" w:cs="Times New Roman" w:hint="eastAsia"/>
        </w:rPr>
        <w:t xml:space="preserve"> managed floating</w:t>
      </w:r>
      <w:r>
        <w:rPr>
          <w:rFonts w:ascii="Times New Roman" w:hAnsi="Times New Roman" w:cs="Times New Roman"/>
        </w:rPr>
        <w:t xml:space="preserve">, </w:t>
      </w:r>
      <w:r>
        <w:rPr>
          <w:rFonts w:ascii="Times New Roman" w:hAnsi="Times New Roman" w:cs="Times New Roman" w:hint="eastAsia"/>
        </w:rPr>
        <w:t xml:space="preserve">and freely floating. The procedure captures the patterns of exchange rate dynamics and the interventions by authorities under each of the regimes. We pay particular attention to the BBC and </w:t>
      </w:r>
      <w:r>
        <w:rPr>
          <w:rFonts w:ascii="Times New Roman" w:hAnsi="Times New Roman" w:cs="Times New Roman"/>
        </w:rPr>
        <w:t>offer a new approach to</w:t>
      </w:r>
      <w:r>
        <w:rPr>
          <w:rFonts w:ascii="Times New Roman" w:hAnsi="Times New Roman" w:cs="Times New Roman" w:hint="eastAsia"/>
        </w:rPr>
        <w:t xml:space="preserve"> parameter estimat</w:t>
      </w:r>
      <w:r>
        <w:rPr>
          <w:rFonts w:ascii="Times New Roman" w:hAnsi="Times New Roman" w:cs="Times New Roman"/>
        </w:rPr>
        <w:t>ion</w:t>
      </w:r>
      <w:r>
        <w:rPr>
          <w:rFonts w:ascii="Times New Roman" w:hAnsi="Times New Roman" w:cs="Times New Roman" w:hint="eastAsia"/>
        </w:rPr>
        <w:t xml:space="preserve"> by utilizing a three-regime </w:t>
      </w:r>
      <w:r>
        <w:rPr>
          <w:rFonts w:ascii="Times New Roman" w:hAnsi="Times New Roman" w:cs="Times New Roman"/>
        </w:rPr>
        <w:t>Threshold Auto Regressive</w:t>
      </w:r>
      <w:r>
        <w:rPr>
          <w:rFonts w:ascii="Times New Roman" w:hAnsi="Times New Roman" w:cs="Times New Roman" w:hint="eastAsia"/>
        </w:rPr>
        <w:t xml:space="preserve"> (TAR) model to reveal the nonlinear nature of exchange rate dynamics. We further extend our benchmark framework to allow the evolution of exchange rate regimes over time by adopting the </w:t>
      </w:r>
      <w:r>
        <w:rPr>
          <w:rFonts w:ascii="Times New Roman" w:hAnsi="Times New Roman" w:cs="Times New Roman"/>
        </w:rPr>
        <w:t>minimum description length (MDL) principle</w:t>
      </w:r>
      <w:r>
        <w:rPr>
          <w:rFonts w:ascii="Times New Roman" w:hAnsi="Times New Roman" w:cs="Times New Roman" w:hint="eastAsia"/>
        </w:rPr>
        <w:t xml:space="preserve">, to overcome the challenge of simultaneous two-dimensional inference of nonlinearity in the state dimension and structural breaks in the time </w:t>
      </w:r>
      <w:r>
        <w:rPr>
          <w:rFonts w:ascii="Times New Roman" w:hAnsi="Times New Roman" w:cs="Times New Roman"/>
        </w:rPr>
        <w:t>dimension</w:t>
      </w:r>
      <w:r>
        <w:rPr>
          <w:rFonts w:ascii="Times New Roman" w:hAnsi="Times New Roman" w:cs="Times New Roman" w:hint="eastAsia"/>
        </w:rPr>
        <w:t xml:space="preserve">. We apply our framework to 26 countries. The results </w:t>
      </w:r>
      <w:r>
        <w:rPr>
          <w:rFonts w:ascii="Times New Roman" w:hAnsi="Times New Roman" w:cs="Times New Roman"/>
        </w:rPr>
        <w:t>suggest</w:t>
      </w:r>
      <w:r>
        <w:rPr>
          <w:rFonts w:ascii="Times New Roman" w:hAnsi="Times New Roman" w:cs="Times New Roman" w:hint="eastAsia"/>
        </w:rPr>
        <w:t xml:space="preserve"> that exchange rate dynamics under different regimes are well captured by our </w:t>
      </w:r>
      <w:r>
        <w:rPr>
          <w:rFonts w:ascii="Times New Roman" w:hAnsi="Times New Roman" w:cs="Times New Roman"/>
        </w:rPr>
        <w:t xml:space="preserve">new </w:t>
      </w:r>
      <w:r>
        <w:rPr>
          <w:rFonts w:ascii="Times New Roman" w:hAnsi="Times New Roman" w:cs="Times New Roman" w:hint="eastAsia"/>
        </w:rPr>
        <w:t>framework.</w:t>
      </w:r>
      <w:bookmarkEnd w:id="6"/>
    </w:p>
    <w:p w14:paraId="70596033" w14:textId="32324263" w:rsidR="0074478A" w:rsidRDefault="0090568B">
      <w:pPr>
        <w:spacing w:afterLines="100" w:after="312"/>
        <w:rPr>
          <w:rFonts w:ascii="Times New Roman" w:hAnsi="Times New Roman" w:cs="Times New Roman"/>
          <w:szCs w:val="21"/>
        </w:rPr>
      </w:pPr>
      <w:r>
        <w:rPr>
          <w:rFonts w:ascii="Times New Roman" w:hAnsi="Times New Roman" w:cs="Times New Roman"/>
          <w:szCs w:val="21"/>
        </w:rPr>
        <w:t xml:space="preserve">JEL Classification Numbers: </w:t>
      </w:r>
      <w:r w:rsidR="001226D8">
        <w:rPr>
          <w:rFonts w:ascii="Times New Roman" w:hAnsi="Times New Roman" w:cs="Times New Roman"/>
          <w:szCs w:val="21"/>
        </w:rPr>
        <w:t>F31, F</w:t>
      </w:r>
      <w:r>
        <w:rPr>
          <w:rFonts w:ascii="Times New Roman" w:hAnsi="Times New Roman" w:cs="Times New Roman"/>
          <w:szCs w:val="21"/>
        </w:rPr>
        <w:t>33</w:t>
      </w:r>
    </w:p>
    <w:p w14:paraId="2FCC8914" w14:textId="77777777" w:rsidR="0074478A" w:rsidRDefault="00690393">
      <w:pPr>
        <w:numPr>
          <w:ilvl w:val="0"/>
          <w:numId w:val="1"/>
        </w:numPr>
        <w:spacing w:afterLines="100" w:after="312"/>
        <w:rPr>
          <w:rFonts w:ascii="Times New Roman" w:hAnsi="Times New Roman" w:cs="Times New Roman"/>
          <w:b/>
          <w:bCs/>
        </w:rPr>
      </w:pPr>
      <w:bookmarkStart w:id="10" w:name="OLE_LINK26"/>
      <w:r>
        <w:rPr>
          <w:rFonts w:ascii="Times New Roman" w:hAnsi="Times New Roman" w:cs="Times New Roman"/>
          <w:b/>
          <w:bCs/>
        </w:rPr>
        <w:t>Introduction</w:t>
      </w:r>
    </w:p>
    <w:p w14:paraId="54B3842E" w14:textId="4A1F7C26"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It has been well-known that there is </w:t>
      </w:r>
      <w:bookmarkStart w:id="11" w:name="OLE_LINK62"/>
      <w:r>
        <w:rPr>
          <w:rFonts w:ascii="Times New Roman" w:hAnsi="Times New Roman" w:cs="Times New Roman" w:hint="eastAsia"/>
        </w:rPr>
        <w:t>a big difference between de jure exchange rate regimes</w:t>
      </w:r>
      <w:r>
        <w:rPr>
          <w:rFonts w:ascii="Times New Roman" w:hAnsi="Times New Roman" w:cs="Times New Roman"/>
        </w:rPr>
        <w:t>,</w:t>
      </w:r>
      <w:r>
        <w:rPr>
          <w:rFonts w:ascii="Times New Roman" w:hAnsi="Times New Roman" w:cs="Times New Roman" w:hint="eastAsia"/>
        </w:rPr>
        <w:t xml:space="preserve"> </w:t>
      </w:r>
      <w:bookmarkStart w:id="12" w:name="OLE_LINK94"/>
      <w:r>
        <w:rPr>
          <w:rFonts w:ascii="Times New Roman" w:hAnsi="Times New Roman" w:cs="Times New Roman" w:hint="eastAsia"/>
        </w:rPr>
        <w:t xml:space="preserve">which </w:t>
      </w:r>
      <w:bookmarkStart w:id="13" w:name="OLE_LINK96"/>
      <w:r>
        <w:rPr>
          <w:rFonts w:ascii="Times New Roman" w:hAnsi="Times New Roman" w:cs="Times New Roman" w:hint="eastAsia"/>
        </w:rPr>
        <w:t>monetary authorities officially claim to follow</w:t>
      </w:r>
      <w:bookmarkEnd w:id="12"/>
      <w:bookmarkEnd w:id="13"/>
      <w:r>
        <w:rPr>
          <w:rFonts w:ascii="Times New Roman" w:hAnsi="Times New Roman" w:cs="Times New Roman"/>
        </w:rPr>
        <w:t>,</w:t>
      </w:r>
      <w:r>
        <w:rPr>
          <w:rFonts w:ascii="Times New Roman" w:hAnsi="Times New Roman" w:cs="Times New Roman" w:hint="eastAsia"/>
        </w:rPr>
        <w:t xml:space="preserve"> and de facto exchange rate </w:t>
      </w:r>
      <w:proofErr w:type="gramStart"/>
      <w:r>
        <w:rPr>
          <w:rFonts w:ascii="Times New Roman" w:hAnsi="Times New Roman" w:cs="Times New Roman" w:hint="eastAsia"/>
        </w:rPr>
        <w:t>regime</w:t>
      </w:r>
      <w:bookmarkEnd w:id="11"/>
      <w:r>
        <w:rPr>
          <w:rFonts w:ascii="Times New Roman" w:hAnsi="Times New Roman" w:cs="Times New Roman"/>
        </w:rPr>
        <w:t xml:space="preserve">, </w:t>
      </w:r>
      <w:r>
        <w:rPr>
          <w:rFonts w:ascii="Times New Roman" w:hAnsi="Times New Roman" w:cs="Times New Roman" w:hint="eastAsia"/>
        </w:rPr>
        <w:t xml:space="preserve"> which</w:t>
      </w:r>
      <w:proofErr w:type="gramEnd"/>
      <w:r>
        <w:rPr>
          <w:rFonts w:ascii="Times New Roman" w:hAnsi="Times New Roman" w:cs="Times New Roman" w:hint="eastAsia"/>
        </w:rPr>
        <w:t xml:space="preserve"> </w:t>
      </w:r>
      <w:bookmarkStart w:id="14" w:name="OLE_LINK95"/>
      <w:r w:rsidR="003E249D">
        <w:rPr>
          <w:rFonts w:ascii="Times New Roman" w:hAnsi="Times New Roman" w:cs="Times New Roman"/>
        </w:rPr>
        <w:t>they</w:t>
      </w:r>
      <w:r>
        <w:rPr>
          <w:rFonts w:ascii="Times New Roman" w:hAnsi="Times New Roman" w:cs="Times New Roman" w:hint="eastAsia"/>
        </w:rPr>
        <w:t xml:space="preserve"> maintain in practice</w:t>
      </w:r>
      <w:bookmarkEnd w:id="14"/>
      <w:r>
        <w:rPr>
          <w:rFonts w:ascii="Times New Roman" w:hAnsi="Times New Roman" w:cs="Times New Roman" w:hint="eastAsia"/>
        </w:rPr>
        <w:t xml:space="preserve"> (</w:t>
      </w:r>
      <w:bookmarkStart w:id="15" w:name="OLE_LINK63"/>
      <w:r>
        <w:rPr>
          <w:rFonts w:ascii="Times New Roman" w:hAnsi="Times New Roman" w:cs="Times New Roman"/>
        </w:rPr>
        <w:t>Calvo and Reinhart, 2002</w:t>
      </w:r>
      <w:bookmarkEnd w:id="15"/>
      <w:r>
        <w:rPr>
          <w:rFonts w:ascii="Times New Roman" w:hAnsi="Times New Roman" w:cs="Times New Roman"/>
        </w:rPr>
        <w:t>; Shambaugh</w:t>
      </w:r>
      <w:r>
        <w:rPr>
          <w:rFonts w:ascii="Times New Roman" w:hAnsi="Times New Roman" w:cs="Times New Roman" w:hint="eastAsia"/>
        </w:rPr>
        <w:t xml:space="preserve">, </w:t>
      </w:r>
      <w:r>
        <w:rPr>
          <w:rFonts w:ascii="Times New Roman" w:hAnsi="Times New Roman" w:cs="Times New Roman"/>
        </w:rPr>
        <w:t>2004;</w:t>
      </w:r>
      <w:r>
        <w:rPr>
          <w:rFonts w:ascii="Times New Roman" w:hAnsi="Times New Roman" w:cs="Times New Roman" w:hint="eastAsia"/>
        </w:rPr>
        <w:t xml:space="preserve"> </w:t>
      </w:r>
      <w:r>
        <w:rPr>
          <w:rFonts w:ascii="Times New Roman" w:hAnsi="Times New Roman" w:cs="Times New Roman"/>
        </w:rPr>
        <w:t>Franke</w:t>
      </w:r>
      <w:r>
        <w:rPr>
          <w:rFonts w:ascii="Times New Roman" w:hAnsi="Times New Roman" w:cs="Times New Roman" w:hint="eastAsia"/>
        </w:rPr>
        <w:t xml:space="preserve">l et al., </w:t>
      </w:r>
      <w:r>
        <w:rPr>
          <w:rFonts w:ascii="Times New Roman" w:hAnsi="Times New Roman" w:cs="Times New Roman"/>
        </w:rPr>
        <w:t>2001</w:t>
      </w:r>
      <w:r>
        <w:rPr>
          <w:rFonts w:ascii="Times New Roman" w:hAnsi="Times New Roman" w:cs="Times New Roman" w:hint="eastAsia"/>
        </w:rPr>
        <w:t xml:space="preserve">). Motivated by this </w:t>
      </w:r>
      <w:r w:rsidR="00F94DF5">
        <w:rPr>
          <w:rFonts w:ascii="Times New Roman" w:hAnsi="Times New Roman" w:cs="Times New Roman"/>
        </w:rPr>
        <w:t>discrepancy</w:t>
      </w:r>
      <w:r>
        <w:rPr>
          <w:rFonts w:ascii="Times New Roman" w:hAnsi="Times New Roman" w:cs="Times New Roman" w:hint="eastAsia"/>
        </w:rPr>
        <w:t xml:space="preserve">, </w:t>
      </w:r>
      <w:bookmarkStart w:id="16" w:name="OLE_LINK71"/>
      <w:r>
        <w:rPr>
          <w:rFonts w:ascii="Times New Roman" w:hAnsi="Times New Roman" w:cs="Times New Roman" w:hint="eastAsia"/>
        </w:rPr>
        <w:t>a group of studies attempt to develop de facto methods for classifying exchange rate regimes</w:t>
      </w:r>
      <w:bookmarkEnd w:id="16"/>
      <w:r>
        <w:rPr>
          <w:rFonts w:ascii="Times New Roman" w:hAnsi="Times New Roman" w:cs="Times New Roman" w:hint="eastAsia"/>
        </w:rPr>
        <w:t xml:space="preserve">. Important examples include </w:t>
      </w:r>
      <w:bookmarkStart w:id="17" w:name="OLE_LINK72"/>
      <w:r>
        <w:rPr>
          <w:rFonts w:ascii="Times New Roman" w:hAnsi="Times New Roman" w:cs="Times New Roman"/>
        </w:rPr>
        <w:t>Ghosh et al.</w:t>
      </w:r>
      <w:r>
        <w:rPr>
          <w:rFonts w:ascii="Times New Roman" w:hAnsi="Times New Roman" w:cs="Times New Roman" w:hint="eastAsia"/>
        </w:rPr>
        <w:t xml:space="preserve">, </w:t>
      </w:r>
      <w:r>
        <w:rPr>
          <w:rFonts w:ascii="Times New Roman" w:hAnsi="Times New Roman" w:cs="Times New Roman"/>
        </w:rPr>
        <w:t>2000</w:t>
      </w:r>
      <w:bookmarkEnd w:id="17"/>
      <w:r>
        <w:rPr>
          <w:rFonts w:ascii="Times New Roman" w:hAnsi="Times New Roman" w:cs="Times New Roman"/>
        </w:rPr>
        <w:t xml:space="preserve">, </w:t>
      </w:r>
      <w:bookmarkStart w:id="18" w:name="OLE_LINK80"/>
      <w:r>
        <w:rPr>
          <w:rFonts w:ascii="Times New Roman" w:hAnsi="Times New Roman" w:cs="Times New Roman"/>
        </w:rPr>
        <w:t>Levy-</w:t>
      </w:r>
      <w:proofErr w:type="spellStart"/>
      <w:r>
        <w:rPr>
          <w:rFonts w:ascii="Times New Roman" w:hAnsi="Times New Roman" w:cs="Times New Roman"/>
        </w:rPr>
        <w:t>Yeyati</w:t>
      </w:r>
      <w:proofErr w:type="spellEnd"/>
      <w:r>
        <w:rPr>
          <w:rFonts w:ascii="Times New Roman" w:hAnsi="Times New Roman" w:cs="Times New Roman"/>
        </w:rPr>
        <w:t xml:space="preserve"> and Sturzenegger (2003)</w:t>
      </w:r>
      <w:bookmarkEnd w:id="18"/>
      <w:r>
        <w:rPr>
          <w:rFonts w:ascii="Times New Roman" w:hAnsi="Times New Roman" w:cs="Times New Roman"/>
        </w:rPr>
        <w:t xml:space="preserve">, </w:t>
      </w:r>
      <w:bookmarkStart w:id="19" w:name="OLE_LINK84"/>
      <w:bookmarkStart w:id="20" w:name="OLE_LINK65"/>
      <w:r>
        <w:rPr>
          <w:rFonts w:ascii="Times New Roman" w:hAnsi="Times New Roman" w:cs="Times New Roman"/>
        </w:rPr>
        <w:t>Reinhart and Rogoff (2004)</w:t>
      </w:r>
      <w:bookmarkEnd w:id="19"/>
      <w:r>
        <w:rPr>
          <w:rFonts w:ascii="Times New Roman" w:hAnsi="Times New Roman" w:cs="Times New Roman"/>
        </w:rPr>
        <w:t xml:space="preserve">, </w:t>
      </w:r>
      <w:bookmarkStart w:id="21" w:name="OLE_LINK86"/>
      <w:r>
        <w:rPr>
          <w:rFonts w:ascii="Times New Roman" w:hAnsi="Times New Roman" w:cs="Times New Roman"/>
        </w:rPr>
        <w:t>Shambaugh (2004)</w:t>
      </w:r>
      <w:bookmarkEnd w:id="20"/>
      <w:bookmarkEnd w:id="21"/>
      <w:r>
        <w:rPr>
          <w:rFonts w:ascii="Times New Roman" w:hAnsi="Times New Roman" w:cs="Times New Roman" w:hint="eastAsia"/>
        </w:rPr>
        <w:t xml:space="preserve">, </w:t>
      </w:r>
      <w:bookmarkStart w:id="22" w:name="OLE_LINK87"/>
      <w:r>
        <w:rPr>
          <w:rFonts w:ascii="Times New Roman" w:hAnsi="Times New Roman" w:cs="Times New Roman" w:hint="eastAsia"/>
        </w:rPr>
        <w:t>Frankel and Wei (2008)</w:t>
      </w:r>
      <w:bookmarkEnd w:id="22"/>
      <w:r>
        <w:rPr>
          <w:rFonts w:ascii="Times New Roman" w:hAnsi="Times New Roman" w:cs="Times New Roman" w:hint="eastAsia"/>
        </w:rPr>
        <w:t>,</w:t>
      </w:r>
      <w:r>
        <w:rPr>
          <w:rFonts w:ascii="Times New Roman" w:hAnsi="Times New Roman" w:cs="Times New Roman"/>
        </w:rPr>
        <w:t xml:space="preserve"> and Frankel and Xie (2010)</w:t>
      </w:r>
      <w:r>
        <w:rPr>
          <w:rFonts w:ascii="Times New Roman" w:hAnsi="Times New Roman" w:cs="Times New Roman" w:hint="eastAsia"/>
        </w:rPr>
        <w:t xml:space="preserve">. However, a new consensus on exchange rate regime classification has not been reached by this strand of literature. As </w:t>
      </w:r>
      <w:r>
        <w:rPr>
          <w:rFonts w:ascii="Times New Roman" w:hAnsi="Times New Roman" w:cs="Times New Roman"/>
        </w:rPr>
        <w:t xml:space="preserve">Frankel (2004), </w:t>
      </w:r>
      <w:proofErr w:type="spellStart"/>
      <w:r>
        <w:rPr>
          <w:rFonts w:ascii="Times New Roman" w:hAnsi="Times New Roman" w:cs="Times New Roman"/>
        </w:rPr>
        <w:t>Bénassy</w:t>
      </w:r>
      <w:proofErr w:type="spellEnd"/>
      <w:r>
        <w:rPr>
          <w:rFonts w:ascii="Times New Roman" w:hAnsi="Times New Roman" w:cs="Times New Roman"/>
        </w:rPr>
        <w:t>-Quéré et al (2006) and Rose (2011)</w:t>
      </w:r>
      <w:r>
        <w:rPr>
          <w:rFonts w:ascii="Times New Roman" w:hAnsi="Times New Roman" w:cs="Times New Roman" w:hint="eastAsia"/>
        </w:rPr>
        <w:t xml:space="preserve"> point out, </w:t>
      </w:r>
      <w:bookmarkStart w:id="23" w:name="OLE_LINK88"/>
      <w:r>
        <w:rPr>
          <w:rFonts w:ascii="Times New Roman" w:hAnsi="Times New Roman" w:cs="Times New Roman" w:hint="eastAsia"/>
        </w:rPr>
        <w:t>the classification results of these methods are inconsistent</w:t>
      </w:r>
      <w:bookmarkEnd w:id="23"/>
      <w:r>
        <w:rPr>
          <w:rFonts w:ascii="Times New Roman" w:hAnsi="Times New Roman" w:cs="Times New Roman" w:hint="eastAsia"/>
        </w:rPr>
        <w:t xml:space="preserve">. </w:t>
      </w:r>
      <w:bookmarkStart w:id="24" w:name="OLE_LINK89"/>
      <w:r>
        <w:rPr>
          <w:rFonts w:ascii="Times New Roman" w:hAnsi="Times New Roman" w:cs="Times New Roman" w:hint="eastAsia"/>
        </w:rPr>
        <w:t xml:space="preserve">The debate regarding an appropriate classification procedure </w:t>
      </w:r>
      <w:r w:rsidR="001349C7">
        <w:rPr>
          <w:rFonts w:ascii="Times New Roman" w:hAnsi="Times New Roman" w:cs="Times New Roman"/>
        </w:rPr>
        <w:t>continue</w:t>
      </w:r>
      <w:r>
        <w:rPr>
          <w:rFonts w:ascii="Times New Roman" w:hAnsi="Times New Roman" w:cs="Times New Roman" w:hint="eastAsia"/>
        </w:rPr>
        <w:t>s</w:t>
      </w:r>
      <w:bookmarkEnd w:id="24"/>
      <w:r>
        <w:rPr>
          <w:rFonts w:ascii="Times New Roman" w:hAnsi="Times New Roman" w:cs="Times New Roman" w:hint="eastAsia"/>
        </w:rPr>
        <w:t>.</w:t>
      </w:r>
    </w:p>
    <w:p w14:paraId="05E2B03B"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The </w:t>
      </w:r>
      <w:bookmarkStart w:id="25" w:name="OLE_LINK90"/>
      <w:r>
        <w:rPr>
          <w:rFonts w:ascii="Times New Roman" w:hAnsi="Times New Roman" w:cs="Times New Roman" w:hint="eastAsia"/>
        </w:rPr>
        <w:t xml:space="preserve">existing </w:t>
      </w:r>
      <w:r>
        <w:rPr>
          <w:rFonts w:ascii="Times New Roman" w:hAnsi="Times New Roman" w:cs="Times New Roman"/>
        </w:rPr>
        <w:t>literature</w:t>
      </w:r>
      <w:bookmarkEnd w:id="25"/>
      <w:r>
        <w:rPr>
          <w:rFonts w:ascii="Times New Roman" w:hAnsi="Times New Roman" w:cs="Times New Roman"/>
        </w:rPr>
        <w:t xml:space="preserve"> </w:t>
      </w:r>
      <w:bookmarkStart w:id="26" w:name="OLE_LINK93"/>
      <w:r>
        <w:rPr>
          <w:rFonts w:ascii="Times New Roman" w:hAnsi="Times New Roman" w:cs="Times New Roman"/>
        </w:rPr>
        <w:t>on</w:t>
      </w:r>
      <w:r>
        <w:rPr>
          <w:rFonts w:ascii="Times New Roman" w:hAnsi="Times New Roman" w:cs="Times New Roman" w:hint="eastAsia"/>
        </w:rPr>
        <w:t xml:space="preserve"> de facto classification</w:t>
      </w:r>
      <w:bookmarkEnd w:id="26"/>
      <w:r>
        <w:rPr>
          <w:rFonts w:ascii="Times New Roman" w:hAnsi="Times New Roman" w:cs="Times New Roman" w:hint="eastAsia"/>
        </w:rPr>
        <w:t xml:space="preserve"> </w:t>
      </w:r>
      <w:proofErr w:type="gramStart"/>
      <w:r>
        <w:rPr>
          <w:rFonts w:ascii="Times New Roman" w:hAnsi="Times New Roman" w:cs="Times New Roman"/>
        </w:rPr>
        <w:t>include</w:t>
      </w:r>
      <w:proofErr w:type="gramEnd"/>
      <w:r>
        <w:rPr>
          <w:rFonts w:ascii="Times New Roman" w:hAnsi="Times New Roman" w:cs="Times New Roman" w:hint="eastAsia"/>
        </w:rPr>
        <w:t xml:space="preserve"> two groups. The first group, such as </w:t>
      </w:r>
      <w:bookmarkStart w:id="27" w:name="OLE_LINK67"/>
      <w:r>
        <w:rPr>
          <w:rFonts w:ascii="Times New Roman" w:hAnsi="Times New Roman" w:cs="Times New Roman"/>
        </w:rPr>
        <w:t>Reinhart and Rogoff (2004)</w:t>
      </w:r>
      <w:bookmarkEnd w:id="27"/>
      <w:r>
        <w:rPr>
          <w:rFonts w:ascii="Times New Roman" w:hAnsi="Times New Roman" w:cs="Times New Roman" w:hint="eastAsia"/>
        </w:rPr>
        <w:t xml:space="preserve"> and</w:t>
      </w:r>
      <w:r>
        <w:rPr>
          <w:rFonts w:ascii="Times New Roman" w:hAnsi="Times New Roman" w:cs="Times New Roman"/>
        </w:rPr>
        <w:t xml:space="preserve"> Shambaugh (2004)</w:t>
      </w:r>
      <w:r>
        <w:rPr>
          <w:rFonts w:ascii="Times New Roman" w:hAnsi="Times New Roman" w:cs="Times New Roman" w:hint="eastAsia"/>
        </w:rPr>
        <w:t xml:space="preserve">, </w:t>
      </w:r>
      <w:bookmarkStart w:id="28" w:name="OLE_LINK91"/>
      <w:r>
        <w:rPr>
          <w:rFonts w:ascii="Times New Roman" w:hAnsi="Times New Roman" w:cs="Times New Roman" w:hint="eastAsia"/>
        </w:rPr>
        <w:t>infers the exchange rate regime from the variability of the exchange rate alone</w:t>
      </w:r>
      <w:bookmarkEnd w:id="28"/>
      <w:r>
        <w:rPr>
          <w:rFonts w:ascii="Times New Roman" w:hAnsi="Times New Roman" w:cs="Times New Roman" w:hint="eastAsia"/>
        </w:rPr>
        <w:t xml:space="preserve">. </w:t>
      </w:r>
      <w:bookmarkStart w:id="29" w:name="OLE_LINK70"/>
      <w:r>
        <w:rPr>
          <w:rFonts w:ascii="Times New Roman" w:hAnsi="Times New Roman" w:cs="Times New Roman"/>
        </w:rPr>
        <w:t>Reinhart and Rogoff (2004)</w:t>
      </w:r>
      <w:bookmarkEnd w:id="29"/>
      <w:r>
        <w:rPr>
          <w:rFonts w:ascii="Times New Roman" w:hAnsi="Times New Roman" w:cs="Times New Roman" w:hint="eastAsia"/>
        </w:rPr>
        <w:t xml:space="preserve">, for instance, categorize exchange </w:t>
      </w:r>
      <w:r>
        <w:rPr>
          <w:rFonts w:ascii="Times New Roman" w:hAnsi="Times New Roman" w:cs="Times New Roman" w:hint="eastAsia"/>
        </w:rPr>
        <w:lastRenderedPageBreak/>
        <w:t xml:space="preserve">rate regimes into four groups </w:t>
      </w:r>
      <w:r>
        <w:rPr>
          <w:rFonts w:ascii="Times New Roman" w:hAnsi="Times New Roman" w:cs="Times New Roman"/>
        </w:rPr>
        <w:t>(</w:t>
      </w:r>
      <w:r>
        <w:rPr>
          <w:rFonts w:ascii="Times New Roman" w:hAnsi="Times New Roman" w:cs="Times New Roman" w:hint="eastAsia"/>
        </w:rPr>
        <w:t>namely, peg, band, managed floating, and freely floating</w:t>
      </w:r>
      <w:proofErr w:type="gramStart"/>
      <w:r>
        <w:rPr>
          <w:rFonts w:ascii="Times New Roman" w:hAnsi="Times New Roman" w:cs="Times New Roman"/>
        </w:rPr>
        <w:t>)</w:t>
      </w:r>
      <w:r>
        <w:rPr>
          <w:rFonts w:ascii="Times New Roman" w:hAnsi="Times New Roman" w:cs="Times New Roman" w:hint="eastAsia"/>
        </w:rPr>
        <w:t xml:space="preserve"> ,</w:t>
      </w:r>
      <w:proofErr w:type="gramEnd"/>
      <w:r>
        <w:rPr>
          <w:rFonts w:ascii="Times New Roman" w:hAnsi="Times New Roman" w:cs="Times New Roman" w:hint="eastAsia"/>
        </w:rPr>
        <w:t xml:space="preserve"> according to the variation of the exchange rate within a rolling window. The authors further roughly estimate band width under the band regime by taking values from two discrete levels, namely, </w:t>
      </w:r>
      <w:bookmarkStart w:id="30" w:name="OLE_LINK68"/>
      <w:r>
        <w:rPr>
          <w:rFonts w:ascii="Times New Roman" w:hAnsi="Times New Roman" w:cs="Times New Roman" w:hint="eastAsia"/>
        </w:rPr>
        <w:t>±</w:t>
      </w:r>
      <w:r>
        <w:rPr>
          <w:rFonts w:ascii="Times New Roman" w:hAnsi="Times New Roman" w:cs="Times New Roman" w:hint="eastAsia"/>
        </w:rPr>
        <w:t>2%</w:t>
      </w:r>
      <w:bookmarkEnd w:id="30"/>
      <w:r>
        <w:rPr>
          <w:rFonts w:ascii="Times New Roman" w:hAnsi="Times New Roman" w:cs="Times New Roman" w:hint="eastAsia"/>
        </w:rPr>
        <w:t xml:space="preserve"> and </w:t>
      </w:r>
      <w:r>
        <w:rPr>
          <w:rFonts w:ascii="Times New Roman" w:hAnsi="Times New Roman" w:cs="Times New Roman" w:hint="eastAsia"/>
        </w:rPr>
        <w:t>±</w:t>
      </w:r>
      <w:r>
        <w:rPr>
          <w:rFonts w:ascii="Times New Roman" w:hAnsi="Times New Roman" w:cs="Times New Roman" w:hint="eastAsia"/>
        </w:rPr>
        <w:t xml:space="preserve">5%. These estimations </w:t>
      </w:r>
      <w:bookmarkStart w:id="31" w:name="OLE_LINK101"/>
      <w:bookmarkStart w:id="32" w:name="OLE_LINK100"/>
      <w:r>
        <w:rPr>
          <w:rFonts w:ascii="Times New Roman" w:hAnsi="Times New Roman" w:cs="Times New Roman" w:hint="eastAsia"/>
        </w:rPr>
        <w:t xml:space="preserve">give a </w:t>
      </w:r>
      <w:r>
        <w:rPr>
          <w:rFonts w:ascii="Times New Roman" w:hAnsi="Times New Roman" w:cs="Times New Roman"/>
        </w:rPr>
        <w:t>hint</w:t>
      </w:r>
      <w:r>
        <w:rPr>
          <w:rFonts w:ascii="Times New Roman" w:hAnsi="Times New Roman" w:cs="Times New Roman" w:hint="eastAsia"/>
        </w:rPr>
        <w:t xml:space="preserve"> of exchange rate dynamics and rules concerning the interventions by monetary authorities</w:t>
      </w:r>
      <w:bookmarkEnd w:id="31"/>
      <w:r>
        <w:rPr>
          <w:rFonts w:ascii="Times New Roman" w:hAnsi="Times New Roman" w:cs="Times New Roman" w:hint="eastAsia"/>
        </w:rPr>
        <w:t xml:space="preserve"> under band regimes</w:t>
      </w:r>
      <w:bookmarkEnd w:id="32"/>
      <w:r>
        <w:rPr>
          <w:rFonts w:ascii="Times New Roman" w:hAnsi="Times New Roman" w:cs="Times New Roman" w:hint="eastAsia"/>
        </w:rPr>
        <w:t xml:space="preserve">. Nevertheless, as Frankel and Xie (2010) point out, </w:t>
      </w:r>
      <w:bookmarkStart w:id="33" w:name="OLE_LINK99"/>
      <w:bookmarkStart w:id="34" w:name="OLE_LINK98"/>
      <w:r>
        <w:rPr>
          <w:rFonts w:ascii="Times New Roman" w:hAnsi="Times New Roman" w:cs="Times New Roman" w:hint="eastAsia"/>
        </w:rPr>
        <w:t xml:space="preserve">these methods ignore that the shocks that some countries </w:t>
      </w:r>
      <w:proofErr w:type="gramStart"/>
      <w:r>
        <w:rPr>
          <w:rFonts w:ascii="Times New Roman" w:hAnsi="Times New Roman" w:cs="Times New Roman" w:hint="eastAsia"/>
        </w:rPr>
        <w:t>face</w:t>
      </w:r>
      <w:proofErr w:type="gramEnd"/>
      <w:r>
        <w:rPr>
          <w:rFonts w:ascii="Times New Roman" w:hAnsi="Times New Roman" w:cs="Times New Roman" w:hint="eastAsia"/>
        </w:rPr>
        <w:t xml:space="preserve"> are greater than those faced by other countries</w:t>
      </w:r>
      <w:bookmarkEnd w:id="33"/>
      <w:r>
        <w:rPr>
          <w:rFonts w:ascii="Times New Roman" w:hAnsi="Times New Roman" w:cs="Times New Roman" w:hint="eastAsia"/>
        </w:rPr>
        <w:t>.</w:t>
      </w:r>
      <w:bookmarkStart w:id="35" w:name="OLE_LINK102"/>
      <w:bookmarkEnd w:id="34"/>
      <w:r>
        <w:rPr>
          <w:rFonts w:ascii="Times New Roman" w:hAnsi="Times New Roman" w:cs="Times New Roman" w:hint="eastAsia"/>
        </w:rPr>
        <w:t xml:space="preserve"> Faced with large external shocks, </w:t>
      </w:r>
      <w:bookmarkStart w:id="36" w:name="OLE_LINK103"/>
      <w:r>
        <w:rPr>
          <w:rFonts w:ascii="Times New Roman" w:hAnsi="Times New Roman" w:cs="Times New Roman" w:hint="eastAsia"/>
        </w:rPr>
        <w:t>the exchange rate may vary greatly even if</w:t>
      </w:r>
      <w:bookmarkEnd w:id="36"/>
      <w:r>
        <w:rPr>
          <w:rFonts w:ascii="Times New Roman" w:hAnsi="Times New Roman" w:cs="Times New Roman" w:hint="eastAsia"/>
        </w:rPr>
        <w:t xml:space="preserve"> </w:t>
      </w:r>
      <w:bookmarkStart w:id="37" w:name="OLE_LINK104"/>
      <w:r>
        <w:rPr>
          <w:rFonts w:ascii="Times New Roman" w:hAnsi="Times New Roman" w:cs="Times New Roman" w:hint="eastAsia"/>
        </w:rPr>
        <w:t xml:space="preserve">the monetary authority has intervened </w:t>
      </w:r>
      <w:r>
        <w:rPr>
          <w:rFonts w:ascii="Times New Roman" w:hAnsi="Times New Roman" w:cs="Times New Roman"/>
        </w:rPr>
        <w:t>substantially</w:t>
      </w:r>
      <w:bookmarkEnd w:id="37"/>
      <w:r>
        <w:rPr>
          <w:rFonts w:ascii="Times New Roman" w:hAnsi="Times New Roman" w:cs="Times New Roman" w:hint="eastAsia"/>
        </w:rPr>
        <w:t>.</w:t>
      </w:r>
      <w:bookmarkEnd w:id="35"/>
    </w:p>
    <w:p w14:paraId="648F80E7" w14:textId="0095669F" w:rsidR="0074478A" w:rsidRDefault="00690393">
      <w:pPr>
        <w:spacing w:afterLines="100" w:after="312"/>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 xml:space="preserve"> second group of</w:t>
      </w:r>
      <w:r>
        <w:rPr>
          <w:rFonts w:ascii="Times New Roman" w:hAnsi="Times New Roman" w:cs="Times New Roman"/>
        </w:rPr>
        <w:t xml:space="preserve"> statistical</w:t>
      </w:r>
      <w:r>
        <w:rPr>
          <w:rFonts w:ascii="Times New Roman" w:hAnsi="Times New Roman" w:cs="Times New Roman" w:hint="eastAsia"/>
        </w:rPr>
        <w:t xml:space="preserve"> </w:t>
      </w:r>
      <w:r>
        <w:rPr>
          <w:rFonts w:ascii="Times New Roman" w:hAnsi="Times New Roman" w:cs="Times New Roman"/>
        </w:rPr>
        <w:t>studies</w:t>
      </w:r>
      <w:r>
        <w:rPr>
          <w:rFonts w:ascii="Times New Roman" w:hAnsi="Times New Roman" w:cs="Times New Roman" w:hint="eastAsia"/>
        </w:rPr>
        <w:t xml:space="preserve">, such as </w:t>
      </w:r>
      <w:r>
        <w:rPr>
          <w:rFonts w:ascii="Times New Roman" w:hAnsi="Times New Roman" w:cs="Times New Roman"/>
        </w:rPr>
        <w:t>Levy-</w:t>
      </w:r>
      <w:proofErr w:type="spellStart"/>
      <w:r>
        <w:rPr>
          <w:rFonts w:ascii="Times New Roman" w:hAnsi="Times New Roman" w:cs="Times New Roman"/>
        </w:rPr>
        <w:t>Yeyati</w:t>
      </w:r>
      <w:proofErr w:type="spellEnd"/>
      <w:r>
        <w:rPr>
          <w:rFonts w:ascii="Times New Roman" w:hAnsi="Times New Roman" w:cs="Times New Roman"/>
        </w:rPr>
        <w:t xml:space="preserve"> and Sturzenegger (2003)</w:t>
      </w:r>
      <w:r>
        <w:rPr>
          <w:rFonts w:ascii="Times New Roman" w:hAnsi="Times New Roman" w:cs="Times New Roman" w:hint="eastAsia"/>
        </w:rPr>
        <w:t xml:space="preserve"> and Frankel and Wei (2008), </w:t>
      </w:r>
      <w:bookmarkStart w:id="38" w:name="OLE_LINK92"/>
      <w:r>
        <w:rPr>
          <w:rFonts w:ascii="Times New Roman" w:hAnsi="Times New Roman" w:cs="Times New Roman" w:hint="eastAsia"/>
        </w:rPr>
        <w:t xml:space="preserve">addresses the problem by comparing the changes in the exchange rate with the </w:t>
      </w:r>
      <w:bookmarkStart w:id="39" w:name="OLE_LINK69"/>
      <w:r>
        <w:rPr>
          <w:rFonts w:ascii="Times New Roman" w:hAnsi="Times New Roman" w:cs="Times New Roman"/>
        </w:rPr>
        <w:t xml:space="preserve">total </w:t>
      </w:r>
      <w:r>
        <w:rPr>
          <w:rFonts w:ascii="Times New Roman" w:hAnsi="Times New Roman" w:cs="Times New Roman" w:hint="eastAsia"/>
        </w:rPr>
        <w:t>exchange market pressure</w:t>
      </w:r>
      <w:bookmarkEnd w:id="39"/>
      <w:r>
        <w:rPr>
          <w:rFonts w:ascii="Times New Roman" w:hAnsi="Times New Roman" w:cs="Times New Roman" w:hint="eastAsia"/>
        </w:rPr>
        <w:t xml:space="preserve"> the country suffers</w:t>
      </w:r>
      <w:bookmarkEnd w:id="38"/>
      <w:r>
        <w:rPr>
          <w:rFonts w:ascii="Times New Roman" w:hAnsi="Times New Roman" w:cs="Times New Roman" w:hint="eastAsia"/>
        </w:rPr>
        <w:t xml:space="preserve">; this pressure is measured by the variation in </w:t>
      </w:r>
      <w:r>
        <w:rPr>
          <w:rFonts w:ascii="Times New Roman" w:hAnsi="Times New Roman" w:cs="Times New Roman"/>
        </w:rPr>
        <w:t xml:space="preserve">changes in </w:t>
      </w:r>
      <w:r>
        <w:rPr>
          <w:rFonts w:ascii="Times New Roman" w:hAnsi="Times New Roman" w:cs="Times New Roman" w:hint="eastAsia"/>
        </w:rPr>
        <w:t xml:space="preserve">foreign reserves </w:t>
      </w:r>
      <w:r w:rsidR="00722599">
        <w:rPr>
          <w:rFonts w:ascii="Times New Roman" w:hAnsi="Times New Roman" w:cs="Times New Roman"/>
        </w:rPr>
        <w:t>combined with</w:t>
      </w:r>
      <w:r>
        <w:rPr>
          <w:rFonts w:ascii="Times New Roman" w:hAnsi="Times New Roman" w:cs="Times New Roman" w:hint="eastAsia"/>
        </w:rPr>
        <w:t xml:space="preserve"> changes in value of the local currency. These studies </w:t>
      </w:r>
      <w:bookmarkStart w:id="40" w:name="OLE_LINK97"/>
      <w:r>
        <w:rPr>
          <w:rFonts w:ascii="Times New Roman" w:hAnsi="Times New Roman" w:cs="Times New Roman" w:hint="eastAsia"/>
        </w:rPr>
        <w:t>propose overall estimates of exchange rate flexibility</w:t>
      </w:r>
      <w:r>
        <w:rPr>
          <w:rFonts w:ascii="Times New Roman" w:hAnsi="Times New Roman" w:cs="Times New Roman"/>
        </w:rPr>
        <w:t>.</w:t>
      </w:r>
      <w:r>
        <w:rPr>
          <w:rFonts w:ascii="Times New Roman" w:hAnsi="Times New Roman" w:cs="Times New Roman" w:hint="eastAsia"/>
        </w:rPr>
        <w:t xml:space="preserve">  However, their procedure does not provide information on how the exchange rate is managed or how interventions are performed by the monetary authority</w:t>
      </w:r>
      <w:bookmarkEnd w:id="40"/>
      <w:r>
        <w:rPr>
          <w:rFonts w:ascii="Times New Roman" w:hAnsi="Times New Roman" w:cs="Times New Roman" w:hint="eastAsia"/>
        </w:rPr>
        <w:t>.</w:t>
      </w:r>
    </w:p>
    <w:p w14:paraId="705103F8" w14:textId="01673DA5" w:rsidR="0074478A" w:rsidRDefault="00690393">
      <w:pPr>
        <w:spacing w:afterLines="100" w:after="312"/>
        <w:rPr>
          <w:rFonts w:ascii="Times New Roman" w:hAnsi="Times New Roman" w:cs="Times New Roman"/>
        </w:rPr>
      </w:pPr>
      <w:bookmarkStart w:id="41" w:name="OLE_LINK106"/>
      <w:bookmarkStart w:id="42" w:name="OLE_LINK105"/>
      <w:r>
        <w:rPr>
          <w:rFonts w:ascii="Times New Roman" w:hAnsi="Times New Roman" w:cs="Times New Roman" w:hint="eastAsia"/>
        </w:rPr>
        <w:t xml:space="preserve">In this paper, we extend the existing literature by precisely </w:t>
      </w:r>
      <w:r>
        <w:rPr>
          <w:rFonts w:ascii="Times New Roman" w:hAnsi="Times New Roman" w:cs="Times New Roman"/>
        </w:rPr>
        <w:t>characterizing</w:t>
      </w:r>
      <w:r>
        <w:rPr>
          <w:rFonts w:ascii="Times New Roman" w:hAnsi="Times New Roman" w:cs="Times New Roman" w:hint="eastAsia"/>
        </w:rPr>
        <w:t xml:space="preserve"> the pattern</w:t>
      </w:r>
      <w:r>
        <w:rPr>
          <w:rFonts w:ascii="Times New Roman" w:hAnsi="Times New Roman" w:cs="Times New Roman"/>
        </w:rPr>
        <w:t>s</w:t>
      </w:r>
      <w:r>
        <w:rPr>
          <w:rFonts w:ascii="Times New Roman" w:hAnsi="Times New Roman" w:cs="Times New Roman" w:hint="eastAsia"/>
        </w:rPr>
        <w:t xml:space="preserve"> of exchange rate changes under different regimes. </w:t>
      </w:r>
      <w:bookmarkStart w:id="43" w:name="OLE_LINK107"/>
      <w:bookmarkEnd w:id="41"/>
      <w:r>
        <w:rPr>
          <w:rFonts w:ascii="Times New Roman" w:hAnsi="Times New Roman" w:cs="Times New Roman"/>
        </w:rPr>
        <w:t>We</w:t>
      </w:r>
      <w:r w:rsidR="0084083A">
        <w:rPr>
          <w:rFonts w:ascii="Times New Roman" w:hAnsi="Times New Roman" w:cs="Times New Roman"/>
        </w:rPr>
        <w:t xml:space="preserve"> </w:t>
      </w:r>
      <w:r w:rsidR="00CA4EE3">
        <w:rPr>
          <w:rFonts w:ascii="Times New Roman" w:hAnsi="Times New Roman" w:cs="Times New Roman"/>
        </w:rPr>
        <w:t>consider</w:t>
      </w:r>
      <w:r>
        <w:rPr>
          <w:rFonts w:ascii="Times New Roman" w:hAnsi="Times New Roman" w:cs="Times New Roman" w:hint="eastAsia"/>
        </w:rPr>
        <w:t xml:space="preserve"> four </w:t>
      </w:r>
      <w:r w:rsidR="00CA4EE3">
        <w:rPr>
          <w:rFonts w:ascii="Times New Roman" w:hAnsi="Times New Roman" w:cs="Times New Roman"/>
        </w:rPr>
        <w:t xml:space="preserve">broad </w:t>
      </w:r>
      <w:r>
        <w:rPr>
          <w:rFonts w:ascii="Times New Roman" w:hAnsi="Times New Roman" w:cs="Times New Roman" w:hint="eastAsia"/>
        </w:rPr>
        <w:t xml:space="preserve">groups of exchange rate regimes: fixed </w:t>
      </w:r>
      <w:r w:rsidR="00CA4EE3">
        <w:rPr>
          <w:rFonts w:ascii="Times New Roman" w:hAnsi="Times New Roman" w:cs="Times New Roman"/>
        </w:rPr>
        <w:t xml:space="preserve">rate </w:t>
      </w:r>
      <w:r>
        <w:rPr>
          <w:rFonts w:ascii="Times New Roman" w:hAnsi="Times New Roman" w:cs="Times New Roman" w:hint="eastAsia"/>
        </w:rPr>
        <w:t xml:space="preserve">regimes; </w:t>
      </w:r>
      <w:r>
        <w:rPr>
          <w:rFonts w:ascii="Times New Roman" w:hAnsi="Times New Roman" w:cs="Times New Roman"/>
        </w:rPr>
        <w:t>band, basket and crawl</w:t>
      </w:r>
      <w:r>
        <w:rPr>
          <w:rStyle w:val="FootnoteReference"/>
          <w:rFonts w:ascii="Times New Roman" w:hAnsi="Times New Roman" w:cs="Times New Roman"/>
        </w:rPr>
        <w:footnoteReference w:id="4"/>
      </w:r>
      <w:r>
        <w:rPr>
          <w:rFonts w:ascii="Times New Roman" w:hAnsi="Times New Roman" w:cs="Times New Roman" w:hint="eastAsia"/>
        </w:rPr>
        <w:t xml:space="preserve"> regimes; managed floating regimes; and freely floating. </w:t>
      </w:r>
      <w:r>
        <w:rPr>
          <w:rFonts w:ascii="Times New Roman" w:hAnsi="Times New Roman" w:cs="Times New Roman"/>
        </w:rPr>
        <w:t>Moreover</w:t>
      </w:r>
      <w:r>
        <w:rPr>
          <w:rFonts w:ascii="Times New Roman" w:hAnsi="Times New Roman" w:cs="Times New Roman" w:hint="eastAsia"/>
        </w:rPr>
        <w:t>, we propose clear</w:t>
      </w:r>
      <w:r w:rsidR="00EA1A84">
        <w:rPr>
          <w:rFonts w:ascii="Times New Roman" w:hAnsi="Times New Roman" w:cs="Times New Roman"/>
        </w:rPr>
        <w:t>er</w:t>
      </w:r>
      <w:r>
        <w:rPr>
          <w:rFonts w:ascii="Times New Roman" w:hAnsi="Times New Roman" w:cs="Times New Roman" w:hint="eastAsia"/>
        </w:rPr>
        <w:t xml:space="preserve"> definitions of these regimes from the perspective of econometrics to make it easier to distinguish the</w:t>
      </w:r>
      <w:r w:rsidR="00EA1A84">
        <w:rPr>
          <w:rFonts w:ascii="Times New Roman" w:hAnsi="Times New Roman" w:cs="Times New Roman"/>
        </w:rPr>
        <w:t>m</w:t>
      </w:r>
      <w:r>
        <w:rPr>
          <w:rFonts w:ascii="Times New Roman" w:hAnsi="Times New Roman" w:cs="Times New Roman" w:hint="eastAsia"/>
        </w:rPr>
        <w:t xml:space="preserve"> from each other. Our explicit definitions enable us to estimate subtle patterns of exchange rate dynamics and the monetary authority</w:t>
      </w:r>
      <w:r>
        <w:rPr>
          <w:rFonts w:ascii="Times New Roman" w:hAnsi="Times New Roman" w:cs="Times New Roman"/>
        </w:rPr>
        <w:t>’</w:t>
      </w:r>
      <w:r>
        <w:rPr>
          <w:rFonts w:ascii="Times New Roman" w:hAnsi="Times New Roman" w:cs="Times New Roman" w:hint="eastAsia"/>
        </w:rPr>
        <w:t>s interventions under different regimes</w:t>
      </w:r>
      <w:r w:rsidR="00B53916">
        <w:rPr>
          <w:rFonts w:ascii="Times New Roman" w:hAnsi="Times New Roman" w:cs="Times New Roman"/>
        </w:rPr>
        <w:t>, going beyond</w:t>
      </w:r>
      <w:r>
        <w:rPr>
          <w:rFonts w:ascii="Times New Roman" w:hAnsi="Times New Roman" w:cs="Times New Roman" w:hint="eastAsia"/>
        </w:rPr>
        <w:t xml:space="preserve"> existing studies. </w:t>
      </w:r>
      <w:proofErr w:type="gramStart"/>
      <w:r>
        <w:rPr>
          <w:rFonts w:ascii="Times New Roman" w:hAnsi="Times New Roman" w:cs="Times New Roman"/>
        </w:rPr>
        <w:t>In particular</w:t>
      </w:r>
      <w:r>
        <w:rPr>
          <w:rFonts w:ascii="Times New Roman" w:hAnsi="Times New Roman" w:cs="Times New Roman" w:hint="eastAsia"/>
        </w:rPr>
        <w:t>, we</w:t>
      </w:r>
      <w:proofErr w:type="gramEnd"/>
      <w:r>
        <w:rPr>
          <w:rFonts w:ascii="Times New Roman" w:hAnsi="Times New Roman" w:cs="Times New Roman" w:hint="eastAsia"/>
        </w:rPr>
        <w:t xml:space="preserve"> develop a two-step econometric framework </w:t>
      </w:r>
      <w:proofErr w:type="gramStart"/>
      <w:r>
        <w:rPr>
          <w:rFonts w:ascii="Times New Roman" w:hAnsi="Times New Roman" w:cs="Times New Roman" w:hint="eastAsia"/>
        </w:rPr>
        <w:t>base</w:t>
      </w:r>
      <w:proofErr w:type="gramEnd"/>
      <w:r>
        <w:rPr>
          <w:rFonts w:ascii="Times New Roman" w:hAnsi="Times New Roman" w:cs="Times New Roman" w:hint="eastAsia"/>
        </w:rPr>
        <w:t xml:space="preserve"> on our definitions of exchange rate regimes, to </w:t>
      </w:r>
      <w:r>
        <w:rPr>
          <w:rFonts w:ascii="Times New Roman" w:hAnsi="Times New Roman" w:cs="Times New Roman"/>
        </w:rPr>
        <w:t>allow</w:t>
      </w:r>
      <w:r>
        <w:rPr>
          <w:rFonts w:ascii="Times New Roman" w:hAnsi="Times New Roman" w:cs="Times New Roman" w:hint="eastAsia"/>
        </w:rPr>
        <w:t xml:space="preserve"> regime classification and the estimation of </w:t>
      </w:r>
      <w:r w:rsidR="007C3589">
        <w:rPr>
          <w:rFonts w:ascii="Times New Roman" w:hAnsi="Times New Roman" w:cs="Times New Roman"/>
        </w:rPr>
        <w:t>associ</w:t>
      </w:r>
      <w:r>
        <w:rPr>
          <w:rFonts w:ascii="Times New Roman" w:hAnsi="Times New Roman" w:cs="Times New Roman" w:hint="eastAsia"/>
        </w:rPr>
        <w:t xml:space="preserve">ated parameters under various regimes. </w:t>
      </w:r>
    </w:p>
    <w:p w14:paraId="6F122A11" w14:textId="6E8D2E33"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In the first step, we infer the basket of currencies </w:t>
      </w:r>
      <w:r>
        <w:rPr>
          <w:rFonts w:ascii="Times New Roman" w:hAnsi="Times New Roman" w:cs="Times New Roman"/>
        </w:rPr>
        <w:t xml:space="preserve">with respect </w:t>
      </w:r>
      <w:r>
        <w:rPr>
          <w:rFonts w:ascii="Times New Roman" w:hAnsi="Times New Roman" w:cs="Times New Roman" w:hint="eastAsia"/>
        </w:rPr>
        <w:t xml:space="preserve">to which a country </w:t>
      </w:r>
      <w:r>
        <w:rPr>
          <w:rFonts w:ascii="Times New Roman" w:hAnsi="Times New Roman" w:cs="Times New Roman"/>
        </w:rPr>
        <w:t>stabilizes its</w:t>
      </w:r>
      <w:r>
        <w:rPr>
          <w:rFonts w:ascii="Times New Roman" w:hAnsi="Times New Roman" w:cs="Times New Roman" w:hint="eastAsia"/>
        </w:rPr>
        <w:t xml:space="preserve"> exchange rate by using the Frankel-Wei </w:t>
      </w:r>
      <w:r>
        <w:rPr>
          <w:rFonts w:ascii="Times New Roman" w:hAnsi="Times New Roman" w:cs="Times New Roman"/>
        </w:rPr>
        <w:t>method</w:t>
      </w:r>
      <w:r>
        <w:rPr>
          <w:rFonts w:ascii="Times New Roman" w:hAnsi="Times New Roman" w:cs="Times New Roman" w:hint="eastAsia"/>
        </w:rPr>
        <w:t>. In the second step, we extract the residual series from the Frankel-Wei model as a measure of the deviation of the exchange rate from its central parity and classify regimes by analyzing the characteristics of the residual series. The classification results are determined by several criteria including exchange rate volatility, the correlation between volatility and deviation from the central parity, and the unit root test. After determining regimes, we estimate the related parameters of each regime by using time series models. Different time series models are used to fit various patterns of exchange rate dynamics under distinct regimes. The width of the target band and the intensity of the monetary authority</w:t>
      </w:r>
      <w:r>
        <w:rPr>
          <w:rFonts w:ascii="Times New Roman" w:hAnsi="Times New Roman" w:cs="Times New Roman"/>
        </w:rPr>
        <w:t>’</w:t>
      </w:r>
      <w:r w:rsidR="0084083A">
        <w:rPr>
          <w:rFonts w:ascii="Times New Roman" w:hAnsi="Times New Roman" w:cs="Times New Roman"/>
        </w:rPr>
        <w:t xml:space="preserve">s </w:t>
      </w:r>
      <w:r>
        <w:rPr>
          <w:rFonts w:ascii="Times New Roman" w:hAnsi="Times New Roman" w:cs="Times New Roman" w:hint="eastAsia"/>
        </w:rPr>
        <w:t>interventions under the BBC regime can be well captured in our procedure</w:t>
      </w:r>
      <w:r w:rsidR="0084083A">
        <w:rPr>
          <w:rFonts w:ascii="Times New Roman" w:hAnsi="Times New Roman" w:cs="Times New Roman"/>
        </w:rPr>
        <w:t xml:space="preserve">. which </w:t>
      </w:r>
      <w:r>
        <w:rPr>
          <w:rFonts w:ascii="Times New Roman" w:hAnsi="Times New Roman" w:cs="Times New Roman" w:hint="eastAsia"/>
        </w:rPr>
        <w:t>adopt</w:t>
      </w:r>
      <w:r w:rsidR="0084083A">
        <w:rPr>
          <w:rFonts w:ascii="Times New Roman" w:hAnsi="Times New Roman" w:cs="Times New Roman"/>
        </w:rPr>
        <w:t>s</w:t>
      </w:r>
      <w:r>
        <w:rPr>
          <w:rFonts w:ascii="Times New Roman" w:hAnsi="Times New Roman" w:cs="Times New Roman" w:hint="eastAsia"/>
        </w:rPr>
        <w:t xml:space="preserve"> a three-regime </w:t>
      </w:r>
      <w:r>
        <w:rPr>
          <w:rFonts w:ascii="Times New Roman" w:hAnsi="Times New Roman" w:cs="Times New Roman"/>
        </w:rPr>
        <w:t xml:space="preserve">Threshold </w:t>
      </w:r>
      <w:proofErr w:type="spellStart"/>
      <w:r>
        <w:rPr>
          <w:rFonts w:ascii="Times New Roman" w:hAnsi="Times New Roman" w:cs="Times New Roman"/>
        </w:rPr>
        <w:t>AutoRegressive</w:t>
      </w:r>
      <w:proofErr w:type="spellEnd"/>
      <w:r>
        <w:rPr>
          <w:rFonts w:ascii="Times New Roman" w:hAnsi="Times New Roman" w:cs="Times New Roman" w:hint="eastAsia"/>
        </w:rPr>
        <w:t xml:space="preserve"> (TAR) model</w:t>
      </w:r>
      <w:r w:rsidR="0084083A">
        <w:rPr>
          <w:rFonts w:ascii="Times New Roman" w:hAnsi="Times New Roman" w:cs="Times New Roman"/>
        </w:rPr>
        <w:t xml:space="preserve"> and thereby allows intervention to become more intense when the exchange rate begins to go outside the band</w:t>
      </w:r>
      <w:r>
        <w:rPr>
          <w:rFonts w:ascii="Times New Roman" w:hAnsi="Times New Roman" w:cs="Times New Roman" w:hint="eastAsia"/>
        </w:rPr>
        <w:t>. These groups of parameters estimated by time series models describe</w:t>
      </w:r>
      <w:r>
        <w:rPr>
          <w:rFonts w:ascii="Times New Roman" w:hAnsi="Times New Roman" w:cs="Times New Roman"/>
        </w:rPr>
        <w:t xml:space="preserve"> comprehensibly</w:t>
      </w:r>
      <w:r>
        <w:rPr>
          <w:rFonts w:ascii="Times New Roman" w:hAnsi="Times New Roman" w:cs="Times New Roman" w:hint="eastAsia"/>
        </w:rPr>
        <w:t xml:space="preserve"> the patterns of exchange rate changes under different regimes.</w:t>
      </w:r>
    </w:p>
    <w:p w14:paraId="26E4BA73" w14:textId="3E5A802C" w:rsidR="0074478A" w:rsidRDefault="00690393">
      <w:pPr>
        <w:spacing w:afterLines="100" w:after="312"/>
        <w:rPr>
          <w:rFonts w:ascii="Times New Roman" w:hAnsi="Times New Roman" w:cs="Times New Roman"/>
        </w:rPr>
      </w:pPr>
      <w:r>
        <w:rPr>
          <w:rFonts w:ascii="Times New Roman" w:hAnsi="Times New Roman" w:cs="Times New Roman" w:hint="eastAsia"/>
        </w:rPr>
        <w:t>One potential limitation of our econometric framework is that the evolution of a country</w:t>
      </w:r>
      <w:r>
        <w:rPr>
          <w:rFonts w:ascii="Times New Roman" w:hAnsi="Times New Roman" w:cs="Times New Roman"/>
        </w:rPr>
        <w:t>’</w:t>
      </w:r>
      <w:r>
        <w:rPr>
          <w:rFonts w:ascii="Times New Roman" w:hAnsi="Times New Roman" w:cs="Times New Roman" w:hint="eastAsia"/>
        </w:rPr>
        <w:t xml:space="preserve">s exchange rate regime </w:t>
      </w:r>
      <w:r>
        <w:rPr>
          <w:rFonts w:ascii="Times New Roman" w:hAnsi="Times New Roman" w:cs="Times New Roman"/>
        </w:rPr>
        <w:t>over</w:t>
      </w:r>
      <w:r>
        <w:rPr>
          <w:rFonts w:ascii="Times New Roman" w:hAnsi="Times New Roman" w:cs="Times New Roman" w:hint="eastAsia"/>
        </w:rPr>
        <w:t xml:space="preserve"> time is not considered because the econometric models we adopt in the previous </w:t>
      </w:r>
      <w:r>
        <w:rPr>
          <w:rFonts w:ascii="Times New Roman" w:hAnsi="Times New Roman" w:cs="Times New Roman" w:hint="eastAsia"/>
        </w:rPr>
        <w:lastRenderedPageBreak/>
        <w:t xml:space="preserve">framework are time-invariant. As Frankel and Xie (2010) note, considering these regime changes is </w:t>
      </w:r>
      <w:r>
        <w:rPr>
          <w:rFonts w:ascii="Times New Roman" w:hAnsi="Times New Roman" w:cs="Times New Roman"/>
        </w:rPr>
        <w:t>important</w:t>
      </w:r>
      <w:r>
        <w:rPr>
          <w:rFonts w:ascii="Times New Roman" w:hAnsi="Times New Roman" w:cs="Times New Roman" w:hint="eastAsia"/>
        </w:rPr>
        <w:t xml:space="preserve"> because, in practice, </w:t>
      </w:r>
      <w:proofErr w:type="gramStart"/>
      <w:r>
        <w:rPr>
          <w:rFonts w:ascii="Times New Roman" w:hAnsi="Times New Roman" w:cs="Times New Roman"/>
        </w:rPr>
        <w:t>a majority of</w:t>
      </w:r>
      <w:proofErr w:type="gramEnd"/>
      <w:r>
        <w:rPr>
          <w:rFonts w:ascii="Times New Roman" w:hAnsi="Times New Roman" w:cs="Times New Roman" w:hint="eastAsia"/>
        </w:rPr>
        <w:t xml:space="preserve"> countries do not maintain a consistent regime for more than a few years and instead adjust their regimes </w:t>
      </w:r>
      <w:r>
        <w:rPr>
          <w:rFonts w:ascii="Times New Roman" w:hAnsi="Times New Roman" w:cs="Times New Roman"/>
        </w:rPr>
        <w:t>from time to time</w:t>
      </w:r>
      <w:r>
        <w:rPr>
          <w:rFonts w:ascii="Times New Roman" w:hAnsi="Times New Roman" w:cs="Times New Roman" w:hint="eastAsia"/>
        </w:rPr>
        <w:t>.</w:t>
      </w:r>
      <w:r>
        <w:rPr>
          <w:rFonts w:ascii="Times New Roman" w:hAnsi="Times New Roman" w:cs="Times New Roman"/>
        </w:rPr>
        <w:t xml:space="preserve"> (This includes adjustment in parameters of a given arrangement, such as the width of a band, basket weights, trend, and level.)</w:t>
      </w:r>
      <w:r>
        <w:rPr>
          <w:rFonts w:ascii="Times New Roman" w:hAnsi="Times New Roman" w:cs="Times New Roman" w:hint="eastAsia"/>
        </w:rPr>
        <w:t xml:space="preserve"> To deal with the drawback, a time-varying statistical inference is needed. The motivation is </w:t>
      </w: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w:t>
      </w:r>
      <w:r w:rsidR="001921DF">
        <w:rPr>
          <w:rFonts w:ascii="Times New Roman" w:hAnsi="Times New Roman" w:cs="Times New Roman"/>
        </w:rPr>
        <w:t xml:space="preserve">the </w:t>
      </w:r>
      <w:r>
        <w:rPr>
          <w:rFonts w:ascii="Times New Roman" w:hAnsi="Times New Roman" w:cs="Times New Roman" w:hint="eastAsia"/>
        </w:rPr>
        <w:t>motivation for extending Frankel and Wei (2008)</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Frankel and Xie</w:t>
      </w:r>
      <w:r>
        <w:rPr>
          <w:rFonts w:ascii="Times New Roman" w:hAnsi="Times New Roman" w:cs="Times New Roman" w:hint="eastAsia"/>
        </w:rPr>
        <w:t xml:space="preserve"> </w:t>
      </w:r>
      <w:r w:rsidR="00922D90">
        <w:rPr>
          <w:rFonts w:ascii="Times New Roman" w:hAnsi="Times New Roman" w:cs="Times New Roman"/>
        </w:rPr>
        <w:t xml:space="preserve">(2010) </w:t>
      </w:r>
      <w:r>
        <w:rPr>
          <w:rFonts w:ascii="Times New Roman" w:hAnsi="Times New Roman" w:cs="Times New Roman" w:hint="eastAsia"/>
        </w:rPr>
        <w:t xml:space="preserve">adopted the Bai-Perron break point test to augment </w:t>
      </w:r>
      <w:r w:rsidR="00922D90">
        <w:rPr>
          <w:rFonts w:ascii="Times New Roman" w:hAnsi="Times New Roman" w:cs="Times New Roman"/>
        </w:rPr>
        <w:t xml:space="preserve">the </w:t>
      </w:r>
      <w:r>
        <w:rPr>
          <w:rFonts w:ascii="Times New Roman" w:hAnsi="Times New Roman" w:cs="Times New Roman" w:hint="eastAsia"/>
        </w:rPr>
        <w:t>Frankel-Wei method of regime classification</w:t>
      </w:r>
      <w:r>
        <w:rPr>
          <w:rFonts w:ascii="Times New Roman" w:hAnsi="Times New Roman" w:cs="Times New Roman"/>
        </w:rPr>
        <w:t>,</w:t>
      </w:r>
      <w:r>
        <w:rPr>
          <w:rFonts w:ascii="Times New Roman" w:hAnsi="Times New Roman" w:cs="Times New Roman" w:hint="eastAsia"/>
        </w:rPr>
        <w:t xml:space="preserve"> by allowing changes in exchange rate regimes over time. </w:t>
      </w:r>
    </w:p>
    <w:p w14:paraId="2FD19363" w14:textId="2E39745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However, </w:t>
      </w:r>
      <w:r>
        <w:rPr>
          <w:rFonts w:ascii="Times New Roman" w:hAnsi="Times New Roman" w:cs="Times New Roman"/>
        </w:rPr>
        <w:t>this paper</w:t>
      </w:r>
      <w:r>
        <w:rPr>
          <w:rFonts w:ascii="Times New Roman" w:hAnsi="Times New Roman" w:cs="Times New Roman" w:hint="eastAsia"/>
        </w:rPr>
        <w:t xml:space="preserve"> does not simply imitate </w:t>
      </w:r>
      <w:r>
        <w:rPr>
          <w:rFonts w:ascii="Times New Roman" w:hAnsi="Times New Roman" w:cs="Times New Roman"/>
        </w:rPr>
        <w:t xml:space="preserve">the extension in </w:t>
      </w:r>
      <w:r>
        <w:rPr>
          <w:rFonts w:ascii="Times New Roman" w:hAnsi="Times New Roman" w:cs="Times New Roman" w:hint="eastAsia"/>
        </w:rPr>
        <w:t xml:space="preserve">Frankel and Xie. </w:t>
      </w:r>
      <w:bookmarkStart w:id="44" w:name="OLE_LINK73"/>
      <w:r>
        <w:rPr>
          <w:rFonts w:ascii="Times New Roman" w:hAnsi="Times New Roman" w:cs="Times New Roman" w:hint="eastAsia"/>
        </w:rPr>
        <w:t>The Bai-Perron</w:t>
      </w:r>
      <w:bookmarkEnd w:id="44"/>
      <w:r>
        <w:rPr>
          <w:rFonts w:ascii="Times New Roman" w:hAnsi="Times New Roman" w:cs="Times New Roman" w:hint="eastAsia"/>
        </w:rPr>
        <w:t xml:space="preserve"> test cannot be applied to our procedure because nonlinear time series models are used </w:t>
      </w:r>
      <w:r w:rsidR="009C77DC">
        <w:rPr>
          <w:rFonts w:ascii="Times New Roman" w:hAnsi="Times New Roman" w:cs="Times New Roman"/>
        </w:rPr>
        <w:t>here</w:t>
      </w:r>
      <w:r>
        <w:rPr>
          <w:rFonts w:ascii="Times New Roman" w:hAnsi="Times New Roman" w:cs="Times New Roman" w:hint="eastAsia"/>
        </w:rPr>
        <w:t xml:space="preserve"> to capture nonlinear dynamics of the exchange rate</w:t>
      </w:r>
      <w:r>
        <w:rPr>
          <w:rFonts w:ascii="Times New Roman" w:hAnsi="Times New Roman" w:cs="Times New Roman"/>
        </w:rPr>
        <w:t>,</w:t>
      </w:r>
      <w:r>
        <w:rPr>
          <w:rFonts w:ascii="Times New Roman" w:hAnsi="Times New Roman" w:cs="Times New Roman" w:hint="eastAsia"/>
        </w:rPr>
        <w:t xml:space="preserve"> while the application of the Bai-Perron test is restricted to linear models. The non</w:t>
      </w:r>
      <w:r>
        <w:rPr>
          <w:rFonts w:ascii="Times New Roman" w:hAnsi="Times New Roman" w:cs="Times New Roman"/>
        </w:rPr>
        <w:t>-</w:t>
      </w:r>
      <w:r>
        <w:rPr>
          <w:rFonts w:ascii="Times New Roman" w:hAnsi="Times New Roman" w:cs="Times New Roman" w:hint="eastAsia"/>
        </w:rPr>
        <w:t>smoothness and nonlinearity of models such as TAR models make it technically highly challenging to derive the asymptotic distribution of estimators of structural breaks (Gao and Ling, 2019). Conf</w:t>
      </w:r>
      <w:r w:rsidR="006B0B56">
        <w:rPr>
          <w:rFonts w:ascii="Times New Roman" w:hAnsi="Times New Roman" w:cs="Times New Roman"/>
        </w:rPr>
        <w:t>ront</w:t>
      </w:r>
      <w:r>
        <w:rPr>
          <w:rFonts w:ascii="Times New Roman" w:hAnsi="Times New Roman" w:cs="Times New Roman" w:hint="eastAsia"/>
        </w:rPr>
        <w:t>ed by these challenges, an econometric procedure of inferring structural breaks in nonlinear models by using traditional statistical estimation methods has not been sufficiently developed</w:t>
      </w:r>
      <w:r>
        <w:rPr>
          <w:rFonts w:ascii="Times New Roman" w:hAnsi="Times New Roman" w:cs="Times New Roman"/>
        </w:rPr>
        <w:t>,</w:t>
      </w:r>
      <w:r>
        <w:rPr>
          <w:rFonts w:ascii="Times New Roman" w:hAnsi="Times New Roman" w:cs="Times New Roman" w:hint="eastAsia"/>
        </w:rPr>
        <w:t xml:space="preserve"> though there have been some attempts.</w:t>
      </w:r>
      <w:r>
        <w:rPr>
          <w:rStyle w:val="FootnoteReference"/>
          <w:rFonts w:ascii="Times New Roman" w:hAnsi="Times New Roman" w:cs="Times New Roman" w:hint="eastAsia"/>
        </w:rPr>
        <w:footnoteReference w:id="5"/>
      </w:r>
      <w:r>
        <w:rPr>
          <w:rFonts w:ascii="Times New Roman" w:hAnsi="Times New Roman" w:cs="Times New Roman" w:hint="eastAsia"/>
        </w:rPr>
        <w:t xml:space="preserve"> </w:t>
      </w:r>
    </w:p>
    <w:p w14:paraId="16100CFE"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To address this challenge, we utilize the estimation method developed by </w:t>
      </w:r>
      <w:bookmarkStart w:id="45" w:name="OLE_LINK75"/>
      <w:r>
        <w:rPr>
          <w:rFonts w:ascii="Times New Roman" w:hAnsi="Times New Roman" w:cs="Times New Roman" w:hint="eastAsia"/>
        </w:rPr>
        <w:t>Yau et al. (2015)</w:t>
      </w:r>
      <w:bookmarkEnd w:id="45"/>
      <w:r>
        <w:rPr>
          <w:rFonts w:ascii="Times New Roman" w:hAnsi="Times New Roman" w:cs="Times New Roman" w:hint="eastAsia"/>
        </w:rPr>
        <w:t xml:space="preserve">. This method </w:t>
      </w:r>
      <w:r>
        <w:rPr>
          <w:rFonts w:ascii="Times New Roman" w:hAnsi="Times New Roman" w:cs="Times New Roman"/>
        </w:rPr>
        <w:t>uses</w:t>
      </w:r>
      <w:r>
        <w:rPr>
          <w:rFonts w:ascii="Times New Roman" w:hAnsi="Times New Roman" w:cs="Times New Roman" w:hint="eastAsia"/>
        </w:rPr>
        <w:t xml:space="preserve"> </w:t>
      </w:r>
      <w:r>
        <w:rPr>
          <w:rFonts w:ascii="Times New Roman" w:hAnsi="Times New Roman" w:cs="Times New Roman"/>
        </w:rPr>
        <w:t xml:space="preserve">the </w:t>
      </w:r>
      <w:bookmarkStart w:id="46" w:name="OLE_LINK77"/>
      <w:r>
        <w:rPr>
          <w:rFonts w:ascii="Times New Roman" w:hAnsi="Times New Roman" w:cs="Times New Roman"/>
        </w:rPr>
        <w:t>minimum description length (MDL) principle</w:t>
      </w:r>
      <w:bookmarkEnd w:id="46"/>
      <w:r>
        <w:rPr>
          <w:rFonts w:ascii="Times New Roman" w:hAnsi="Times New Roman" w:cs="Times New Roman"/>
        </w:rPr>
        <w:t>,</w:t>
      </w:r>
      <w:r>
        <w:rPr>
          <w:rFonts w:ascii="Times New Roman" w:hAnsi="Times New Roman" w:cs="Times New Roman" w:hint="eastAsia"/>
        </w:rPr>
        <w:t xml:space="preserve"> instead of the ordinary least squares (OLS) method or maximum likelihood estimation (MLE), which are more familiar. The MDL principle was first proposed by </w:t>
      </w:r>
      <w:r>
        <w:rPr>
          <w:rFonts w:ascii="Times New Roman" w:hAnsi="Times New Roman" w:cs="Times New Roman"/>
        </w:rPr>
        <w:t>Rissanen (1989)</w:t>
      </w:r>
      <w:r>
        <w:rPr>
          <w:rFonts w:ascii="Times New Roman" w:hAnsi="Times New Roman" w:cs="Times New Roman" w:hint="eastAsia"/>
        </w:rPr>
        <w:t xml:space="preserve">, a computer scientist, to solve model selection problems in computer science and has recently been widely accepted by statisticians to serve as an important method of model selection in statistical problems. As Yau et al. (2015) prove, the consistency of the estimators of parameters in the TAR model with structural breaks estimated by MDL principle is ensured. The MDL principle enables us to </w:t>
      </w:r>
      <w:r>
        <w:rPr>
          <w:rFonts w:ascii="Times New Roman" w:hAnsi="Times New Roman" w:cs="Times New Roman"/>
        </w:rPr>
        <w:t xml:space="preserve">describe </w:t>
      </w:r>
      <w:r>
        <w:rPr>
          <w:rFonts w:ascii="Times New Roman" w:hAnsi="Times New Roman" w:cs="Times New Roman" w:hint="eastAsia"/>
        </w:rPr>
        <w:t xml:space="preserve">precisely how the nonlinear dynamics of the exchange rate </w:t>
      </w:r>
      <w:r>
        <w:rPr>
          <w:rFonts w:ascii="Times New Roman" w:hAnsi="Times New Roman" w:cs="Times New Roman"/>
        </w:rPr>
        <w:t>are</w:t>
      </w:r>
      <w:r>
        <w:rPr>
          <w:rFonts w:ascii="Times New Roman" w:hAnsi="Times New Roman" w:cs="Times New Roman" w:hint="eastAsia"/>
        </w:rPr>
        <w:t xml:space="preserve"> determined when structural changes in exchange rate regimes are considered.</w:t>
      </w:r>
    </w:p>
    <w:p w14:paraId="00CF1F74" w14:textId="6D310379" w:rsidR="0074478A" w:rsidRDefault="00690393">
      <w:pPr>
        <w:spacing w:afterLines="100" w:after="312"/>
        <w:rPr>
          <w:rFonts w:ascii="Times New Roman" w:hAnsi="Times New Roman" w:cs="Times New Roman"/>
        </w:rPr>
      </w:pPr>
      <w:r>
        <w:rPr>
          <w:rFonts w:ascii="Times New Roman" w:hAnsi="Times New Roman" w:cs="Times New Roman" w:hint="eastAsia"/>
        </w:rPr>
        <w:t>We apply th</w:t>
      </w:r>
      <w:r>
        <w:rPr>
          <w:rFonts w:ascii="Times New Roman" w:hAnsi="Times New Roman" w:cs="Times New Roman"/>
        </w:rPr>
        <w:t>is new</w:t>
      </w:r>
      <w:r>
        <w:rPr>
          <w:rFonts w:ascii="Times New Roman" w:hAnsi="Times New Roman" w:cs="Times New Roman" w:hint="eastAsia"/>
        </w:rPr>
        <w:t xml:space="preserve"> econometric framework to </w:t>
      </w:r>
      <w:r>
        <w:rPr>
          <w:rFonts w:ascii="Times New Roman" w:hAnsi="Times New Roman" w:cs="Times New Roman"/>
        </w:rPr>
        <w:t xml:space="preserve">investigate </w:t>
      </w:r>
      <w:r>
        <w:rPr>
          <w:rFonts w:ascii="Times New Roman" w:hAnsi="Times New Roman" w:cs="Times New Roman" w:hint="eastAsia"/>
        </w:rPr>
        <w:t xml:space="preserve">empirically whether it is suitable </w:t>
      </w:r>
      <w:r>
        <w:rPr>
          <w:rFonts w:ascii="Times New Roman" w:hAnsi="Times New Roman" w:cs="Times New Roman"/>
        </w:rPr>
        <w:t>for</w:t>
      </w:r>
      <w:r>
        <w:rPr>
          <w:rFonts w:ascii="Times New Roman" w:hAnsi="Times New Roman" w:cs="Times New Roman" w:hint="eastAsia"/>
        </w:rPr>
        <w:t xml:space="preserve"> describ</w:t>
      </w:r>
      <w:r>
        <w:rPr>
          <w:rFonts w:ascii="Times New Roman" w:hAnsi="Times New Roman" w:cs="Times New Roman"/>
        </w:rPr>
        <w:t>ing</w:t>
      </w:r>
      <w:r>
        <w:rPr>
          <w:rFonts w:ascii="Times New Roman" w:hAnsi="Times New Roman" w:cs="Times New Roman" w:hint="eastAsia"/>
        </w:rPr>
        <w:t xml:space="preserve"> various exchange rate regimes</w:t>
      </w:r>
      <w:r>
        <w:rPr>
          <w:rFonts w:ascii="Times New Roman" w:hAnsi="Times New Roman" w:cs="Times New Roman"/>
        </w:rPr>
        <w:t>,</w:t>
      </w:r>
      <w:r>
        <w:rPr>
          <w:rFonts w:ascii="Times New Roman" w:hAnsi="Times New Roman" w:cs="Times New Roman" w:hint="eastAsia"/>
        </w:rPr>
        <w:t xml:space="preserve"> using daily data from 26 countries. Our sample includes widely known floaters (such as Australia and Canada), firm peggers (such as Middle Eastern oil exporters), and economies</w:t>
      </w:r>
      <w:r>
        <w:rPr>
          <w:rFonts w:ascii="Times New Roman" w:hAnsi="Times New Roman" w:cs="Times New Roman"/>
        </w:rPr>
        <w:t xml:space="preserve"> </w:t>
      </w:r>
      <w:r>
        <w:rPr>
          <w:rFonts w:ascii="Times New Roman" w:hAnsi="Times New Roman" w:cs="Times New Roman" w:hint="eastAsia"/>
        </w:rPr>
        <w:t xml:space="preserve">maintaining an intermediate regime (mostly in Asia and Latin America). </w:t>
      </w:r>
      <w:bookmarkStart w:id="47" w:name="OLE_LINK8"/>
      <w:r>
        <w:rPr>
          <w:rFonts w:ascii="Times New Roman" w:hAnsi="Times New Roman" w:cs="Times New Roman" w:hint="eastAsia"/>
        </w:rPr>
        <w:t>The estimation results depict several interesting patterns. As we expect, floaters float</w:t>
      </w:r>
      <w:r>
        <w:rPr>
          <w:rFonts w:ascii="Times New Roman" w:hAnsi="Times New Roman" w:cs="Times New Roman"/>
        </w:rPr>
        <w:t xml:space="preserve"> --</w:t>
      </w:r>
      <w:r>
        <w:rPr>
          <w:rFonts w:ascii="Times New Roman" w:hAnsi="Times New Roman" w:cs="Times New Roman" w:hint="eastAsia"/>
        </w:rPr>
        <w:t xml:space="preserve"> most of the time. However, they don</w:t>
      </w:r>
      <w:r>
        <w:rPr>
          <w:rFonts w:ascii="Times New Roman" w:hAnsi="Times New Roman" w:cs="Times New Roman"/>
        </w:rPr>
        <w:t>’</w:t>
      </w:r>
      <w:r>
        <w:rPr>
          <w:rFonts w:ascii="Times New Roman" w:hAnsi="Times New Roman" w:cs="Times New Roman" w:hint="eastAsia"/>
        </w:rPr>
        <w:t xml:space="preserve">t fully abandon their ability to intervene in the foreign exchange market. Instead, floaters respond strongly to dramatic exchange rate fluctuations to stabilize the value of the local currency. The BBC regime gains popularity among economies pursuing an intermediate regime. These economies allow the exchange rate to wander within the target band they set, </w:t>
      </w:r>
      <w:r>
        <w:rPr>
          <w:rFonts w:ascii="Times New Roman" w:hAnsi="Times New Roman" w:cs="Times New Roman"/>
        </w:rPr>
        <w:t xml:space="preserve">but outside the band </w:t>
      </w:r>
      <w:r>
        <w:rPr>
          <w:rFonts w:ascii="Times New Roman" w:hAnsi="Times New Roman" w:cs="Times New Roman" w:hint="eastAsia"/>
        </w:rPr>
        <w:t xml:space="preserve">intensively intervene in foreign exchange markets to </w:t>
      </w:r>
      <w:r>
        <w:rPr>
          <w:rFonts w:ascii="Times New Roman" w:hAnsi="Times New Roman" w:cs="Times New Roman"/>
        </w:rPr>
        <w:t>correct</w:t>
      </w:r>
      <w:r>
        <w:rPr>
          <w:rFonts w:ascii="Times New Roman" w:hAnsi="Times New Roman" w:cs="Times New Roman" w:hint="eastAsia"/>
        </w:rPr>
        <w:t xml:space="preserve"> the deviation from the central </w:t>
      </w:r>
      <w:r>
        <w:rPr>
          <w:rFonts w:ascii="Times New Roman" w:hAnsi="Times New Roman" w:cs="Times New Roman"/>
        </w:rPr>
        <w:t>parity.</w:t>
      </w:r>
      <w:r>
        <w:rPr>
          <w:rFonts w:ascii="Times New Roman" w:hAnsi="Times New Roman" w:cs="Times New Roman" w:hint="eastAsia"/>
        </w:rPr>
        <w:t xml:space="preserve"> In contrast, only a small fraction of economies </w:t>
      </w:r>
      <w:proofErr w:type="gramStart"/>
      <w:r>
        <w:rPr>
          <w:rFonts w:ascii="Times New Roman" w:hAnsi="Times New Roman" w:cs="Times New Roman" w:hint="eastAsia"/>
        </w:rPr>
        <w:t>are</w:t>
      </w:r>
      <w:proofErr w:type="gramEnd"/>
      <w:r>
        <w:rPr>
          <w:rFonts w:ascii="Times New Roman" w:hAnsi="Times New Roman" w:cs="Times New Roman" w:hint="eastAsia"/>
        </w:rPr>
        <w:t xml:space="preserve"> identified as maintaining a managed floating regime and the periods these economies follow such a regime are usually short.</w:t>
      </w:r>
      <w:bookmarkEnd w:id="47"/>
      <w:r>
        <w:rPr>
          <w:rFonts w:ascii="Times New Roman" w:hAnsi="Times New Roman" w:cs="Times New Roman"/>
        </w:rPr>
        <w:t xml:space="preserve"> </w:t>
      </w:r>
      <w:r>
        <w:rPr>
          <w:rFonts w:ascii="Times New Roman" w:hAnsi="Times New Roman" w:cs="Times New Roman"/>
        </w:rPr>
        <w:lastRenderedPageBreak/>
        <w:t xml:space="preserve">The evolution of exchange rate regimes over time is also captured. Our results well document </w:t>
      </w:r>
      <w:r>
        <w:rPr>
          <w:rFonts w:ascii="Times New Roman" w:hAnsi="Times New Roman" w:cs="Times New Roman" w:hint="eastAsia"/>
        </w:rPr>
        <w:t xml:space="preserve">how </w:t>
      </w:r>
      <w:r>
        <w:rPr>
          <w:rFonts w:ascii="Times New Roman" w:hAnsi="Times New Roman" w:cs="Times New Roman"/>
        </w:rPr>
        <w:t xml:space="preserve">many emerging market economies, including China, India, and Russia, have shifted from </w:t>
      </w:r>
      <w:r>
        <w:rPr>
          <w:rFonts w:ascii="Times New Roman" w:hAnsi="Times New Roman" w:cs="Times New Roman" w:hint="eastAsia"/>
        </w:rPr>
        <w:t xml:space="preserve">a </w:t>
      </w:r>
      <w:r>
        <w:rPr>
          <w:rFonts w:ascii="Times New Roman" w:hAnsi="Times New Roman" w:cs="Times New Roman"/>
        </w:rPr>
        <w:t xml:space="preserve">fixed regime to floating </w:t>
      </w:r>
      <w:r>
        <w:rPr>
          <w:rFonts w:ascii="Times New Roman" w:hAnsi="Times New Roman" w:cs="Times New Roman" w:hint="eastAsia"/>
        </w:rPr>
        <w:t>in the</w:t>
      </w:r>
      <w:r>
        <w:rPr>
          <w:rFonts w:ascii="Times New Roman" w:hAnsi="Times New Roman" w:cs="Times New Roman"/>
        </w:rPr>
        <w:t xml:space="preserve"> past </w:t>
      </w:r>
      <w:r>
        <w:rPr>
          <w:rFonts w:ascii="Times New Roman" w:hAnsi="Times New Roman" w:cs="Times New Roman" w:hint="eastAsia"/>
        </w:rPr>
        <w:t>two decades</w:t>
      </w:r>
      <w:r>
        <w:rPr>
          <w:rFonts w:ascii="Times New Roman" w:hAnsi="Times New Roman" w:cs="Times New Roman"/>
        </w:rPr>
        <w:t>.</w:t>
      </w:r>
    </w:p>
    <w:p w14:paraId="24F65AF1"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o recap, t</w:t>
      </w:r>
      <w:r>
        <w:rPr>
          <w:rFonts w:ascii="Times New Roman" w:hAnsi="Times New Roman" w:cs="Times New Roman" w:hint="eastAsia"/>
        </w:rPr>
        <w:t xml:space="preserve">he contribution of this paper is threefold. First, we offer a new econometric framework of exchange rate regime classification. In our explicit procedure, which </w:t>
      </w:r>
      <w:proofErr w:type="gramStart"/>
      <w:r>
        <w:rPr>
          <w:rFonts w:ascii="Times New Roman" w:hAnsi="Times New Roman" w:cs="Times New Roman" w:hint="eastAsia"/>
        </w:rPr>
        <w:t>benefit</w:t>
      </w:r>
      <w:proofErr w:type="gramEnd"/>
      <w:r>
        <w:rPr>
          <w:rFonts w:ascii="Times New Roman" w:hAnsi="Times New Roman" w:cs="Times New Roman" w:hint="eastAsia"/>
        </w:rPr>
        <w:t xml:space="preserve"> from clear definitions, criteria for determining which group a country</w:t>
      </w:r>
      <w:r>
        <w:rPr>
          <w:rFonts w:ascii="Times New Roman" w:hAnsi="Times New Roman" w:cs="Times New Roman"/>
        </w:rPr>
        <w:t>’</w:t>
      </w:r>
      <w:r>
        <w:rPr>
          <w:rFonts w:ascii="Times New Roman" w:hAnsi="Times New Roman" w:cs="Times New Roman" w:hint="eastAsia"/>
        </w:rPr>
        <w:t xml:space="preserve">s regime belongs to are fully statistically based. Second, our framework offers new insights </w:t>
      </w:r>
      <w:r>
        <w:rPr>
          <w:rFonts w:ascii="Times New Roman" w:hAnsi="Times New Roman" w:cs="Times New Roman"/>
        </w:rPr>
        <w:t>into</w:t>
      </w:r>
      <w:r>
        <w:rPr>
          <w:rFonts w:ascii="Times New Roman" w:hAnsi="Times New Roman" w:cs="Times New Roman" w:hint="eastAsia"/>
        </w:rPr>
        <w:t xml:space="preserve"> the patterns of exchange rate dynamics and the authority</w:t>
      </w:r>
      <w:r>
        <w:rPr>
          <w:rFonts w:ascii="Times New Roman" w:hAnsi="Times New Roman" w:cs="Times New Roman"/>
        </w:rPr>
        <w:t>’</w:t>
      </w:r>
      <w:r>
        <w:rPr>
          <w:rFonts w:ascii="Times New Roman" w:hAnsi="Times New Roman" w:cs="Times New Roman" w:hint="eastAsia"/>
        </w:rPr>
        <w:t xml:space="preserve">s interventions under different regimes. We pay particular attention to the BBC regime and estimate its target band and the intensity of out-of-band interventions by utilizing a three-regime TAR model to reveal the nonlinear nature of exchange rate dynamics. Finally, methodologically, our framework overcomes the challenge of simultaneous two-dimensional inference of nonlinearity in the state dimension and </w:t>
      </w:r>
      <w:proofErr w:type="spellStart"/>
      <w:r>
        <w:rPr>
          <w:rFonts w:ascii="Times New Roman" w:hAnsi="Times New Roman" w:cs="Times New Roman" w:hint="eastAsia"/>
        </w:rPr>
        <w:t>nonstationarity</w:t>
      </w:r>
      <w:proofErr w:type="spellEnd"/>
      <w:r>
        <w:rPr>
          <w:rFonts w:ascii="Times New Roman" w:hAnsi="Times New Roman" w:cs="Times New Roman" w:hint="eastAsia"/>
        </w:rPr>
        <w:t xml:space="preserve"> in the time </w:t>
      </w:r>
      <w:r>
        <w:rPr>
          <w:rFonts w:ascii="Times New Roman" w:hAnsi="Times New Roman" w:cs="Times New Roman"/>
        </w:rPr>
        <w:t>dimension</w:t>
      </w:r>
      <w:r>
        <w:rPr>
          <w:rFonts w:ascii="Times New Roman" w:hAnsi="Times New Roman" w:cs="Times New Roman" w:hint="eastAsia"/>
        </w:rPr>
        <w:t>, thereby enabling us to identify structural changes.</w:t>
      </w:r>
    </w:p>
    <w:bookmarkEnd w:id="42"/>
    <w:bookmarkEnd w:id="43"/>
    <w:p w14:paraId="1A0B9311"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The remainder of this paper is organized as follows. Section 2 proposes the econometric framework of exchange rate regime estimation. Section 3 presents </w:t>
      </w:r>
      <w:r>
        <w:rPr>
          <w:rFonts w:ascii="Times New Roman" w:hAnsi="Times New Roman" w:cs="Times New Roman"/>
        </w:rPr>
        <w:t xml:space="preserve">the </w:t>
      </w:r>
      <w:r>
        <w:rPr>
          <w:rFonts w:ascii="Times New Roman" w:hAnsi="Times New Roman" w:cs="Times New Roman" w:hint="eastAsia"/>
        </w:rPr>
        <w:t xml:space="preserve">data extraction and empirical results. Finally, </w:t>
      </w:r>
      <w:r>
        <w:rPr>
          <w:rFonts w:ascii="Times New Roman" w:hAnsi="Times New Roman" w:cs="Times New Roman"/>
        </w:rPr>
        <w:t xml:space="preserve">Section </w:t>
      </w:r>
      <w:r>
        <w:rPr>
          <w:rFonts w:ascii="Times New Roman" w:hAnsi="Times New Roman" w:cs="Times New Roman" w:hint="eastAsia"/>
        </w:rPr>
        <w:t>4</w:t>
      </w:r>
      <w:r>
        <w:rPr>
          <w:rFonts w:ascii="Times New Roman" w:hAnsi="Times New Roman" w:cs="Times New Roman"/>
        </w:rPr>
        <w:t xml:space="preserve"> draws </w:t>
      </w:r>
      <w:r>
        <w:rPr>
          <w:rFonts w:ascii="Times New Roman" w:hAnsi="Times New Roman" w:cs="Times New Roman" w:hint="eastAsia"/>
        </w:rPr>
        <w:t>conclusions.</w:t>
      </w:r>
    </w:p>
    <w:bookmarkEnd w:id="2"/>
    <w:bookmarkEnd w:id="10"/>
    <w:p w14:paraId="4915A50A" w14:textId="77777777" w:rsidR="0074478A" w:rsidRDefault="0074478A">
      <w:pPr>
        <w:spacing w:afterLines="100" w:after="312"/>
        <w:rPr>
          <w:rFonts w:ascii="Times New Roman" w:hAnsi="Times New Roman" w:cs="Times New Roman"/>
        </w:rPr>
      </w:pPr>
    </w:p>
    <w:p w14:paraId="5E69591E" w14:textId="77777777" w:rsidR="0074478A" w:rsidRDefault="00690393">
      <w:pPr>
        <w:numPr>
          <w:ilvl w:val="0"/>
          <w:numId w:val="1"/>
        </w:numPr>
        <w:spacing w:afterLines="100" w:after="312"/>
        <w:rPr>
          <w:rFonts w:ascii="Times New Roman" w:hAnsi="Times New Roman" w:cs="Times New Roman"/>
          <w:b/>
          <w:bCs/>
        </w:rPr>
      </w:pPr>
      <w:r>
        <w:rPr>
          <w:rFonts w:ascii="Times New Roman" w:hAnsi="Times New Roman" w:cs="Times New Roman"/>
          <w:b/>
          <w:bCs/>
        </w:rPr>
        <w:t>Econometric Model</w:t>
      </w:r>
    </w:p>
    <w:p w14:paraId="0A8CCC63" w14:textId="52FBF63A"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In this section, we will develop an econometric framework to classify </w:t>
      </w:r>
      <w:r w:rsidR="003B680B">
        <w:rPr>
          <w:rFonts w:ascii="Times New Roman" w:hAnsi="Times New Roman" w:cs="Times New Roman"/>
        </w:rPr>
        <w:t>a</w:t>
      </w:r>
      <w:r>
        <w:rPr>
          <w:rFonts w:ascii="Times New Roman" w:hAnsi="Times New Roman" w:cs="Times New Roman" w:hint="eastAsia"/>
        </w:rPr>
        <w:t xml:space="preserve"> country</w:t>
      </w:r>
      <w:r>
        <w:rPr>
          <w:rFonts w:ascii="Times New Roman" w:hAnsi="Times New Roman" w:cs="Times New Roman"/>
        </w:rPr>
        <w:t>’</w:t>
      </w:r>
      <w:r>
        <w:rPr>
          <w:rFonts w:ascii="Times New Roman" w:hAnsi="Times New Roman" w:cs="Times New Roman" w:hint="eastAsia"/>
        </w:rPr>
        <w:t xml:space="preserve">s exchange rate regime. Our classification scheme includes four categories: fixed regimes; basket, band and crawl (BBC) regimes; managed floating regimes with no target band; and freely floating regimes. </w:t>
      </w:r>
      <w:r w:rsidR="004B3CA3">
        <w:rPr>
          <w:rFonts w:ascii="Times New Roman" w:hAnsi="Times New Roman" w:cs="Times New Roman"/>
        </w:rPr>
        <w:t>O</w:t>
      </w:r>
      <w:r>
        <w:rPr>
          <w:rFonts w:ascii="Times New Roman" w:hAnsi="Times New Roman" w:cs="Times New Roman" w:hint="eastAsia"/>
        </w:rPr>
        <w:t>ur framework</w:t>
      </w:r>
      <w:r w:rsidR="004B3CA3">
        <w:rPr>
          <w:rFonts w:ascii="Times New Roman" w:hAnsi="Times New Roman" w:cs="Times New Roman"/>
        </w:rPr>
        <w:t xml:space="preserve"> infers</w:t>
      </w:r>
      <w:r>
        <w:rPr>
          <w:rFonts w:ascii="Times New Roman" w:hAnsi="Times New Roman" w:cs="Times New Roman" w:hint="eastAsia"/>
        </w:rPr>
        <w:t xml:space="preserve"> the exchange rate regime by a two-step procedure. We first estimate the implicit basket of currencies that the monetary authority may target and use this estimation to determine the central parity and deviations of the exchange rate from the central parity over time. Then, we classify the exchange rate regime of the country into one of the four categories by analyzing the monetary authority</w:t>
      </w:r>
      <w:r>
        <w:rPr>
          <w:rFonts w:ascii="Times New Roman" w:hAnsi="Times New Roman" w:cs="Times New Roman"/>
        </w:rPr>
        <w:t>’</w:t>
      </w:r>
      <w:r>
        <w:rPr>
          <w:rFonts w:ascii="Times New Roman" w:hAnsi="Times New Roman" w:cs="Times New Roman" w:hint="eastAsia"/>
        </w:rPr>
        <w:t xml:space="preserve">s intervention rule that is revealed by the dynamics of the deviations of the exchange rate. </w:t>
      </w:r>
    </w:p>
    <w:p w14:paraId="5689A870" w14:textId="77777777" w:rsidR="0074478A" w:rsidRDefault="00690393">
      <w:pPr>
        <w:spacing w:afterLines="100" w:after="312"/>
        <w:rPr>
          <w:rFonts w:ascii="Times New Roman" w:hAnsi="Times New Roman" w:cs="Times New Roman"/>
        </w:rPr>
      </w:pPr>
      <w:bookmarkStart w:id="48" w:name="OLE_LINK111"/>
      <w:r>
        <w:rPr>
          <w:rFonts w:ascii="Times New Roman" w:hAnsi="Times New Roman" w:cs="Times New Roman" w:hint="eastAsia"/>
        </w:rPr>
        <w:t xml:space="preserve">A country maintaining a fixed regime pegs its exchange rate tightly to </w:t>
      </w:r>
      <w:r>
        <w:rPr>
          <w:rFonts w:ascii="Times New Roman" w:hAnsi="Times New Roman" w:cs="Times New Roman"/>
        </w:rPr>
        <w:t xml:space="preserve">one or more currencies in </w:t>
      </w:r>
      <w:r>
        <w:rPr>
          <w:rFonts w:ascii="Times New Roman" w:hAnsi="Times New Roman" w:cs="Times New Roman" w:hint="eastAsia"/>
        </w:rPr>
        <w:t>a basket and controls the deviations from the central parity in a small range. Countries tha</w:t>
      </w:r>
      <w:r>
        <w:rPr>
          <w:rFonts w:ascii="Times New Roman" w:hAnsi="Times New Roman" w:cs="Times New Roman"/>
        </w:rPr>
        <w:t>t</w:t>
      </w:r>
      <w:r>
        <w:rPr>
          <w:rFonts w:ascii="Times New Roman" w:hAnsi="Times New Roman" w:cs="Times New Roman" w:hint="eastAsia"/>
        </w:rPr>
        <w:t xml:space="preserve"> maintain a BBC regime typically allow a degree of deviation from </w:t>
      </w:r>
      <w:r>
        <w:rPr>
          <w:rFonts w:ascii="Times New Roman" w:hAnsi="Times New Roman" w:cs="Times New Roman"/>
        </w:rPr>
        <w:t>a</w:t>
      </w:r>
      <w:r>
        <w:rPr>
          <w:rFonts w:ascii="Times New Roman" w:hAnsi="Times New Roman" w:cs="Times New Roman" w:hint="eastAsia"/>
        </w:rPr>
        <w:t xml:space="preserve"> central parity when the exchange rate </w:t>
      </w:r>
      <w:r>
        <w:rPr>
          <w:rFonts w:ascii="Times New Roman" w:hAnsi="Times New Roman" w:cs="Times New Roman"/>
        </w:rPr>
        <w:t>lies</w:t>
      </w:r>
      <w:r>
        <w:rPr>
          <w:rFonts w:ascii="Times New Roman" w:hAnsi="Times New Roman" w:cs="Times New Roman" w:hint="eastAsia"/>
        </w:rPr>
        <w:t xml:space="preserve"> within a target </w:t>
      </w:r>
      <w:proofErr w:type="gramStart"/>
      <w:r>
        <w:rPr>
          <w:rFonts w:ascii="Times New Roman" w:hAnsi="Times New Roman" w:cs="Times New Roman" w:hint="eastAsia"/>
        </w:rPr>
        <w:t>band, and</w:t>
      </w:r>
      <w:proofErr w:type="gramEnd"/>
      <w:r>
        <w:rPr>
          <w:rFonts w:ascii="Times New Roman" w:hAnsi="Times New Roman" w:cs="Times New Roman" w:hint="eastAsia"/>
        </w:rPr>
        <w:t xml:space="preserve"> intervene in the foreign exchange market when the exchange rate goes outside the band. If a country pursues an intermediate regime but does not set an explicit target band, the monetary authority may occasionally intervene in the foreign exchange market. When the exchange rate is floating, its </w:t>
      </w:r>
      <w:bookmarkStart w:id="49" w:name="OLE_LINK112"/>
      <w:r>
        <w:rPr>
          <w:rFonts w:ascii="Times New Roman" w:hAnsi="Times New Roman" w:cs="Times New Roman" w:hint="eastAsia"/>
        </w:rPr>
        <w:t>dynamics can be roughly captured by a random walk</w:t>
      </w:r>
      <w:bookmarkEnd w:id="49"/>
      <w:r>
        <w:rPr>
          <w:rFonts w:ascii="Times New Roman" w:hAnsi="Times New Roman" w:cs="Times New Roman" w:hint="eastAsia"/>
        </w:rPr>
        <w:t xml:space="preserve"> process. </w:t>
      </w:r>
      <w:bookmarkEnd w:id="48"/>
      <w:r>
        <w:rPr>
          <w:rFonts w:ascii="Times New Roman" w:hAnsi="Times New Roman" w:cs="Times New Roman" w:hint="eastAsia"/>
        </w:rPr>
        <w:t>The details of this procedure will be discussed in the following sections.</w:t>
      </w:r>
    </w:p>
    <w:p w14:paraId="7A0FAC8C"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2.1 </w:t>
      </w:r>
      <w:bookmarkStart w:id="50" w:name="OLE_LINK113"/>
      <w:r>
        <w:rPr>
          <w:rFonts w:ascii="Times New Roman" w:hAnsi="Times New Roman" w:cs="Times New Roman"/>
        </w:rPr>
        <w:t xml:space="preserve">Currency Basket Inference, Central Parity Determination, and Deviation from </w:t>
      </w:r>
      <w:r>
        <w:rPr>
          <w:rFonts w:ascii="Times New Roman" w:hAnsi="Times New Roman" w:cs="Times New Roman" w:hint="eastAsia"/>
        </w:rPr>
        <w:t xml:space="preserve">the </w:t>
      </w:r>
      <w:r>
        <w:rPr>
          <w:rFonts w:ascii="Times New Roman" w:hAnsi="Times New Roman" w:cs="Times New Roman"/>
        </w:rPr>
        <w:t>Central Parity</w:t>
      </w:r>
      <w:bookmarkEnd w:id="50"/>
    </w:p>
    <w:p w14:paraId="465B6B39" w14:textId="77777777" w:rsidR="0074478A" w:rsidRDefault="00690393">
      <w:pPr>
        <w:spacing w:afterLines="100" w:after="312"/>
        <w:rPr>
          <w:rFonts w:ascii="Times New Roman" w:hAnsi="Times New Roman" w:cs="Times New Roman"/>
        </w:rPr>
      </w:pPr>
      <w:bookmarkStart w:id="51" w:name="OLE_LINK114"/>
      <w:r>
        <w:rPr>
          <w:rFonts w:ascii="Times New Roman" w:hAnsi="Times New Roman" w:cs="Times New Roman"/>
        </w:rPr>
        <w:t xml:space="preserve">To </w:t>
      </w:r>
      <w:r>
        <w:rPr>
          <w:rFonts w:ascii="Times New Roman" w:hAnsi="Times New Roman" w:cs="Times New Roman" w:hint="eastAsia"/>
        </w:rPr>
        <w:t>analyze the deviations of</w:t>
      </w:r>
      <w:r>
        <w:rPr>
          <w:rFonts w:ascii="Times New Roman" w:hAnsi="Times New Roman" w:cs="Times New Roman"/>
        </w:rPr>
        <w:t xml:space="preserve"> the exchange rate from the central parity, we first determine how the </w:t>
      </w:r>
      <w:r>
        <w:rPr>
          <w:rFonts w:ascii="Times New Roman" w:hAnsi="Times New Roman" w:cs="Times New Roman"/>
        </w:rPr>
        <w:lastRenderedPageBreak/>
        <w:t xml:space="preserve">monetary authority sets the central parity. </w:t>
      </w:r>
      <w:r>
        <w:rPr>
          <w:rFonts w:ascii="Times New Roman" w:hAnsi="Times New Roman" w:cs="Times New Roman" w:hint="eastAsia"/>
        </w:rPr>
        <w:t xml:space="preserve">Most existing studies </w:t>
      </w:r>
      <w:r>
        <w:rPr>
          <w:rFonts w:ascii="Times New Roman" w:hAnsi="Times New Roman" w:cs="Times New Roman"/>
        </w:rPr>
        <w:t xml:space="preserve">of bands (target zones) </w:t>
      </w:r>
      <w:r>
        <w:rPr>
          <w:rFonts w:ascii="Times New Roman" w:hAnsi="Times New Roman" w:cs="Times New Roman" w:hint="eastAsia"/>
        </w:rPr>
        <w:t xml:space="preserve">focus on countries </w:t>
      </w:r>
      <w:r>
        <w:rPr>
          <w:rFonts w:ascii="Times New Roman" w:hAnsi="Times New Roman" w:cs="Times New Roman"/>
        </w:rPr>
        <w:t>where</w:t>
      </w:r>
      <w:r>
        <w:rPr>
          <w:rFonts w:ascii="Times New Roman" w:hAnsi="Times New Roman" w:cs="Times New Roman" w:hint="eastAsia"/>
        </w:rPr>
        <w:t xml:space="preserve"> </w:t>
      </w:r>
      <w:r>
        <w:rPr>
          <w:rFonts w:ascii="Times New Roman" w:hAnsi="Times New Roman" w:cs="Times New Roman"/>
        </w:rPr>
        <w:t xml:space="preserve">the </w:t>
      </w:r>
      <w:r>
        <w:rPr>
          <w:rFonts w:ascii="Times New Roman" w:hAnsi="Times New Roman" w:cs="Times New Roman" w:hint="eastAsia"/>
        </w:rPr>
        <w:t xml:space="preserve">central parity </w:t>
      </w:r>
      <w:r>
        <w:rPr>
          <w:rFonts w:ascii="Times New Roman" w:hAnsi="Times New Roman" w:cs="Times New Roman"/>
        </w:rPr>
        <w:t xml:space="preserve">that </w:t>
      </w:r>
      <w:r>
        <w:rPr>
          <w:rFonts w:ascii="Times New Roman" w:hAnsi="Times New Roman" w:cs="Times New Roman" w:hint="eastAsia"/>
        </w:rPr>
        <w:t xml:space="preserve">is set </w:t>
      </w:r>
      <w:r>
        <w:rPr>
          <w:rFonts w:ascii="Times New Roman" w:hAnsi="Times New Roman" w:cs="Times New Roman"/>
        </w:rPr>
        <w:t xml:space="preserve">is </w:t>
      </w:r>
      <w:r>
        <w:rPr>
          <w:rFonts w:ascii="Times New Roman" w:hAnsi="Times New Roman" w:cs="Times New Roman" w:hint="eastAsia"/>
        </w:rPr>
        <w:t>explicitly known</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 xml:space="preserve">hese countries include those participating in </w:t>
      </w:r>
      <w:r>
        <w:rPr>
          <w:rFonts w:ascii="Times New Roman" w:hAnsi="Times New Roman" w:cs="Times New Roman"/>
        </w:rPr>
        <w:t xml:space="preserve">the </w:t>
      </w:r>
      <w:r>
        <w:rPr>
          <w:rFonts w:ascii="Times New Roman" w:hAnsi="Times New Roman" w:cs="Times New Roman" w:hint="eastAsia"/>
        </w:rPr>
        <w:t>EMS (1979</w:t>
      </w:r>
      <w:r>
        <w:rPr>
          <w:rFonts w:ascii="Times New Roman" w:hAnsi="Times New Roman" w:cs="Times New Roman"/>
        </w:rPr>
        <w:t>–</w:t>
      </w:r>
      <w:r>
        <w:rPr>
          <w:rFonts w:ascii="Times New Roman" w:hAnsi="Times New Roman" w:cs="Times New Roman" w:hint="eastAsia"/>
        </w:rPr>
        <w:t>90) and Scandinavian countries (1985</w:t>
      </w:r>
      <w:r>
        <w:rPr>
          <w:rFonts w:ascii="Times New Roman" w:hAnsi="Times New Roman" w:cs="Times New Roman"/>
        </w:rPr>
        <w:t>–</w:t>
      </w:r>
      <w:r>
        <w:rPr>
          <w:rFonts w:ascii="Times New Roman" w:hAnsi="Times New Roman" w:cs="Times New Roman" w:hint="eastAsia"/>
        </w:rPr>
        <w:t>92)</w:t>
      </w:r>
      <w:r>
        <w:rPr>
          <w:rStyle w:val="FootnoteReference"/>
          <w:rFonts w:ascii="Times New Roman" w:hAnsi="Times New Roman" w:cs="Times New Roman" w:hint="eastAsia"/>
        </w:rPr>
        <w:footnoteReference w:id="6"/>
      </w:r>
      <w:r>
        <w:rPr>
          <w:rFonts w:ascii="Times New Roman" w:hAnsi="Times New Roman" w:cs="Times New Roman" w:hint="eastAsia"/>
        </w:rPr>
        <w:t>. However, many countries maintaining an intermediate exchange rate regime do</w:t>
      </w:r>
      <w:r>
        <w:rPr>
          <w:rFonts w:ascii="Times New Roman" w:hAnsi="Times New Roman" w:cs="Times New Roman"/>
        </w:rPr>
        <w:t xml:space="preserve"> not</w:t>
      </w:r>
      <w:r>
        <w:rPr>
          <w:rFonts w:ascii="Times New Roman" w:hAnsi="Times New Roman" w:cs="Times New Roman" w:hint="eastAsia"/>
        </w:rPr>
        <w:t xml:space="preserve"> announce</w:t>
      </w:r>
      <w:r>
        <w:rPr>
          <w:rFonts w:ascii="Times New Roman" w:hAnsi="Times New Roman" w:cs="Times New Roman"/>
        </w:rPr>
        <w:t xml:space="preserve"> </w:t>
      </w:r>
      <w:r>
        <w:rPr>
          <w:rFonts w:ascii="Times New Roman" w:hAnsi="Times New Roman" w:cs="Times New Roman" w:hint="eastAsia"/>
        </w:rPr>
        <w:t xml:space="preserve">the basket of currencies </w:t>
      </w:r>
      <w:r>
        <w:rPr>
          <w:rFonts w:ascii="Times New Roman" w:hAnsi="Times New Roman" w:cs="Times New Roman"/>
        </w:rPr>
        <w:t xml:space="preserve">which </w:t>
      </w:r>
      <w:r>
        <w:rPr>
          <w:rFonts w:ascii="Times New Roman" w:hAnsi="Times New Roman" w:cs="Times New Roman" w:hint="eastAsia"/>
        </w:rPr>
        <w:t xml:space="preserve">they </w:t>
      </w:r>
      <w:r>
        <w:rPr>
          <w:rFonts w:ascii="Times New Roman" w:hAnsi="Times New Roman" w:cs="Times New Roman"/>
        </w:rPr>
        <w:t xml:space="preserve">target (i.e., the parity to which the home currency is pegged or around which </w:t>
      </w:r>
      <w:r>
        <w:rPr>
          <w:rFonts w:ascii="Times New Roman" w:hAnsi="Times New Roman" w:cs="Times New Roman" w:hint="eastAsia"/>
        </w:rPr>
        <w:t>the home currency</w:t>
      </w:r>
      <w:r>
        <w:rPr>
          <w:rFonts w:ascii="Times New Roman" w:hAnsi="Times New Roman" w:cs="Times New Roman"/>
        </w:rPr>
        <w:t xml:space="preserve"> orients its target </w:t>
      </w:r>
      <w:r>
        <w:rPr>
          <w:rFonts w:ascii="Times New Roman" w:hAnsi="Times New Roman" w:cs="Times New Roman" w:hint="eastAsia"/>
        </w:rPr>
        <w:t>band</w:t>
      </w:r>
      <w:r>
        <w:rPr>
          <w:rFonts w:ascii="Times New Roman" w:hAnsi="Times New Roman" w:cs="Times New Roman"/>
        </w:rPr>
        <w:t xml:space="preserve"> or other pattern of foreign exchange intervention)</w:t>
      </w:r>
      <w:r>
        <w:rPr>
          <w:rFonts w:ascii="Times New Roman" w:hAnsi="Times New Roman" w:cs="Times New Roman" w:hint="eastAsia"/>
        </w:rPr>
        <w:t xml:space="preserve">. </w:t>
      </w:r>
      <w:r>
        <w:rPr>
          <w:rFonts w:ascii="Times New Roman" w:hAnsi="Times New Roman" w:cs="Times New Roman"/>
        </w:rPr>
        <w:t xml:space="preserve"> We </w:t>
      </w:r>
      <w:r>
        <w:rPr>
          <w:rFonts w:ascii="Times New Roman" w:hAnsi="Times New Roman" w:cs="Times New Roman" w:hint="eastAsia"/>
        </w:rPr>
        <w:t>f</w:t>
      </w:r>
      <w:r>
        <w:rPr>
          <w:rFonts w:ascii="Times New Roman" w:hAnsi="Times New Roman" w:cs="Times New Roman"/>
        </w:rPr>
        <w:t xml:space="preserve">ollow </w:t>
      </w:r>
      <w:bookmarkStart w:id="52" w:name="OLE_LINK1"/>
      <w:r>
        <w:rPr>
          <w:rFonts w:ascii="Times New Roman" w:hAnsi="Times New Roman" w:cs="Times New Roman"/>
        </w:rPr>
        <w:t>Frankel and Wei (1994, 2008)</w:t>
      </w:r>
      <w:bookmarkEnd w:id="52"/>
      <w:r>
        <w:rPr>
          <w:rFonts w:ascii="Times New Roman" w:hAnsi="Times New Roman" w:cs="Times New Roman" w:hint="eastAsia"/>
        </w:rPr>
        <w:t xml:space="preserve"> in that we</w:t>
      </w:r>
      <w:r>
        <w:rPr>
          <w:rFonts w:ascii="Times New Roman" w:hAnsi="Times New Roman" w:cs="Times New Roman"/>
        </w:rPr>
        <w:t xml:space="preserve"> infer the implicit basket weights in the central parity by </w:t>
      </w:r>
      <w:r>
        <w:rPr>
          <w:rFonts w:ascii="Times New Roman" w:hAnsi="Times New Roman" w:cs="Times New Roman" w:hint="eastAsia"/>
        </w:rPr>
        <w:t>performing</w:t>
      </w:r>
      <w:r>
        <w:rPr>
          <w:rFonts w:ascii="Times New Roman" w:hAnsi="Times New Roman" w:cs="Times New Roman"/>
        </w:rPr>
        <w:t xml:space="preserve"> a regression of the change in the foreign exchange value of the local currency against changes in the values of a set of major currencies, including the dollar, euro, pound, and yen. </w:t>
      </w:r>
    </w:p>
    <w:p w14:paraId="3C2D46FE"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We estimate the implicit de facto basket weights by </w:t>
      </w:r>
      <w:r>
        <w:rPr>
          <w:rFonts w:ascii="Times New Roman" w:hAnsi="Times New Roman" w:cs="Times New Roman" w:hint="eastAsia"/>
        </w:rPr>
        <w:t>using</w:t>
      </w:r>
      <w:r>
        <w:rPr>
          <w:rFonts w:ascii="Times New Roman" w:hAnsi="Times New Roman" w:cs="Times New Roman"/>
        </w:rPr>
        <w:t xml:space="preserve"> the following equation:</w:t>
      </w:r>
    </w:p>
    <w:p w14:paraId="30095D95" w14:textId="77777777" w:rsidR="0074478A" w:rsidRDefault="00690393">
      <w:pPr>
        <w:spacing w:afterLines="100" w:after="312"/>
        <w:jc w:val="right"/>
        <w:rPr>
          <w:rFonts w:ascii="Times New Roman" w:hAnsi="Times New Roman" w:cs="Times New Roman"/>
        </w:rPr>
      </w:pPr>
      <w:bookmarkStart w:id="53" w:name="OLE_LINK2"/>
      <m:oMath>
        <m:r>
          <w:rPr>
            <w:rFonts w:ascii="Cambria Math" w:hAnsi="Cambria Math" w:cs="Times New Roman"/>
          </w:rPr>
          <m:t>∆log</m:t>
        </m:r>
        <m:sSub>
          <m:sSubPr>
            <m:ctrlPr>
              <w:rPr>
                <w:rFonts w:ascii="Cambria Math" w:hAnsi="Cambria Math" w:cs="Times New Roman"/>
                <w:i/>
                <w:iCs/>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=c+ </m:t>
        </m:r>
        <m:nary>
          <m:naryPr>
            <m:chr m:val="∑"/>
            <m:ctrlPr>
              <w:rPr>
                <w:rFonts w:ascii="Cambria Math" w:hAnsi="Cambria Math" w:cs="Times New Roman"/>
                <w:i/>
                <w:iCs/>
              </w:rPr>
            </m:ctrlPr>
          </m:naryPr>
          <m:sub>
            <m:r>
              <w:rPr>
                <w:rFonts w:ascii="Cambria Math" w:hAnsi="Cambria Math" w:cs="Times New Roman"/>
              </w:rPr>
              <m:t>k=1</m:t>
            </m:r>
          </m:sub>
          <m:sup>
            <m:r>
              <w:rPr>
                <w:rFonts w:ascii="Cambria Math" w:hAnsi="Cambria Math" w:cs="Times New Roman"/>
              </w:rPr>
              <m:t>n</m:t>
            </m:r>
          </m:sup>
          <m:e>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k</m:t>
                </m:r>
              </m:sub>
            </m:sSub>
            <m:r>
              <w:rPr>
                <w:rFonts w:ascii="Cambria Math" w:hAnsi="Cambria Math" w:cs="Times New Roman"/>
              </w:rPr>
              <m:t>∆log</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k,t</m:t>
                </m:r>
              </m:sub>
            </m:sSub>
            <m:r>
              <w:rPr>
                <w:rFonts w:ascii="Cambria Math" w:hAnsi="Cambria Math" w:cs="Times New Roman"/>
              </w:rPr>
              <m:t>+ </m:t>
            </m:r>
            <m:sSub>
              <m:sSubPr>
                <m:ctrlPr>
                  <w:rPr>
                    <w:rFonts w:ascii="Cambria Math" w:hAnsi="Cambria Math" w:cs="Times New Roman"/>
                    <w:i/>
                    <w:iCs/>
                  </w:rPr>
                </m:ctrlPr>
              </m:sSubPr>
              <m:e>
                <m:r>
                  <w:rPr>
                    <w:rFonts w:ascii="Cambria Math" w:hAnsi="Cambria Math" w:cs="Times New Roman"/>
                  </w:rPr>
                  <m:t>ε</m:t>
                </m:r>
              </m:e>
              <m:sub>
                <m:r>
                  <w:rPr>
                    <w:rFonts w:ascii="Cambria Math" w:hAnsi="Cambria Math" w:cs="Times New Roman"/>
                  </w:rPr>
                  <m:t>t</m:t>
                </m:r>
              </m:sub>
            </m:sSub>
          </m:e>
        </m:nary>
      </m:oMath>
      <w:r>
        <w:rPr>
          <w:rFonts w:ascii="Times New Roman" w:hAnsi="Times New Roman" w:cs="Times New Roman"/>
          <w:iCs/>
        </w:rPr>
        <w:t xml:space="preserve">   </w:t>
      </w:r>
      <w:r>
        <w:rPr>
          <w:rFonts w:ascii="Times New Roman" w:hAnsi="Times New Roman" w:cs="Times New Roman"/>
          <w:position w:val="-14"/>
        </w:rPr>
        <w:t xml:space="preserve">                    </w:t>
      </w:r>
      <w:r>
        <w:rPr>
          <w:rFonts w:ascii="Times New Roman" w:hAnsi="Times New Roman" w:cs="Times New Roman"/>
        </w:rPr>
        <w:t>(1)</w:t>
      </w:r>
    </w:p>
    <w:bookmarkEnd w:id="53"/>
    <w:p w14:paraId="7257F8C3"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oMath>
      <w:r>
        <w:rPr>
          <w:rFonts w:ascii="Times New Roman" w:hAnsi="Times New Roman" w:cs="Times New Roman"/>
        </w:rPr>
        <w:t xml:space="preserve"> denotes the value of the home currency </w:t>
      </w:r>
      <w:bookmarkStart w:id="54" w:name="OLE_LINK30"/>
      <w:r>
        <w:rPr>
          <w:rFonts w:ascii="Times New Roman" w:hAnsi="Times New Roman" w:cs="Times New Roman"/>
        </w:rPr>
        <w:t xml:space="preserve">at time </w:t>
      </w:r>
      <w:r>
        <w:rPr>
          <w:rFonts w:ascii="Times New Roman" w:hAnsi="Times New Roman" w:cs="Times New Roman"/>
          <w:i/>
          <w:iCs/>
        </w:rPr>
        <w:t>t</w:t>
      </w:r>
      <w:bookmarkEnd w:id="54"/>
      <w:r>
        <w:rPr>
          <w:rFonts w:ascii="Times New Roman" w:hAnsi="Times New Roman" w:cs="Times New Roman"/>
        </w:rPr>
        <w:t xml:space="preserve">, </w:t>
      </w:r>
      <m:oMath>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k,t</m:t>
            </m:r>
          </m:sub>
        </m:sSub>
      </m:oMath>
      <w:r>
        <w:rPr>
          <w:rFonts w:ascii="Times New Roman" w:hAnsi="Times New Roman" w:cs="Times New Roman"/>
        </w:rPr>
        <w:t xml:space="preserve"> represents the value of currency </w:t>
      </w:r>
      <w:r>
        <w:rPr>
          <w:rFonts w:ascii="Times New Roman" w:hAnsi="Times New Roman" w:cs="Times New Roman"/>
          <w:i/>
          <w:iCs/>
        </w:rPr>
        <w:t>k</w:t>
      </w:r>
      <w:r>
        <w:rPr>
          <w:rFonts w:ascii="Times New Roman" w:hAnsi="Times New Roman" w:cs="Times New Roman"/>
        </w:rPr>
        <w:t xml:space="preserve"> at time </w:t>
      </w:r>
      <w:r>
        <w:rPr>
          <w:rFonts w:ascii="Times New Roman" w:hAnsi="Times New Roman" w:cs="Times New Roman"/>
          <w:i/>
          <w:iCs/>
        </w:rPr>
        <w:t>t</w:t>
      </w:r>
      <w:r>
        <w:rPr>
          <w:rFonts w:ascii="Times New Roman" w:hAnsi="Times New Roman" w:cs="Times New Roman" w:hint="eastAsia"/>
        </w:rPr>
        <w:t xml:space="preserve"> </w:t>
      </w:r>
      <w:r>
        <w:rPr>
          <w:rFonts w:ascii="Times New Roman" w:hAnsi="Times New Roman" w:cs="Times New Roman"/>
        </w:rPr>
        <w:t xml:space="preserve">(one of the major currencies thought to be in the basket), </w:t>
      </w:r>
      <m:oMath>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k</m:t>
            </m:r>
          </m:sub>
        </m:sSub>
      </m:oMath>
      <w:r>
        <w:rPr>
          <w:rFonts w:ascii="Times New Roman" w:hAnsi="Times New Roman" w:cs="Times New Roman"/>
        </w:rPr>
        <w:t xml:space="preserve"> denotes the weight of currency </w:t>
      </w:r>
      <w:r>
        <w:rPr>
          <w:rFonts w:ascii="Times New Roman" w:hAnsi="Times New Roman" w:cs="Times New Roman"/>
          <w:i/>
          <w:iCs/>
        </w:rPr>
        <w:t>k</w:t>
      </w:r>
      <w:r>
        <w:rPr>
          <w:rFonts w:ascii="Times New Roman" w:hAnsi="Times New Roman" w:cs="Times New Roman"/>
        </w:rPr>
        <w:t xml:space="preserve"> in the basket, and </w:t>
      </w:r>
      <m:oMath>
        <m:r>
          <w:rPr>
            <w:rFonts w:ascii="Cambria Math" w:hAnsi="Cambria Math" w:cs="Times New Roman"/>
          </w:rPr>
          <m:t>c</m:t>
        </m:r>
      </m:oMath>
      <w:r>
        <w:rPr>
          <w:rFonts w:ascii="Times New Roman" w:hAnsi="Times New Roman" w:cs="Times New Roman"/>
        </w:rPr>
        <w:t xml:space="preserve"> determines the trend of exchange rate appreciation or depreciation against the central parity.</w:t>
      </w:r>
      <w:r>
        <w:rPr>
          <w:rStyle w:val="FootnoteReference"/>
          <w:rFonts w:ascii="Times New Roman" w:hAnsi="Times New Roman" w:cs="Times New Roman"/>
        </w:rPr>
        <w:footnoteReference w:id="7"/>
      </w:r>
    </w:p>
    <w:p w14:paraId="33EF56AA" w14:textId="2721E205" w:rsidR="0074478A" w:rsidRDefault="00690393">
      <w:pPr>
        <w:spacing w:afterLines="100" w:after="312"/>
        <w:rPr>
          <w:rFonts w:ascii="Times New Roman" w:hAnsi="Times New Roman" w:cs="Times New Roman"/>
        </w:rPr>
      </w:pPr>
      <w:r>
        <w:rPr>
          <w:rFonts w:ascii="Times New Roman" w:hAnsi="Times New Roman" w:cs="Times New Roman"/>
        </w:rPr>
        <w:t>Although the Frankel-Wei method enables us to infer implicit weights from actual data, it cannot capture the changes in the weight parameters over time. To identify changes in the currency weights, following Frankel and Xie</w:t>
      </w:r>
      <w:r w:rsidR="003529A4">
        <w:rPr>
          <w:rFonts w:ascii="Times New Roman" w:hAnsi="Times New Roman" w:cs="Times New Roman"/>
        </w:rPr>
        <w:t xml:space="preserve"> (2010)</w:t>
      </w:r>
      <w:r>
        <w:rPr>
          <w:rFonts w:ascii="Times New Roman" w:hAnsi="Times New Roman" w:cs="Times New Roman"/>
        </w:rPr>
        <w:t xml:space="preserve">, we adopt econometric techniques developed by </w:t>
      </w:r>
      <w:bookmarkStart w:id="55" w:name="OLE_LINK7"/>
      <w:r>
        <w:rPr>
          <w:rFonts w:ascii="Times New Roman" w:hAnsi="Times New Roman" w:cs="Times New Roman"/>
        </w:rPr>
        <w:t>Bai and</w:t>
      </w:r>
      <w:r>
        <w:rPr>
          <w:rFonts w:ascii="Times New Roman" w:hAnsi="Times New Roman" w:cs="Times New Roman" w:hint="eastAsia"/>
        </w:rPr>
        <w:t xml:space="preserve"> </w:t>
      </w:r>
      <w:r>
        <w:rPr>
          <w:rFonts w:ascii="Times New Roman" w:hAnsi="Times New Roman" w:cs="Times New Roman"/>
        </w:rPr>
        <w:t>Perron (1998, 2003)</w:t>
      </w:r>
      <w:bookmarkEnd w:id="55"/>
      <w:r>
        <w:rPr>
          <w:rFonts w:ascii="Times New Roman" w:hAnsi="Times New Roman" w:cs="Times New Roman"/>
        </w:rPr>
        <w:t xml:space="preserve"> to discern structural changes in the exchange rate regime and to estimate time-varying weight parameters. The identification procedure is implemented in two steps. In the first step, given the number of breaks </w:t>
      </w:r>
      <m:oMath>
        <m:r>
          <w:rPr>
            <w:rFonts w:ascii="Cambria Math" w:hAnsi="Cambria Math" w:cs="Times New Roman"/>
          </w:rPr>
          <m:t>m</m:t>
        </m:r>
      </m:oMath>
      <w:r>
        <w:rPr>
          <w:rFonts w:ascii="Times New Roman" w:hAnsi="Times New Roman" w:cs="Times New Roman"/>
        </w:rPr>
        <w:t xml:space="preserve">, we infer the optimal partition </w:t>
      </w:r>
      <m:oMath>
        <m:r>
          <m:rPr>
            <m:sty m:val="p"/>
          </m:rP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m+1</m:t>
            </m:r>
          </m:sub>
          <m:sup>
            <m:r>
              <w:rPr>
                <w:rFonts w:ascii="Cambria Math" w:hAnsi="Cambria Math" w:cs="Times New Roman"/>
              </w:rPr>
              <m:t>*</m:t>
            </m:r>
          </m:sup>
        </m:sSubSup>
        <m:r>
          <m:rPr>
            <m:sty m:val="p"/>
          </m:rPr>
          <w:rPr>
            <w:rFonts w:ascii="Cambria Math" w:hAnsi="Cambria Math" w:cs="Times New Roman"/>
          </w:rPr>
          <m:t>)</m:t>
        </m:r>
      </m:oMath>
      <w:r>
        <w:rPr>
          <w:rFonts w:ascii="Times New Roman" w:hAnsi="Times New Roman" w:cs="Times New Roman"/>
        </w:rPr>
        <w:t xml:space="preserve"> of the full sample </w:t>
      </w:r>
      <w:r>
        <w:rPr>
          <w:rFonts w:ascii="Times New Roman" w:hAnsi="Times New Roman" w:cs="Times New Roman" w:hint="eastAsia"/>
        </w:rPr>
        <w:t>by using</w:t>
      </w:r>
      <w:r>
        <w:rPr>
          <w:rFonts w:ascii="Times New Roman" w:hAnsi="Times New Roman" w:cs="Times New Roman"/>
        </w:rPr>
        <w:t xml:space="preserve"> the regression model described by </w:t>
      </w:r>
      <w:r>
        <w:rPr>
          <w:rFonts w:ascii="Times New Roman" w:hAnsi="Times New Roman" w:cs="Times New Roman" w:hint="eastAsia"/>
        </w:rPr>
        <w:t>E</w:t>
      </w:r>
      <w:r>
        <w:rPr>
          <w:rFonts w:ascii="Times New Roman" w:hAnsi="Times New Roman" w:cs="Times New Roman"/>
        </w:rPr>
        <w:t>quation (2):</w:t>
      </w:r>
    </w:p>
    <w:p w14:paraId="7FDC7B1D" w14:textId="77777777" w:rsidR="0074478A" w:rsidRDefault="00690393">
      <w:pPr>
        <w:spacing w:afterLines="100" w:after="312"/>
        <w:jc w:val="right"/>
        <w:rPr>
          <w:rFonts w:ascii="Times New Roman" w:hAnsi="Times New Roman" w:cs="Times New Roman"/>
          <w:i/>
          <w:iCs/>
          <w:szCs w:val="21"/>
        </w:rPr>
      </w:pPr>
      <m:oMathPara>
        <m:oMath>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 </m:t>
          </m:r>
          <m:nary>
            <m:naryPr>
              <m:chr m:val="∑"/>
              <m:limLoc m:val="subSup"/>
              <m:ctrlPr>
                <w:rPr>
                  <w:rFonts w:ascii="Cambria Math" w:hAnsi="Cambria Math" w:cs="Times New Roman"/>
                  <w:i/>
                  <w:szCs w:val="21"/>
                </w:rPr>
              </m:ctrlPr>
            </m:naryPr>
            <m:sub>
              <m:r>
                <w:rPr>
                  <w:rFonts w:ascii="Cambria Math" w:hAnsi="Cambria Math" w:cs="Times New Roman"/>
                  <w:szCs w:val="21"/>
                </w:rPr>
                <m:t>k=1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i,k</m:t>
                  </m:r>
                </m:sub>
              </m:sSub>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X</m:t>
                  </m:r>
                </m:e>
                <m:sub>
                  <m:r>
                    <w:rPr>
                      <w:rFonts w:ascii="Cambria Math" w:hAnsi="Cambria Math" w:cs="Times New Roman"/>
                      <w:szCs w:val="21"/>
                    </w:rPr>
                    <m:t>k,t</m:t>
                  </m:r>
                </m:sub>
              </m:sSub>
            </m:e>
          </m:nary>
          <m:r>
            <w:rPr>
              <w:rFonts w:ascii="Cambria Math" w:hAnsi="Cambria Math" w:cs="Times New Roman"/>
              <w:szCs w:val="21"/>
            </w:rPr>
            <m:t>+ </m:t>
          </m:r>
          <m:sSub>
            <m:sSubPr>
              <m:ctrlPr>
                <w:rPr>
                  <w:rFonts w:ascii="Cambria Math" w:hAnsi="Cambria Math" w:cs="Times New Roman"/>
                  <w:i/>
                  <w:iCs/>
                  <w:szCs w:val="21"/>
                </w:rPr>
              </m:ctrlPr>
            </m:sSubPr>
            <m:e>
              <m:r>
                <w:rPr>
                  <w:rFonts w:ascii="Cambria Math" w:hAnsi="Cambria Math" w:cs="Times New Roman"/>
                  <w:szCs w:val="21"/>
                </w:rPr>
                <m:t>ε</m:t>
              </m:r>
            </m:e>
            <m:sub>
              <m:r>
                <w:rPr>
                  <w:rFonts w:ascii="Cambria Math" w:hAnsi="Cambria Math" w:cs="Times New Roman"/>
                  <w:szCs w:val="21"/>
                </w:rPr>
                <m:t>t</m:t>
              </m:r>
            </m:sub>
          </m:sSub>
        </m:oMath>
      </m:oMathPara>
    </w:p>
    <w:p w14:paraId="486C130D" w14:textId="77777777" w:rsidR="0074478A" w:rsidRDefault="00690393">
      <w:pPr>
        <w:spacing w:afterLines="100" w:after="312"/>
        <w:jc w:val="right"/>
        <w:rPr>
          <w:rFonts w:ascii="Times New Roman" w:hAnsi="Times New Roman" w:cs="Times New Roman"/>
        </w:rPr>
      </w:pPr>
      <m:oMath>
        <m:r>
          <w:rPr>
            <w:rFonts w:ascii="Cambria Math" w:hAnsi="Cambria Math" w:cs="Times New Roman"/>
            <w:szCs w:val="21"/>
          </w:rPr>
          <m:t>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i-1</m:t>
            </m:r>
          </m:sub>
        </m:sSub>
        <m:r>
          <w:rPr>
            <w:rFonts w:ascii="Cambria Math" w:hAnsi="Cambria Math" w:cs="Times New Roman"/>
            <w:szCs w:val="21"/>
          </w:rPr>
          <m:t>+1,...,</m:t>
        </m:r>
        <m:sSub>
          <m:sSubPr>
            <m:ctrlPr>
              <w:rPr>
                <w:rFonts w:ascii="Cambria Math" w:hAnsi="Cambria Math" w:cs="Times New Roman"/>
                <w:i/>
                <w:iCs/>
                <w:szCs w:val="21"/>
              </w:rPr>
            </m:ctrlPr>
          </m:sSubPr>
          <m:e>
            <w:bookmarkStart w:id="56" w:name="OLE_LINK4"/>
            <m:r>
              <w:rPr>
                <w:rFonts w:ascii="Cambria Math" w:hAnsi="Cambria Math" w:cs="Times New Roman"/>
                <w:szCs w:val="21"/>
              </w:rPr>
              <m:t>T</m:t>
            </m:r>
          </m:e>
          <m:sub>
            <m:r>
              <w:rPr>
                <w:rFonts w:ascii="Cambria Math" w:hAnsi="Cambria Math" w:cs="Times New Roman"/>
                <w:szCs w:val="21"/>
              </w:rPr>
              <m:t>i</m:t>
            </m:r>
            <w:bookmarkEnd w:id="56"/>
          </m:sub>
        </m:sSub>
        <m:r>
          <w:rPr>
            <w:rFonts w:ascii="Cambria Math" w:hAnsi="Cambria Math" w:cs="Times New Roman"/>
            <w:szCs w:val="21"/>
          </w:rPr>
          <m:t>;</m:t>
        </m:r>
        <w:bookmarkStart w:id="57" w:name="OLE_LINK3"/>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0</m:t>
            </m:r>
          </m:sub>
        </m:sSub>
        <m:r>
          <w:rPr>
            <w:rFonts w:ascii="Cambria Math" w:hAnsi="Cambria Math" w:cs="Times New Roman"/>
            <w:szCs w:val="21"/>
          </w:rPr>
          <m:t>=0</m:t>
        </m:r>
        <w:bookmarkEnd w:id="57"/>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m+1</m:t>
            </m:r>
          </m:sub>
        </m:sSub>
        <m:r>
          <w:rPr>
            <w:rFonts w:ascii="Cambria Math" w:hAnsi="Cambria Math" w:cs="Times New Roman"/>
            <w:szCs w:val="21"/>
          </w:rPr>
          <m:t>=T;i=1,...,m+1</m:t>
        </m:r>
      </m:oMath>
      <w:r>
        <w:rPr>
          <w:rFonts w:ascii="Times New Roman" w:hAnsi="Times New Roman" w:cs="Times New Roman"/>
          <w:position w:val="-14"/>
        </w:rPr>
        <w:t xml:space="preserve">              </w:t>
      </w:r>
      <w:r>
        <w:rPr>
          <w:rFonts w:ascii="Times New Roman" w:hAnsi="Times New Roman" w:cs="Times New Roman"/>
        </w:rPr>
        <w:t>(2)</w:t>
      </w:r>
    </w:p>
    <w:p w14:paraId="7523BBF3" w14:textId="77777777" w:rsidR="0074478A" w:rsidRDefault="00690393">
      <w:pPr>
        <w:spacing w:afterLines="50" w:after="156"/>
        <w:rPr>
          <w:rFonts w:ascii="Times New Roman" w:hAnsi="Times New Roman" w:cs="Times New Roman"/>
        </w:rPr>
      </w:pPr>
      <w:r>
        <w:rPr>
          <w:rFonts w:ascii="Times New Roman" w:hAnsi="Times New Roman" w:cs="Times New Roman"/>
        </w:rPr>
        <w:t xml:space="preserve">The model allows the weights of the currencies in the basket </w:t>
      </w:r>
      <w:r>
        <w:rPr>
          <w:rFonts w:ascii="Times New Roman" w:hAnsi="Times New Roman" w:cs="Times New Roman" w:hint="eastAsia"/>
        </w:rPr>
        <w:t xml:space="preserve">to </w:t>
      </w:r>
      <w:r>
        <w:rPr>
          <w:rFonts w:ascii="Times New Roman" w:hAnsi="Times New Roman" w:cs="Times New Roman"/>
        </w:rPr>
        <w:t xml:space="preserve">vary across different time segments, split by break points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i</m:t>
            </m:r>
          </m:sub>
        </m:sSub>
      </m:oMath>
      <w:r>
        <w:rPr>
          <w:rFonts w:ascii="Times New Roman" w:hAnsi="Times New Roman" w:cs="Times New Roman"/>
          <w:iCs/>
        </w:rPr>
        <w:t xml:space="preserve"> when the regime switches</w:t>
      </w:r>
      <w:r>
        <w:rPr>
          <w:rFonts w:ascii="Times New Roman" w:hAnsi="Times New Roman" w:cs="Times New Roman"/>
        </w:rPr>
        <w:t xml:space="preserve">, thus relaxing the constraint that the coefficients in </w:t>
      </w:r>
      <w:r>
        <w:rPr>
          <w:rFonts w:ascii="Times New Roman" w:hAnsi="Times New Roman" w:cs="Times New Roman" w:hint="eastAsia"/>
        </w:rPr>
        <w:t>E</w:t>
      </w:r>
      <w:r>
        <w:rPr>
          <w:rFonts w:ascii="Times New Roman" w:hAnsi="Times New Roman" w:cs="Times New Roman"/>
        </w:rPr>
        <w:t>quation (1) must</w:t>
      </w:r>
      <w:r>
        <w:rPr>
          <w:rFonts w:ascii="Times New Roman" w:hAnsi="Times New Roman" w:cs="Times New Roman" w:hint="eastAsia"/>
        </w:rPr>
        <w:t xml:space="preserve"> be</w:t>
      </w:r>
      <w:r>
        <w:rPr>
          <w:rFonts w:ascii="Times New Roman" w:hAnsi="Times New Roman" w:cs="Times New Roman"/>
        </w:rPr>
        <w:t xml:space="preserve"> constant over time. Algebraically, Bai and Perron (1998) identify structural breaks by minimizing the sum of the squared residuals of </w:t>
      </w:r>
      <w:r>
        <w:rPr>
          <w:rFonts w:ascii="Times New Roman" w:hAnsi="Times New Roman" w:cs="Times New Roman" w:hint="eastAsia"/>
        </w:rPr>
        <w:t>E</w:t>
      </w:r>
      <w:r>
        <w:rPr>
          <w:rFonts w:ascii="Times New Roman" w:hAnsi="Times New Roman" w:cs="Times New Roman"/>
        </w:rPr>
        <w:t xml:space="preserve">quation (2), as represented by </w:t>
      </w:r>
      <w:r>
        <w:rPr>
          <w:rFonts w:ascii="Times New Roman" w:hAnsi="Times New Roman" w:cs="Times New Roman" w:hint="eastAsia"/>
        </w:rPr>
        <w:t>E</w:t>
      </w:r>
      <w:r>
        <w:rPr>
          <w:rFonts w:ascii="Times New Roman" w:hAnsi="Times New Roman" w:cs="Times New Roman"/>
        </w:rPr>
        <w:t xml:space="preserve">xpression (3): </w:t>
      </w:r>
    </w:p>
    <w:p w14:paraId="76EE5E7F" w14:textId="77777777" w:rsidR="0074478A" w:rsidRDefault="000C03D7">
      <w:pPr>
        <w:spacing w:afterLines="100" w:after="312"/>
        <w:jc w:val="right"/>
        <w:rPr>
          <w:rFonts w:ascii="Times New Roman" w:hAnsi="Times New Roman" w:cs="Times New Roman"/>
          <w:iCs/>
        </w:rPr>
      </w:pPr>
      <m:oMath>
        <m:nary>
          <m:naryPr>
            <m:chr m:val="∑"/>
            <m:ctrlPr>
              <w:rPr>
                <w:rFonts w:ascii="Cambria Math" w:hAnsi="Cambria Math" w:cs="Times New Roman"/>
                <w:i/>
                <w:iCs/>
                <w:szCs w:val="21"/>
              </w:rPr>
            </m:ctrlPr>
          </m:naryPr>
          <m:sub>
            <m:r>
              <w:rPr>
                <w:rFonts w:ascii="Cambria Math" w:hAnsi="Cambria Math" w:cs="Times New Roman"/>
                <w:szCs w:val="21"/>
              </w:rPr>
              <m:t>i</m:t>
            </m:r>
            <m:r>
              <w:rPr>
                <w:rFonts w:ascii="Cambria Math" w:hAnsi="Cambria Math" w:cs="Times New Roman"/>
                <w:szCs w:val="21"/>
              </w:rPr>
              <m:t>=1</m:t>
            </m:r>
          </m:sub>
          <m:sup>
            <m:r>
              <w:rPr>
                <w:rFonts w:ascii="Cambria Math" w:hAnsi="Cambria Math" w:cs="Times New Roman"/>
                <w:szCs w:val="21"/>
              </w:rPr>
              <m:t>m</m:t>
            </m:r>
            <m:r>
              <w:rPr>
                <w:rFonts w:ascii="Cambria Math" w:hAnsi="Cambria Math" w:cs="Times New Roman"/>
                <w:szCs w:val="21"/>
              </w:rPr>
              <m:t>+1</m:t>
            </m:r>
          </m:sup>
          <m:e>
            <m:nary>
              <m:naryPr>
                <m:chr m:val="∑"/>
                <m:ctrlPr>
                  <w:rPr>
                    <w:rFonts w:ascii="Cambria Math" w:hAnsi="Cambria Math" w:cs="Times New Roman"/>
                    <w:i/>
                    <w:iCs/>
                    <w:szCs w:val="21"/>
                  </w:rPr>
                </m:ctrlPr>
              </m:naryPr>
              <m:sub>
                <m:r>
                  <w:rPr>
                    <w:rFonts w:ascii="Cambria Math" w:hAnsi="Cambria Math" w:cs="Times New Roman"/>
                    <w:szCs w:val="21"/>
                  </w:rPr>
                  <m:t>t</m:t>
                </m:r>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m:t>
                    </m:r>
                    <m:r>
                      <w:rPr>
                        <w:rFonts w:ascii="Cambria Math" w:hAnsi="Cambria Math" w:cs="Times New Roman"/>
                        <w:szCs w:val="21"/>
                      </w:rPr>
                      <m:t>-</m:t>
                    </m:r>
                    <m:r>
                      <w:rPr>
                        <w:rFonts w:ascii="Cambria Math" w:hAnsi="Cambria Math" w:cs="Times New Roman"/>
                        <w:szCs w:val="21"/>
                      </w:rPr>
                      <m:t>1</m:t>
                    </m:r>
                  </m:sub>
                </m:sSub>
                <m:r>
                  <m:rPr>
                    <m:brk m:alnAt="1"/>
                  </m:rPr>
                  <w:rPr>
                    <w:rFonts w:ascii="Cambria Math" w:hAnsi="Cambria Math" w:cs="Times New Roman"/>
                    <w:szCs w:val="21"/>
                  </w:rPr>
                  <m:t>+1</m:t>
                </m:r>
              </m:sub>
              <m:sup>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m:t>
                    </m:r>
                  </m:sub>
                </m:sSub>
              </m:sup>
              <m:e>
                <m:sSup>
                  <m:sSupPr>
                    <m:ctrlPr>
                      <w:rPr>
                        <w:rFonts w:ascii="Cambria Math" w:hAnsi="Cambria Math" w:cs="Times New Roman"/>
                        <w:i/>
                        <w:iCs/>
                        <w:szCs w:val="21"/>
                      </w:rPr>
                    </m:ctrlPr>
                  </m:sSupPr>
                  <m:e>
                    <m:r>
                      <w:rPr>
                        <w:rFonts w:ascii="Cambria Math" w:hAnsi="Cambria Math" w:cs="Times New Roman"/>
                        <w:szCs w:val="21"/>
                      </w:rPr>
                      <m:t>[∆</m:t>
                    </m:r>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m:t>
                    </m:r>
                    <m:nary>
                      <m:naryPr>
                        <m:chr m:val="∑"/>
                        <m:ctrlPr>
                          <w:rPr>
                            <w:rFonts w:ascii="Cambria Math" w:hAnsi="Cambria Math" w:cs="Times New Roman"/>
                            <w:i/>
                            <w:iCs/>
                            <w:szCs w:val="21"/>
                          </w:rPr>
                        </m:ctrlPr>
                      </m:naryPr>
                      <m:sub>
                        <m:r>
                          <w:rPr>
                            <w:rFonts w:ascii="Cambria Math" w:hAnsi="Cambria Math" w:cs="Times New Roman"/>
                            <w:szCs w:val="21"/>
                          </w:rPr>
                          <m:t>k</m:t>
                        </m:r>
                        <m:r>
                          <w:rPr>
                            <w:rFonts w:ascii="Cambria Math" w:hAnsi="Cambria Math" w:cs="Times New Roman"/>
                            <w:szCs w:val="21"/>
                          </w:rPr>
                          <m:t>=1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m:t>
                            </m:r>
                            <m:r>
                              <w:rPr>
                                <w:rFonts w:ascii="Cambria Math" w:hAnsi="Cambria Math" w:cs="Times New Roman"/>
                                <w:szCs w:val="21"/>
                              </w:rPr>
                              <m:t>,</m:t>
                            </m:r>
                            <m:r>
                              <w:rPr>
                                <w:rFonts w:ascii="Cambria Math" w:hAnsi="Cambria Math" w:cs="Times New Roman"/>
                                <w:szCs w:val="21"/>
                              </w:rPr>
                              <m:t>k</m:t>
                            </m:r>
                          </m:sub>
                        </m:sSub>
                        <m:sSub>
                          <m:sSubPr>
                            <m:ctrlPr>
                              <w:rPr>
                                <w:rFonts w:ascii="Cambria Math" w:hAnsi="Cambria Math" w:cs="Times New Roman"/>
                                <w:i/>
                                <w:iCs/>
                                <w:szCs w:val="21"/>
                              </w:rPr>
                            </m:ctrlPr>
                          </m:sSubPr>
                          <m:e>
                            <m:r>
                              <w:rPr>
                                <w:rFonts w:ascii="Cambria Math" w:hAnsi="Cambria Math" w:cs="Times New Roman"/>
                                <w:szCs w:val="21"/>
                              </w:rPr>
                              <m:t>∆</m:t>
                            </m:r>
                            <m:r>
                              <w:rPr>
                                <w:rFonts w:ascii="Cambria Math" w:hAnsi="Cambria Math" w:cs="Times New Roman"/>
                                <w:szCs w:val="21"/>
                              </w:rPr>
                              <m:t>logX</m:t>
                            </m:r>
                          </m:e>
                          <m:sub>
                            <m:r>
                              <w:rPr>
                                <w:rFonts w:ascii="Cambria Math" w:hAnsi="Cambria Math" w:cs="Times New Roman"/>
                                <w:szCs w:val="21"/>
                              </w:rPr>
                              <m:t>k</m:t>
                            </m:r>
                            <m:r>
                              <w:rPr>
                                <w:rFonts w:ascii="Cambria Math" w:hAnsi="Cambria Math" w:cs="Times New Roman"/>
                                <w:szCs w:val="21"/>
                              </w:rPr>
                              <m:t>,</m:t>
                            </m:r>
                            <m:r>
                              <w:rPr>
                                <w:rFonts w:ascii="Cambria Math" w:hAnsi="Cambria Math" w:cs="Times New Roman"/>
                                <w:szCs w:val="21"/>
                              </w:rPr>
                              <m:t>t</m:t>
                            </m:r>
                          </m:sub>
                        </m:sSub>
                        <m:r>
                          <w:rPr>
                            <w:rFonts w:ascii="Cambria Math" w:hAnsi="Cambria Math" w:cs="Times New Roman"/>
                            <w:szCs w:val="21"/>
                          </w:rPr>
                          <m:t> </m:t>
                        </m:r>
                      </m:e>
                    </m:nary>
                    <m:r>
                      <w:rPr>
                        <w:rFonts w:ascii="Cambria Math" w:hAnsi="Cambria Math" w:cs="Times New Roman"/>
                        <w:szCs w:val="21"/>
                      </w:rPr>
                      <m:t>]</m:t>
                    </m:r>
                  </m:e>
                  <m:sup>
                    <m:r>
                      <w:rPr>
                        <w:rFonts w:ascii="Cambria Math" w:hAnsi="Cambria Math" w:cs="Times New Roman"/>
                        <w:szCs w:val="21"/>
                      </w:rPr>
                      <m:t>2</m:t>
                    </m:r>
                  </m:sup>
                </m:sSup>
              </m:e>
            </m:nary>
          </m:e>
        </m:nary>
      </m:oMath>
      <w:r w:rsidR="00690393">
        <w:rPr>
          <w:rFonts w:ascii="Times New Roman" w:hAnsi="Times New Roman" w:cs="Times New Roman"/>
          <w:iCs/>
        </w:rPr>
        <w:t xml:space="preserve">              (3)</w:t>
      </w:r>
    </w:p>
    <w:p w14:paraId="31AC2CD7" w14:textId="77777777" w:rsidR="0074478A" w:rsidRDefault="00690393">
      <w:pPr>
        <w:spacing w:afterLines="100" w:after="312"/>
        <w:rPr>
          <w:rFonts w:ascii="Times New Roman" w:hAnsi="Times New Roman" w:cs="Times New Roman"/>
          <w:iCs/>
          <w:szCs w:val="21"/>
        </w:rPr>
      </w:pPr>
      <w:r>
        <w:rPr>
          <w:rFonts w:ascii="Times New Roman" w:hAnsi="Times New Roman" w:cs="Times New Roman"/>
        </w:rPr>
        <w:t xml:space="preserve">For any given partition </w:t>
      </w:r>
      <m:oMath>
        <m:r>
          <m:rPr>
            <m:sty m:val="p"/>
          </m:rPr>
          <w:rPr>
            <w:rFonts w:ascii="Cambria Math" w:hAnsi="Cambria Math" w:cs="Times New Roman"/>
          </w:rPr>
          <m:t>(</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0</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i/>
                <w:szCs w:val="21"/>
              </w:rPr>
            </m:ctrlPr>
          </m:sSubPr>
          <m:e>
            <w:bookmarkStart w:id="58" w:name="OLE_LINK5"/>
            <m:r>
              <w:rPr>
                <w:rFonts w:ascii="Cambria Math" w:hAnsi="Cambria Math" w:cs="Times New Roman"/>
                <w:szCs w:val="21"/>
              </w:rPr>
              <m:t>T</m:t>
            </m:r>
          </m:e>
          <m:sub>
            <m:r>
              <w:rPr>
                <w:rFonts w:ascii="Cambria Math" w:hAnsi="Cambria Math" w:cs="Times New Roman"/>
                <w:szCs w:val="21"/>
              </w:rPr>
              <m:t>m+1</m:t>
            </m:r>
            <w:bookmarkEnd w:id="58"/>
          </m:sub>
        </m:sSub>
        <m:r>
          <m:rPr>
            <m:sty m:val="p"/>
          </m:rPr>
          <w:rPr>
            <w:rFonts w:ascii="Cambria Math" w:hAnsi="Cambria Math" w:cs="Times New Roman"/>
          </w:rPr>
          <m:t>)</m:t>
        </m:r>
      </m:oMath>
      <w:r>
        <w:rPr>
          <w:rFonts w:ascii="Times New Roman" w:hAnsi="Times New Roman" w:cs="Times New Roman"/>
        </w:rPr>
        <w:t xml:space="preserve">, we determine a set of parameters </w:t>
      </w:r>
      <m:oMath>
        <m:r>
          <m:rPr>
            <m:sty m:val="p"/>
          </m:rP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i/>
                <w:iCs/>
                <w:szCs w:val="21"/>
              </w:rPr>
            </m:ctrlPr>
          </m:sSubSupPr>
          <m:e>
            <m:r>
              <w:rPr>
                <w:rFonts w:ascii="Cambria Math" w:hAnsi="Cambria Math" w:cs="Times New Roman"/>
                <w:szCs w:val="21"/>
              </w:rPr>
              <m:t>w</m:t>
            </m:r>
          </m:e>
          <m:sub>
            <m:r>
              <w:rPr>
                <w:rFonts w:ascii="Cambria Math" w:hAnsi="Cambria Math" w:cs="Times New Roman"/>
                <w:szCs w:val="21"/>
              </w:rPr>
              <m:t>i,k</m:t>
            </m:r>
          </m:sub>
          <m:sup>
            <m:r>
              <w:rPr>
                <w:rFonts w:ascii="Cambria Math" w:hAnsi="Cambria Math" w:cs="Times New Roman"/>
                <w:szCs w:val="21"/>
              </w:rPr>
              <m:t>*</m:t>
            </m:r>
          </m:sup>
        </m:sSubSup>
        <m:r>
          <m:rPr>
            <m:sty m:val="p"/>
          </m:rPr>
          <w:rPr>
            <w:rFonts w:ascii="Cambria Math" w:hAnsi="Cambria Math" w:cs="Times New Roman"/>
            <w:szCs w:val="21"/>
          </w:rPr>
          <m:t>)</m:t>
        </m:r>
      </m:oMath>
      <w:r>
        <w:rPr>
          <w:rFonts w:ascii="Times New Roman" w:hAnsi="Times New Roman" w:cs="Times New Roman"/>
          <w:iCs/>
          <w:szCs w:val="21"/>
        </w:rPr>
        <w:t xml:space="preserve"> that minimize the sum of squared residuals, as shown by </w:t>
      </w:r>
      <w:r>
        <w:rPr>
          <w:rFonts w:ascii="Times New Roman" w:hAnsi="Times New Roman" w:cs="Times New Roman" w:hint="eastAsia"/>
          <w:iCs/>
          <w:szCs w:val="21"/>
        </w:rPr>
        <w:t>E</w:t>
      </w:r>
      <w:r>
        <w:rPr>
          <w:rFonts w:ascii="Times New Roman" w:hAnsi="Times New Roman" w:cs="Times New Roman"/>
          <w:iCs/>
          <w:szCs w:val="21"/>
        </w:rPr>
        <w:t xml:space="preserve">quation (4): </w:t>
      </w:r>
    </w:p>
    <w:p w14:paraId="354113F1" w14:textId="77777777" w:rsidR="0074478A" w:rsidRDefault="00690393">
      <w:pPr>
        <w:spacing w:afterLines="100" w:after="312"/>
        <w:jc w:val="right"/>
        <w:rPr>
          <w:rFonts w:ascii="Times New Roman" w:hAnsi="Times New Roman" w:cs="Times New Roman"/>
          <w:iCs/>
        </w:rPr>
      </w:pPr>
      <w:bookmarkStart w:id="59" w:name="OLE_LINK6"/>
      <m:oMath>
        <m:r>
          <m:rPr>
            <m:sty m:val="p"/>
          </m:rP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i/>
                <w:iCs/>
                <w:szCs w:val="21"/>
              </w:rPr>
            </m:ctrlPr>
          </m:sSubSupPr>
          <m:e>
            <m:r>
              <w:rPr>
                <w:rFonts w:ascii="Cambria Math" w:hAnsi="Cambria Math" w:cs="Times New Roman"/>
                <w:szCs w:val="21"/>
              </w:rPr>
              <m:t>w</m:t>
            </m:r>
          </m:e>
          <m:sub>
            <m:r>
              <w:rPr>
                <w:rFonts w:ascii="Cambria Math" w:hAnsi="Cambria Math" w:cs="Times New Roman"/>
                <w:szCs w:val="21"/>
              </w:rPr>
              <m:t>i,k</m:t>
            </m:r>
          </m:sub>
          <m:sup>
            <m:r>
              <w:rPr>
                <w:rFonts w:ascii="Cambria Math" w:hAnsi="Cambria Math" w:cs="Times New Roman"/>
                <w:szCs w:val="21"/>
              </w:rPr>
              <m:t>*</m:t>
            </m:r>
          </m:sup>
        </m:sSubSup>
        <m:r>
          <m:rPr>
            <m:sty m:val="p"/>
          </m:rPr>
          <w:rPr>
            <w:rFonts w:ascii="Cambria Math" w:hAnsi="Cambria Math" w:cs="Times New Roman"/>
            <w:szCs w:val="21"/>
          </w:rPr>
          <m:t>)=</m:t>
        </m:r>
        <m:func>
          <m:funcPr>
            <m:ctrlPr>
              <w:rPr>
                <w:rFonts w:ascii="Cambria Math" w:hAnsi="Cambria Math" w:cs="Times New Roman"/>
                <w:iCs/>
                <w:szCs w:val="21"/>
              </w:rPr>
            </m:ctrlPr>
          </m:funcPr>
          <m:fName>
            <m:limLow>
              <m:limLowPr>
                <m:ctrlPr>
                  <w:rPr>
                    <w:rFonts w:ascii="Cambria Math" w:hAnsi="Cambria Math" w:cs="Times New Roman"/>
                    <w:iCs/>
                    <w:szCs w:val="21"/>
                  </w:rPr>
                </m:ctrlPr>
              </m:limLowPr>
              <m:e>
                <m:r>
                  <m:rPr>
                    <m:sty m:val="p"/>
                  </m:rPr>
                  <w:rPr>
                    <w:rFonts w:ascii="Cambria Math" w:hAnsi="Cambria Math" w:cs="Times New Roman"/>
                    <w:szCs w:val="21"/>
                  </w:rPr>
                  <m:t>argmin</m:t>
                </m:r>
              </m:e>
              <m:lim>
                <m:sSub>
                  <m:sSubPr>
                    <m:ctrlPr>
                      <w:rPr>
                        <w:rFonts w:ascii="Cambria Math" w:hAnsi="Cambria Math" w:cs="Times New Roman"/>
                        <w:i/>
                        <w:iCs/>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i,k</m:t>
                    </m:r>
                  </m:sub>
                </m:sSub>
              </m:lim>
            </m:limLow>
          </m:fName>
          <m:e>
            <m:nary>
              <m:naryPr>
                <m:chr m:val="∑"/>
                <m:ctrlPr>
                  <w:rPr>
                    <w:rFonts w:ascii="Cambria Math" w:hAnsi="Cambria Math" w:cs="Times New Roman"/>
                    <w:i/>
                    <w:iCs/>
                    <w:szCs w:val="21"/>
                  </w:rPr>
                </m:ctrlPr>
              </m:naryPr>
              <m:sub>
                <m:r>
                  <w:rPr>
                    <w:rFonts w:ascii="Cambria Math" w:hAnsi="Cambria Math" w:cs="Times New Roman"/>
                    <w:szCs w:val="21"/>
                  </w:rPr>
                  <m:t>i=1</m:t>
                </m:r>
              </m:sub>
              <m:sup>
                <m:r>
                  <w:rPr>
                    <w:rFonts w:ascii="Cambria Math" w:hAnsi="Cambria Math" w:cs="Times New Roman"/>
                    <w:szCs w:val="21"/>
                  </w:rPr>
                  <m:t>m+1</m:t>
                </m:r>
              </m:sup>
              <m:e>
                <m:nary>
                  <m:naryPr>
                    <m:chr m:val="∑"/>
                    <m:ctrlPr>
                      <w:rPr>
                        <w:rFonts w:ascii="Cambria Math" w:hAnsi="Cambria Math" w:cs="Times New Roman"/>
                        <w:i/>
                        <w:iCs/>
                        <w:szCs w:val="21"/>
                      </w:rPr>
                    </m:ctrlPr>
                  </m:naryPr>
                  <m:sub>
                    <m:r>
                      <w:rPr>
                        <w:rFonts w:ascii="Cambria Math" w:hAnsi="Cambria Math" w:cs="Times New Roman"/>
                        <w:szCs w:val="21"/>
                      </w:rPr>
                      <m:t>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i-1</m:t>
                        </m:r>
                      </m:sub>
                    </m:sSub>
                    <m:r>
                      <m:rPr>
                        <m:brk m:alnAt="1"/>
                      </m:rPr>
                      <w:rPr>
                        <w:rFonts w:ascii="Cambria Math" w:hAnsi="Cambria Math" w:cs="Times New Roman"/>
                        <w:szCs w:val="21"/>
                      </w:rPr>
                      <m:t>+1</m:t>
                    </m:r>
                  </m:sub>
                  <m:sup>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m:t>
                        </m:r>
                      </m:sub>
                    </m:sSub>
                  </m:sup>
                  <m:e>
                    <m:sSup>
                      <m:sSupPr>
                        <m:ctrlPr>
                          <w:rPr>
                            <w:rFonts w:ascii="Cambria Math" w:hAnsi="Cambria Math" w:cs="Times New Roman"/>
                            <w:i/>
                            <w:iCs/>
                            <w:szCs w:val="21"/>
                          </w:rPr>
                        </m:ctrlPr>
                      </m:sSupPr>
                      <m:e>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m:t>
                        </m:r>
                        <m:nary>
                          <m:naryPr>
                            <m:chr m:val="∑"/>
                            <m:ctrlPr>
                              <w:rPr>
                                <w:rFonts w:ascii="Cambria Math" w:hAnsi="Cambria Math" w:cs="Times New Roman"/>
                                <w:i/>
                                <w:iCs/>
                                <w:szCs w:val="21"/>
                              </w:rPr>
                            </m:ctrlPr>
                          </m:naryPr>
                          <m:sub>
                            <m:r>
                              <w:rPr>
                                <w:rFonts w:ascii="Cambria Math" w:hAnsi="Cambria Math" w:cs="Times New Roman"/>
                                <w:szCs w:val="21"/>
                              </w:rPr>
                              <m:t>k=1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i,k</m:t>
                                </m:r>
                              </m:sub>
                            </m:sSub>
                            <m:sSub>
                              <m:sSubPr>
                                <m:ctrlPr>
                                  <w:rPr>
                                    <w:rFonts w:ascii="Cambria Math" w:hAnsi="Cambria Math" w:cs="Times New Roman"/>
                                    <w:i/>
                                    <w:iCs/>
                                    <w:szCs w:val="21"/>
                                  </w:rPr>
                                </m:ctrlPr>
                              </m:sSubPr>
                              <m:e>
                                <m:r>
                                  <w:rPr>
                                    <w:rFonts w:ascii="Cambria Math" w:hAnsi="Cambria Math" w:cs="Times New Roman"/>
                                    <w:szCs w:val="21"/>
                                  </w:rPr>
                                  <m:t>∆logX</m:t>
                                </m:r>
                              </m:e>
                              <m:sub>
                                <m:r>
                                  <w:rPr>
                                    <w:rFonts w:ascii="Cambria Math" w:hAnsi="Cambria Math" w:cs="Times New Roman"/>
                                    <w:szCs w:val="21"/>
                                  </w:rPr>
                                  <m:t>k,t</m:t>
                                </m:r>
                              </m:sub>
                            </m:sSub>
                            <m:r>
                              <w:rPr>
                                <w:rFonts w:ascii="Cambria Math" w:hAnsi="Cambria Math" w:cs="Times New Roman"/>
                                <w:szCs w:val="21"/>
                              </w:rPr>
                              <m:t> </m:t>
                            </m:r>
                          </m:e>
                        </m:nary>
                        <m:r>
                          <w:rPr>
                            <w:rFonts w:ascii="Cambria Math" w:hAnsi="Cambria Math" w:cs="Times New Roman"/>
                            <w:szCs w:val="21"/>
                          </w:rPr>
                          <m:t>]</m:t>
                        </m:r>
                      </m:e>
                      <m:sup>
                        <m:r>
                          <w:rPr>
                            <w:rFonts w:ascii="Cambria Math" w:hAnsi="Cambria Math" w:cs="Times New Roman"/>
                            <w:szCs w:val="21"/>
                          </w:rPr>
                          <m:t>2</m:t>
                        </m:r>
                      </m:sup>
                    </m:sSup>
                  </m:e>
                </m:nary>
              </m:e>
            </m:nary>
          </m:e>
        </m:func>
      </m:oMath>
      <w:r>
        <w:rPr>
          <w:rFonts w:ascii="Times New Roman" w:hAnsi="Times New Roman" w:cs="Times New Roman"/>
          <w:iCs/>
        </w:rPr>
        <w:t xml:space="preserve">        (4)</w:t>
      </w:r>
    </w:p>
    <w:bookmarkEnd w:id="59"/>
    <w:p w14:paraId="1CA6C43E" w14:textId="77777777" w:rsidR="0074478A" w:rsidRDefault="00690393">
      <w:pPr>
        <w:spacing w:afterLines="100" w:after="312"/>
        <w:rPr>
          <w:rFonts w:ascii="Times New Roman" w:hAnsi="Times New Roman" w:cs="Times New Roman"/>
          <w:iCs/>
          <w:szCs w:val="21"/>
        </w:rPr>
      </w:pPr>
      <w:r>
        <w:rPr>
          <w:rFonts w:ascii="Times New Roman" w:hAnsi="Times New Roman" w:cs="Times New Roman"/>
          <w:iCs/>
          <w:szCs w:val="21"/>
        </w:rPr>
        <w:t xml:space="preserve">Then, the optimal partition </w:t>
      </w:r>
      <m:oMath>
        <m:r>
          <m:rPr>
            <m:sty m:val="p"/>
          </m:rP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m+1</m:t>
            </m:r>
          </m:sub>
          <m:sup>
            <m:r>
              <w:rPr>
                <w:rFonts w:ascii="Cambria Math" w:hAnsi="Cambria Math" w:cs="Times New Roman"/>
              </w:rPr>
              <m:t>*</m:t>
            </m:r>
          </m:sup>
        </m:sSubSup>
        <m:r>
          <m:rPr>
            <m:sty m:val="p"/>
          </m:rPr>
          <w:rPr>
            <w:rFonts w:ascii="Cambria Math" w:hAnsi="Cambria Math" w:cs="Times New Roman"/>
          </w:rPr>
          <m:t>)</m:t>
        </m:r>
      </m:oMath>
      <w:r>
        <w:rPr>
          <w:rFonts w:ascii="Times New Roman" w:hAnsi="Times New Roman" w:cs="Times New Roman"/>
        </w:rPr>
        <w:t xml:space="preserve"> is inferred by comparing the goodness of fit of the different partitions and globally minimizing </w:t>
      </w:r>
      <w:r>
        <w:rPr>
          <w:rFonts w:ascii="Times New Roman" w:hAnsi="Times New Roman" w:cs="Times New Roman"/>
          <w:iCs/>
          <w:szCs w:val="21"/>
        </w:rPr>
        <w:t>the sum of squared residuals, as represented by equation (5):</w:t>
      </w:r>
    </w:p>
    <w:p w14:paraId="44C34122" w14:textId="77777777" w:rsidR="0074478A" w:rsidRDefault="00690393">
      <w:pPr>
        <w:spacing w:afterLines="100" w:after="312"/>
        <w:jc w:val="right"/>
        <w:rPr>
          <w:rFonts w:ascii="Times New Roman" w:hAnsi="Times New Roman" w:cs="Times New Roman"/>
          <w:iCs/>
        </w:rPr>
      </w:pPr>
      <m:oMath>
        <m:r>
          <m:rPr>
            <m:sty m:val="p"/>
          </m:rP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m+1</m:t>
            </m:r>
          </m:sub>
          <m:sup>
            <m:r>
              <w:rPr>
                <w:rFonts w:ascii="Cambria Math" w:hAnsi="Cambria Math" w:cs="Times New Roman"/>
              </w:rPr>
              <m:t>*</m:t>
            </m:r>
          </m:sup>
        </m:sSubSup>
        <m:r>
          <m:rPr>
            <m:sty m:val="p"/>
          </m:rPr>
          <w:rPr>
            <w:rFonts w:ascii="Cambria Math" w:hAnsi="Cambria Math" w:cs="Times New Roman"/>
          </w:rPr>
          <m:t>)</m:t>
        </m:r>
        <m:r>
          <m:rPr>
            <m:sty m:val="p"/>
          </m:rPr>
          <w:rPr>
            <w:rFonts w:ascii="Cambria Math" w:hAnsi="Cambria Math" w:cs="Times New Roman"/>
            <w:szCs w:val="21"/>
          </w:rPr>
          <m:t>=</m:t>
        </m:r>
        <m:func>
          <m:funcPr>
            <m:ctrlPr>
              <w:rPr>
                <w:rFonts w:ascii="Cambria Math" w:hAnsi="Cambria Math" w:cs="Times New Roman"/>
                <w:iCs/>
                <w:szCs w:val="21"/>
              </w:rPr>
            </m:ctrlPr>
          </m:funcPr>
          <m:fName>
            <m:limLow>
              <m:limLowPr>
                <m:ctrlPr>
                  <w:rPr>
                    <w:rFonts w:ascii="Cambria Math" w:hAnsi="Cambria Math" w:cs="Times New Roman"/>
                    <w:iCs/>
                    <w:szCs w:val="21"/>
                  </w:rPr>
                </m:ctrlPr>
              </m:limLowPr>
              <m:e>
                <m:r>
                  <m:rPr>
                    <m:sty m:val="p"/>
                  </m:rPr>
                  <w:rPr>
                    <w:rFonts w:ascii="Cambria Math" w:hAnsi="Cambria Math" w:cs="Times New Roman"/>
                    <w:szCs w:val="21"/>
                  </w:rPr>
                  <m:t>argmin</m:t>
                </m:r>
              </m:e>
              <m:lim>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0</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2</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m+1</m:t>
                    </m:r>
                  </m:sub>
                </m:sSub>
              </m:lim>
            </m:limLow>
          </m:fName>
          <m:e>
            <m:nary>
              <m:naryPr>
                <m:chr m:val="∑"/>
                <m:ctrlPr>
                  <w:rPr>
                    <w:rFonts w:ascii="Cambria Math" w:hAnsi="Cambria Math" w:cs="Times New Roman"/>
                    <w:i/>
                    <w:iCs/>
                    <w:szCs w:val="21"/>
                  </w:rPr>
                </m:ctrlPr>
              </m:naryPr>
              <m:sub>
                <m:r>
                  <w:rPr>
                    <w:rFonts w:ascii="Cambria Math" w:hAnsi="Cambria Math" w:cs="Times New Roman"/>
                    <w:szCs w:val="21"/>
                  </w:rPr>
                  <m:t>i=1</m:t>
                </m:r>
              </m:sub>
              <m:sup>
                <m:r>
                  <w:rPr>
                    <w:rFonts w:ascii="Cambria Math" w:hAnsi="Cambria Math" w:cs="Times New Roman"/>
                    <w:szCs w:val="21"/>
                  </w:rPr>
                  <m:t>m+1</m:t>
                </m:r>
              </m:sup>
              <m:e>
                <m:nary>
                  <m:naryPr>
                    <m:chr m:val="∑"/>
                    <m:ctrlPr>
                      <w:rPr>
                        <w:rFonts w:ascii="Cambria Math" w:hAnsi="Cambria Math" w:cs="Times New Roman"/>
                        <w:i/>
                        <w:iCs/>
                        <w:szCs w:val="21"/>
                      </w:rPr>
                    </m:ctrlPr>
                  </m:naryPr>
                  <m:sub>
                    <m:r>
                      <w:rPr>
                        <w:rFonts w:ascii="Cambria Math" w:hAnsi="Cambria Math" w:cs="Times New Roman"/>
                        <w:szCs w:val="21"/>
                      </w:rPr>
                      <m:t>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i-1</m:t>
                        </m:r>
                      </m:sub>
                    </m:sSub>
                    <m:r>
                      <m:rPr>
                        <m:brk m:alnAt="1"/>
                      </m:rPr>
                      <w:rPr>
                        <w:rFonts w:ascii="Cambria Math" w:hAnsi="Cambria Math" w:cs="Times New Roman"/>
                        <w:szCs w:val="21"/>
                      </w:rPr>
                      <m:t>+1</m:t>
                    </m:r>
                  </m:sub>
                  <m:sup>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m:t>
                        </m:r>
                      </m:sub>
                    </m:sSub>
                  </m:sup>
                  <m:e>
                    <m:sSup>
                      <m:sSupPr>
                        <m:ctrlPr>
                          <w:rPr>
                            <w:rFonts w:ascii="Cambria Math" w:hAnsi="Cambria Math" w:cs="Times New Roman"/>
                            <w:i/>
                            <w:iCs/>
                            <w:szCs w:val="21"/>
                          </w:rPr>
                        </m:ctrlPr>
                      </m:sSupPr>
                      <m:e>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szCs w:val="21"/>
                          </w:rPr>
                          <m:t>-</m:t>
                        </m:r>
                        <m:nary>
                          <m:naryPr>
                            <m:chr m:val="∑"/>
                            <m:ctrlPr>
                              <w:rPr>
                                <w:rFonts w:ascii="Cambria Math" w:hAnsi="Cambria Math" w:cs="Times New Roman"/>
                                <w:i/>
                                <w:iCs/>
                                <w:szCs w:val="21"/>
                              </w:rPr>
                            </m:ctrlPr>
                          </m:naryPr>
                          <m:sub>
                            <m:r>
                              <w:rPr>
                                <w:rFonts w:ascii="Cambria Math" w:hAnsi="Cambria Math" w:cs="Times New Roman"/>
                                <w:szCs w:val="21"/>
                              </w:rPr>
                              <m:t>k=1</m:t>
                            </m:r>
                          </m:sub>
                          <m:sup>
                            <m:r>
                              <w:rPr>
                                <w:rFonts w:ascii="Cambria Math" w:hAnsi="Cambria Math" w:cs="Times New Roman"/>
                                <w:szCs w:val="21"/>
                              </w:rPr>
                              <m:t>n</m:t>
                            </m:r>
                          </m:sup>
                          <m:e>
                            <m:sSubSup>
                              <m:sSubSupPr>
                                <m:ctrlPr>
                                  <w:rPr>
                                    <w:rFonts w:ascii="Cambria Math" w:hAnsi="Cambria Math" w:cs="Times New Roman"/>
                                    <w:i/>
                                    <w:iCs/>
                                    <w:szCs w:val="21"/>
                                  </w:rPr>
                                </m:ctrlPr>
                              </m:sSubSupPr>
                              <m:e>
                                <m:r>
                                  <w:rPr>
                                    <w:rFonts w:ascii="Cambria Math" w:hAnsi="Cambria Math" w:cs="Times New Roman"/>
                                    <w:szCs w:val="21"/>
                                  </w:rPr>
                                  <m:t>w</m:t>
                                </m:r>
                              </m:e>
                              <m:sub>
                                <m:r>
                                  <w:rPr>
                                    <w:rFonts w:ascii="Cambria Math" w:hAnsi="Cambria Math" w:cs="Times New Roman"/>
                                    <w:szCs w:val="21"/>
                                  </w:rPr>
                                  <m:t>i,k</m:t>
                                </m:r>
                              </m:sub>
                              <m:sup>
                                <m:r>
                                  <w:rPr>
                                    <w:rFonts w:ascii="Cambria Math" w:hAnsi="Cambria Math" w:cs="Times New Roman"/>
                                    <w:szCs w:val="21"/>
                                  </w:rPr>
                                  <m:t>*</m:t>
                                </m:r>
                              </m:sup>
                            </m:sSubSup>
                            <m:sSub>
                              <m:sSubPr>
                                <m:ctrlPr>
                                  <w:rPr>
                                    <w:rFonts w:ascii="Cambria Math" w:hAnsi="Cambria Math" w:cs="Times New Roman"/>
                                    <w:i/>
                                    <w:iCs/>
                                    <w:szCs w:val="21"/>
                                  </w:rPr>
                                </m:ctrlPr>
                              </m:sSubPr>
                              <m:e>
                                <m:r>
                                  <w:rPr>
                                    <w:rFonts w:ascii="Cambria Math" w:hAnsi="Cambria Math" w:cs="Times New Roman"/>
                                    <w:szCs w:val="21"/>
                                  </w:rPr>
                                  <m:t>∆logX</m:t>
                                </m:r>
                              </m:e>
                              <m:sub>
                                <m:r>
                                  <w:rPr>
                                    <w:rFonts w:ascii="Cambria Math" w:hAnsi="Cambria Math" w:cs="Times New Roman"/>
                                    <w:szCs w:val="21"/>
                                  </w:rPr>
                                  <m:t>k,t</m:t>
                                </m:r>
                              </m:sub>
                            </m:sSub>
                            <m:r>
                              <w:rPr>
                                <w:rFonts w:ascii="Cambria Math" w:hAnsi="Cambria Math" w:cs="Times New Roman"/>
                                <w:szCs w:val="21"/>
                              </w:rPr>
                              <m:t> </m:t>
                            </m:r>
                          </m:e>
                        </m:nary>
                        <m:r>
                          <w:rPr>
                            <w:rFonts w:ascii="Cambria Math" w:hAnsi="Cambria Math" w:cs="Times New Roman"/>
                            <w:szCs w:val="21"/>
                          </w:rPr>
                          <m:t>]</m:t>
                        </m:r>
                      </m:e>
                      <m:sup>
                        <m:r>
                          <w:rPr>
                            <w:rFonts w:ascii="Cambria Math" w:hAnsi="Cambria Math" w:cs="Times New Roman"/>
                            <w:szCs w:val="21"/>
                          </w:rPr>
                          <m:t>2</m:t>
                        </m:r>
                      </m:sup>
                    </m:sSup>
                  </m:e>
                </m:nary>
              </m:e>
            </m:nary>
          </m:e>
        </m:func>
      </m:oMath>
      <w:r>
        <w:rPr>
          <w:rFonts w:ascii="Times New Roman" w:hAnsi="Times New Roman" w:cs="Times New Roman"/>
          <w:iCs/>
        </w:rPr>
        <w:t xml:space="preserve">   (5)</w:t>
      </w:r>
    </w:p>
    <w:p w14:paraId="11A6A18D" w14:textId="59E89037" w:rsidR="0074478A" w:rsidRDefault="00690393">
      <w:pPr>
        <w:spacing w:afterLines="100" w:after="312"/>
        <w:rPr>
          <w:rFonts w:ascii="Times New Roman" w:hAnsi="Times New Roman" w:cs="Times New Roman"/>
        </w:rPr>
      </w:pPr>
      <w:r>
        <w:rPr>
          <w:rFonts w:ascii="Times New Roman" w:hAnsi="Times New Roman" w:cs="Times New Roman"/>
          <w:iCs/>
        </w:rPr>
        <w:t xml:space="preserve">Thus, we have determined the optimal partition </w:t>
      </w:r>
      <m:oMath>
        <m:r>
          <m:rPr>
            <m:sty m:val="p"/>
          </m:rP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m+1</m:t>
            </m:r>
          </m:sub>
          <m:sup>
            <m:r>
              <w:rPr>
                <w:rFonts w:ascii="Cambria Math" w:hAnsi="Cambria Math" w:cs="Times New Roman"/>
              </w:rPr>
              <m:t>*</m:t>
            </m:r>
          </m:sup>
        </m:sSubSup>
        <m:r>
          <m:rPr>
            <m:sty m:val="p"/>
          </m:rPr>
          <w:rPr>
            <w:rFonts w:ascii="Cambria Math" w:hAnsi="Cambria Math" w:cs="Times New Roman"/>
          </w:rPr>
          <m:t>)</m:t>
        </m:r>
      </m:oMath>
      <w:r>
        <w:rPr>
          <w:rFonts w:ascii="Times New Roman" w:hAnsi="Times New Roman" w:cs="Times New Roman"/>
        </w:rPr>
        <w:t xml:space="preserve"> and the corresponding parameters of the basket weights and intercept </w:t>
      </w:r>
      <m:oMath>
        <m:r>
          <m:rPr>
            <m:sty m:val="p"/>
          </m:rP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i/>
                <w:iCs/>
                <w:szCs w:val="21"/>
              </w:rPr>
            </m:ctrlPr>
          </m:sSubSupPr>
          <m:e>
            <m:r>
              <w:rPr>
                <w:rFonts w:ascii="Cambria Math" w:hAnsi="Cambria Math" w:cs="Times New Roman"/>
                <w:szCs w:val="21"/>
              </w:rPr>
              <m:t>w</m:t>
            </m:r>
          </m:e>
          <m:sub>
            <m:r>
              <w:rPr>
                <w:rFonts w:ascii="Cambria Math" w:hAnsi="Cambria Math" w:cs="Times New Roman"/>
                <w:szCs w:val="21"/>
              </w:rPr>
              <m:t>i,k</m:t>
            </m:r>
          </m:sub>
          <m:sup>
            <m:r>
              <w:rPr>
                <w:rFonts w:ascii="Cambria Math" w:hAnsi="Cambria Math" w:cs="Times New Roman"/>
                <w:szCs w:val="21"/>
              </w:rPr>
              <m:t>*</m:t>
            </m:r>
          </m:sup>
        </m:sSubSup>
        <m:r>
          <m:rPr>
            <m:sty m:val="p"/>
          </m:rPr>
          <w:rPr>
            <w:rFonts w:ascii="Cambria Math" w:hAnsi="Cambria Math" w:cs="Times New Roman"/>
            <w:szCs w:val="21"/>
          </w:rPr>
          <m:t>)</m:t>
        </m:r>
      </m:oMath>
      <w:r>
        <w:rPr>
          <w:rFonts w:ascii="Times New Roman" w:hAnsi="Times New Roman" w:cs="Times New Roman"/>
          <w:szCs w:val="21"/>
        </w:rPr>
        <w:t xml:space="preserve">, if the number of structural breaks </w:t>
      </w:r>
      <m:oMath>
        <m:r>
          <w:rPr>
            <w:rFonts w:ascii="Cambria Math" w:hAnsi="Cambria Math" w:cs="Times New Roman"/>
          </w:rPr>
          <m:t>m</m:t>
        </m:r>
      </m:oMath>
      <w:r>
        <w:rPr>
          <w:rFonts w:ascii="Times New Roman" w:hAnsi="Times New Roman" w:cs="Times New Roman"/>
          <w:szCs w:val="21"/>
        </w:rPr>
        <w:t xml:space="preserve"> is given</w:t>
      </w:r>
      <w:r>
        <w:rPr>
          <w:rFonts w:ascii="Times New Roman" w:hAnsi="Times New Roman" w:cs="Times New Roman"/>
          <w:iCs/>
        </w:rPr>
        <w:t xml:space="preserve">. In practice, however, it is </w:t>
      </w:r>
      <w:r>
        <w:rPr>
          <w:rFonts w:ascii="Times New Roman" w:hAnsi="Times New Roman" w:cs="Times New Roman" w:hint="eastAsia"/>
          <w:iCs/>
        </w:rPr>
        <w:t>im</w:t>
      </w:r>
      <w:r>
        <w:rPr>
          <w:rFonts w:ascii="Times New Roman" w:hAnsi="Times New Roman" w:cs="Times New Roman"/>
          <w:iCs/>
        </w:rPr>
        <w:t>possible to accurately know the number of breaks in advance. Thus, the number of</w:t>
      </w:r>
      <w:r>
        <w:rPr>
          <w:rFonts w:ascii="Times New Roman" w:hAnsi="Times New Roman" w:cs="Times New Roman"/>
          <w:szCs w:val="21"/>
        </w:rPr>
        <w:t xml:space="preserve"> structural breaks, </w:t>
      </w:r>
      <m:oMath>
        <m:r>
          <w:rPr>
            <w:rFonts w:ascii="Cambria Math" w:hAnsi="Cambria Math" w:cs="Times New Roman"/>
          </w:rPr>
          <m:t>m</m:t>
        </m:r>
      </m:oMath>
      <w:r>
        <w:rPr>
          <w:rFonts w:ascii="Times New Roman" w:hAnsi="Times New Roman" w:cs="Times New Roman"/>
        </w:rPr>
        <w:t>,</w:t>
      </w:r>
      <w:r>
        <w:rPr>
          <w:rFonts w:ascii="Times New Roman" w:hAnsi="Times New Roman" w:cs="Times New Roman"/>
          <w:szCs w:val="21"/>
        </w:rPr>
        <w:t xml:space="preserve"> is estimated</w:t>
      </w:r>
      <w:r w:rsidR="00E75F24">
        <w:rPr>
          <w:rFonts w:ascii="Times New Roman" w:hAnsi="Times New Roman" w:cs="Times New Roman"/>
          <w:szCs w:val="21"/>
        </w:rPr>
        <w:t xml:space="preserve"> </w:t>
      </w:r>
      <w:r w:rsidR="00E75F24">
        <w:rPr>
          <w:rFonts w:ascii="Times New Roman" w:hAnsi="Times New Roman" w:cs="Times New Roman"/>
          <w:iCs/>
        </w:rPr>
        <w:t>in the second step</w:t>
      </w:r>
      <w:r>
        <w:rPr>
          <w:rFonts w:ascii="Times New Roman" w:hAnsi="Times New Roman" w:cs="Times New Roman"/>
          <w:szCs w:val="21"/>
        </w:rPr>
        <w:t xml:space="preserve">. Following </w:t>
      </w:r>
      <w:r>
        <w:rPr>
          <w:rFonts w:ascii="Times New Roman" w:hAnsi="Times New Roman" w:cs="Times New Roman"/>
        </w:rPr>
        <w:t xml:space="preserve">Bai and Perron (1998, 2003), we sequentially infer the number of breaks by testing the null hypothesis of </w:t>
      </w:r>
      <m:oMath>
        <m:r>
          <w:rPr>
            <w:rFonts w:ascii="Cambria Math" w:hAnsi="Cambria Math" w:cs="Times New Roman"/>
          </w:rPr>
          <m:t>l</m:t>
        </m:r>
      </m:oMath>
      <w:r>
        <w:rPr>
          <w:rFonts w:ascii="Times New Roman" w:hAnsi="Times New Roman" w:cs="Times New Roman"/>
        </w:rPr>
        <w:t xml:space="preserve"> breaks against the alternative of </w:t>
      </w:r>
      <m:oMath>
        <m:r>
          <w:rPr>
            <w:rFonts w:ascii="Cambria Math" w:hAnsi="Cambria Math" w:cs="Times New Roman"/>
          </w:rPr>
          <m:t>l+1</m:t>
        </m:r>
      </m:oMath>
      <w:r>
        <w:rPr>
          <w:rFonts w:ascii="Times New Roman" w:hAnsi="Times New Roman" w:cs="Times New Roman"/>
        </w:rPr>
        <w:t xml:space="preserve"> breaks</w:t>
      </w:r>
      <w:r>
        <w:rPr>
          <w:rFonts w:ascii="Times New Roman" w:hAnsi="Times New Roman" w:cs="Times New Roman" w:hint="eastAsia"/>
        </w:rPr>
        <w:t xml:space="preserve">; </w:t>
      </w:r>
      <w:r>
        <w:rPr>
          <w:rFonts w:ascii="Times New Roman" w:hAnsi="Times New Roman" w:cs="Times New Roman"/>
        </w:rPr>
        <w:t>finally</w:t>
      </w:r>
      <w:r>
        <w:rPr>
          <w:rFonts w:ascii="Times New Roman" w:hAnsi="Times New Roman" w:cs="Times New Roman" w:hint="eastAsia"/>
        </w:rPr>
        <w:t>, we</w:t>
      </w:r>
      <w:r>
        <w:rPr>
          <w:rFonts w:ascii="Times New Roman" w:hAnsi="Times New Roman" w:cs="Times New Roman"/>
        </w:rPr>
        <w:t xml:space="preserve"> estimate the number of breaks,</w:t>
      </w:r>
      <m:oMath>
        <m:r>
          <w:rPr>
            <w:rFonts w:ascii="Cambria Math" w:hAnsi="Cambria Math" w:cs="Times New Roman"/>
          </w:rPr>
          <m:t xml:space="preserve"> m</m:t>
        </m:r>
      </m:oMath>
      <w:r>
        <w:rPr>
          <w:rFonts w:ascii="Times New Roman" w:hAnsi="Times New Roman" w:cs="Times New Roman"/>
        </w:rPr>
        <w:t>.</w:t>
      </w:r>
    </w:p>
    <w:p w14:paraId="40905CCA" w14:textId="77777777" w:rsidR="0074478A" w:rsidRDefault="00690393">
      <w:pPr>
        <w:spacing w:afterLines="100" w:after="312"/>
        <w:rPr>
          <w:rFonts w:ascii="Times New Roman" w:hAnsi="Times New Roman" w:cs="Times New Roman"/>
        </w:rPr>
      </w:pPr>
      <w:r>
        <w:rPr>
          <w:rFonts w:ascii="Times New Roman" w:hAnsi="Times New Roman" w:cs="Times New Roman"/>
        </w:rPr>
        <w:t>Through such a two-step procedure, we detect the switches in a country’s exchange rate regime and the corresponding weights of the basket of currencies within each time segment. Th</w:t>
      </w:r>
      <w:r>
        <w:rPr>
          <w:rFonts w:ascii="Times New Roman" w:hAnsi="Times New Roman" w:cs="Times New Roman" w:hint="eastAsia"/>
        </w:rPr>
        <w:t>us, following this procedure</w:t>
      </w:r>
      <w:r>
        <w:rPr>
          <w:rFonts w:ascii="Times New Roman" w:hAnsi="Times New Roman" w:cs="Times New Roman"/>
        </w:rPr>
        <w:t xml:space="preserve"> enables us to define the central parity that the monetary authority sets, </w:t>
      </w:r>
      <w:r>
        <w:rPr>
          <w:rFonts w:ascii="Times New Roman" w:hAnsi="Times New Roman" w:cs="Times New Roman" w:hint="eastAsia"/>
        </w:rPr>
        <w:t>thereby</w:t>
      </w:r>
      <w:r>
        <w:rPr>
          <w:rFonts w:ascii="Times New Roman" w:hAnsi="Times New Roman" w:cs="Times New Roman"/>
        </w:rPr>
        <w:t xml:space="preserve"> help</w:t>
      </w:r>
      <w:r>
        <w:rPr>
          <w:rFonts w:ascii="Times New Roman" w:hAnsi="Times New Roman" w:cs="Times New Roman" w:hint="eastAsia"/>
        </w:rPr>
        <w:t>ing</w:t>
      </w:r>
      <w:r>
        <w:rPr>
          <w:rFonts w:ascii="Times New Roman" w:hAnsi="Times New Roman" w:cs="Times New Roman"/>
        </w:rPr>
        <w:t xml:space="preserve"> to identify the rule that the monetary authority follows to manage the exchange rate. </w:t>
      </w:r>
    </w:p>
    <w:p w14:paraId="7D447E8E" w14:textId="77777777" w:rsidR="0074478A" w:rsidRDefault="00690393">
      <w:pPr>
        <w:spacing w:afterLines="100" w:after="312"/>
        <w:rPr>
          <w:rFonts w:ascii="Times New Roman" w:hAnsi="Times New Roman" w:cs="Times New Roman"/>
          <w:iCs/>
        </w:rPr>
      </w:pPr>
      <w:r>
        <w:rPr>
          <w:rFonts w:ascii="Times New Roman" w:hAnsi="Times New Roman" w:cs="Times New Roman"/>
        </w:rPr>
        <w:t xml:space="preserve">The value of the central parity changes from month to month along with changes in the values of major currencies in the basket, as shown by </w:t>
      </w:r>
      <w:r>
        <w:rPr>
          <w:rFonts w:ascii="Times New Roman" w:hAnsi="Times New Roman" w:cs="Times New Roman" w:hint="eastAsia"/>
        </w:rPr>
        <w:t>E</w:t>
      </w:r>
      <w:r>
        <w:rPr>
          <w:rFonts w:ascii="Times New Roman" w:hAnsi="Times New Roman" w:cs="Times New Roman"/>
        </w:rPr>
        <w:t xml:space="preserve">quation (2). To calculate the fitted value of </w:t>
      </w:r>
      <w:r>
        <w:rPr>
          <w:rFonts w:ascii="Times New Roman" w:hAnsi="Times New Roman" w:cs="Times New Roman" w:hint="eastAsia"/>
        </w:rPr>
        <w:t>Equation</w:t>
      </w:r>
      <w:r>
        <w:rPr>
          <w:rFonts w:ascii="Times New Roman" w:hAnsi="Times New Roman" w:cs="Times New Roman"/>
        </w:rPr>
        <w:t xml:space="preserve"> (2), we multiply the estimated weight of each major currency by its percent change in value, and add up all the terms</w:t>
      </w:r>
      <w:r>
        <w:rPr>
          <w:rFonts w:ascii="Times New Roman" w:hAnsi="Times New Roman" w:cs="Times New Roman" w:hint="eastAsia"/>
        </w:rPr>
        <w:t>, including</w:t>
      </w:r>
      <w:r>
        <w:rPr>
          <w:rFonts w:ascii="Times New Roman" w:hAnsi="Times New Roman" w:cs="Times New Roman"/>
        </w:rPr>
        <w:t xml:space="preserve"> the </w:t>
      </w:r>
      <w:bookmarkStart w:id="60" w:name="OLE_LINK9"/>
      <w:r>
        <w:rPr>
          <w:rFonts w:ascii="Times New Roman" w:hAnsi="Times New Roman" w:cs="Times New Roman"/>
        </w:rPr>
        <w:t>intercept</w:t>
      </w:r>
      <w:bookmarkEnd w:id="60"/>
      <w:r>
        <w:rPr>
          <w:rFonts w:ascii="Times New Roman" w:hAnsi="Times New Roman" w:cs="Times New Roman"/>
        </w:rPr>
        <w:t xml:space="preserve"> term</w:t>
      </w:r>
      <w:r>
        <w:rPr>
          <w:rFonts w:ascii="Times New Roman" w:hAnsi="Times New Roman" w:cs="Times New Roman" w:hint="eastAsia"/>
        </w:rPr>
        <w:t>,</w:t>
      </w:r>
      <w:r>
        <w:rPr>
          <w:rFonts w:ascii="Times New Roman" w:hAnsi="Times New Roman" w:cs="Times New Roman"/>
        </w:rPr>
        <w:t xml:space="preserve"> to obtain the change in </w:t>
      </w:r>
      <w:r>
        <w:rPr>
          <w:rFonts w:ascii="Times New Roman" w:hAnsi="Times New Roman" w:cs="Times New Roman" w:hint="eastAsia"/>
        </w:rPr>
        <w:t xml:space="preserve">the </w:t>
      </w:r>
      <w:r>
        <w:rPr>
          <w:rFonts w:ascii="Times New Roman" w:hAnsi="Times New Roman" w:cs="Times New Roman"/>
        </w:rPr>
        <w:t xml:space="preserve">central parity. The difference between the actual percent change in the local exchange rate and the fitted value of </w:t>
      </w:r>
      <w:r>
        <w:rPr>
          <w:rFonts w:ascii="Times New Roman" w:hAnsi="Times New Roman" w:cs="Times New Roman" w:hint="eastAsia"/>
        </w:rPr>
        <w:t>Equation</w:t>
      </w:r>
      <w:r>
        <w:rPr>
          <w:rFonts w:ascii="Times New Roman" w:hAnsi="Times New Roman" w:cs="Times New Roman"/>
        </w:rPr>
        <w:t xml:space="preserve"> (2), namely the residual of the model, captures the percentage deviation from the central parity on this trading day. By adding up the series of </w:t>
      </w:r>
      <w:bookmarkStart w:id="61" w:name="OLE_LINK10"/>
      <w:r>
        <w:rPr>
          <w:rFonts w:ascii="Times New Roman" w:hAnsi="Times New Roman" w:cs="Times New Roman"/>
        </w:rPr>
        <w:t>residuals</w:t>
      </w:r>
      <w:bookmarkEnd w:id="61"/>
      <w:r>
        <w:rPr>
          <w:rFonts w:ascii="Times New Roman" w:hAnsi="Times New Roman" w:cs="Times New Roman"/>
        </w:rPr>
        <w:t xml:space="preserve"> of </w:t>
      </w:r>
      <w:r>
        <w:rPr>
          <w:rFonts w:ascii="Times New Roman" w:hAnsi="Times New Roman" w:cs="Times New Roman" w:hint="eastAsia"/>
        </w:rPr>
        <w:t>Equation</w:t>
      </w:r>
      <w:r>
        <w:rPr>
          <w:rFonts w:ascii="Times New Roman" w:hAnsi="Times New Roman" w:cs="Times New Roman"/>
        </w:rPr>
        <w:t xml:space="preserve"> (2) within the period from the start of the exchange rate regime to the present trading day, we obtain the </w:t>
      </w:r>
      <w:bookmarkStart w:id="62" w:name="OLE_LINK11"/>
      <w:r>
        <w:rPr>
          <w:rFonts w:ascii="Times New Roman" w:hAnsi="Times New Roman" w:cs="Times New Roman"/>
        </w:rPr>
        <w:t>cumulative percentage deviation</w:t>
      </w:r>
      <w:bookmarkEnd w:id="62"/>
      <w:r>
        <w:rPr>
          <w:rFonts w:ascii="Times New Roman" w:hAnsi="Times New Roman" w:cs="Times New Roman"/>
        </w:rPr>
        <w:t xml:space="preserve"> of the exchange rate</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this deviation</w:t>
      </w:r>
      <w:r>
        <w:rPr>
          <w:rFonts w:ascii="Times New Roman" w:hAnsi="Times New Roman" w:cs="Times New Roman"/>
        </w:rPr>
        <w:t xml:space="preserve"> serves as a criteri</w:t>
      </w:r>
      <w:r>
        <w:rPr>
          <w:rFonts w:ascii="Times New Roman" w:hAnsi="Times New Roman" w:cs="Times New Roman" w:hint="eastAsia"/>
        </w:rPr>
        <w:t>on</w:t>
      </w:r>
      <w:r>
        <w:rPr>
          <w:rFonts w:ascii="Times New Roman" w:hAnsi="Times New Roman" w:cs="Times New Roman"/>
        </w:rPr>
        <w:t xml:space="preserve"> for the monetary authority to decide whether to intervene.</w:t>
      </w:r>
      <w:r>
        <w:rPr>
          <w:rStyle w:val="FootnoteReference"/>
          <w:rFonts w:ascii="Times New Roman" w:hAnsi="Times New Roman" w:cs="Times New Roman"/>
        </w:rPr>
        <w:footnoteReference w:id="8"/>
      </w:r>
      <w:r>
        <w:rPr>
          <w:rFonts w:ascii="Times New Roman" w:hAnsi="Times New Roman" w:cs="Times New Roman"/>
        </w:rPr>
        <w:t xml:space="preserve"> The series of cumulative percentage deviations obtained by this procedure serves as the input for the </w:t>
      </w:r>
      <w:r>
        <w:rPr>
          <w:rFonts w:ascii="Times New Roman" w:hAnsi="Times New Roman" w:cs="Times New Roman" w:hint="eastAsia"/>
        </w:rPr>
        <w:t>exchange rate classification algorithm</w:t>
      </w:r>
      <w:r>
        <w:rPr>
          <w:rFonts w:ascii="Times New Roman" w:hAnsi="Times New Roman" w:cs="Times New Roman"/>
        </w:rPr>
        <w:t xml:space="preserve"> that we will present in the next section.</w:t>
      </w:r>
    </w:p>
    <w:bookmarkEnd w:id="51"/>
    <w:p w14:paraId="47B8113C" w14:textId="77777777" w:rsidR="0074478A" w:rsidRDefault="0074478A">
      <w:pPr>
        <w:spacing w:afterLines="100" w:after="312"/>
        <w:rPr>
          <w:rFonts w:ascii="Times New Roman" w:hAnsi="Times New Roman" w:cs="Times New Roman"/>
        </w:rPr>
      </w:pPr>
    </w:p>
    <w:p w14:paraId="7B7A0A2D"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2.2 Exchange Rate Regime Classification</w:t>
      </w:r>
    </w:p>
    <w:p w14:paraId="13E56952"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Section </w:t>
      </w:r>
      <w:r>
        <w:rPr>
          <w:rFonts w:ascii="Times New Roman" w:hAnsi="Times New Roman" w:cs="Times New Roman" w:hint="eastAsia"/>
        </w:rPr>
        <w:t>2</w:t>
      </w:r>
      <w:r>
        <w:rPr>
          <w:rFonts w:ascii="Times New Roman" w:hAnsi="Times New Roman" w:cs="Times New Roman"/>
        </w:rPr>
        <w:t xml:space="preserve">.1 explained how we obtain the series of deviations from the central parity. </w:t>
      </w:r>
      <w:r>
        <w:rPr>
          <w:rFonts w:ascii="Times New Roman" w:hAnsi="Times New Roman" w:cs="Times New Roman" w:hint="eastAsia"/>
        </w:rPr>
        <w:t>In this section, we show how the series can be used to infer the exchange rate regime. It is relatively straightforward to distinguish the fixed and floating regimes from the two types of intermediate regimes, i.e. the BBC regime and the managed floating regime with no target band. The exchange rate regime should be classified as fixed when the volatility of deviations remains low. A unit root test can be used to decide whether the exchange rate regime should be categorized as floating. However, it is challenging to subdivide intermediate regimes into various subgroups of intermediate regimes, such as BBC and managed floating regimes, due to the diversity of the monetary authority</w:t>
      </w:r>
      <w:r>
        <w:rPr>
          <w:rFonts w:ascii="Times New Roman" w:hAnsi="Times New Roman" w:cs="Times New Roman"/>
        </w:rPr>
        <w:t>’</w:t>
      </w:r>
      <w:r>
        <w:rPr>
          <w:rFonts w:ascii="Times New Roman" w:hAnsi="Times New Roman" w:cs="Times New Roman" w:hint="eastAsia"/>
        </w:rPr>
        <w:t xml:space="preserve">s intervention rule under these regimes. </w:t>
      </w:r>
    </w:p>
    <w:p w14:paraId="630623C3" w14:textId="3E689BE5" w:rsidR="0074478A" w:rsidRDefault="004E01F8">
      <w:pPr>
        <w:spacing w:afterLines="100" w:after="312"/>
        <w:rPr>
          <w:rFonts w:ascii="Times New Roman" w:hAnsi="Times New Roman" w:cs="Times New Roman"/>
        </w:rPr>
      </w:pPr>
      <w:r>
        <w:rPr>
          <w:rFonts w:ascii="Times New Roman" w:hAnsi="Times New Roman" w:cs="Times New Roman"/>
        </w:rPr>
        <w:t>B</w:t>
      </w:r>
      <w:r w:rsidR="00690393">
        <w:rPr>
          <w:rFonts w:ascii="Times New Roman" w:hAnsi="Times New Roman" w:cs="Times New Roman" w:hint="eastAsia"/>
        </w:rPr>
        <w:t>efore we discuss how to identify exchange rate regimes empirically, we first specifically define the two categories of intermediate exchange rate regimes</w:t>
      </w:r>
      <w:r w:rsidR="00690393">
        <w:rPr>
          <w:rFonts w:ascii="Times New Roman" w:hAnsi="Times New Roman" w:cs="Times New Roman"/>
        </w:rPr>
        <w:t>,</w:t>
      </w:r>
      <w:r w:rsidR="00690393">
        <w:rPr>
          <w:rFonts w:ascii="Times New Roman" w:hAnsi="Times New Roman" w:cs="Times New Roman" w:hint="eastAsia"/>
        </w:rPr>
        <w:t xml:space="preserve"> namely, the BBC and managed floating regimes</w:t>
      </w:r>
      <w:r w:rsidR="00690393">
        <w:rPr>
          <w:rFonts w:ascii="Times New Roman" w:hAnsi="Times New Roman" w:cs="Times New Roman"/>
        </w:rPr>
        <w:t>, which</w:t>
      </w:r>
      <w:r w:rsidR="00690393">
        <w:rPr>
          <w:rFonts w:ascii="Times New Roman" w:hAnsi="Times New Roman" w:cs="Times New Roman" w:hint="eastAsia"/>
        </w:rPr>
        <w:t xml:space="preserve"> we adopt throughout this paper.</w:t>
      </w:r>
    </w:p>
    <w:p w14:paraId="7D96D9C9" w14:textId="4E3172FD" w:rsidR="0074478A" w:rsidRDefault="00690393">
      <w:pPr>
        <w:spacing w:afterLines="100" w:after="312"/>
        <w:rPr>
          <w:rFonts w:ascii="Times New Roman" w:hAnsi="Times New Roman" w:cs="Times New Roman"/>
        </w:rPr>
      </w:pPr>
      <w:r>
        <w:rPr>
          <w:rFonts w:ascii="Times New Roman" w:hAnsi="Times New Roman" w:cs="Times New Roman" w:hint="eastAsia"/>
          <w:b/>
          <w:bCs/>
        </w:rPr>
        <w:t>Definition 1</w:t>
      </w:r>
      <w:r>
        <w:rPr>
          <w:rFonts w:ascii="Times New Roman" w:hAnsi="Times New Roman" w:cs="Times New Roman"/>
          <w:b/>
          <w:bCs/>
        </w:rPr>
        <w:t>—</w:t>
      </w:r>
      <w:r>
        <w:rPr>
          <w:rFonts w:ascii="Times New Roman" w:hAnsi="Times New Roman" w:cs="Times New Roman" w:hint="eastAsia"/>
          <w:b/>
          <w:bCs/>
        </w:rPr>
        <w:t>BBC Regime</w:t>
      </w:r>
      <w:r>
        <w:rPr>
          <w:rFonts w:ascii="Times New Roman" w:hAnsi="Times New Roman" w:cs="Times New Roman" w:hint="eastAsia"/>
        </w:rPr>
        <w:t>: A regime is ca</w:t>
      </w:r>
      <w:r>
        <w:rPr>
          <w:rFonts w:ascii="Times New Roman" w:hAnsi="Times New Roman" w:cs="Times New Roman"/>
        </w:rPr>
        <w:t xml:space="preserve">tegorized as a </w:t>
      </w:r>
      <w:r>
        <w:rPr>
          <w:rFonts w:ascii="Times New Roman" w:hAnsi="Times New Roman" w:cs="Times New Roman"/>
          <w:b/>
          <w:bCs/>
        </w:rPr>
        <w:t>BBC</w:t>
      </w:r>
      <w:r>
        <w:rPr>
          <w:rFonts w:ascii="Times New Roman" w:hAnsi="Times New Roman" w:cs="Times New Roman"/>
        </w:rPr>
        <w:t xml:space="preserve"> when the authority sets a target band for the exchange rate’s deviation from the central parity, allows the deviation series to follow a random walk process within the band</w:t>
      </w:r>
      <w:r>
        <w:rPr>
          <w:rStyle w:val="FootnoteReference"/>
          <w:rFonts w:ascii="Times New Roman" w:hAnsi="Times New Roman" w:cs="Times New Roman"/>
        </w:rPr>
        <w:footnoteReference w:id="9"/>
      </w:r>
      <w:r>
        <w:rPr>
          <w:rFonts w:ascii="Times New Roman" w:hAnsi="Times New Roman" w:cs="Times New Roman"/>
        </w:rPr>
        <w:t xml:space="preserve">, and intervenes in the foreign market if the rate goes outside the band. Algebraically, the deviation of the exchange rate at time </w:t>
      </w:r>
      <m:oMath>
        <m:r>
          <w:rPr>
            <w:rFonts w:ascii="Cambria Math" w:hAnsi="Cambria Math" w:cs="Times New Roman"/>
          </w:rPr>
          <m:t>t</m:t>
        </m:r>
      </m:oMath>
      <w:r>
        <w:rPr>
          <w:rFonts w:ascii="Times New Roman" w:hAnsi="Times New Roman" w:cs="Times New Roman"/>
        </w:rPr>
        <w:t xml:space="preserve"> under a BBC regime can be modeled as</w:t>
      </w:r>
    </w:p>
    <w:p w14:paraId="1F2DEE14" w14:textId="77777777" w:rsidR="0074478A" w:rsidRDefault="000C03D7">
      <w:pPr>
        <w:spacing w:afterLines="100" w:after="312"/>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w:bookmarkStart w:id="63" w:name="OLE_LINK51"/>
                <m:r>
                  <w:rPr>
                    <w:rFonts w:ascii="Cambria Math" w:hAnsi="Cambria Math" w:cs="Times New Roman"/>
                    <w:sz w:val="20"/>
                    <w:szCs w:val="20"/>
                  </w:rPr>
                  <m:t>ρ</m:t>
                </m:r>
                <w:bookmarkEnd w:id="63"/>
                <m:sSub>
                  <m:sSubPr>
                    <m:ctrlPr>
                      <w:rPr>
                        <w:rFonts w:ascii="Cambria Math" w:hAnsi="Cambria Math" w:cs="Times New Roman"/>
                        <w:i/>
                        <w:sz w:val="20"/>
                        <w:szCs w:val="20"/>
                      </w:rPr>
                    </m:ctrlPr>
                  </m:sSubPr>
                  <m:e>
                    <m:r>
                      <w:rPr>
                        <w:rFonts w:ascii="Cambria Math" w:hAnsi="Cambria Math" w:cs="Times New Roman"/>
                        <w:sz w:val="20"/>
                        <w:szCs w:val="20"/>
                      </w:rPr>
                      <m:t>χ</m:t>
                    </m:r>
                  </m:e>
                  <m:sub>
                    <m:r>
                      <w:rPr>
                        <w:rFonts w:ascii="Cambria Math" w:hAnsi="Cambria Math" w:cs="Times New Roman"/>
                        <w:sz w:val="20"/>
                        <w:szCs w:val="20"/>
                      </w:rPr>
                      <m:t>1</m:t>
                    </m:r>
                  </m:sub>
                </m:sSub>
                <m:r>
                  <w:rPr>
                    <w:rFonts w:ascii="Cambria Math" w:hAnsi="Cambria Math" w:cs="Times New Roman"/>
                    <w:sz w:val="20"/>
                    <w:szCs w:val="20"/>
                  </w:rPr>
                  <m:t>+(1-</m:t>
                </m:r>
                <m:r>
                  <w:rPr>
                    <w:rFonts w:ascii="Cambria Math" w:hAnsi="Cambria Math" w:cs="Times New Roman"/>
                    <w:sz w:val="20"/>
                    <w:szCs w:val="20"/>
                  </w:rPr>
                  <m:t>ρ</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m:t>
                </m:r>
                <m:r>
                  <w:rPr>
                    <w:rFonts w:ascii="Cambria Math" w:hAnsi="Cambria Math" w:cs="Times New Roman"/>
                    <w:sz w:val="20"/>
                    <w:szCs w:val="20"/>
                  </w:rPr>
                  <m:t>ρ</m:t>
                </m:r>
                <m:sSub>
                  <m:sSubPr>
                    <m:ctrlPr>
                      <w:rPr>
                        <w:rFonts w:ascii="Cambria Math" w:hAnsi="Cambria Math" w:cs="Times New Roman"/>
                        <w:i/>
                        <w:sz w:val="20"/>
                        <w:szCs w:val="20"/>
                      </w:rPr>
                    </m:ctrlPr>
                  </m:sSubPr>
                  <m:e>
                    <w:bookmarkStart w:id="64" w:name="OLE_LINK50"/>
                    <m:r>
                      <w:rPr>
                        <w:rFonts w:ascii="Cambria Math" w:hAnsi="Cambria Math" w:cs="Times New Roman"/>
                        <w:sz w:val="20"/>
                        <w:szCs w:val="20"/>
                      </w:rPr>
                      <m:t>χ</m:t>
                    </m:r>
                  </m:e>
                  <m:sub>
                    <m:r>
                      <w:rPr>
                        <w:rFonts w:ascii="Cambria Math" w:hAnsi="Cambria Math" w:cs="Times New Roman"/>
                        <w:sz w:val="20"/>
                        <w:szCs w:val="20"/>
                      </w:rPr>
                      <m:t>1</m:t>
                    </m:r>
                    <w:bookmarkEnd w:id="64"/>
                  </m:sub>
                </m:sSub>
                <m:r>
                  <w:rPr>
                    <w:rFonts w:ascii="Cambria Math" w:hAnsi="Cambria Math" w:cs="Times New Roman"/>
                    <w:sz w:val="20"/>
                    <w:szCs w:val="20"/>
                  </w:rPr>
                  <m:t>+(1-</m:t>
                </m:r>
                <m:r>
                  <w:rPr>
                    <w:rFonts w:ascii="Cambria Math" w:hAnsi="Cambria Math" w:cs="Times New Roman"/>
                    <w:sz w:val="20"/>
                    <w:szCs w:val="20"/>
                  </w:rPr>
                  <m:t>ρ</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+(1-</m:t>
                </m:r>
                <m:r>
                  <w:rPr>
                    <w:rFonts w:ascii="Cambria Math" w:hAnsi="Cambria Math" w:cs="Times New Roman"/>
                    <w:sz w:val="20"/>
                    <w:szCs w:val="20"/>
                  </w:rPr>
                  <m:t>ρ</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 xml:space="preserve">, </m:t>
                </m:r>
                <m:r>
                  <w:rPr>
                    <w:rFonts w:ascii="Cambria Math" w:hAnsi="Cambria Math" w:cs="Times New Roman"/>
                    <w:sz w:val="20"/>
                    <w:szCs w:val="20"/>
                  </w:rPr>
                  <m:t>if</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&gt;</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1</m:t>
                    </m:r>
                  </m:sub>
                </m:sSub>
              </m:e>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 xml:space="preserve">, </m:t>
                </m:r>
                <m:r>
                  <w:rPr>
                    <w:rFonts w:ascii="Cambria Math" w:hAnsi="Cambria Math" w:cs="Times New Roman"/>
                    <w:sz w:val="20"/>
                    <w:szCs w:val="20"/>
                  </w:rPr>
                  <m:t>if</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1</m:t>
                    </m:r>
                  </m:sub>
                </m:sSub>
              </m:e>
              <m:e>
                <m:r>
                  <w:rPr>
                    <w:rFonts w:ascii="Cambria Math" w:hAnsi="Cambria Math" w:cs="Times New Roman"/>
                    <w:sz w:val="20"/>
                    <w:szCs w:val="20"/>
                  </w:rPr>
                  <m:t>ρ</m:t>
                </m:r>
                <m:sSub>
                  <m:sSubPr>
                    <m:ctrlPr>
                      <w:rPr>
                        <w:rFonts w:ascii="Cambria Math" w:hAnsi="Cambria Math" w:cs="Times New Roman"/>
                        <w:i/>
                        <w:sz w:val="20"/>
                        <w:szCs w:val="20"/>
                      </w:rPr>
                    </m:ctrlPr>
                  </m:sSubPr>
                  <m:e>
                    <m:r>
                      <w:rPr>
                        <w:rFonts w:ascii="Cambria Math" w:hAnsi="Cambria Math" w:cs="Times New Roman"/>
                        <w:sz w:val="20"/>
                        <w:szCs w:val="20"/>
                      </w:rPr>
                      <m:t>χ</m:t>
                    </m:r>
                  </m:e>
                  <m:sub>
                    <m:r>
                      <w:rPr>
                        <w:rFonts w:ascii="Cambria Math" w:hAnsi="Cambria Math" w:cs="Times New Roman"/>
                        <w:sz w:val="20"/>
                        <w:szCs w:val="20"/>
                      </w:rPr>
                      <m:t>2</m:t>
                    </m:r>
                  </m:sub>
                </m:sSub>
                <m:r>
                  <w:rPr>
                    <w:rFonts w:ascii="Cambria Math" w:hAnsi="Cambria Math" w:cs="Times New Roman"/>
                    <w:sz w:val="20"/>
                    <w:szCs w:val="20"/>
                  </w:rPr>
                  <m:t>+(1-</m:t>
                </m:r>
                <m:r>
                  <w:rPr>
                    <w:rFonts w:ascii="Cambria Math" w:hAnsi="Cambria Math" w:cs="Times New Roman"/>
                    <w:sz w:val="20"/>
                    <w:szCs w:val="20"/>
                  </w:rPr>
                  <m:t>ρ</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m:t>
                </m:r>
                <m:r>
                  <w:rPr>
                    <w:rFonts w:ascii="Cambria Math" w:hAnsi="Cambria Math" w:cs="Times New Roman"/>
                    <w:sz w:val="20"/>
                    <w:szCs w:val="20"/>
                  </w:rPr>
                  <m:t>ρ</m:t>
                </m:r>
                <m:sSub>
                  <m:sSubPr>
                    <m:ctrlPr>
                      <w:rPr>
                        <w:rFonts w:ascii="Cambria Math" w:hAnsi="Cambria Math" w:cs="Times New Roman"/>
                        <w:i/>
                        <w:sz w:val="20"/>
                        <w:szCs w:val="20"/>
                      </w:rPr>
                    </m:ctrlPr>
                  </m:sSubPr>
                  <m:e>
                    <m:r>
                      <w:rPr>
                        <w:rFonts w:ascii="Cambria Math" w:hAnsi="Cambria Math" w:cs="Times New Roman"/>
                        <w:sz w:val="20"/>
                        <w:szCs w:val="20"/>
                      </w:rPr>
                      <m:t>χ</m:t>
                    </m:r>
                  </m:e>
                  <m:sub>
                    <m:r>
                      <w:rPr>
                        <w:rFonts w:ascii="Cambria Math" w:hAnsi="Cambria Math" w:cs="Times New Roman"/>
                        <w:sz w:val="20"/>
                        <w:szCs w:val="20"/>
                      </w:rPr>
                      <m:t>2</m:t>
                    </m:r>
                  </m:sub>
                </m:sSub>
                <m:r>
                  <w:rPr>
                    <w:rFonts w:ascii="Cambria Math" w:hAnsi="Cambria Math" w:cs="Times New Roman"/>
                    <w:sz w:val="20"/>
                    <w:szCs w:val="20"/>
                  </w:rPr>
                  <m:t>+(1-</m:t>
                </m:r>
                <m:r>
                  <w:rPr>
                    <w:rFonts w:ascii="Cambria Math" w:hAnsi="Cambria Math" w:cs="Times New Roman"/>
                    <w:sz w:val="20"/>
                    <w:szCs w:val="20"/>
                  </w:rPr>
                  <m:t>ρ</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+(1-</m:t>
                </m:r>
                <m:r>
                  <w:rPr>
                    <w:rFonts w:ascii="Cambria Math" w:hAnsi="Cambria Math" w:cs="Times New Roman"/>
                    <w:sz w:val="20"/>
                    <w:szCs w:val="20"/>
                  </w:rPr>
                  <m:t>ρ</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 xml:space="preserve">, </m:t>
                </m:r>
                <m:r>
                  <w:rPr>
                    <w:rFonts w:ascii="Cambria Math" w:hAnsi="Cambria Math" w:cs="Times New Roman"/>
                    <w:sz w:val="20"/>
                    <w:szCs w:val="20"/>
                  </w:rPr>
                  <m:t>if</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&lt;</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2</m:t>
                    </m:r>
                  </m:sub>
                </m:sSub>
              </m:e>
            </m:eqArr>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m:t>
        </m:r>
        <m:r>
          <m:rPr>
            <m:sty m:val="p"/>
          </m:rPr>
          <w:rPr>
            <w:rFonts w:ascii="Cambria Math" w:hAnsi="Cambria Math" w:cs="Times New Roman"/>
            <w:sz w:val="20"/>
            <w:szCs w:val="20"/>
          </w:rPr>
          <m:t>IID</m:t>
        </m:r>
        <m:r>
          <w:rPr>
            <w:rFonts w:ascii="Cambria Math" w:hAnsi="Cambria Math" w:cs="Times New Roman"/>
            <w:sz w:val="20"/>
            <w:szCs w:val="20"/>
          </w:rPr>
          <m:t>(0,</m:t>
        </m:r>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r>
          <w:rPr>
            <w:rFonts w:ascii="Cambria Math" w:hAnsi="Cambria Math" w:cs="Times New Roman"/>
            <w:sz w:val="20"/>
            <w:szCs w:val="20"/>
          </w:rPr>
          <m:t>)</m:t>
        </m:r>
      </m:oMath>
      <w:bookmarkStart w:id="65" w:name="OLE_LINK61"/>
      <w:r w:rsidR="00690393">
        <w:rPr>
          <w:rFonts w:ascii="Times New Roman" w:hAnsi="Times New Roman" w:cs="Times New Roman"/>
          <w:iCs/>
          <w:sz w:val="20"/>
          <w:szCs w:val="20"/>
        </w:rPr>
        <w:t>(</w:t>
      </w:r>
      <w:r w:rsidR="00690393">
        <w:rPr>
          <w:rFonts w:ascii="Times New Roman" w:hAnsi="Times New Roman" w:cs="Times New Roman" w:hint="eastAsia"/>
          <w:iCs/>
          <w:sz w:val="20"/>
          <w:szCs w:val="20"/>
        </w:rPr>
        <w:t>6</w:t>
      </w:r>
      <w:r w:rsidR="00690393">
        <w:rPr>
          <w:rFonts w:ascii="Times New Roman" w:hAnsi="Times New Roman" w:cs="Times New Roman"/>
          <w:iCs/>
          <w:sz w:val="20"/>
          <w:szCs w:val="20"/>
        </w:rPr>
        <w:t>)</w:t>
      </w:r>
      <w:bookmarkEnd w:id="65"/>
    </w:p>
    <w:p w14:paraId="40134B0F" w14:textId="77777777" w:rsidR="0074478A" w:rsidRDefault="00690393">
      <w:pPr>
        <w:numPr>
          <w:ilvl w:val="255"/>
          <w:numId w:val="0"/>
        </w:numPr>
        <w:spacing w:afterLines="100" w:after="312"/>
        <w:rPr>
          <w:rFonts w:ascii="Times New Roman" w:hAnsi="Times New Roman" w:cs="Times New Roman"/>
        </w:rPr>
      </w:pPr>
      <w:r>
        <w:rPr>
          <w:rFonts w:ascii="Times New Roman" w:hAnsi="Times New Roman" w:cs="Times New Roman" w:hint="eastAsia"/>
        </w:rPr>
        <w:t xml:space="preserve">where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Pr>
          <w:rFonts w:ascii="Times New Roman" w:hAnsi="Times New Roman" w:cs="Times New Roman"/>
        </w:rPr>
        <w:t xml:space="preserve"> </w:t>
      </w:r>
      <w:r>
        <w:rPr>
          <w:rFonts w:ascii="Times New Roman" w:hAnsi="Times New Roman" w:cs="Times New Roman" w:hint="eastAsia"/>
        </w:rPr>
        <w:t>denotes</w:t>
      </w:r>
      <w:r>
        <w:rPr>
          <w:rFonts w:ascii="Times New Roman" w:hAnsi="Times New Roman" w:cs="Times New Roman"/>
        </w:rPr>
        <w:t xml:space="preserve"> the </w:t>
      </w:r>
      <w:r>
        <w:rPr>
          <w:rFonts w:ascii="Times New Roman" w:hAnsi="Times New Roman" w:cs="Times New Roman" w:hint="eastAsia"/>
        </w:rPr>
        <w:t xml:space="preserve">percentage </w:t>
      </w:r>
      <w:r>
        <w:rPr>
          <w:rFonts w:ascii="Times New Roman" w:hAnsi="Times New Roman" w:cs="Times New Roman"/>
        </w:rPr>
        <w:t xml:space="preserve">deviation of the exchange rate from </w:t>
      </w:r>
      <w:r>
        <w:rPr>
          <w:rFonts w:ascii="Times New Roman" w:hAnsi="Times New Roman" w:cs="Times New Roman" w:hint="eastAsia"/>
        </w:rPr>
        <w:t>its</w:t>
      </w:r>
      <w:r>
        <w:rPr>
          <w:rFonts w:ascii="Times New Roman" w:hAnsi="Times New Roman" w:cs="Times New Roman"/>
        </w:rPr>
        <w:t xml:space="preserve"> central parity</w:t>
      </w:r>
      <w:r>
        <w:rPr>
          <w:rFonts w:ascii="Times New Roman" w:hAnsi="Times New Roman" w:cs="Times New Roman" w:hint="eastAsia"/>
        </w:rPr>
        <w:t xml:space="preserve"> at time </w:t>
      </w:r>
      <w:r>
        <w:rPr>
          <w:rFonts w:ascii="Times New Roman" w:hAnsi="Times New Roman" w:cs="Times New Roman"/>
          <w:i/>
          <w:iCs/>
        </w:rPr>
        <w:t>t</w:t>
      </w:r>
      <w:r>
        <w:rPr>
          <w:rFonts w:ascii="Times New Roman" w:hAnsi="Times New Roman" w:cs="Times New Roman" w:hint="eastAsia"/>
        </w:rPr>
        <w:t xml:space="preserve">, </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Pr>
          <w:rFonts w:ascii="Times New Roman" w:hAnsi="Times New Roman" w:cs="Times New Roman"/>
        </w:rPr>
        <w:t xml:space="preserve"> </w:t>
      </w:r>
      <w:r>
        <w:rPr>
          <w:rFonts w:ascii="Times New Roman" w:hAnsi="Times New Roman" w:cs="Times New Roman" w:hint="eastAsia"/>
        </w:rPr>
        <w:t>denotes</w:t>
      </w:r>
      <w:r>
        <w:rPr>
          <w:rFonts w:ascii="Times New Roman" w:hAnsi="Times New Roman" w:cs="Times New Roman"/>
        </w:rPr>
        <w:t xml:space="preserve"> </w:t>
      </w:r>
      <w:r>
        <w:rPr>
          <w:rFonts w:ascii="Times New Roman" w:hAnsi="Times New Roman" w:cs="Times New Roman" w:hint="eastAsia"/>
        </w:rPr>
        <w:t xml:space="preserve">white noise with variance </w:t>
      </w:r>
      <m:oMath>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oMath>
      <w:r>
        <w:rPr>
          <w:rFonts w:ascii="Times New Roman" w:hAnsi="Times New Roman" w:cs="Times New Roman" w:hint="eastAsia"/>
        </w:rPr>
        <w:t>,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oMath>
      <w:r>
        <w:rPr>
          <w:rFonts w:ascii="Times New Roman" w:hAnsi="Times New Roman" w:cs="Times New Roman"/>
        </w:rPr>
        <w:t xml:space="preserve">, </w:t>
      </w:r>
      <m:oMath>
        <m:sSub>
          <m:sSubPr>
            <m:ctrlPr>
              <w:rPr>
                <w:rFonts w:ascii="Cambria Math" w:hAnsi="Cambria Math" w:cs="Times New Roman"/>
                <w:i/>
              </w:rPr>
            </m:ctrlPr>
          </m:sSubPr>
          <m:e>
            <w:bookmarkStart w:id="66" w:name="OLE_LINK60"/>
            <m:r>
              <w:rPr>
                <w:rFonts w:ascii="Cambria Math" w:hAnsi="Cambria Math" w:cs="Times New Roman"/>
              </w:rPr>
              <m:t>θ</m:t>
            </m:r>
          </m:e>
          <m:sub>
            <m:r>
              <w:rPr>
                <w:rFonts w:ascii="Cambria Math" w:hAnsi="Cambria Math" w:cs="Times New Roman"/>
              </w:rPr>
              <m:t>1</m:t>
            </m:r>
            <w:bookmarkEnd w:id="66"/>
          </m:sub>
        </m:sSub>
      </m:oMath>
      <w:r>
        <w:rPr>
          <w:rFonts w:ascii="Times New Roman" w:hAnsi="Times New Roman" w:cs="Times New Roman" w:hint="eastAsia"/>
        </w:rPr>
        <w:t>]</w:t>
      </w:r>
      <w:r>
        <w:rPr>
          <w:rFonts w:ascii="Times New Roman" w:hAnsi="Times New Roman" w:cs="Times New Roman"/>
        </w:rPr>
        <w:t xml:space="preserve"> specifies the target band</w:t>
      </w:r>
      <w:r>
        <w:rPr>
          <w:rFonts w:ascii="Times New Roman" w:hAnsi="Times New Roman" w:cs="Times New Roman" w:hint="eastAsia"/>
        </w:rPr>
        <w:t xml:space="preserve">, </w:t>
      </w:r>
      <m:oMath>
        <m:r>
          <w:rPr>
            <w:rFonts w:ascii="Cambria Math" w:hAnsi="Cambria Math" w:cs="Times New Roman"/>
          </w:rPr>
          <m:t>ρ</m:t>
        </m:r>
      </m:oMath>
      <w:r>
        <w:rPr>
          <w:rFonts w:ascii="Times New Roman" w:hAnsi="Times New Roman" w:cs="Times New Roman"/>
        </w:rPr>
        <w:t xml:space="preserve"> </w:t>
      </w:r>
      <w:r>
        <w:rPr>
          <w:rFonts w:ascii="Times New Roman" w:hAnsi="Times New Roman" w:cs="Times New Roman" w:hint="eastAsia"/>
        </w:rPr>
        <w:t>denotes the intensity of the authority</w:t>
      </w:r>
      <w:r>
        <w:rPr>
          <w:rFonts w:ascii="Times New Roman" w:hAnsi="Times New Roman" w:cs="Times New Roman"/>
        </w:rPr>
        <w:t>’</w:t>
      </w:r>
      <w:r>
        <w:rPr>
          <w:rFonts w:ascii="Times New Roman" w:hAnsi="Times New Roman" w:cs="Times New Roman" w:hint="eastAsia"/>
        </w:rPr>
        <w:t xml:space="preserve">s intervention outside the band, and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rPr>
        <w:t xml:space="preserve"> are</w:t>
      </w:r>
      <w:r>
        <w:rPr>
          <w:rFonts w:ascii="Times New Roman" w:hAnsi="Times New Roman" w:cs="Times New Roman" w:hint="eastAsia"/>
        </w:rPr>
        <w:t xml:space="preserve"> the positions that the authority targets when it intervenes in the foreign exchange rate market. In this paper, we assume the target band is symmetric, i.e.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r>
        <w:rPr>
          <w:rFonts w:ascii="Times New Roman" w:hAnsi="Times New Roman" w:cs="Times New Roman" w:hint="eastAsia"/>
        </w:rPr>
        <w:t>, for simplicity</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his assumption is consistent with the practice of many monetary authorities.</w:t>
      </w:r>
    </w:p>
    <w:p w14:paraId="3F335777" w14:textId="5A1522BC" w:rsidR="0074478A" w:rsidRDefault="00690393">
      <w:pPr>
        <w:numPr>
          <w:ilvl w:val="255"/>
          <w:numId w:val="0"/>
        </w:numPr>
        <w:spacing w:afterLines="100" w:after="312"/>
        <w:rPr>
          <w:rFonts w:ascii="Times New Roman" w:hAnsi="Times New Roman" w:cs="Times New Roman"/>
        </w:rPr>
      </w:pPr>
      <w:r>
        <w:rPr>
          <w:rFonts w:ascii="Times New Roman" w:hAnsi="Times New Roman" w:cs="Times New Roman" w:hint="eastAsia"/>
        </w:rPr>
        <w:t>That is, we model the deviation of the exchange rate outside the band as a weighted average of the authority</w:t>
      </w:r>
      <w:r>
        <w:rPr>
          <w:rFonts w:ascii="Times New Roman" w:hAnsi="Times New Roman" w:cs="Times New Roman"/>
        </w:rPr>
        <w:t>’</w:t>
      </w:r>
      <w:r>
        <w:rPr>
          <w:rFonts w:ascii="Times New Roman" w:hAnsi="Times New Roman" w:cs="Times New Roman" w:hint="eastAsia"/>
        </w:rPr>
        <w:t>s target and the exchange rate</w:t>
      </w:r>
      <w:r>
        <w:rPr>
          <w:rFonts w:ascii="Times New Roman" w:hAnsi="Times New Roman" w:cs="Times New Roman"/>
        </w:rPr>
        <w:t>’</w:t>
      </w:r>
      <w:r>
        <w:rPr>
          <w:rFonts w:ascii="Times New Roman" w:hAnsi="Times New Roman" w:cs="Times New Roman" w:hint="eastAsia"/>
        </w:rPr>
        <w:t>s own trend, where the weights depend on the authority</w:t>
      </w:r>
      <w:r>
        <w:rPr>
          <w:rFonts w:ascii="Times New Roman" w:hAnsi="Times New Roman" w:cs="Times New Roman"/>
        </w:rPr>
        <w:t>’</w:t>
      </w:r>
      <w:r>
        <w:rPr>
          <w:rFonts w:ascii="Times New Roman" w:hAnsi="Times New Roman" w:cs="Times New Roman" w:hint="eastAsia"/>
        </w:rPr>
        <w:t xml:space="preserve">s intervention intensity. This modeling is </w:t>
      </w: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systematic managed floating</w:t>
      </w:r>
      <w:r>
        <w:rPr>
          <w:rFonts w:ascii="Times New Roman" w:hAnsi="Times New Roman" w:cs="Times New Roman"/>
        </w:rPr>
        <w:t>”</w:t>
      </w:r>
      <w:r>
        <w:rPr>
          <w:rFonts w:ascii="Times New Roman" w:hAnsi="Times New Roman" w:cs="Times New Roman" w:hint="eastAsia"/>
        </w:rPr>
        <w:t xml:space="preserve">, proposed by Frankel (2019). </w:t>
      </w:r>
      <w:r>
        <w:rPr>
          <w:rFonts w:ascii="Times New Roman" w:hAnsi="Times New Roman" w:cs="Times New Roman"/>
        </w:rPr>
        <w:t xml:space="preserve">In </w:t>
      </w:r>
      <w:r>
        <w:rPr>
          <w:rFonts w:ascii="Times New Roman" w:hAnsi="Times New Roman" w:cs="Times New Roman" w:hint="eastAsia"/>
        </w:rPr>
        <w:t>systematic managed</w:t>
      </w:r>
      <w:r>
        <w:rPr>
          <w:rFonts w:ascii="Times New Roman" w:hAnsi="Times New Roman" w:cs="Times New Roman"/>
        </w:rPr>
        <w:t xml:space="preserve"> floating,</w:t>
      </w:r>
      <w:r>
        <w:rPr>
          <w:rFonts w:ascii="Times New Roman" w:hAnsi="Times New Roman" w:cs="Times New Roman" w:hint="eastAsia"/>
        </w:rPr>
        <w:t xml:space="preserve"> the authority responds to the exchange market pressure by allowing some fraction to be reflected as exchange rate change and absorbing the </w:t>
      </w:r>
      <w:r>
        <w:rPr>
          <w:rFonts w:ascii="Times New Roman" w:hAnsi="Times New Roman" w:cs="Times New Roman" w:hint="eastAsia"/>
        </w:rPr>
        <w:lastRenderedPageBreak/>
        <w:t>remaining fraction through foreign exchange intervention. This modeling is intuitive and highly tractable econometrically. Here we give a broad definition of the BBC regime</w:t>
      </w:r>
      <w:r>
        <w:rPr>
          <w:rFonts w:ascii="Times New Roman" w:hAnsi="Times New Roman" w:cs="Times New Roman"/>
        </w:rPr>
        <w:t xml:space="preserve">: </w:t>
      </w:r>
      <w:r>
        <w:rPr>
          <w:rFonts w:ascii="Times New Roman" w:hAnsi="Times New Roman" w:cs="Times New Roman" w:hint="eastAsia"/>
        </w:rPr>
        <w:t xml:space="preserve"> several intermediate regimes that have been previously discussed in the literature can be categorized into this </w:t>
      </w:r>
      <w:r>
        <w:rPr>
          <w:rFonts w:ascii="Times New Roman" w:hAnsi="Times New Roman" w:cs="Times New Roman"/>
        </w:rPr>
        <w:t>definition</w:t>
      </w:r>
      <w:r>
        <w:rPr>
          <w:rFonts w:ascii="Times New Roman" w:hAnsi="Times New Roman" w:cs="Times New Roman" w:hint="eastAsia"/>
        </w:rPr>
        <w:t xml:space="preserve">. When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rPr>
        <w:t xml:space="preserve"> are</w:t>
      </w:r>
      <w:r>
        <w:rPr>
          <w:rFonts w:ascii="Times New Roman" w:hAnsi="Times New Roman" w:cs="Times New Roman" w:hint="eastAsia"/>
        </w:rPr>
        <w:t xml:space="preserve"> set as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w:bookmarkStart w:id="67" w:name="OLE_LINK53"/>
            <m:r>
              <w:rPr>
                <w:rFonts w:ascii="Cambria Math" w:hAnsi="Cambria Math" w:cs="Times New Roman"/>
              </w:rPr>
              <m:t>θ</m:t>
            </m:r>
          </m:e>
          <m:sub>
            <m:r>
              <w:rPr>
                <w:rFonts w:ascii="Cambria Math" w:hAnsi="Cambria Math" w:cs="Times New Roman"/>
              </w:rPr>
              <m:t>2</m:t>
            </m:r>
            <w:bookmarkEnd w:id="67"/>
          </m:sub>
        </m:sSub>
      </m:oMath>
      <w:r>
        <w:rPr>
          <w:rFonts w:ascii="Times New Roman" w:hAnsi="Times New Roman" w:cs="Times New Roman" w:hint="eastAsia"/>
        </w:rPr>
        <w:t xml:space="preserve">, </w:t>
      </w:r>
      <w:r>
        <w:rPr>
          <w:rFonts w:ascii="Times New Roman" w:hAnsi="Times New Roman" w:cs="Times New Roman"/>
        </w:rPr>
        <w:t>respectively</w:t>
      </w:r>
      <w:r>
        <w:rPr>
          <w:rFonts w:ascii="Times New Roman" w:hAnsi="Times New Roman" w:cs="Times New Roman" w:hint="eastAsia"/>
        </w:rPr>
        <w:t xml:space="preserve">, and </w:t>
      </w:r>
      <w:bookmarkStart w:id="68" w:name="OLE_LINK52"/>
      <m:oMath>
        <m:r>
          <w:rPr>
            <w:rFonts w:ascii="Cambria Math" w:hAnsi="Cambria Math" w:cs="Times New Roman"/>
          </w:rPr>
          <m:t>ρ</m:t>
        </m:r>
      </m:oMath>
      <w:bookmarkEnd w:id="68"/>
      <w:r>
        <w:rPr>
          <w:rFonts w:hAnsi="Cambria Math" w:cs="Times New Roman" w:hint="eastAsia"/>
        </w:rPr>
        <w:t xml:space="preserve"> </w:t>
      </w:r>
      <w:r>
        <w:rPr>
          <w:rFonts w:ascii="Times New Roman" w:hAnsi="Times New Roman" w:cs="Times New Roman" w:hint="eastAsia"/>
        </w:rPr>
        <w:t xml:space="preserve">is set as 1, for instance, the regime will degenerate into the target zone characterized by Krugman (1991). When the exchange rate </w:t>
      </w:r>
      <w:r w:rsidR="001153D4">
        <w:rPr>
          <w:rFonts w:ascii="Times New Roman" w:hAnsi="Times New Roman" w:cs="Times New Roman"/>
        </w:rPr>
        <w:t xml:space="preserve">begins to </w:t>
      </w:r>
      <w:r>
        <w:rPr>
          <w:rFonts w:ascii="Times New Roman" w:hAnsi="Times New Roman" w:cs="Times New Roman" w:hint="eastAsia"/>
        </w:rPr>
        <w:t xml:space="preserve">wander outside the band, the authority intervenes to keep the level of deviation at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r>
        <w:rPr>
          <w:rFonts w:ascii="Times New Roman" w:hAnsi="Times New Roman" w:cs="Times New Roman"/>
        </w:rPr>
        <w:t xml:space="preserve"> or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oMath>
      <w:r>
        <w:rPr>
          <w:rFonts w:ascii="Times New Roman" w:hAnsi="Times New Roman" w:cs="Times New Roman"/>
        </w:rPr>
        <w:t xml:space="preserve">, the bound of </w:t>
      </w:r>
      <w:r>
        <w:rPr>
          <w:rFonts w:ascii="Times New Roman" w:hAnsi="Times New Roman" w:cs="Times New Roman" w:hint="eastAsia"/>
        </w:rPr>
        <w:t xml:space="preserve">the </w:t>
      </w:r>
      <w:r>
        <w:rPr>
          <w:rFonts w:ascii="Times New Roman" w:hAnsi="Times New Roman" w:cs="Times New Roman"/>
        </w:rPr>
        <w:t>target zone</w:t>
      </w:r>
      <w:r>
        <w:rPr>
          <w:rFonts w:ascii="Times New Roman" w:hAnsi="Times New Roman" w:cs="Times New Roman" w:hint="eastAsia"/>
        </w:rPr>
        <w:t xml:space="preserve">, until the exchange rate returns to the band. Let the </w:t>
      </w:r>
      <w:bookmarkStart w:id="69" w:name="OLE_LINK54"/>
      <w:r>
        <w:rPr>
          <w:rFonts w:ascii="Times New Roman" w:hAnsi="Times New Roman" w:cs="Times New Roman" w:hint="eastAsia"/>
        </w:rPr>
        <w:t>targets of intervention</w:t>
      </w:r>
      <w:bookmarkEnd w:id="69"/>
      <w:r>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hint="eastAsia"/>
        </w:rPr>
        <w:t xml:space="preserve"> be kept unchanged and the intensity </w:t>
      </w:r>
      <m:oMath>
        <m:r>
          <w:rPr>
            <w:rFonts w:ascii="Cambria Math" w:hAnsi="Cambria Math" w:cs="Times New Roman"/>
          </w:rPr>
          <m:t>ρ</m:t>
        </m:r>
      </m:oMath>
      <w:r>
        <w:rPr>
          <w:rFonts w:ascii="Times New Roman" w:hAnsi="Times New Roman" w:cs="Times New Roman" w:hint="eastAsia"/>
        </w:rPr>
        <w:t xml:space="preserve"> be reduced; then, the regime will switch to a loosely managed target band regime where a degree of departure from the band is allowed. The authority has flexibility on setting intervention targets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rPr>
        <w:t xml:space="preserve">, which </w:t>
      </w:r>
      <w:r>
        <w:rPr>
          <w:rFonts w:ascii="Times New Roman" w:hAnsi="Times New Roman" w:cs="Times New Roman" w:hint="eastAsia"/>
        </w:rPr>
        <w:t>are</w:t>
      </w:r>
      <w:r>
        <w:rPr>
          <w:rFonts w:ascii="Times New Roman" w:hAnsi="Times New Roman" w:cs="Times New Roman"/>
        </w:rPr>
        <w:t xml:space="preserve"> not necessarily set as the bounds of the band.</w:t>
      </w:r>
      <w:r>
        <w:rPr>
          <w:rFonts w:ascii="Times New Roman" w:hAnsi="Times New Roman" w:cs="Times New Roman" w:hint="eastAsia"/>
        </w:rPr>
        <w:t xml:space="preserve"> The target can be determined to be a constant within the band or even 0 if the authority desires to reduce the deviation from the central parity to a lower level.</w:t>
      </w:r>
    </w:p>
    <w:p w14:paraId="2FAF41FB" w14:textId="77777777" w:rsidR="0074478A" w:rsidRDefault="00690393">
      <w:pPr>
        <w:spacing w:afterLines="100" w:after="312"/>
        <w:rPr>
          <w:rFonts w:ascii="Times New Roman" w:hAnsi="Times New Roman" w:cs="Times New Roman"/>
        </w:rPr>
      </w:pPr>
      <w:r>
        <w:rPr>
          <w:rFonts w:ascii="Times New Roman" w:hAnsi="Times New Roman" w:cs="Times New Roman" w:hint="eastAsia"/>
          <w:b/>
          <w:bCs/>
        </w:rPr>
        <w:t>Definition 2</w:t>
      </w:r>
      <w:r>
        <w:rPr>
          <w:rFonts w:ascii="Times New Roman" w:hAnsi="Times New Roman" w:cs="Times New Roman"/>
          <w:b/>
          <w:bCs/>
        </w:rPr>
        <w:t>—</w:t>
      </w:r>
      <w:r>
        <w:rPr>
          <w:rFonts w:ascii="Times New Roman" w:hAnsi="Times New Roman" w:cs="Times New Roman" w:hint="eastAsia"/>
          <w:b/>
          <w:bCs/>
        </w:rPr>
        <w:t>Managed Floating Regime</w:t>
      </w:r>
      <w:r>
        <w:rPr>
          <w:rFonts w:ascii="Times New Roman" w:hAnsi="Times New Roman" w:cs="Times New Roman" w:hint="eastAsia"/>
        </w:rPr>
        <w:t xml:space="preserve">: A regime is categorized as a </w:t>
      </w:r>
      <w:r>
        <w:rPr>
          <w:rFonts w:ascii="Times New Roman" w:hAnsi="Times New Roman" w:cs="Times New Roman" w:hint="eastAsia"/>
          <w:b/>
          <w:bCs/>
        </w:rPr>
        <w:t>managed floating</w:t>
      </w:r>
      <w:r>
        <w:rPr>
          <w:rFonts w:ascii="Times New Roman" w:hAnsi="Times New Roman" w:cs="Times New Roman" w:hint="eastAsia"/>
        </w:rPr>
        <w:t xml:space="preserve"> regime when the authority does not set a target band and, instead, continuously intervenes in the foreign market. Algebraically, the deviation of the exchange rate at time </w:t>
      </w:r>
      <m:oMath>
        <m:r>
          <w:rPr>
            <w:rFonts w:ascii="Cambria Math" w:hAnsi="Cambria Math" w:cs="Times New Roman"/>
          </w:rPr>
          <m:t>t</m:t>
        </m:r>
      </m:oMath>
      <w:r>
        <w:rPr>
          <w:rFonts w:hAnsi="Cambria Math" w:cs="Times New Roman" w:hint="eastAsia"/>
        </w:rPr>
        <w:t xml:space="preserve"> </w:t>
      </w:r>
      <w:r>
        <w:rPr>
          <w:rFonts w:ascii="Times New Roman" w:hAnsi="Times New Roman" w:cs="Times New Roman" w:hint="eastAsia"/>
        </w:rPr>
        <w:t>under a managed floating regime can be modeled as</w:t>
      </w:r>
    </w:p>
    <w:p w14:paraId="7182F42D" w14:textId="77777777" w:rsidR="0074478A" w:rsidRDefault="000C03D7">
      <w:pPr>
        <w:spacing w:afterLines="100" w:after="312"/>
        <w:jc w:val="right"/>
        <w:rPr>
          <w:rFonts w:hAnsi="Cambria Math"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r>
          <w:rPr>
            <w:rFonts w:ascii="Cambria Math" w:hAnsi="Cambria Math" w:cs="Times New Roman"/>
          </w:rPr>
          <m:t>ρχ</m:t>
        </m:r>
        <m:r>
          <w:rPr>
            <w:rFonts w:ascii="Cambria Math" w:hAnsi="Cambria Math" w:cs="Times New Roman"/>
          </w:rPr>
          <m:t>+(1-</m:t>
        </m:r>
        <m:r>
          <w:rPr>
            <w:rFonts w:ascii="Cambria Math" w:hAnsi="Cambria Math" w:cs="Times New Roman"/>
          </w:rPr>
          <m:t>ρ</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m:t>
        </m:r>
        <m:r>
          <w:rPr>
            <w:rFonts w:ascii="Cambria Math" w:hAnsi="Cambria Math" w:cs="Times New Roman"/>
          </w:rPr>
          <m:t>ρχ</m:t>
        </m:r>
        <m:r>
          <w:rPr>
            <w:rFonts w:ascii="Cambria Math" w:hAnsi="Cambria Math" w:cs="Times New Roman"/>
          </w:rPr>
          <m:t>+(1-</m:t>
        </m:r>
        <m:r>
          <w:rPr>
            <w:rFonts w:ascii="Cambria Math" w:hAnsi="Cambria Math" w:cs="Times New Roman"/>
          </w:rPr>
          <m:t>ρ</m:t>
        </m:r>
        <m:r>
          <w:rPr>
            <w:rFonts w:ascii="Cambria Math" w:hAnsi="Cambria Math" w:cs="Times New Roman"/>
          </w:rPr>
          <m:t>)</m:t>
        </m:r>
        <m:sSub>
          <m:sSubPr>
            <m:ctrlPr>
              <w:rPr>
                <w:rFonts w:ascii="Cambria Math" w:hAnsi="Cambria Math" w:cs="Times New Roman"/>
                <w:i/>
              </w:rPr>
            </m:ctrlPr>
          </m:sSubPr>
          <m:e>
            <w:bookmarkStart w:id="70" w:name="OLE_LINK59"/>
            <m:r>
              <w:rPr>
                <w:rFonts w:ascii="Cambria Math" w:hAnsi="Cambria Math" w:cs="Times New Roman"/>
              </w:rPr>
              <m:t>X</m:t>
            </m:r>
          </m:e>
          <m:sub>
            <m:r>
              <w:rPr>
                <w:rFonts w:ascii="Cambria Math" w:hAnsi="Cambria Math" w:cs="Times New Roman"/>
              </w:rPr>
              <m:t>t</m:t>
            </m:r>
            <m:r>
              <w:rPr>
                <w:rFonts w:ascii="Cambria Math" w:hAnsi="Cambria Math" w:cs="Times New Roman"/>
              </w:rPr>
              <m:t>-</m:t>
            </m:r>
            <m:r>
              <w:rPr>
                <w:rFonts w:ascii="Cambria Math" w:hAnsi="Cambria Math" w:cs="Times New Roman"/>
              </w:rPr>
              <m:t>1</m:t>
            </m:r>
            <w:bookmarkEnd w:id="70"/>
          </m:sub>
        </m:sSub>
        <m:r>
          <w:rPr>
            <w:rFonts w:ascii="Cambria Math" w:hAnsi="Cambria Math" w:cs="Times New Roman"/>
          </w:rPr>
          <m:t>+(1-</m:t>
        </m:r>
        <m:r>
          <w:rPr>
            <w:rFonts w:ascii="Cambria Math" w:hAnsi="Cambria Math" w:cs="Times New Roman"/>
          </w:rPr>
          <m:t>ρ</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IID</m:t>
        </m:r>
        <m:r>
          <w:rPr>
            <w:rFonts w:ascii="Cambria Math" w:hAnsi="Cambria Math" w:cs="Times New Roman"/>
          </w:rPr>
          <m:t>(0,</m:t>
        </m:r>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r>
          <w:rPr>
            <w:rFonts w:ascii="Cambria Math" w:hAnsi="Cambria Math" w:cs="Times New Roman"/>
          </w:rPr>
          <m:t xml:space="preserve">)       </m:t>
        </m:r>
      </m:oMath>
      <w:r w:rsidR="00690393">
        <w:rPr>
          <w:rFonts w:hAnsi="Cambria Math" w:cs="Times New Roman" w:hint="eastAsia"/>
        </w:rPr>
        <w:t xml:space="preserve"> </w:t>
      </w:r>
      <w:r w:rsidR="00690393">
        <w:rPr>
          <w:rFonts w:ascii="Times New Roman" w:hAnsi="Times New Roman" w:cs="Times New Roman"/>
          <w:iCs/>
        </w:rPr>
        <w:t>(</w:t>
      </w:r>
      <w:r w:rsidR="00690393">
        <w:rPr>
          <w:rFonts w:ascii="Times New Roman" w:hAnsi="Times New Roman" w:cs="Times New Roman" w:hint="eastAsia"/>
          <w:iCs/>
        </w:rPr>
        <w:t>7</w:t>
      </w:r>
      <w:r w:rsidR="00690393">
        <w:rPr>
          <w:rFonts w:ascii="Times New Roman" w:hAnsi="Times New Roman" w:cs="Times New Roman"/>
          <w:iCs/>
        </w:rPr>
        <w:t>)</w:t>
      </w:r>
    </w:p>
    <w:p w14:paraId="47DE52D1"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where </w:t>
      </w:r>
      <w:bookmarkStart w:id="71" w:name="OLE_LINK58"/>
      <m:oMath>
        <m:r>
          <w:rPr>
            <w:rFonts w:ascii="Cambria Math" w:hAnsi="Cambria Math" w:cs="Times New Roman"/>
          </w:rPr>
          <m:t>ρ</m:t>
        </m:r>
      </m:oMath>
      <w:bookmarkEnd w:id="71"/>
      <w:r>
        <w:rPr>
          <w:rFonts w:ascii="Times New Roman" w:hAnsi="Times New Roman" w:cs="Times New Roman"/>
        </w:rPr>
        <w:t xml:space="preserve"> </w:t>
      </w:r>
      <w:r>
        <w:rPr>
          <w:rFonts w:ascii="Times New Roman" w:hAnsi="Times New Roman" w:cs="Times New Roman" w:hint="eastAsia"/>
        </w:rPr>
        <w:t>denotes the intensity of the authority</w:t>
      </w:r>
      <w:r>
        <w:rPr>
          <w:rFonts w:ascii="Times New Roman" w:hAnsi="Times New Roman" w:cs="Times New Roman"/>
        </w:rPr>
        <w:t>’</w:t>
      </w:r>
      <w:r>
        <w:rPr>
          <w:rFonts w:ascii="Times New Roman" w:hAnsi="Times New Roman" w:cs="Times New Roman" w:hint="eastAsia"/>
        </w:rPr>
        <w:t xml:space="preserve">s intervention, and </w:t>
      </w:r>
      <w:bookmarkStart w:id="72" w:name="OLE_LINK55"/>
      <m:oMath>
        <m:r>
          <w:rPr>
            <w:rFonts w:ascii="Cambria Math" w:hAnsi="Cambria Math" w:cs="Times New Roman"/>
          </w:rPr>
          <m:t>χ</m:t>
        </m:r>
      </m:oMath>
      <w:bookmarkEnd w:id="72"/>
      <w:r>
        <w:rPr>
          <w:rFonts w:ascii="Times New Roman" w:hAnsi="Times New Roman" w:cs="Times New Roman"/>
        </w:rPr>
        <w:t xml:space="preserve"> </w:t>
      </w:r>
      <w:r>
        <w:rPr>
          <w:rFonts w:ascii="Times New Roman" w:hAnsi="Times New Roman" w:cs="Times New Roman" w:hint="eastAsia"/>
        </w:rPr>
        <w:t>denotes the position of the deviation that the authority targets when the authority intervenes.</w:t>
      </w:r>
    </w:p>
    <w:p w14:paraId="371BE821" w14:textId="77E2636E" w:rsidR="0074478A" w:rsidRDefault="00690393">
      <w:pPr>
        <w:spacing w:afterLines="100" w:after="312"/>
        <w:rPr>
          <w:rFonts w:ascii="Times New Roman" w:hAnsi="Times New Roman" w:cs="Times New Roman"/>
        </w:rPr>
      </w:pPr>
      <w:r>
        <w:rPr>
          <w:rFonts w:ascii="Times New Roman" w:hAnsi="Times New Roman" w:cs="Times New Roman" w:hint="eastAsia"/>
        </w:rPr>
        <w:t>Similar to that under the BBC regime, the deviation of the exchange rate under managed floating is also determined by a weighted average of the authority</w:t>
      </w:r>
      <w:r>
        <w:rPr>
          <w:rFonts w:ascii="Times New Roman" w:hAnsi="Times New Roman" w:cs="Times New Roman"/>
        </w:rPr>
        <w:t>’</w:t>
      </w:r>
      <w:r>
        <w:rPr>
          <w:rFonts w:ascii="Times New Roman" w:hAnsi="Times New Roman" w:cs="Times New Roman" w:hint="eastAsia"/>
        </w:rPr>
        <w:t>s target and the exchange rate</w:t>
      </w:r>
      <w:r>
        <w:rPr>
          <w:rFonts w:ascii="Times New Roman" w:hAnsi="Times New Roman" w:cs="Times New Roman"/>
        </w:rPr>
        <w:t>’</w:t>
      </w:r>
      <w:r>
        <w:rPr>
          <w:rFonts w:ascii="Times New Roman" w:hAnsi="Times New Roman" w:cs="Times New Roman" w:hint="eastAsia"/>
        </w:rPr>
        <w:t>s own trend.</w:t>
      </w:r>
      <w:r>
        <w:rPr>
          <w:rStyle w:val="FootnoteReference"/>
          <w:rFonts w:ascii="Times New Roman" w:hAnsi="Times New Roman" w:cs="Times New Roman" w:hint="eastAsia"/>
        </w:rPr>
        <w:footnoteReference w:id="10"/>
      </w:r>
      <w:r>
        <w:rPr>
          <w:rFonts w:ascii="Times New Roman" w:hAnsi="Times New Roman" w:cs="Times New Roman" w:hint="eastAsia"/>
        </w:rPr>
        <w:t xml:space="preserve"> When </w:t>
      </w:r>
      <w:bookmarkStart w:id="73" w:name="OLE_LINK57"/>
      <m:oMath>
        <m:r>
          <w:rPr>
            <w:rFonts w:ascii="Cambria Math" w:hAnsi="Cambria Math" w:cs="Times New Roman"/>
          </w:rPr>
          <m:t>ρ</m:t>
        </m:r>
      </m:oMath>
      <w:bookmarkEnd w:id="73"/>
      <w:r>
        <w:rPr>
          <w:rFonts w:hAnsi="Cambria Math" w:cs="Times New Roman" w:hint="eastAsia"/>
        </w:rPr>
        <w:t xml:space="preserve"> </w:t>
      </w:r>
      <w:r>
        <w:rPr>
          <w:rFonts w:ascii="Times New Roman" w:hAnsi="Times New Roman" w:cs="Times New Roman" w:hint="eastAsia"/>
        </w:rPr>
        <w:t>is close to 1, then the volatility of the exchange rate will be kept at a rat</w:t>
      </w:r>
      <w:r w:rsidR="005E610B">
        <w:rPr>
          <w:rFonts w:ascii="Times New Roman" w:hAnsi="Times New Roman" w:cs="Times New Roman"/>
        </w:rPr>
        <w:t>h</w:t>
      </w:r>
      <w:r>
        <w:rPr>
          <w:rFonts w:ascii="Times New Roman" w:hAnsi="Times New Roman" w:cs="Times New Roman" w:hint="eastAsia"/>
        </w:rPr>
        <w:t xml:space="preserve">er low level, and the managed floating regime is similar to a fixed regime. Alternatively, if </w:t>
      </w:r>
      <m:oMath>
        <m:r>
          <w:rPr>
            <w:rFonts w:ascii="Cambria Math" w:hAnsi="Cambria Math" w:cs="Times New Roman"/>
          </w:rPr>
          <m:t>ρ</m:t>
        </m:r>
      </m:oMath>
      <w:r>
        <w:rPr>
          <w:rFonts w:ascii="Times New Roman" w:hAnsi="Times New Roman" w:cs="Times New Roman"/>
        </w:rPr>
        <w:t xml:space="preserve"> is set as 0</w:t>
      </w:r>
      <w:r>
        <w:rPr>
          <w:rFonts w:ascii="Times New Roman" w:hAnsi="Times New Roman" w:cs="Times New Roman" w:hint="eastAsia"/>
        </w:rPr>
        <w:t xml:space="preserve">, then the exchange rate floats. It is expected that most countries maintaining a managed floating regime set </w:t>
      </w:r>
      <m:oMath>
        <m:r>
          <w:rPr>
            <w:rFonts w:ascii="Cambria Math" w:hAnsi="Cambria Math" w:cs="Times New Roman"/>
          </w:rPr>
          <m:t>ρ</m:t>
        </m:r>
      </m:oMath>
      <w:r>
        <w:rPr>
          <w:rFonts w:hAnsi="Cambria Math" w:cs="Times New Roman" w:hint="eastAsia"/>
        </w:rPr>
        <w:t xml:space="preserve"> </w:t>
      </w:r>
      <w:r>
        <w:rPr>
          <w:rFonts w:ascii="Times New Roman" w:hAnsi="Times New Roman" w:cs="Times New Roman" w:hint="eastAsia"/>
        </w:rPr>
        <w:t xml:space="preserve">as a moderate value </w:t>
      </w:r>
      <w:r w:rsidR="00630B8B">
        <w:rPr>
          <w:rFonts w:ascii="Times New Roman" w:hAnsi="Times New Roman" w:cs="Times New Roman"/>
        </w:rPr>
        <w:t xml:space="preserve">somewhere </w:t>
      </w:r>
      <w:r>
        <w:rPr>
          <w:rFonts w:ascii="Times New Roman" w:hAnsi="Times New Roman" w:cs="Times New Roman" w:hint="eastAsia"/>
        </w:rPr>
        <w:t>between 0 and 1.</w:t>
      </w:r>
    </w:p>
    <w:p w14:paraId="44A5096A" w14:textId="430D6AB2"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The above definitions give us clear guidance for empirically classifying exchange rate regimes. When a country follows a BBC, the monetary authority lets the exchange rate wander within the </w:t>
      </w:r>
      <w:proofErr w:type="gramStart"/>
      <w:r>
        <w:rPr>
          <w:rFonts w:ascii="Times New Roman" w:hAnsi="Times New Roman" w:cs="Times New Roman" w:hint="eastAsia"/>
        </w:rPr>
        <w:t>band, and</w:t>
      </w:r>
      <w:proofErr w:type="gramEnd"/>
      <w:r>
        <w:rPr>
          <w:rFonts w:ascii="Times New Roman" w:hAnsi="Times New Roman" w:cs="Times New Roman" w:hint="eastAsia"/>
        </w:rPr>
        <w:t xml:space="preserve"> intervenes when the exchange rate goes outside the upper bound or the lower bound of the band. The regime switches lead to two distinct changes in parameters of the autoregressive process that can be econometrically estimated--the decrease in the coefficient of the lagged term and the variance of the error term. The estimated percentage decrease in the deviation series volatility can then be used to measure the intensity of out-of-band intervention </w:t>
      </w:r>
      <m:oMath>
        <m:r>
          <w:rPr>
            <w:rFonts w:ascii="Cambria Math" w:hAnsi="Cambria Math" w:cs="Times New Roman"/>
          </w:rPr>
          <m:t>ρ</m:t>
        </m:r>
      </m:oMath>
      <w:r>
        <w:rPr>
          <w:rFonts w:ascii="Times New Roman" w:hAnsi="Times New Roman" w:cs="Times New Roman" w:hint="eastAsia"/>
        </w:rPr>
        <w:t>.</w:t>
      </w:r>
      <w:r>
        <w:rPr>
          <w:rStyle w:val="FootnoteReference"/>
          <w:rFonts w:ascii="Times New Roman" w:hAnsi="Times New Roman" w:cs="Times New Roman" w:hint="eastAsia"/>
        </w:rPr>
        <w:footnoteReference w:id="11"/>
      </w:r>
      <w:r>
        <w:rPr>
          <w:rFonts w:ascii="Times New Roman" w:hAnsi="Times New Roman" w:cs="Times New Roman" w:hint="eastAsia"/>
        </w:rPr>
        <w:t xml:space="preserve"> In contrast, </w:t>
      </w:r>
      <w:r>
        <w:rPr>
          <w:rFonts w:ascii="Times New Roman" w:hAnsi="Times New Roman" w:cs="Times New Roman" w:hint="eastAsia"/>
        </w:rPr>
        <w:lastRenderedPageBreak/>
        <w:t>under a managed floating regime with no target band, it is less likely to detect such clear regime switches induced by the current deviation from the central parity. We thus utilize these nuances between BBC and managed floating without target band to subdivide observations that are classified in the group of intermediate regimes.</w:t>
      </w:r>
    </w:p>
    <w:p w14:paraId="0A66EFAB" w14:textId="1A675AC9" w:rsidR="0074478A" w:rsidRDefault="00690393">
      <w:pPr>
        <w:spacing w:afterLines="100" w:after="312"/>
        <w:rPr>
          <w:rFonts w:ascii="Times New Roman" w:hAnsi="Times New Roman" w:cs="Times New Roman"/>
        </w:rPr>
      </w:pPr>
      <w:r>
        <w:rPr>
          <w:rFonts w:ascii="Times New Roman" w:hAnsi="Times New Roman" w:cs="Times New Roman" w:hint="eastAsia"/>
        </w:rPr>
        <w:t>Technically, a three-regime Threshold Autoregressive (TAR) model is adopted to infer whether the exchange rate within a segment shows the above</w:t>
      </w:r>
      <w:r w:rsidR="003531C9">
        <w:rPr>
          <w:rFonts w:ascii="Times New Roman" w:hAnsi="Times New Roman" w:cs="Times New Roman"/>
        </w:rPr>
        <w:t>-</w:t>
      </w:r>
      <w:r>
        <w:rPr>
          <w:rFonts w:ascii="Times New Roman" w:hAnsi="Times New Roman" w:cs="Times New Roman" w:hint="eastAsia"/>
        </w:rPr>
        <w:t>mentioned nonlinearity. If a country follows a BBC regime, it is expected that the middle regime of the TAR model is close to a unit root process sketching how the exchange rate wanders within the band, while the upper regime and the lower regime show a clear trend of a decrease in exchange rate volatility and</w:t>
      </w:r>
      <w:r>
        <w:rPr>
          <w:rFonts w:ascii="Times New Roman" w:hAnsi="Times New Roman" w:cs="Times New Roman"/>
        </w:rPr>
        <w:t xml:space="preserve"> a</w:t>
      </w:r>
      <w:r>
        <w:rPr>
          <w:rFonts w:ascii="Times New Roman" w:hAnsi="Times New Roman" w:cs="Times New Roman" w:hint="eastAsia"/>
        </w:rPr>
        <w:t xml:space="preserve"> reversion to the band. When managed floating with no band is pursued, on the </w:t>
      </w:r>
      <w:r>
        <w:rPr>
          <w:rFonts w:ascii="Times New Roman" w:hAnsi="Times New Roman" w:cs="Times New Roman"/>
        </w:rPr>
        <w:t>other hand</w:t>
      </w:r>
      <w:r>
        <w:rPr>
          <w:rFonts w:ascii="Times New Roman" w:hAnsi="Times New Roman" w:cs="Times New Roman" w:hint="eastAsia"/>
        </w:rPr>
        <w:t xml:space="preserve">, we may detect intramarginal interventions, thereby leading to the rejection of the null hypothesis of </w:t>
      </w:r>
      <w:r>
        <w:rPr>
          <w:rFonts w:ascii="Times New Roman" w:hAnsi="Times New Roman" w:cs="Times New Roman"/>
        </w:rPr>
        <w:t xml:space="preserve">a </w:t>
      </w:r>
      <w:r>
        <w:rPr>
          <w:rFonts w:ascii="Times New Roman" w:hAnsi="Times New Roman" w:cs="Times New Roman" w:hint="eastAsia"/>
        </w:rPr>
        <w:t>unit root within the middle regime. We can further utilize the TAR model to infer related parameters capturing the pattern of the monetary authority</w:t>
      </w:r>
      <w:r>
        <w:rPr>
          <w:rFonts w:ascii="Times New Roman" w:hAnsi="Times New Roman" w:cs="Times New Roman"/>
        </w:rPr>
        <w:t>’</w:t>
      </w:r>
      <w:r>
        <w:rPr>
          <w:rFonts w:ascii="Times New Roman" w:hAnsi="Times New Roman" w:cs="Times New Roman" w:hint="eastAsia"/>
        </w:rPr>
        <w:t>s intervention under the BBC regime, including the width of target band and the intensity of out-of-band intervention. These statistically based inference</w:t>
      </w:r>
      <w:r>
        <w:rPr>
          <w:rFonts w:ascii="Times New Roman" w:hAnsi="Times New Roman" w:cs="Times New Roman"/>
        </w:rPr>
        <w:t>s</w:t>
      </w:r>
      <w:r>
        <w:rPr>
          <w:rFonts w:ascii="Times New Roman" w:hAnsi="Times New Roman" w:cs="Times New Roman" w:hint="eastAsia"/>
        </w:rPr>
        <w:t xml:space="preserve"> give a nuanced portrait of patterns of how the exchange rate is managed under various intermediate regimes, which has not been investigated in existing studies.</w:t>
      </w:r>
    </w:p>
    <w:p w14:paraId="2A052387" w14:textId="72E4B870" w:rsidR="0074478A" w:rsidRDefault="00690393">
      <w:pPr>
        <w:spacing w:afterLines="100" w:after="312"/>
        <w:rPr>
          <w:rFonts w:ascii="Times New Roman" w:hAnsi="Times New Roman" w:cs="Times New Roman"/>
        </w:rPr>
      </w:pPr>
      <w:r>
        <w:rPr>
          <w:rFonts w:ascii="Times New Roman" w:hAnsi="Times New Roman" w:cs="Times New Roman" w:hint="eastAsia"/>
        </w:rPr>
        <w:t>Throughout the analysis</w:t>
      </w:r>
      <w:r>
        <w:rPr>
          <w:rFonts w:ascii="Times New Roman" w:hAnsi="Times New Roman" w:cs="Times New Roman"/>
        </w:rPr>
        <w:t xml:space="preserve"> so far</w:t>
      </w:r>
      <w:r>
        <w:rPr>
          <w:rFonts w:ascii="Times New Roman" w:hAnsi="Times New Roman" w:cs="Times New Roman" w:hint="eastAsia"/>
        </w:rPr>
        <w:t xml:space="preserve">, we </w:t>
      </w:r>
      <w:r>
        <w:rPr>
          <w:rFonts w:ascii="Times New Roman" w:hAnsi="Times New Roman" w:cs="Times New Roman"/>
        </w:rPr>
        <w:t xml:space="preserve">have </w:t>
      </w:r>
      <w:r>
        <w:rPr>
          <w:rFonts w:ascii="Times New Roman" w:hAnsi="Times New Roman" w:cs="Times New Roman" w:hint="eastAsia"/>
        </w:rPr>
        <w:t>assume</w:t>
      </w:r>
      <w:r>
        <w:rPr>
          <w:rFonts w:ascii="Times New Roman" w:hAnsi="Times New Roman" w:cs="Times New Roman"/>
        </w:rPr>
        <w:t xml:space="preserve">d the monetary authority </w:t>
      </w:r>
      <w:r w:rsidR="0085556F">
        <w:rPr>
          <w:rFonts w:ascii="Times New Roman" w:hAnsi="Times New Roman" w:cs="Times New Roman"/>
        </w:rPr>
        <w:t>follows</w:t>
      </w:r>
      <w:r>
        <w:rPr>
          <w:rFonts w:ascii="Times New Roman" w:hAnsi="Times New Roman" w:cs="Times New Roman"/>
        </w:rPr>
        <w:t xml:space="preserve"> the </w:t>
      </w:r>
      <w:r w:rsidR="0085556F">
        <w:rPr>
          <w:rFonts w:ascii="Times New Roman" w:hAnsi="Times New Roman" w:cs="Times New Roman"/>
        </w:rPr>
        <w:t xml:space="preserve">same </w:t>
      </w:r>
      <w:r>
        <w:rPr>
          <w:rFonts w:ascii="Times New Roman" w:hAnsi="Times New Roman" w:cs="Times New Roman" w:hint="eastAsia"/>
        </w:rPr>
        <w:t>exchange rate regime</w:t>
      </w:r>
      <w:r>
        <w:rPr>
          <w:rFonts w:ascii="Times New Roman" w:hAnsi="Times New Roman" w:cs="Times New Roman"/>
        </w:rPr>
        <w:t xml:space="preserve"> </w:t>
      </w:r>
      <w:r w:rsidR="0085556F">
        <w:rPr>
          <w:rFonts w:ascii="Times New Roman" w:hAnsi="Times New Roman" w:cs="Times New Roman"/>
        </w:rPr>
        <w:t>during</w:t>
      </w:r>
      <w:r>
        <w:rPr>
          <w:rFonts w:ascii="Times New Roman" w:hAnsi="Times New Roman" w:cs="Times New Roman"/>
        </w:rPr>
        <w:t xml:space="preserve"> the </w:t>
      </w:r>
      <w:proofErr w:type="gramStart"/>
      <w:r>
        <w:rPr>
          <w:rFonts w:ascii="Times New Roman" w:hAnsi="Times New Roman" w:cs="Times New Roman"/>
        </w:rPr>
        <w:t>whole time</w:t>
      </w:r>
      <w:proofErr w:type="gramEnd"/>
      <w:r>
        <w:rPr>
          <w:rFonts w:ascii="Times New Roman" w:hAnsi="Times New Roman" w:cs="Times New Roman"/>
        </w:rPr>
        <w:t xml:space="preserve"> segment delineated by the procedure of breakpoint identification presented in </w:t>
      </w:r>
      <w:r>
        <w:rPr>
          <w:rFonts w:ascii="Times New Roman" w:hAnsi="Times New Roman" w:cs="Times New Roman" w:hint="eastAsia"/>
        </w:rPr>
        <w:t>S</w:t>
      </w:r>
      <w:r>
        <w:rPr>
          <w:rFonts w:ascii="Times New Roman" w:hAnsi="Times New Roman" w:cs="Times New Roman"/>
        </w:rPr>
        <w:t xml:space="preserve">ection </w:t>
      </w:r>
      <w:r>
        <w:rPr>
          <w:rFonts w:ascii="Times New Roman" w:hAnsi="Times New Roman" w:cs="Times New Roman" w:hint="eastAsia"/>
        </w:rPr>
        <w:t>2</w:t>
      </w:r>
      <w:r>
        <w:rPr>
          <w:rFonts w:ascii="Times New Roman" w:hAnsi="Times New Roman" w:cs="Times New Roman"/>
        </w:rPr>
        <w:t xml:space="preserve">.1. </w:t>
      </w:r>
      <w:r>
        <w:rPr>
          <w:rFonts w:ascii="Times New Roman" w:hAnsi="Times New Roman" w:cs="Times New Roman" w:hint="eastAsia"/>
        </w:rPr>
        <w:t xml:space="preserve">That is, the exchange rate regime is supposed to remain fully constant if a country does not change the basket of currencies </w:t>
      </w:r>
      <w:r>
        <w:rPr>
          <w:rFonts w:ascii="Times New Roman" w:hAnsi="Times New Roman" w:cs="Times New Roman"/>
        </w:rPr>
        <w:t xml:space="preserve">to which </w:t>
      </w:r>
      <w:r>
        <w:rPr>
          <w:rFonts w:ascii="Times New Roman" w:hAnsi="Times New Roman" w:cs="Times New Roman" w:hint="eastAsia"/>
        </w:rPr>
        <w:t xml:space="preserve">the rate is pegged. Under this assumption, we simply run the above-mentioned procedure to infer the exchange rate regime a country follows within the segment and estimate related parameters. </w:t>
      </w:r>
      <w:r>
        <w:rPr>
          <w:rFonts w:ascii="Times New Roman" w:hAnsi="Times New Roman" w:cs="Times New Roman"/>
        </w:rPr>
        <w:t>However, as Bertola and Caballero (1992) note, central parity realignments frequently take plac</w:t>
      </w:r>
      <w:r>
        <w:rPr>
          <w:rFonts w:ascii="Times New Roman" w:hAnsi="Times New Roman" w:cs="Times New Roman" w:hint="eastAsia"/>
        </w:rPr>
        <w:t>e</w:t>
      </w:r>
      <w:r>
        <w:rPr>
          <w:rFonts w:ascii="Times New Roman" w:hAnsi="Times New Roman" w:cs="Times New Roman"/>
        </w:rPr>
        <w:t xml:space="preserve">. Moreover, </w:t>
      </w:r>
      <w:r>
        <w:rPr>
          <w:rFonts w:ascii="Times New Roman" w:hAnsi="Times New Roman" w:cs="Times New Roman" w:hint="eastAsia"/>
        </w:rPr>
        <w:t>related</w:t>
      </w:r>
      <w:r>
        <w:rPr>
          <w:rFonts w:ascii="Times New Roman" w:hAnsi="Times New Roman" w:cs="Times New Roman"/>
        </w:rPr>
        <w:t xml:space="preserve"> parameters representing </w:t>
      </w:r>
      <w:r>
        <w:rPr>
          <w:rFonts w:ascii="Times New Roman" w:hAnsi="Times New Roman" w:cs="Times New Roman" w:hint="eastAsia"/>
        </w:rPr>
        <w:t xml:space="preserve">rules of </w:t>
      </w:r>
      <w:r>
        <w:rPr>
          <w:rFonts w:ascii="Times New Roman" w:hAnsi="Times New Roman" w:cs="Times New Roman"/>
        </w:rPr>
        <w:t xml:space="preserve">exchange rate </w:t>
      </w:r>
      <w:r>
        <w:rPr>
          <w:rFonts w:ascii="Times New Roman" w:hAnsi="Times New Roman" w:cs="Times New Roman" w:hint="eastAsia"/>
        </w:rPr>
        <w:t>management</w:t>
      </w:r>
      <w:r>
        <w:rPr>
          <w:rFonts w:ascii="Times New Roman" w:hAnsi="Times New Roman" w:cs="Times New Roman"/>
        </w:rPr>
        <w:t xml:space="preserve"> (including band width, intensity of out-of-band intervention and coefficients of autoregressive models)</w:t>
      </w:r>
      <w:r>
        <w:rPr>
          <w:rFonts w:ascii="Times New Roman" w:hAnsi="Times New Roman" w:cs="Times New Roman" w:hint="eastAsia"/>
        </w:rPr>
        <w:t xml:space="preserve"> </w:t>
      </w:r>
      <w:r>
        <w:rPr>
          <w:rFonts w:ascii="Times New Roman" w:hAnsi="Times New Roman" w:cs="Times New Roman"/>
        </w:rPr>
        <w:t xml:space="preserve">may also change over time. </w:t>
      </w:r>
      <w:r w:rsidR="006D51E2">
        <w:rPr>
          <w:rFonts w:ascii="Times New Roman" w:hAnsi="Times New Roman" w:cs="Times New Roman"/>
        </w:rPr>
        <w:t>The s</w:t>
      </w:r>
      <w:r>
        <w:rPr>
          <w:rFonts w:ascii="Times New Roman" w:hAnsi="Times New Roman" w:cs="Times New Roman" w:hint="eastAsia"/>
        </w:rPr>
        <w:t xml:space="preserve">trong assumptions we made in the previous analysis may therefore lead to misspecification. </w:t>
      </w:r>
    </w:p>
    <w:p w14:paraId="33F0EB0E" w14:textId="747FA015" w:rsidR="003A6E58" w:rsidRDefault="00690393">
      <w:pPr>
        <w:spacing w:afterLines="100" w:after="312"/>
        <w:rPr>
          <w:rFonts w:ascii="Times New Roman" w:hAnsi="Times New Roman" w:cs="Times New Roman"/>
        </w:rPr>
      </w:pPr>
      <w:r>
        <w:rPr>
          <w:rFonts w:ascii="Times New Roman" w:hAnsi="Times New Roman" w:cs="Times New Roman"/>
        </w:rPr>
        <w:t xml:space="preserve">To consider </w:t>
      </w:r>
      <w:r>
        <w:rPr>
          <w:rFonts w:ascii="Times New Roman" w:hAnsi="Times New Roman" w:cs="Times New Roman" w:hint="eastAsia"/>
        </w:rPr>
        <w:t xml:space="preserve">these </w:t>
      </w:r>
      <w:r>
        <w:rPr>
          <w:rFonts w:ascii="Times New Roman" w:hAnsi="Times New Roman" w:cs="Times New Roman"/>
        </w:rPr>
        <w:t xml:space="preserve">realignments and other changes in </w:t>
      </w:r>
      <w:r>
        <w:rPr>
          <w:rFonts w:ascii="Times New Roman" w:hAnsi="Times New Roman" w:cs="Times New Roman" w:hint="eastAsia"/>
        </w:rPr>
        <w:t>exchange rate regimes</w:t>
      </w:r>
      <w:r>
        <w:rPr>
          <w:rFonts w:ascii="Times New Roman" w:hAnsi="Times New Roman" w:cs="Times New Roman"/>
        </w:rPr>
        <w:t xml:space="preserve">, </w:t>
      </w:r>
      <w:r>
        <w:rPr>
          <w:rFonts w:ascii="Times New Roman" w:hAnsi="Times New Roman" w:cs="Times New Roman" w:hint="eastAsia"/>
        </w:rPr>
        <w:t xml:space="preserve">we need to develop a time-varying econometric framework </w:t>
      </w: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w:t>
      </w:r>
      <w:bookmarkStart w:id="74" w:name="OLE_LINK66"/>
      <w:r>
        <w:rPr>
          <w:rFonts w:ascii="Times New Roman" w:hAnsi="Times New Roman" w:cs="Times New Roman" w:hint="eastAsia"/>
        </w:rPr>
        <w:t>Frankel and Xie (2010)</w:t>
      </w:r>
      <w:bookmarkEnd w:id="74"/>
      <w:r>
        <w:rPr>
          <w:rFonts w:ascii="Times New Roman" w:hAnsi="Times New Roman" w:cs="Times New Roman" w:hint="eastAsia"/>
        </w:rPr>
        <w:t xml:space="preserve">, which allows for simultaneous inference of structural changes in regimes in the time </w:t>
      </w:r>
      <w:r>
        <w:rPr>
          <w:rFonts w:ascii="Times New Roman" w:hAnsi="Times New Roman" w:cs="Times New Roman"/>
        </w:rPr>
        <w:t>dimension</w:t>
      </w:r>
      <w:r w:rsidR="00B91D30">
        <w:rPr>
          <w:rFonts w:ascii="Times New Roman" w:hAnsi="Times New Roman" w:cs="Times New Roman"/>
        </w:rPr>
        <w:t xml:space="preserve"> </w:t>
      </w:r>
      <w:r>
        <w:rPr>
          <w:rFonts w:ascii="Times New Roman" w:hAnsi="Times New Roman" w:cs="Times New Roman" w:hint="eastAsia"/>
        </w:rPr>
        <w:t xml:space="preserve">and the exchange rate regime a country follows within a </w:t>
      </w:r>
      <w:r>
        <w:rPr>
          <w:rFonts w:ascii="Times New Roman" w:hAnsi="Times New Roman" w:cs="Times New Roman"/>
        </w:rPr>
        <w:t xml:space="preserve">time </w:t>
      </w:r>
      <w:r>
        <w:rPr>
          <w:rFonts w:ascii="Times New Roman" w:hAnsi="Times New Roman" w:cs="Times New Roman" w:hint="eastAsia"/>
        </w:rPr>
        <w:t>segment. Though the economic motivation is straightforward, it is technically difficult to implement such a simultaneous two-dimensional statistical inference due to the nonlinearity of exchange rate dynamics within a segment we aim to capture in this paper.</w:t>
      </w:r>
      <w:r>
        <w:rPr>
          <w:rStyle w:val="FootnoteReference"/>
          <w:rFonts w:ascii="Times New Roman" w:hAnsi="Times New Roman" w:cs="Times New Roman" w:hint="eastAsia"/>
        </w:rPr>
        <w:footnoteReference w:id="12"/>
      </w:r>
      <w:r>
        <w:rPr>
          <w:rFonts w:ascii="Times New Roman" w:hAnsi="Times New Roman" w:cs="Times New Roman" w:hint="eastAsia"/>
        </w:rPr>
        <w:t xml:space="preserve"> </w:t>
      </w:r>
      <w:r>
        <w:rPr>
          <w:rFonts w:ascii="Times New Roman" w:hAnsi="Times New Roman" w:cs="Times New Roman" w:hint="eastAsia"/>
        </w:rPr>
        <w:lastRenderedPageBreak/>
        <w:t>When regime switches in the state dimension (i.e.</w:t>
      </w:r>
      <w:r w:rsidR="00BB3C0B">
        <w:rPr>
          <w:rFonts w:ascii="Times New Roman" w:hAnsi="Times New Roman" w:cs="Times New Roman"/>
        </w:rPr>
        <w:t>,</w:t>
      </w:r>
      <w:r>
        <w:rPr>
          <w:rFonts w:ascii="Times New Roman" w:hAnsi="Times New Roman" w:cs="Times New Roman" w:hint="eastAsia"/>
        </w:rPr>
        <w:t xml:space="preserve"> how </w:t>
      </w:r>
      <w:r w:rsidR="00BB3C0B">
        <w:rPr>
          <w:rFonts w:ascii="Times New Roman" w:hAnsi="Times New Roman" w:cs="Times New Roman"/>
        </w:rPr>
        <w:t xml:space="preserve">the </w:t>
      </w:r>
      <w:r>
        <w:rPr>
          <w:rFonts w:ascii="Times New Roman" w:hAnsi="Times New Roman" w:cs="Times New Roman" w:hint="eastAsia"/>
        </w:rPr>
        <w:t xml:space="preserve">intervention pattern </w:t>
      </w:r>
      <w:r>
        <w:rPr>
          <w:rFonts w:ascii="Times New Roman" w:hAnsi="Times New Roman" w:cs="Times New Roman"/>
        </w:rPr>
        <w:t>varies along</w:t>
      </w:r>
      <w:r>
        <w:rPr>
          <w:rFonts w:ascii="Times New Roman" w:hAnsi="Times New Roman" w:cs="Times New Roman" w:hint="eastAsia"/>
        </w:rPr>
        <w:t xml:space="preserve"> with </w:t>
      </w:r>
      <w:r w:rsidR="00BB3C0B">
        <w:rPr>
          <w:rFonts w:ascii="Times New Roman" w:hAnsi="Times New Roman" w:cs="Times New Roman"/>
        </w:rPr>
        <w:t xml:space="preserve">the </w:t>
      </w:r>
      <w:r>
        <w:rPr>
          <w:rFonts w:ascii="Times New Roman" w:hAnsi="Times New Roman" w:cs="Times New Roman" w:hint="eastAsia"/>
        </w:rPr>
        <w:t>current position of deviation from the central parity) are considered, the Bai-Perron test used by Frankel and Xie (2010) to detect structural breaks is no longer applicable</w:t>
      </w:r>
      <w:r>
        <w:rPr>
          <w:rFonts w:ascii="Times New Roman" w:hAnsi="Times New Roman" w:cs="Times New Roman"/>
        </w:rPr>
        <w:t>,</w:t>
      </w:r>
      <w:r>
        <w:rPr>
          <w:rFonts w:ascii="Times New Roman" w:hAnsi="Times New Roman" w:cs="Times New Roman" w:hint="eastAsia"/>
        </w:rPr>
        <w:t xml:space="preserve"> as it applies only to linear models. </w:t>
      </w:r>
      <w:bookmarkStart w:id="75" w:name="OLE_LINK74"/>
      <w:r>
        <w:rPr>
          <w:rFonts w:ascii="Times New Roman" w:hAnsi="Times New Roman" w:cs="Times New Roman" w:hint="eastAsia"/>
        </w:rPr>
        <w:t xml:space="preserve">As Gao and Ling (2019) </w:t>
      </w:r>
      <w:r>
        <w:rPr>
          <w:rFonts w:ascii="Times New Roman" w:hAnsi="Times New Roman" w:cs="Times New Roman"/>
        </w:rPr>
        <w:t>discuss</w:t>
      </w:r>
      <w:r>
        <w:rPr>
          <w:rFonts w:ascii="Times New Roman" w:hAnsi="Times New Roman" w:cs="Times New Roman" w:hint="eastAsia"/>
        </w:rPr>
        <w:t>, the non</w:t>
      </w:r>
      <w:r w:rsidR="0086278D">
        <w:rPr>
          <w:rFonts w:ascii="Times New Roman" w:hAnsi="Times New Roman" w:cs="Times New Roman"/>
        </w:rPr>
        <w:t>-</w:t>
      </w:r>
      <w:r>
        <w:rPr>
          <w:rFonts w:ascii="Times New Roman" w:hAnsi="Times New Roman" w:cs="Times New Roman" w:hint="eastAsia"/>
        </w:rPr>
        <w:t xml:space="preserve">smooth and nonlinear function forms of nonlinear models such as TAR models make it hard to detect structural breaks in TAR models by </w:t>
      </w:r>
      <w:r w:rsidR="00031740">
        <w:rPr>
          <w:rFonts w:ascii="Times New Roman" w:hAnsi="Times New Roman" w:cs="Times New Roman"/>
        </w:rPr>
        <w:t>means of</w:t>
      </w:r>
      <w:r>
        <w:rPr>
          <w:rFonts w:ascii="Times New Roman" w:hAnsi="Times New Roman" w:cs="Times New Roman" w:hint="eastAsia"/>
        </w:rPr>
        <w:t xml:space="preserve"> </w:t>
      </w:r>
      <w:r w:rsidR="00031740">
        <w:rPr>
          <w:rFonts w:ascii="Times New Roman" w:hAnsi="Times New Roman" w:cs="Times New Roman"/>
        </w:rPr>
        <w:t xml:space="preserve">the </w:t>
      </w:r>
      <w:r>
        <w:rPr>
          <w:rFonts w:ascii="Times New Roman" w:hAnsi="Times New Roman" w:cs="Times New Roman" w:hint="eastAsia"/>
        </w:rPr>
        <w:t xml:space="preserve">traditional estimation methods used in statistical inference of structural changes in linear time series models. </w:t>
      </w:r>
    </w:p>
    <w:p w14:paraId="2230B28F" w14:textId="626E138D"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To overcome the technical challenge, we utilize the estimation method developed by Yau et al. (2015). </w:t>
      </w:r>
      <w:bookmarkEnd w:id="75"/>
      <w:r>
        <w:rPr>
          <w:rFonts w:ascii="Times New Roman" w:hAnsi="Times New Roman" w:cs="Times New Roman" w:hint="eastAsia"/>
        </w:rPr>
        <w:t xml:space="preserve">This procedure allows us to address the nonlinearity and the </w:t>
      </w:r>
      <w:proofErr w:type="spellStart"/>
      <w:r>
        <w:rPr>
          <w:rFonts w:ascii="Times New Roman" w:hAnsi="Times New Roman" w:cs="Times New Roman" w:hint="eastAsia"/>
        </w:rPr>
        <w:t>nonstationarity</w:t>
      </w:r>
      <w:proofErr w:type="spellEnd"/>
      <w:r>
        <w:rPr>
          <w:rFonts w:ascii="Times New Roman" w:hAnsi="Times New Roman" w:cs="Times New Roman" w:hint="eastAsia"/>
        </w:rPr>
        <w:t xml:space="preserve"> of a time series simultaneously; these characteristics match exactly the characteristics of exchange rate dynamics under intermediate regimes. </w:t>
      </w:r>
      <w:r>
        <w:rPr>
          <w:rFonts w:ascii="Times New Roman" w:hAnsi="Times New Roman" w:cs="Times New Roman"/>
        </w:rPr>
        <w:t xml:space="preserve">The spirit of </w:t>
      </w:r>
      <w:r>
        <w:rPr>
          <w:rFonts w:ascii="Times New Roman" w:hAnsi="Times New Roman" w:cs="Times New Roman" w:hint="eastAsia"/>
        </w:rPr>
        <w:t xml:space="preserve">the method developed by </w:t>
      </w:r>
      <w:r>
        <w:rPr>
          <w:rFonts w:ascii="Times New Roman" w:hAnsi="Times New Roman" w:cs="Times New Roman"/>
        </w:rPr>
        <w:t xml:space="preserve">Yau et al. is </w:t>
      </w:r>
      <w:proofErr w:type="gramStart"/>
      <w:r>
        <w:rPr>
          <w:rFonts w:ascii="Times New Roman" w:hAnsi="Times New Roman" w:cs="Times New Roman"/>
        </w:rPr>
        <w:t>similar to</w:t>
      </w:r>
      <w:proofErr w:type="gramEnd"/>
      <w:r>
        <w:rPr>
          <w:rFonts w:ascii="Times New Roman" w:hAnsi="Times New Roman" w:cs="Times New Roman"/>
        </w:rPr>
        <w:t xml:space="preserve"> Bai and Perron’</w:t>
      </w:r>
      <w:r>
        <w:rPr>
          <w:rFonts w:ascii="Times New Roman" w:hAnsi="Times New Roman" w:cs="Times New Roman" w:hint="eastAsia"/>
        </w:rPr>
        <w:t>s method</w:t>
      </w:r>
      <w:r>
        <w:rPr>
          <w:rFonts w:ascii="Times New Roman" w:hAnsi="Times New Roman" w:cs="Times New Roman"/>
        </w:rPr>
        <w:t xml:space="preserve"> (1998, 2003)</w:t>
      </w:r>
      <w:r>
        <w:rPr>
          <w:rFonts w:ascii="Times New Roman" w:hAnsi="Times New Roman" w:cs="Times New Roman" w:hint="eastAsia"/>
        </w:rPr>
        <w:t>,</w:t>
      </w:r>
      <w:r>
        <w:rPr>
          <w:rFonts w:ascii="Times New Roman" w:hAnsi="Times New Roman" w:cs="Times New Roman"/>
        </w:rPr>
        <w:t xml:space="preserve"> which also detects structural changes. Both define an objective function measuring the goodness of fit and infer structural breaks by minimizing the objective function. Instead of minimizing the sum of squared residuals</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as</w:t>
      </w:r>
      <w:r>
        <w:rPr>
          <w:rFonts w:ascii="Times New Roman" w:hAnsi="Times New Roman" w:cs="Times New Roman"/>
        </w:rPr>
        <w:t xml:space="preserve"> Bai and Perron </w:t>
      </w:r>
      <w:r>
        <w:rPr>
          <w:rFonts w:ascii="Times New Roman" w:hAnsi="Times New Roman" w:cs="Times New Roman" w:hint="eastAsia"/>
        </w:rPr>
        <w:t>do</w:t>
      </w:r>
      <w:r>
        <w:rPr>
          <w:rFonts w:ascii="Times New Roman" w:hAnsi="Times New Roman" w:cs="Times New Roman"/>
        </w:rPr>
        <w:t xml:space="preserve">, Yau et al. (2015) identify structural changes </w:t>
      </w:r>
      <w:r>
        <w:rPr>
          <w:rFonts w:ascii="Times New Roman" w:hAnsi="Times New Roman" w:cs="Times New Roman" w:hint="eastAsia"/>
        </w:rPr>
        <w:t>by using</w:t>
      </w:r>
      <w:r>
        <w:rPr>
          <w:rFonts w:ascii="Times New Roman" w:hAnsi="Times New Roman" w:cs="Times New Roman"/>
        </w:rPr>
        <w:t xml:space="preserve"> the </w:t>
      </w:r>
      <w:r>
        <w:rPr>
          <w:rFonts w:ascii="Times New Roman" w:hAnsi="Times New Roman" w:cs="Times New Roman" w:hint="eastAsia"/>
        </w:rPr>
        <w:t>MDL</w:t>
      </w:r>
      <w:r>
        <w:rPr>
          <w:rFonts w:ascii="Times New Roman" w:hAnsi="Times New Roman" w:cs="Times New Roman"/>
        </w:rPr>
        <w:t xml:space="preserve"> principle. Proposed by Rissanen (1989), the MDL principle has served as a general technique for model selection. Following the MDL principle, the best fitting model is defined as the best compression of the observed time series. In other words, the MDL principle selects the model that uses the shortest code to compress the information contained in the observed time series. </w:t>
      </w:r>
    </w:p>
    <w:p w14:paraId="413EDA7C"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The econometric model that Yau et al. (2015) adopt to capture the nonlinearity and </w:t>
      </w:r>
      <w:proofErr w:type="spellStart"/>
      <w:r>
        <w:rPr>
          <w:rFonts w:ascii="Times New Roman" w:hAnsi="Times New Roman" w:cs="Times New Roman" w:hint="eastAsia"/>
        </w:rPr>
        <w:t>nonstationarity</w:t>
      </w:r>
      <w:proofErr w:type="spellEnd"/>
      <w:r>
        <w:rPr>
          <w:rFonts w:ascii="Times New Roman" w:hAnsi="Times New Roman" w:cs="Times New Roman" w:hint="eastAsia"/>
        </w:rPr>
        <w:t xml:space="preserve"> of a time series is a piecewise TAR model, which is defined by</w:t>
      </w:r>
      <w:r>
        <w:rPr>
          <w:rStyle w:val="FootnoteReference"/>
          <w:rFonts w:ascii="Times New Roman" w:hAnsi="Times New Roman" w:cs="Times New Roman"/>
        </w:rPr>
        <w:footnoteReference w:id="13"/>
      </w:r>
    </w:p>
    <w:bookmarkStart w:id="76" w:name="OLE_LINK31"/>
    <w:p w14:paraId="2350AC47" w14:textId="77777777" w:rsidR="0074478A" w:rsidRDefault="000C03D7">
      <w:pPr>
        <w:spacing w:afterLines="100" w:after="312"/>
        <w:jc w:val="right"/>
        <w:rPr>
          <w:rFonts w:hAnsi="Cambria Math" w:cs="Times New Roman"/>
          <w:i/>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3</m:t>
              </m:r>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m:t>
                  </m:r>
                  <m:r>
                    <w:rPr>
                      <w:rFonts w:ascii="Cambria Math" w:hAnsi="Cambria Math" w:cs="Times New Roman"/>
                    </w:rPr>
                    <m:t>,</m:t>
                  </m:r>
                  <m:r>
                    <w:rPr>
                      <w:rFonts w:ascii="Cambria Math" w:hAnsi="Cambria Math" w:cs="Times New Roman"/>
                    </w:rPr>
                    <m:t>j</m:t>
                  </m:r>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m:t>
                  </m:r>
                  <m:r>
                    <w:rPr>
                      <w:rFonts w:ascii="Cambria Math" w:hAnsi="Cambria Math" w:cs="Times New Roman"/>
                    </w:rPr>
                    <m:t>,</m:t>
                  </m:r>
                  <m:r>
                    <w:rPr>
                      <w:rFonts w:ascii="Cambria Math" w:hAnsi="Cambria Math" w:cs="Times New Roman"/>
                    </w:rPr>
                    <m:t>j</m:t>
                  </m:r>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w:bookmarkStart w:id="77" w:name="OLE_LINK20"/>
                  <m:r>
                    <w:rPr>
                      <w:rFonts w:ascii="Cambria Math" w:hAnsi="Cambria Math" w:cs="Times New Roman"/>
                    </w:rPr>
                    <m:t>σ</m:t>
                  </m:r>
                </m:e>
                <m:sub>
                  <m:r>
                    <w:rPr>
                      <w:rFonts w:ascii="Cambria Math" w:hAnsi="Cambria Math" w:cs="Times New Roman"/>
                    </w:rPr>
                    <m:t>i</m:t>
                  </m:r>
                  <m:r>
                    <w:rPr>
                      <w:rFonts w:ascii="Cambria Math" w:hAnsi="Cambria Math" w:cs="Times New Roman"/>
                    </w:rPr>
                    <m:t>,</m:t>
                  </m:r>
                  <m:r>
                    <w:rPr>
                      <w:rFonts w:ascii="Cambria Math" w:hAnsi="Cambria Math" w:cs="Times New Roman"/>
                    </w:rPr>
                    <m:t>j</m:t>
                  </m:r>
                  <w:bookmarkEnd w:id="77"/>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r>
                <m:rPr>
                  <m:sty m:val="bi"/>
                </m:rPr>
                <w:rPr>
                  <w:rFonts w:ascii="Cambria Math" w:hAnsi="Cambria Math" w:cs="Times New Roman"/>
                </w:rPr>
                <m:t>I</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1</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m:t>
                  </m:r>
                  <m:r>
                    <w:rPr>
                      <w:rFonts w:ascii="Cambria Math" w:hAnsi="Cambria Math" w:cs="Times New Roman"/>
                    </w:rPr>
                    <m:t>,</m:t>
                  </m:r>
                  <m:r>
                    <w:rPr>
                      <w:rFonts w:ascii="Cambria Math" w:hAnsi="Cambria Math" w:cs="Times New Roman"/>
                    </w:rPr>
                    <m:t>j</m:t>
                  </m:r>
                </m:sub>
              </m:sSub>
              <m:r>
                <w:rPr>
                  <w:rFonts w:ascii="Cambria Math" w:hAnsi="Cambria Math" w:cs="Times New Roman"/>
                </w:rPr>
                <m:t>)</m:t>
              </m:r>
            </m:e>
          </m:nary>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IID</m:t>
          </m:r>
          <m:r>
            <w:rPr>
              <w:rFonts w:ascii="Cambria Math" w:hAnsi="Cambria Math" w:cs="Times New Roman"/>
            </w:rPr>
            <m:t>(0,1),</m:t>
          </m:r>
        </m:oMath>
      </m:oMathPara>
    </w:p>
    <w:p w14:paraId="68EDE27A" w14:textId="77777777" w:rsidR="0074478A" w:rsidRDefault="00690393">
      <w:pPr>
        <w:spacing w:afterLines="100" w:after="312"/>
        <w:jc w:val="right"/>
        <w:rPr>
          <w:rFonts w:hAnsi="Cambria Math" w:cs="Times New Roman"/>
          <w:i/>
        </w:rPr>
      </w:pPr>
      <m:oMathPara>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i,0</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i,3</m:t>
              </m:r>
            </m:sub>
          </m:sSub>
          <m:r>
            <w:rPr>
              <w:rFonts w:ascii="Cambria Math" w:hAnsi="Cambria Math" w:cs="Times New Roman"/>
            </w:rPr>
            <m:t>=∞,</m:t>
          </m:r>
        </m:oMath>
      </m:oMathPara>
    </w:p>
    <w:p w14:paraId="0916557D" w14:textId="77777777" w:rsidR="0074478A" w:rsidRDefault="000C03D7">
      <w:pPr>
        <w:spacing w:afterLines="100" w:after="312"/>
        <w:jc w:val="right"/>
        <w:rPr>
          <w:rFonts w:ascii="Times New Roman" w:hAnsi="Times New Roman" w:cs="Times New Roman"/>
        </w:rPr>
      </w:pPr>
      <m:oMath>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r>
              <w:rPr>
                <w:rFonts w:ascii="Cambria Math" w:hAnsi="Cambria Math" w:cs="Times New Roman"/>
              </w:rPr>
              <m:t>-</m:t>
            </m:r>
            <m:r>
              <w:rPr>
                <w:rFonts w:ascii="Cambria Math" w:hAnsi="Cambria Math" w:cs="Times New Roman"/>
              </w:rPr>
              <m:t>1</m:t>
            </m:r>
          </m:sub>
        </m:sSub>
        <m:r>
          <w:rPr>
            <w:rFonts w:ascii="Cambria Math" w:hAnsi="Cambria Math" w:cs="Times New Roman"/>
          </w:rPr>
          <m:t>≤</m:t>
        </m:r>
        <m:r>
          <w:rPr>
            <w:rFonts w:ascii="Cambria Math" w:hAnsi="Cambria Math" w:cs="Times New Roman"/>
          </w:rPr>
          <m:t>t</m:t>
        </m:r>
        <m:r>
          <w:rPr>
            <w:rFonts w:ascii="Cambria Math" w:hAnsi="Cambria Math" w:cs="Times New Roman"/>
          </w:rPr>
          <m: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r>
          <w:rPr>
            <w:rFonts w:ascii="Cambria Math" w:hAnsi="Cambria Math" w:cs="Times New Roman"/>
          </w:rPr>
          <m:t xml:space="preserve"> (</m:t>
        </m:r>
        <m:r>
          <w:rPr>
            <w:rFonts w:ascii="Cambria Math" w:hAnsi="Cambria Math" w:cs="Times New Roman"/>
          </w:rPr>
          <m:t>i</m:t>
        </m:r>
        <m:r>
          <w:rPr>
            <w:rFonts w:ascii="Cambria Math" w:hAnsi="Cambria Math" w:cs="Times New Roman"/>
          </w:rPr>
          <m:t>=1,2,...,</m:t>
        </m:r>
        <m:r>
          <w:rPr>
            <w:rFonts w:ascii="Cambria Math" w:hAnsi="Cambria Math" w:cs="Times New Roman"/>
          </w:rPr>
          <m:t>m</m:t>
        </m:r>
        <m:r>
          <w:rPr>
            <w:rFonts w:ascii="Cambria Math" w:hAnsi="Cambria Math" w:cs="Times New Roman"/>
          </w:rPr>
          <m:t>)</m:t>
        </m:r>
        <w:bookmarkEnd w:id="76"/>
        <m:r>
          <m:rPr>
            <m:sty m:val="p"/>
          </m:rPr>
          <w:rPr>
            <w:rFonts w:hAnsi="Cambria Math" w:cs="Times New Roman" w:hint="eastAsia"/>
          </w:rPr>
          <m:t xml:space="preserve"> </m:t>
        </m:r>
      </m:oMath>
      <w:r w:rsidR="00690393">
        <w:rPr>
          <w:rFonts w:hAnsi="Cambria Math" w:cs="Times New Roman" w:hint="eastAsia"/>
        </w:rPr>
        <w:t xml:space="preserve">                         </w:t>
      </w:r>
      <w:r w:rsidR="00690393">
        <w:rPr>
          <w:rFonts w:ascii="Times New Roman" w:hAnsi="Times New Roman" w:cs="Times New Roman"/>
        </w:rPr>
        <w:t>(</w:t>
      </w:r>
      <w:r w:rsidR="00690393">
        <w:rPr>
          <w:rFonts w:ascii="Times New Roman" w:hAnsi="Times New Roman" w:cs="Times New Roman" w:hint="eastAsia"/>
        </w:rPr>
        <w:t>8</w:t>
      </w:r>
      <w:r w:rsidR="00690393">
        <w:rPr>
          <w:rFonts w:ascii="Times New Roman" w:hAnsi="Times New Roman" w:cs="Times New Roman"/>
        </w:rPr>
        <w:t>)</w:t>
      </w:r>
    </w:p>
    <w:p w14:paraId="38DA56DB"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Pr>
          <w:rFonts w:ascii="Times New Roman" w:hAnsi="Times New Roman" w:cs="Times New Roman"/>
        </w:rPr>
        <w:t xml:space="preserve"> denotes </w:t>
      </w:r>
      <w:bookmarkStart w:id="78" w:name="OLE_LINK32"/>
      <w:r>
        <w:rPr>
          <w:rFonts w:ascii="Times New Roman" w:hAnsi="Times New Roman" w:cs="Times New Roman"/>
        </w:rPr>
        <w:t xml:space="preserve">the percentage deviation of the exchange rate from </w:t>
      </w:r>
      <w:r>
        <w:rPr>
          <w:rFonts w:ascii="Times New Roman" w:hAnsi="Times New Roman" w:cs="Times New Roman" w:hint="eastAsia"/>
        </w:rPr>
        <w:t>its</w:t>
      </w:r>
      <w:r>
        <w:rPr>
          <w:rFonts w:ascii="Times New Roman" w:hAnsi="Times New Roman" w:cs="Times New Roman"/>
        </w:rPr>
        <w:t xml:space="preserve"> central parity</w:t>
      </w:r>
      <w:bookmarkEnd w:id="78"/>
      <w:r>
        <w:rPr>
          <w:rFonts w:ascii="Times New Roman" w:hAnsi="Times New Roman" w:cs="Times New Roman" w:hint="eastAsia"/>
        </w:rPr>
        <w:t xml:space="preserve"> at time </w:t>
      </w:r>
      <w:r>
        <w:rPr>
          <w:rFonts w:ascii="Times New Roman" w:hAnsi="Times New Roman" w:cs="Times New Roman"/>
          <w:i/>
          <w:iCs/>
        </w:rPr>
        <w:t>t</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 set of structural breaks </w:t>
      </w:r>
      <m:oMath>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oMath>
      <w:r>
        <w:rPr>
          <w:rFonts w:ascii="Times New Roman" w:hAnsi="Times New Roman" w:cs="Times New Roman"/>
        </w:rPr>
        <w:t xml:space="preserve"> split</w:t>
      </w:r>
      <w:proofErr w:type="spellStart"/>
      <w:r>
        <w:rPr>
          <w:rFonts w:ascii="Times New Roman" w:hAnsi="Times New Roman" w:cs="Times New Roman" w:hint="eastAsia"/>
        </w:rPr>
        <w:t>s</w:t>
      </w:r>
      <w:proofErr w:type="spellEnd"/>
      <w:r>
        <w:rPr>
          <w:rFonts w:ascii="Times New Roman" w:hAnsi="Times New Roman" w:cs="Times New Roman"/>
        </w:rPr>
        <w:t xml:space="preserve"> the whole time series into </w:t>
      </w:r>
      <m:oMath>
        <m:r>
          <w:rPr>
            <w:rFonts w:ascii="Cambria Math" w:hAnsi="Cambria Math" w:cs="Times New Roman"/>
          </w:rPr>
          <m:t>m+1</m:t>
        </m:r>
      </m:oMath>
      <w:r>
        <w:rPr>
          <w:rFonts w:ascii="Times New Roman" w:hAnsi="Times New Roman" w:cs="Times New Roman"/>
        </w:rPr>
        <w:t xml:space="preserve"> segments, and the two thresholds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w:rPr>
            <w:rFonts w:ascii="Cambria Math" w:hAnsi="Cambria Math" w:cs="Times New Roman"/>
          </w:rPr>
          <m:t>)</m:t>
        </m:r>
      </m:oMath>
      <w:r>
        <w:rPr>
          <w:rFonts w:ascii="Times New Roman" w:hAnsi="Times New Roman" w:cs="Times New Roman"/>
        </w:rPr>
        <w:t xml:space="preserve"> further partition each segment into three regimes by the value of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oMath>
      <w:r>
        <w:rPr>
          <w:rFonts w:ascii="Times New Roman" w:hAnsi="Times New Roman" w:cs="Times New Roman"/>
        </w:rPr>
        <w:t xml:space="preserve">, in which the </w:t>
      </w:r>
      <m:oMath>
        <m:r>
          <w:rPr>
            <w:rFonts w:ascii="Cambria Math" w:hAnsi="Cambria Math" w:cs="Times New Roman"/>
          </w:rPr>
          <m:t>j</m:t>
        </m:r>
      </m:oMath>
      <w:r>
        <w:rPr>
          <w:rFonts w:hAnsi="Cambria Math" w:cs="Times New Roman" w:hint="eastAsia"/>
          <w:iCs/>
        </w:rPr>
        <w:t>-</w:t>
      </w:r>
      <w:proofErr w:type="spellStart"/>
      <w:r>
        <w:rPr>
          <w:rFonts w:ascii="Times New Roman" w:hAnsi="Times New Roman" w:cs="Times New Roman" w:hint="eastAsia"/>
        </w:rPr>
        <w:t>th</w:t>
      </w:r>
      <w:proofErr w:type="spellEnd"/>
      <w:r>
        <w:rPr>
          <w:rFonts w:ascii="Times New Roman" w:hAnsi="Times New Roman" w:cs="Times New Roman"/>
        </w:rPr>
        <w:t xml:space="preserve"> regime</w:t>
      </w:r>
      <w:r>
        <w:rPr>
          <w:rFonts w:ascii="Times New Roman" w:hAnsi="Times New Roman" w:cs="Times New Roman" w:hint="eastAsia"/>
        </w:rPr>
        <w:t xml:space="preserve"> </w:t>
      </w:r>
      <w:r>
        <w:rPr>
          <w:rFonts w:ascii="Times New Roman" w:hAnsi="Times New Roman" w:cs="Times New Roman"/>
        </w:rPr>
        <w:t>follows an AR</w:t>
      </w:r>
      <w:r>
        <w:rPr>
          <w:rFonts w:ascii="Times New Roman" w:hAnsi="Times New Roman" w:cs="Times New Roman" w:hint="eastAsia"/>
        </w:rPr>
        <w:t>(1)</w:t>
      </w:r>
      <w:r>
        <w:rPr>
          <w:rFonts w:ascii="Times New Roman" w:hAnsi="Times New Roman" w:cs="Times New Roman"/>
        </w:rPr>
        <w:t xml:space="preserve"> model with coefficient parameter</w:t>
      </w:r>
      <w:r>
        <w:rPr>
          <w:rFonts w:ascii="Times New Roman" w:hAnsi="Times New Roman" w:cs="Times New Roman" w:hint="eastAsia"/>
        </w:rPr>
        <w:t xml:space="preserve">s </w:t>
      </w:r>
      <m:oMath>
        <m:r>
          <m:rPr>
            <m:sty m:val="p"/>
          </m:rPr>
          <w:rPr>
            <w:rFonts w:ascii="Cambria Math" w:hAnsi="Times New Roman"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r>
          <w:rPr>
            <w:rFonts w:ascii="Cambria Math" w:hAnsi="Cambria Math" w:cs="Times New Roman"/>
          </w:rPr>
          <m:t>)</m:t>
        </m:r>
      </m:oMath>
      <w:r>
        <w:rPr>
          <w:rFonts w:ascii="Times New Roman" w:hAnsi="Times New Roman" w:cs="Times New Roman"/>
        </w:rPr>
        <w:t xml:space="preserve"> and </w:t>
      </w:r>
      <w:r>
        <w:rPr>
          <w:rFonts w:ascii="Times New Roman" w:hAnsi="Times New Roman" w:cs="Times New Roman"/>
        </w:rPr>
        <w:lastRenderedPageBreak/>
        <w:t xml:space="preserve">white noise variance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oMath>
      <w:r>
        <w:rPr>
          <w:rFonts w:ascii="Times New Roman" w:hAnsi="Times New Roman" w:cs="Times New Roman"/>
        </w:rPr>
        <w:t>.</w:t>
      </w:r>
      <w:r>
        <w:rPr>
          <w:rFonts w:ascii="Times New Roman" w:hAnsi="Times New Roman" w:cs="Times New Roman" w:hint="eastAsia"/>
        </w:rPr>
        <w:t xml:space="preserve"> </w:t>
      </w:r>
    </w:p>
    <w:p w14:paraId="2B42DD1C"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The estimation methodology can be described as follows. Given the number of structural breaks </w:t>
      </w:r>
      <m:oMath>
        <m:r>
          <w:rPr>
            <w:rFonts w:ascii="Cambria Math" w:hAnsi="Cambria Math" w:cs="Times New Roman"/>
          </w:rPr>
          <m:t>m</m:t>
        </m:r>
      </m:oMath>
      <w:r>
        <w:rPr>
          <w:rFonts w:ascii="Times New Roman" w:hAnsi="Times New Roman" w:cs="Times New Roman" w:hint="eastAsia"/>
        </w:rPr>
        <w:t>,</w:t>
      </w:r>
      <w:r>
        <w:rPr>
          <w:rFonts w:ascii="Times New Roman" w:hAnsi="Times New Roman" w:cs="Times New Roman"/>
        </w:rPr>
        <w:t xml:space="preserve"> their locations </w:t>
      </w:r>
      <m:oMath>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oMath>
      <w:r>
        <w:rPr>
          <w:rFonts w:ascii="Times New Roman" w:hAnsi="Times New Roman" w:cs="Times New Roman" w:hint="eastAsia"/>
          <w:iCs/>
        </w:rPr>
        <w:t xml:space="preserve">, </w:t>
      </w:r>
      <w:r>
        <w:rPr>
          <w:rFonts w:ascii="Times New Roman" w:hAnsi="Times New Roman" w:cs="Times New Roman"/>
          <w:iCs/>
        </w:rPr>
        <w:t>a</w:t>
      </w:r>
      <w:r>
        <w:rPr>
          <w:rFonts w:ascii="Times New Roman" w:hAnsi="Times New Roman" w:cs="Times New Roman" w:hint="eastAsia"/>
          <w:iCs/>
        </w:rPr>
        <w:t>nd</w:t>
      </w:r>
      <w:r>
        <w:rPr>
          <w:rFonts w:ascii="Times New Roman" w:hAnsi="Times New Roman" w:cs="Times New Roman"/>
          <w:iCs/>
        </w:rPr>
        <w:t xml:space="preserve"> the series of cumulative percentage deviation from the central parity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oMath>
      <w:r>
        <w:rPr>
          <w:rFonts w:ascii="Times New Roman" w:hAnsi="Times New Roman" w:cs="Times New Roman"/>
          <w:iCs/>
        </w:rPr>
        <w:t xml:space="preserve">, </w:t>
      </w:r>
      <w:r>
        <w:rPr>
          <w:rFonts w:ascii="Times New Roman" w:hAnsi="Times New Roman" w:cs="Times New Roman"/>
        </w:rPr>
        <w:t xml:space="preserve">the total code length compressing the information of time series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oMath>
      <w:r>
        <w:rPr>
          <w:rFonts w:ascii="Times New Roman" w:hAnsi="Times New Roman" w:cs="Times New Roman"/>
        </w:rPr>
        <w:t xml:space="preserve"> consists of three terms, as shown in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9</w:t>
      </w:r>
      <w:r>
        <w:rPr>
          <w:rFonts w:ascii="Times New Roman" w:hAnsi="Times New Roman" w:cs="Times New Roman"/>
        </w:rPr>
        <w:t>):</w:t>
      </w:r>
    </w:p>
    <w:p w14:paraId="3F2954F0" w14:textId="77777777" w:rsidR="0074478A" w:rsidRDefault="00690393">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m+1</m:t>
            </m:r>
          </m:sup>
          <m:e>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w:rPr>
                <w:rFonts w:ascii="Cambria Math" w:hAnsi="Cambria Math" w:cs="Times New Roman"/>
              </w:rPr>
              <m:t>)</m:t>
            </m:r>
          </m:e>
        </m:nary>
      </m:oMath>
      <w:r>
        <w:rPr>
          <w:rFonts w:ascii="Times New Roman" w:hAnsi="Times New Roman" w:cs="Times New Roman"/>
        </w:rPr>
        <w:t xml:space="preserve">            (</w:t>
      </w:r>
      <w:r>
        <w:rPr>
          <w:rFonts w:ascii="Times New Roman" w:hAnsi="Times New Roman" w:cs="Times New Roman" w:hint="eastAsia"/>
        </w:rPr>
        <w:t>9</w:t>
      </w:r>
      <w:r>
        <w:rPr>
          <w:rFonts w:ascii="Times New Roman" w:hAnsi="Times New Roman" w:cs="Times New Roman"/>
        </w:rPr>
        <w:t>)</w:t>
      </w:r>
    </w:p>
    <w:p w14:paraId="2FAC45E4"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Noticing that approximately </w:t>
      </w:r>
      <m:oMath>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(I)</m:t>
        </m:r>
      </m:oMath>
      <w:r>
        <w:rPr>
          <w:rFonts w:ascii="Times New Roman" w:hAnsi="Times New Roman" w:cs="Times New Roman"/>
        </w:rPr>
        <w:t xml:space="preserve"> bits are required to encode an integer </w:t>
      </w:r>
      <m:oMath>
        <m:r>
          <w:rPr>
            <w:rFonts w:ascii="Cambria Math" w:hAnsi="Cambria Math" w:cs="Times New Roman"/>
          </w:rPr>
          <m:t>I</m:t>
        </m:r>
      </m:oMath>
      <w:r>
        <w:rPr>
          <w:rFonts w:ascii="Times New Roman" w:hAnsi="Times New Roman" w:cs="Times New Roman"/>
        </w:rPr>
        <w:t xml:space="preserve">, we adopt </w:t>
      </w:r>
      <m:oMath>
        <m:r>
          <m:rPr>
            <m:sty m:val="b"/>
          </m:rPr>
          <w:rPr>
            <w:rFonts w:ascii="Cambria Math" w:hAnsi="Cambria Math" w:cs="Times New Roman"/>
          </w:rPr>
          <m:t>CL</m:t>
        </m:r>
        <m:r>
          <w:rPr>
            <w:rFonts w:ascii="Cambria Math" w:hAnsi="Cambria Math" w:cs="Times New Roman"/>
          </w:rPr>
          <m:t>(m)=</m:t>
        </m:r>
        <w:bookmarkStart w:id="79" w:name="OLE_LINK14"/>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(m)</m:t>
        </m:r>
      </m:oMath>
      <w:bookmarkEnd w:id="79"/>
      <w:r>
        <w:rPr>
          <w:rFonts w:ascii="Times New Roman" w:hAnsi="Times New Roman" w:cs="Times New Roman"/>
        </w:rPr>
        <w:t xml:space="preserve"> to measure the code length required to store the information of the number of breaks</w:t>
      </w:r>
      <w:r>
        <w:rPr>
          <w:rFonts w:ascii="Times New Roman" w:hAnsi="Times New Roman" w:cs="Times New Roman" w:hint="eastAsia"/>
        </w:rPr>
        <w:t>,</w:t>
      </w:r>
      <w:r>
        <w:rPr>
          <w:rFonts w:ascii="Times New Roman" w:hAnsi="Times New Roman" w:cs="Times New Roman"/>
        </w:rPr>
        <w:t xml:space="preserve"> and </w:t>
      </w:r>
      <w:r>
        <w:rPr>
          <w:rFonts w:ascii="Times New Roman" w:hAnsi="Times New Roman" w:cs="Times New Roman" w:hint="eastAsia"/>
        </w:rPr>
        <w:t xml:space="preserve">we adopt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m</m:t>
            </m:r>
          </m:sup>
          <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r>
              <w:rPr>
                <w:rFonts w:ascii="Cambria Math" w:hAnsi="Cambria Math" w:cs="Times New Roman"/>
              </w:rPr>
              <m:t>)</m:t>
            </m:r>
          </m:e>
        </m:nary>
      </m:oMath>
      <w:r>
        <w:rPr>
          <w:rFonts w:ascii="Times New Roman" w:hAnsi="Times New Roman" w:cs="Times New Roman"/>
        </w:rPr>
        <w:t xml:space="preserve"> to denote the code length recording the locations of the breaks.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w:rPr>
            <w:rFonts w:ascii="Cambria Math" w:hAnsi="Cambria Math" w:cs="Times New Roman"/>
          </w:rPr>
          <m:t>)</m:t>
        </m:r>
      </m:oMath>
      <w:r>
        <w:rPr>
          <w:rFonts w:ascii="Times New Roman" w:hAnsi="Times New Roman" w:cs="Times New Roman"/>
        </w:rPr>
        <w:t xml:space="preserve"> represents the code length used to encode the TAR model within a segment split by structural breaks, </w:t>
      </w:r>
      <m:oMath>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oMath>
      <w:r>
        <w:rPr>
          <w:rFonts w:ascii="Times New Roman" w:hAnsi="Times New Roman" w:cs="Times New Roman"/>
          <w:iCs/>
        </w:rPr>
        <w:t xml:space="preserve"> </w:t>
      </w:r>
      <w:r>
        <w:rPr>
          <w:rFonts w:ascii="Times New Roman" w:hAnsi="Times New Roman" w:cs="Times New Roman"/>
        </w:rPr>
        <w:t xml:space="preserve">and </w:t>
      </w:r>
      <m:oMath>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oMath>
      <w:r>
        <w:rPr>
          <w:rFonts w:ascii="Times New Roman" w:hAnsi="Times New Roman" w:cs="Times New Roman"/>
        </w:rPr>
        <w:t xml:space="preserve">. </w:t>
      </w:r>
      <w:r>
        <w:rPr>
          <w:rFonts w:ascii="Times New Roman" w:hAnsi="Times New Roman" w:cs="Times New Roman" w:hint="eastAsia"/>
        </w:rPr>
        <w:t>Let</w:t>
      </w:r>
      <w:r>
        <w:rPr>
          <w:rFonts w:ascii="Times New Roman" w:hAnsi="Times New Roman" w:cs="Times New Roman"/>
        </w:rPr>
        <w:t xml:space="preserve">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oMath>
      <w:r>
        <w:rPr>
          <w:rFonts w:ascii="Times New Roman" w:hAnsi="Times New Roman" w:cs="Times New Roman"/>
        </w:rPr>
        <w:t xml:space="preserve"> </w:t>
      </w:r>
      <w:r>
        <w:rPr>
          <w:rFonts w:ascii="Times New Roman" w:hAnsi="Times New Roman" w:cs="Times New Roman" w:hint="eastAsia"/>
        </w:rPr>
        <w:t>denote</w:t>
      </w:r>
      <w:r>
        <w:rPr>
          <w:rFonts w:ascii="Times New Roman" w:hAnsi="Times New Roman" w:cs="Times New Roman"/>
        </w:rPr>
        <w:t xml:space="preserve"> the fitted TAR model of the </w:t>
      </w:r>
      <m:oMath>
        <m:r>
          <w:rPr>
            <w:rFonts w:ascii="Cambria Math" w:hAnsi="Cambria Math" w:cs="Times New Roman"/>
          </w:rPr>
          <m:t>i</m:t>
        </m:r>
      </m:oMath>
      <w:r>
        <w:rPr>
          <w:rFonts w:ascii="Times New Roman" w:hAnsi="Times New Roman" w:cs="Times New Roman"/>
        </w:rPr>
        <w:t xml:space="preserve">-th segment and </w:t>
      </w:r>
      <m:oMath>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e</m:t>
                </m:r>
              </m:e>
            </m:acc>
          </m:e>
          <m:sub>
            <m:r>
              <w:rPr>
                <w:rFonts w:ascii="Cambria Math" w:hAnsi="Cambria Math" w:cs="Times New Roman"/>
              </w:rPr>
              <m:t>i</m:t>
            </m:r>
          </m:sub>
        </m:sSub>
      </m:oMath>
      <w:r>
        <w:rPr>
          <w:rFonts w:ascii="Times New Roman" w:hAnsi="Times New Roman" w:cs="Times New Roman"/>
        </w:rPr>
        <w:t xml:space="preserve"> </w:t>
      </w:r>
      <w:r>
        <w:rPr>
          <w:rFonts w:ascii="Times New Roman" w:hAnsi="Times New Roman" w:cs="Times New Roman" w:hint="eastAsia"/>
        </w:rPr>
        <w:t>denote</w:t>
      </w:r>
      <w:r>
        <w:rPr>
          <w:rFonts w:ascii="Times New Roman" w:hAnsi="Times New Roman" w:cs="Times New Roman"/>
        </w:rPr>
        <w:t xml:space="preserve"> the corresponding series of residuals. Then,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w:rPr>
            <w:rFonts w:ascii="Cambria Math" w:hAnsi="Cambria Math" w:cs="Times New Roman"/>
          </w:rPr>
          <m:t>)</m:t>
        </m:r>
      </m:oMath>
      <w:r>
        <w:rPr>
          <w:rFonts w:ascii="Times New Roman" w:hAnsi="Times New Roman" w:cs="Times New Roman"/>
        </w:rPr>
        <w:t xml:space="preserve"> can be expressed in two terms, as presented by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(10)</w:t>
      </w:r>
      <w:r>
        <w:rPr>
          <w:rFonts w:ascii="Times New Roman" w:hAnsi="Times New Roman" w:cs="Times New Roman"/>
        </w:rPr>
        <w:t>:</w:t>
      </w:r>
    </w:p>
    <w:p w14:paraId="7F021956" w14:textId="77777777" w:rsidR="0074478A" w:rsidRDefault="00690393">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w:bookmarkStart w:id="80" w:name="OLE_LINK15"/>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e</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oMath>
      <w:bookmarkEnd w:id="80"/>
      <w:r>
        <w:rPr>
          <w:rFonts w:ascii="Times New Roman" w:hAnsi="Times New Roman" w:cs="Times New Roman"/>
        </w:rPr>
        <w:t xml:space="preserve">                   </w:t>
      </w:r>
      <w:r>
        <w:rPr>
          <w:rFonts w:ascii="Times New Roman" w:hAnsi="Times New Roman" w:cs="Times New Roman" w:hint="eastAsia"/>
        </w:rPr>
        <w:t>(10)</w:t>
      </w:r>
    </w:p>
    <w:p w14:paraId="0E92EC76"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The first term,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oMath>
      <w:r>
        <w:rPr>
          <w:rFonts w:ascii="Times New Roman" w:hAnsi="Times New Roman" w:cs="Times New Roman"/>
        </w:rPr>
        <w:t>, captures the code length of the fitted model. A three-regime TAR model</w:t>
      </w:r>
      <w:r>
        <w:rPr>
          <w:rFonts w:ascii="Times New Roman" w:hAnsi="Times New Roman" w:cs="Times New Roman" w:hint="eastAsia"/>
        </w:rPr>
        <w:t xml:space="preserve"> within </w:t>
      </w:r>
      <w:r>
        <w:rPr>
          <w:rFonts w:ascii="Times New Roman" w:hAnsi="Times New Roman" w:cs="Times New Roman"/>
        </w:rPr>
        <w:t xml:space="preserve">the </w:t>
      </w:r>
      <m:oMath>
        <m:r>
          <w:rPr>
            <w:rFonts w:ascii="Cambria Math" w:hAnsi="Cambria Math" w:cs="Times New Roman"/>
          </w:rPr>
          <m:t>i</m:t>
        </m:r>
      </m:oMath>
      <w:r>
        <w:rPr>
          <w:rFonts w:ascii="Times New Roman" w:hAnsi="Times New Roman" w:cs="Times New Roman"/>
        </w:rPr>
        <w:t>-th segment is completely determined by two thresholds</w:t>
      </w:r>
      <w:r>
        <w:rPr>
          <w:rFonts w:ascii="Times New Roman" w:hAnsi="Times New Roman" w:cs="Times New Roman" w:hint="eastAsia"/>
        </w:rPr>
        <w:t xml:space="preserve"> (i.e.,</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m:t>
            </m:r>
          </m:sub>
        </m:sSub>
        <m:r>
          <w:rPr>
            <w:rFonts w:ascii="Cambria Math" w:hAnsi="Cambria Math" w:cs="Times New Roman"/>
          </w:rPr>
          <m:t xml:space="preserve"> (j=1,2)</m:t>
        </m:r>
      </m:oMath>
      <w:r>
        <w:rPr>
          <w:rFonts w:ascii="Times New Roman" w:hAnsi="Times New Roman" w:cs="Times New Roman" w:hint="eastAsia"/>
        </w:rPr>
        <w:t xml:space="preserve">) </w:t>
      </w:r>
      <w:r>
        <w:rPr>
          <w:rFonts w:ascii="Times New Roman" w:hAnsi="Times New Roman" w:cs="Times New Roman"/>
        </w:rPr>
        <w:t xml:space="preserve">and a set of parameters </w:t>
      </w:r>
      <w:r>
        <w:rPr>
          <w:rFonts w:ascii="Times New Roman" w:hAnsi="Times New Roman" w:cs="Times New Roman" w:hint="eastAsia"/>
        </w:rPr>
        <w:t>(</w:t>
      </w:r>
      <m:oMath>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m:t>
        </m:r>
        <m:sSub>
          <m:sSubPr>
            <m:ctrlPr>
              <w:rPr>
                <w:rFonts w:ascii="Cambria Math" w:hAnsi="Cambria Math" w:cs="Times New Roman"/>
                <w:i/>
              </w:rPr>
            </m:ctrlPr>
          </m:sSubPr>
          <m:e>
            <w:bookmarkStart w:id="81" w:name="OLE_LINK19"/>
            <m:r>
              <w:rPr>
                <w:rFonts w:ascii="Cambria Math" w:hAnsi="Cambria Math" w:cs="Times New Roman"/>
              </w:rPr>
              <m:t>ϕ</m:t>
            </m:r>
          </m:e>
          <m:sub>
            <m:r>
              <w:rPr>
                <w:rFonts w:ascii="Cambria Math" w:hAnsi="Cambria Math" w:cs="Times New Roman"/>
              </w:rPr>
              <m:t>i,j,1</m:t>
            </m:r>
            <w:bookmarkEnd w:id="81"/>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r>
          <w:rPr>
            <w:rFonts w:ascii="Cambria Math" w:hAnsi="Cambria Math" w:cs="Times New Roman"/>
          </w:rPr>
          <m:t>) (j=1,2,3)</m:t>
        </m:r>
      </m:oMath>
      <w:r>
        <w:rPr>
          <w:rFonts w:ascii="Times New Roman" w:hAnsi="Times New Roman" w:cs="Times New Roman" w:hint="eastAsia"/>
        </w:rPr>
        <w:t xml:space="preserve">) </w:t>
      </w:r>
      <w:r>
        <w:rPr>
          <w:rFonts w:ascii="Times New Roman" w:hAnsi="Times New Roman" w:cs="Times New Roman"/>
        </w:rPr>
        <w:t>for each regime</w:t>
      </w:r>
      <w:r>
        <w:rPr>
          <w:rFonts w:ascii="Times New Roman" w:hAnsi="Times New Roman" w:cs="Times New Roman" w:hint="eastAsia"/>
        </w:rPr>
        <w:t xml:space="preserve">. The set </w:t>
      </w:r>
      <w:r>
        <w:rPr>
          <w:rFonts w:ascii="Times New Roman" w:hAnsi="Times New Roman" w:cs="Times New Roman"/>
        </w:rPr>
        <w:t>contain</w:t>
      </w:r>
      <w:r>
        <w:rPr>
          <w:rFonts w:ascii="Times New Roman" w:hAnsi="Times New Roman" w:cs="Times New Roman" w:hint="eastAsia"/>
        </w:rPr>
        <w:t>s</w:t>
      </w:r>
      <w:r>
        <w:rPr>
          <w:rFonts w:ascii="Times New Roman" w:hAnsi="Times New Roman" w:cs="Times New Roman"/>
        </w:rPr>
        <w:t xml:space="preserve"> the intercept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oMath>
      <w:r>
        <w:rPr>
          <w:rFonts w:ascii="Times New Roman" w:hAnsi="Times New Roman" w:cs="Times New Roman"/>
        </w:rPr>
        <w:t xml:space="preserve">, coefficient of the </w:t>
      </w:r>
      <w:r>
        <w:rPr>
          <w:rFonts w:ascii="Times New Roman" w:hAnsi="Times New Roman" w:cs="Times New Roman" w:hint="eastAsia"/>
        </w:rPr>
        <w:t>lagged term</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oMath>
      <w:r>
        <w:rPr>
          <w:rFonts w:ascii="Times New Roman" w:hAnsi="Times New Roman" w:cs="Times New Roman"/>
        </w:rPr>
        <w:t xml:space="preserve">, and white noise variance </w:t>
      </w:r>
      <m:oMath>
        <m:sSubSup>
          <m:sSubSupPr>
            <m:ctrlPr>
              <w:rPr>
                <w:rFonts w:ascii="Cambria Math" w:hAnsi="Cambria Math" w:cs="Times New Roman"/>
                <w:i/>
              </w:rPr>
            </m:ctrlPr>
          </m:sSubSupPr>
          <m:e>
            <w:bookmarkStart w:id="82" w:name="OLE_LINK13"/>
            <m:r>
              <w:rPr>
                <w:rFonts w:ascii="Cambria Math" w:hAnsi="Cambria Math" w:cs="Times New Roman"/>
              </w:rPr>
              <m:t>σ</m:t>
            </m:r>
          </m:e>
          <m:sub>
            <m:r>
              <w:rPr>
                <w:rFonts w:ascii="Cambria Math" w:hAnsi="Cambria Math" w:cs="Times New Roman"/>
              </w:rPr>
              <m:t>j</m:t>
            </m:r>
          </m:sub>
          <m:sup>
            <m:r>
              <w:rPr>
                <w:rFonts w:ascii="Cambria Math" w:hAnsi="Cambria Math" w:cs="Times New Roman"/>
              </w:rPr>
              <m:t>2</m:t>
            </m:r>
            <w:bookmarkEnd w:id="82"/>
          </m:sup>
        </m:sSubSup>
      </m:oMath>
      <w:r>
        <w:rPr>
          <w:rFonts w:ascii="Times New Roman" w:hAnsi="Times New Roman" w:cs="Times New Roman"/>
        </w:rPr>
        <w:t xml:space="preserve">. Thus,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oMath>
      <w:r>
        <w:rPr>
          <w:rFonts w:ascii="Times New Roman" w:hAnsi="Times New Roman" w:cs="Times New Roman"/>
        </w:rPr>
        <w:t xml:space="preserve"> can be decomposed into</w:t>
      </w:r>
    </w:p>
    <w:p w14:paraId="358613DB" w14:textId="77777777" w:rsidR="0074478A" w:rsidRDefault="00690393">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w:rPr>
            <w:rFonts w:ascii="Cambria Math" w:hAnsi="Cambria Math" w:cs="Times New Roman"/>
          </w:rPr>
          <m:t>)</m:t>
        </m:r>
      </m:oMath>
      <w:r>
        <w:rPr>
          <w:rFonts w:ascii="Times New Roman" w:hAnsi="Times New Roman" w:cs="Times New Roman"/>
        </w:rPr>
        <w:t xml:space="preserve">             </w:t>
      </w:r>
      <w:r>
        <w:rPr>
          <w:rFonts w:ascii="Times New Roman" w:hAnsi="Times New Roman" w:cs="Times New Roman" w:hint="eastAsia"/>
        </w:rPr>
        <w:t>(11)</w:t>
      </w:r>
    </w:p>
    <w:p w14:paraId="73B479BE"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As proved by Rissanen (1989), </w:t>
      </w:r>
      <m:oMath>
        <m:sSub>
          <m:sSubPr>
            <m:ctrlPr>
              <w:rPr>
                <w:rFonts w:ascii="Cambria Math" w:hAnsi="Cambria Math" w:cs="Times New Roman"/>
                <w:i/>
              </w:rPr>
            </m:ctrlPr>
          </m:sSubPr>
          <m:e>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(N)</m:t>
        </m:r>
      </m:oMath>
      <w:r>
        <w:rPr>
          <w:rFonts w:ascii="Times New Roman" w:hAnsi="Times New Roman" w:cs="Times New Roman"/>
        </w:rPr>
        <w:t xml:space="preserve"> bits </w:t>
      </w:r>
      <w:r>
        <w:rPr>
          <w:rFonts w:ascii="Times New Roman" w:hAnsi="Times New Roman" w:cs="Times New Roman" w:hint="eastAsia"/>
        </w:rPr>
        <w:t xml:space="preserve">are required </w:t>
      </w:r>
      <w:r>
        <w:rPr>
          <w:rFonts w:ascii="Times New Roman" w:hAnsi="Times New Roman" w:cs="Times New Roman"/>
        </w:rPr>
        <w:t xml:space="preserve">to encode a maximum likelihood estimate of a parameter estimated by </w:t>
      </w:r>
      <m:oMath>
        <m:r>
          <w:rPr>
            <w:rFonts w:ascii="Cambria Math" w:hAnsi="Cambria Math" w:cs="Times New Roman"/>
          </w:rPr>
          <m:t>N</m:t>
        </m:r>
      </m:oMath>
      <w:r>
        <w:rPr>
          <w:rFonts w:ascii="Times New Roman" w:hAnsi="Times New Roman" w:cs="Times New Roman"/>
        </w:rPr>
        <w:t xml:space="preserve"> observations.  </w:t>
      </w:r>
      <w:r>
        <w:rPr>
          <w:rFonts w:ascii="Times New Roman" w:hAnsi="Times New Roman" w:cs="Times New Roman" w:hint="eastAsia"/>
        </w:rPr>
        <w:t>Therefore</w:t>
      </w:r>
      <w:r>
        <w:rPr>
          <w:rFonts w:ascii="Times New Roman" w:hAnsi="Times New Roman" w:cs="Times New Roman"/>
        </w:rPr>
        <w:t xml:space="preserve">, </w:t>
      </w:r>
      <w:r>
        <w:rPr>
          <w:rFonts w:ascii="Times New Roman" w:hAnsi="Times New Roman" w:cs="Times New Roman" w:hint="eastAsia"/>
        </w:rPr>
        <w:t>let</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oMath>
      <w:r>
        <w:rPr>
          <w:rFonts w:ascii="Times New Roman" w:hAnsi="Times New Roman" w:cs="Times New Roman"/>
        </w:rPr>
        <w:t xml:space="preserve"> </w:t>
      </w:r>
      <w:r>
        <w:rPr>
          <w:rFonts w:ascii="Times New Roman" w:hAnsi="Times New Roman" w:cs="Times New Roman" w:hint="eastAsia"/>
        </w:rPr>
        <w:t>denote</w:t>
      </w:r>
      <w:r>
        <w:rPr>
          <w:rFonts w:ascii="Times New Roman" w:hAnsi="Times New Roman" w:cs="Times New Roman"/>
        </w:rPr>
        <w:t xml:space="preserve"> the number of observations of the </w:t>
      </w:r>
      <m:oMath>
        <m:r>
          <w:rPr>
            <w:rFonts w:ascii="Cambria Math" w:hAnsi="Cambria Math" w:cs="Times New Roman"/>
          </w:rPr>
          <m:t>j</m:t>
        </m:r>
      </m:oMath>
      <w:r>
        <w:rPr>
          <w:rFonts w:ascii="Times New Roman" w:hAnsi="Times New Roman" w:cs="Times New Roman"/>
        </w:rPr>
        <w:t xml:space="preserve">-th regime within the </w:t>
      </w:r>
      <m:oMath>
        <m:r>
          <w:rPr>
            <w:rFonts w:ascii="Cambria Math" w:hAnsi="Cambria Math" w:cs="Times New Roman"/>
          </w:rPr>
          <m:t>i</m:t>
        </m:r>
      </m:oMath>
      <w:r>
        <w:rPr>
          <w:rFonts w:ascii="Times New Roman" w:hAnsi="Times New Roman" w:cs="Times New Roman"/>
        </w:rPr>
        <w:t>-th segment</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then,</w:t>
      </w:r>
      <w:r>
        <w:rPr>
          <w:rFonts w:ascii="Times New Roman" w:hAnsi="Times New Roman" w:cs="Times New Roman"/>
        </w:rPr>
        <w:t xml:space="preserve">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(11)</w:t>
      </w:r>
      <w:r>
        <w:rPr>
          <w:rFonts w:ascii="Times New Roman" w:hAnsi="Times New Roman" w:cs="Times New Roman"/>
        </w:rPr>
        <w:t xml:space="preserve"> can be rewritten as</w:t>
      </w:r>
    </w:p>
    <w:p w14:paraId="6DAF6F46" w14:textId="77777777" w:rsidR="0074478A" w:rsidRDefault="00690393">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2</m:t>
            </m:r>
          </m:sup>
          <m:e>
            <m:sSub>
              <m:sSubPr>
                <m:ctrlPr>
                  <w:rPr>
                    <w:rFonts w:ascii="Cambria Math" w:hAnsi="Cambria Math" w:cs="Times New Roman"/>
                    <w:i/>
                  </w:rPr>
                </m:ctrlPr>
              </m:sSubPr>
              <m:e>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r>
              <w:rPr>
                <w:rFonts w:ascii="Cambria Math" w:hAnsi="Cambria Math" w:cs="Times New Roman"/>
              </w:rPr>
              <m:t>)</m:t>
            </m:r>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sSub>
              <m:sSubPr>
                <m:ctrlPr>
                  <w:rPr>
                    <w:rFonts w:ascii="Cambria Math" w:hAnsi="Cambria Math" w:cs="Times New Roman"/>
                    <w:i/>
                  </w:rPr>
                </m:ctrlPr>
              </m:sSubPr>
              <m:e>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2</m:t>
                    </m:r>
                  </m:den>
                </m:f>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r>
              <w:rPr>
                <w:rFonts w:ascii="Cambria Math" w:hAnsi="Cambria Math" w:cs="Times New Roman"/>
              </w:rPr>
              <m:t>)</m:t>
            </m:r>
          </m:e>
        </m:nary>
      </m:oMath>
      <w:r>
        <w:rPr>
          <w:rFonts w:ascii="Times New Roman" w:hAnsi="Times New Roman" w:cs="Times New Roman"/>
        </w:rPr>
        <w:t xml:space="preserve">                 </w:t>
      </w:r>
      <w:r>
        <w:rPr>
          <w:rFonts w:ascii="Times New Roman" w:hAnsi="Times New Roman" w:cs="Times New Roman" w:hint="eastAsia"/>
        </w:rPr>
        <w:t>(12)</w:t>
      </w:r>
    </w:p>
    <w:p w14:paraId="7E4CB701"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The second part of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10)</w:t>
      </w:r>
      <w:r>
        <w:rPr>
          <w:rFonts w:ascii="Times New Roman" w:hAnsi="Times New Roman" w:cs="Times New Roman"/>
        </w:rPr>
        <w:t xml:space="preserve">,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e</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oMath>
      <w:r>
        <w:rPr>
          <w:rFonts w:ascii="Times New Roman" w:hAnsi="Times New Roman" w:cs="Times New Roman"/>
        </w:rPr>
        <w:t xml:space="preserve">, measures the code length of the series of residuals within the </w:t>
      </w:r>
      <m:oMath>
        <m:r>
          <w:rPr>
            <w:rFonts w:ascii="Cambria Math" w:hAnsi="Cambria Math" w:cs="Times New Roman"/>
          </w:rPr>
          <m:t>i</m:t>
        </m:r>
      </m:oMath>
      <w:r>
        <w:rPr>
          <w:rFonts w:ascii="Times New Roman" w:hAnsi="Times New Roman" w:cs="Times New Roman"/>
        </w:rPr>
        <w:t xml:space="preserve">-th segment. As shown by Rissanen (1989), </w:t>
      </w:r>
      <w:r>
        <w:rPr>
          <w:rFonts w:ascii="Times New Roman" w:hAnsi="Times New Roman" w:cs="Times New Roman" w:hint="eastAsia"/>
        </w:rPr>
        <w:t>the code length</w:t>
      </w:r>
      <w:r>
        <w:rPr>
          <w:rFonts w:ascii="Times New Roman" w:hAnsi="Times New Roman" w:cs="Times New Roman"/>
        </w:rPr>
        <w:t xml:space="preserve"> can be approximated by the negative log-likelihood of the fitted model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oMath>
      <w:r>
        <w:rPr>
          <w:rFonts w:ascii="Times New Roman" w:hAnsi="Times New Roman" w:cs="Times New Roman" w:hint="eastAsia"/>
        </w:rPr>
        <w:t>;</w:t>
      </w:r>
      <w:r>
        <w:rPr>
          <w:rFonts w:ascii="Times New Roman" w:hAnsi="Times New Roman" w:cs="Times New Roman"/>
        </w:rPr>
        <w:t xml:space="preserve"> th</w:t>
      </w:r>
      <w:r>
        <w:rPr>
          <w:rFonts w:ascii="Times New Roman" w:hAnsi="Times New Roman" w:cs="Times New Roman" w:hint="eastAsia"/>
        </w:rPr>
        <w:t>is</w:t>
      </w:r>
      <w:r>
        <w:rPr>
          <w:rFonts w:ascii="Times New Roman" w:hAnsi="Times New Roman" w:cs="Times New Roman"/>
        </w:rPr>
        <w:t xml:space="preserve"> negative log-likelihood is obtained by maximizing the log-likelihood of the data </w:t>
      </w:r>
      <m:oMath>
        <m:r>
          <m:rPr>
            <m:sty m:val="p"/>
          </m:rP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m:rPr>
            <m:sty m:val="p"/>
          </m:rPr>
          <w:rPr>
            <w:rFonts w:ascii="Cambria Math" w:hAnsi="Cambria Math" w:cs="Times New Roman"/>
          </w:rPr>
          <m:t>)</m:t>
        </m:r>
      </m:oMath>
      <w:r>
        <w:rPr>
          <w:rFonts w:ascii="Times New Roman" w:hAnsi="Times New Roman" w:cs="Times New Roman"/>
        </w:rPr>
        <w:t xml:space="preserve">. Given the observations within the </w:t>
      </w:r>
      <m:oMath>
        <m:r>
          <w:rPr>
            <w:rFonts w:ascii="Cambria Math" w:hAnsi="Cambria Math" w:cs="Times New Roman"/>
          </w:rPr>
          <m:t>i</m:t>
        </m:r>
      </m:oMath>
      <w:r>
        <w:rPr>
          <w:rFonts w:ascii="Times New Roman" w:hAnsi="Times New Roman" w:cs="Times New Roman"/>
        </w:rPr>
        <w:t xml:space="preserve">-th segment </w:t>
      </w:r>
      <m:oMath>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oMath>
      <w:r>
        <w:rPr>
          <w:rFonts w:ascii="Times New Roman" w:hAnsi="Times New Roman" w:cs="Times New Roman"/>
        </w:rPr>
        <w:t xml:space="preserve">, </w:t>
      </w:r>
      <m:oMath>
        <m:r>
          <m:rPr>
            <m:sty m:val="p"/>
          </m:rP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m:rPr>
            <m:sty m:val="p"/>
          </m:rPr>
          <w:rPr>
            <w:rFonts w:ascii="Cambria Math" w:hAnsi="Cambria Math" w:cs="Times New Roman"/>
          </w:rPr>
          <m:t>)</m:t>
        </m:r>
      </m:oMath>
      <w:r>
        <w:rPr>
          <w:rFonts w:ascii="Times New Roman" w:hAnsi="Times New Roman" w:cs="Times New Roman"/>
        </w:rPr>
        <w:t xml:space="preserve">can be approximated by the conditional log-likelihood </w:t>
      </w:r>
      <m:oMath>
        <m:r>
          <m:rPr>
            <m:sty m:val="p"/>
          </m:rP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m:rPr>
            <m:sty m:val="p"/>
          </m:rP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m:rPr>
            <m:sty m:val="p"/>
          </m:rPr>
          <w:rPr>
            <w:rFonts w:ascii="Cambria Math" w:hAnsi="Cambria Math" w:cs="Times New Roman"/>
          </w:rPr>
          <m:t>)</m:t>
        </m:r>
      </m:oMath>
      <w:r>
        <w:rPr>
          <w:rFonts w:ascii="Times New Roman" w:hAnsi="Times New Roman" w:cs="Times New Roman"/>
        </w:rPr>
        <w:t>, which is specified as</w:t>
      </w:r>
    </w:p>
    <w:p w14:paraId="601594D3" w14:textId="77777777" w:rsidR="0074478A" w:rsidRDefault="00690393">
      <w:pPr>
        <w:spacing w:afterLines="100" w:after="312"/>
        <w:ind w:firstLineChars="250" w:firstLine="525"/>
        <w:rPr>
          <w:rFonts w:ascii="Times New Roman" w:hAnsi="Times New Roman" w:cs="Times New Roman"/>
        </w:rPr>
      </w:pPr>
      <w:r>
        <w:rPr>
          <w:rFonts w:ascii="Times New Roman" w:hAnsi="Times New Roman" w:cs="Times New Roman"/>
        </w:rPr>
        <w:t xml:space="preserve"> </w:t>
      </w:r>
      <m:oMath>
        <m:r>
          <m:rPr>
            <m:sty m:val="p"/>
          </m:rP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m:rPr>
            <m:sty m:val="p"/>
          </m:rPr>
          <w:rPr>
            <w:rFonts w:ascii="Cambria Math" w:hAnsi="Cambria Math" w:cs="Times New Roman"/>
          </w:rPr>
          <m:t xml:space="preserve"> | </m:t>
        </m:r>
        <m:sSub>
          <m:sSubPr>
            <m:ctrlPr>
              <w:rPr>
                <w:rFonts w:ascii="Cambria Math" w:hAnsi="Cambria Math" w:cs="Times New Roman"/>
                <w:i/>
              </w:rPr>
            </m:ctrlPr>
          </m:sSub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m:rPr>
            <m:sty m:val="p"/>
          </m:rPr>
          <w:rPr>
            <w:rFonts w:ascii="Cambria Math" w:hAnsi="Cambria Math" w:cs="Times New Roman"/>
          </w:rPr>
          <m:t>)</m:t>
        </m:r>
      </m:oMath>
    </w:p>
    <w:p w14:paraId="36FB5F69" w14:textId="77777777" w:rsidR="0074478A" w:rsidRDefault="00690393">
      <w:pPr>
        <w:wordWrap w:val="0"/>
        <w:spacing w:afterLines="100" w:after="312"/>
        <w:jc w:val="right"/>
        <w:rPr>
          <w:rFonts w:ascii="Times New Roman" w:hAnsi="Times New Roman" w:cs="Times New Roman"/>
        </w:rPr>
      </w:pPr>
      <m:oMath>
        <m:r>
          <m:rPr>
            <m:sty m:val="p"/>
          </m:rPr>
          <w:rPr>
            <w:rFonts w:ascii="Cambria Math" w:hAnsi="Cambria Math" w:cs="Times New Roman"/>
          </w:rPr>
          <w:lastRenderedPageBreak/>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t=1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sup>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log</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2π</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e>
                    </m:d>
                  </m:e>
                </m:func>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d>
                      </m:e>
                      <m:sup>
                        <m:r>
                          <w:rPr>
                            <w:rFonts w:ascii="Cambria Math" w:hAnsi="Cambria Math" w:cs="Times New Roman"/>
                          </w:rPr>
                          <m:t>2</m:t>
                        </m:r>
                      </m:sup>
                    </m:sSup>
                  </m:num>
                  <m:den>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den>
                </m:f>
                <m:r>
                  <w:rPr>
                    <w:rFonts w:ascii="Cambria Math" w:hAnsi="Cambria Math" w:cs="Times New Roman"/>
                  </w:rPr>
                  <m:t>)×</m:t>
                </m:r>
                <m:r>
                  <m:rPr>
                    <m:sty m:val="bi"/>
                  </m:rPr>
                  <w:rPr>
                    <w:rFonts w:ascii="Cambria Math" w:hAnsi="Cambria Math" w:cs="Times New Roman"/>
                  </w:rPr>
                  <m:t>I</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i,j-1</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m:t>
                    </m:r>
                  </m:sub>
                </m:sSub>
                <m:r>
                  <w:rPr>
                    <w:rFonts w:ascii="Cambria Math" w:hAnsi="Cambria Math" w:cs="Times New Roman"/>
                  </w:rPr>
                  <m:t>)</m:t>
                </m:r>
              </m:e>
            </m:nary>
          </m:e>
        </m:nary>
      </m:oMath>
      <w:r>
        <w:rPr>
          <w:rFonts w:ascii="Times New Roman" w:hAnsi="Times New Roman" w:cs="Times New Roman"/>
        </w:rPr>
        <w:t xml:space="preserve">          </w:t>
      </w:r>
    </w:p>
    <w:p w14:paraId="6488032D" w14:textId="77777777" w:rsidR="0074478A" w:rsidRDefault="00690393">
      <w:pPr>
        <w:wordWrap w:val="0"/>
        <w:spacing w:afterLines="100" w:after="312"/>
        <w:jc w:val="right"/>
        <w:rPr>
          <w:rFonts w:ascii="Times New Roman" w:hAnsi="Times New Roman" w:cs="Times New Roman"/>
        </w:rPr>
      </w:pPr>
      <m:oMath>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func>
              <m:funcPr>
                <m:ctrlPr>
                  <w:rPr>
                    <w:rFonts w:ascii="Cambria Math" w:hAnsi="Cambria Math" w:cs="Times New Roman"/>
                  </w:rPr>
                </m:ctrlPr>
              </m:funcPr>
              <m:fName>
                <m:r>
                  <m:rPr>
                    <m:sty m:val="p"/>
                  </m:rPr>
                  <w:rPr>
                    <w:rFonts w:ascii="Cambria Math" w:hAnsi="Cambria Math" w:cs="Times New Roman"/>
                  </w:rPr>
                  <m:t>log</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2π</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e>
                </m:d>
              </m:e>
            </m:func>
            <m:r>
              <w:rPr>
                <w:rFonts w:ascii="Cambria Math" w:hAnsi="Cambria Math" w:cs="Times New Roman"/>
              </w:rPr>
              <m:t>+</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t=1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i,j,t-1</m:t>
                                </m:r>
                              </m:sub>
                            </m:sSub>
                          </m:e>
                        </m:d>
                      </m:e>
                      <m:sup>
                        <m:r>
                          <w:rPr>
                            <w:rFonts w:ascii="Cambria Math" w:hAnsi="Cambria Math" w:cs="Times New Roman"/>
                          </w:rPr>
                          <m:t>2</m:t>
                        </m:r>
                      </m:sup>
                    </m:sSup>
                  </m:e>
                </m:nary>
              </m:num>
              <m:den>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den>
            </m:f>
            <m:r>
              <w:rPr>
                <w:rFonts w:ascii="Cambria Math" w:hAnsi="Cambria Math" w:cs="Times New Roman"/>
              </w:rPr>
              <m:t>)</m:t>
            </m:r>
          </m:e>
        </m:nary>
      </m:oMath>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3)</w:t>
      </w:r>
    </w:p>
    <w:p w14:paraId="50EED2DA"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where </w:t>
      </w:r>
      <m:oMath>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m:t>
        </m:r>
      </m:oMath>
      <w:r>
        <w:rPr>
          <w:rFonts w:ascii="Times New Roman" w:hAnsi="Times New Roman" w:cs="Times New Roman" w:hint="eastAsia"/>
        </w:rPr>
        <w:t xml:space="preserve"> denote</w:t>
      </w:r>
      <w:r>
        <w:rPr>
          <w:rFonts w:ascii="Times New Roman" w:hAnsi="Times New Roman" w:cs="Times New Roman"/>
        </w:rPr>
        <w:t xml:space="preserve"> observations contained in the </w:t>
      </w:r>
      <m:oMath>
        <m:r>
          <w:rPr>
            <w:rFonts w:ascii="Cambria Math" w:hAnsi="Cambria Math" w:cs="Times New Roman"/>
          </w:rPr>
          <m:t>j</m:t>
        </m:r>
      </m:oMath>
      <w:r>
        <w:rPr>
          <w:rFonts w:ascii="Times New Roman" w:hAnsi="Times New Roman" w:cs="Times New Roman"/>
        </w:rPr>
        <w:t xml:space="preserve">-th regime of the </w:t>
      </w:r>
      <m:oMath>
        <m:r>
          <w:rPr>
            <w:rFonts w:ascii="Cambria Math" w:hAnsi="Cambria Math" w:cs="Times New Roman"/>
          </w:rPr>
          <m:t>i</m:t>
        </m:r>
      </m:oMath>
      <w:r>
        <w:rPr>
          <w:rFonts w:ascii="Times New Roman" w:hAnsi="Times New Roman" w:cs="Times New Roman"/>
        </w:rPr>
        <w:t xml:space="preserve">-th segment sorted in ascending order of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oMath>
      <w:r>
        <w:rPr>
          <w:rFonts w:ascii="Times New Roman" w:hAnsi="Times New Roman" w:cs="Times New Roman" w:hint="eastAsia"/>
        </w:rPr>
        <w:t>.</w:t>
      </w:r>
      <w:r>
        <w:rPr>
          <w:rFonts w:ascii="Times New Roman" w:hAnsi="Times New Roman" w:cs="Times New Roman"/>
        </w:rPr>
        <w:t xml:space="preserve"> Minimizing the function inside the summation in </w:t>
      </w:r>
      <w:r>
        <w:rPr>
          <w:rFonts w:ascii="Times New Roman" w:hAnsi="Times New Roman" w:cs="Times New Roman" w:hint="eastAsia"/>
        </w:rPr>
        <w:t>Equation</w:t>
      </w:r>
      <w:r>
        <w:rPr>
          <w:rFonts w:ascii="Times New Roman" w:hAnsi="Times New Roman" w:cs="Times New Roman"/>
        </w:rPr>
        <w:t xml:space="preserve"> (1</w:t>
      </w:r>
      <w:r>
        <w:rPr>
          <w:rFonts w:ascii="Times New Roman" w:hAnsi="Times New Roman" w:cs="Times New Roman" w:hint="eastAsia"/>
        </w:rPr>
        <w:t>3</w:t>
      </w:r>
      <w:r>
        <w:rPr>
          <w:rFonts w:ascii="Times New Roman" w:hAnsi="Times New Roman" w:cs="Times New Roman"/>
        </w:rPr>
        <w:t xml:space="preserve">) gives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i,j</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log</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2π</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i,j</m:t>
                    </m:r>
                  </m:sub>
                  <m:sup>
                    <m:r>
                      <w:rPr>
                        <w:rFonts w:ascii="Cambria Math" w:hAnsi="Cambria Math" w:cs="Times New Roman"/>
                      </w:rPr>
                      <m:t>2</m:t>
                    </m:r>
                  </m:sup>
                </m:sSubSup>
              </m:e>
            </m:d>
          </m:e>
        </m:func>
        <m:r>
          <w:rPr>
            <w:rFonts w:ascii="Cambria Math" w:hAnsi="Cambria Math" w:cs="Times New Roman"/>
          </w:rPr>
          <m:t>+1)</m:t>
        </m:r>
      </m:oMath>
      <w:r>
        <w:rPr>
          <w:rFonts w:ascii="Times New Roman" w:hAnsi="Times New Roman" w:cs="Times New Roman" w:hint="eastAsia"/>
        </w:rPr>
        <w:t>,</w:t>
      </w:r>
      <w:r>
        <w:rPr>
          <w:rFonts w:ascii="Times New Roman" w:hAnsi="Times New Roman" w:cs="Times New Roman"/>
        </w:rPr>
        <w:t xml:space="preserve"> where </w:t>
      </w: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i,j</m:t>
            </m:r>
          </m:sub>
          <m:sup>
            <m:r>
              <w:rPr>
                <w:rFonts w:ascii="Cambria Math" w:hAnsi="Cambria Math" w:cs="Times New Roman"/>
              </w:rPr>
              <m:t>2</m:t>
            </m:r>
          </m:sup>
        </m:sSubSup>
      </m:oMath>
      <w:r>
        <w:rPr>
          <w:rFonts w:ascii="Times New Roman" w:hAnsi="Times New Roman" w:cs="Times New Roman" w:hint="eastAsia"/>
        </w:rPr>
        <w:t xml:space="preserve"> </w:t>
      </w:r>
      <w:r>
        <w:rPr>
          <w:rFonts w:ascii="Times New Roman" w:hAnsi="Times New Roman" w:cs="Times New Roman"/>
        </w:rPr>
        <w:t>is given by</w:t>
      </w:r>
      <w:r>
        <w:rPr>
          <w:rFonts w:ascii="Times New Roman" w:hAnsi="Times New Roman" w:cs="Times New Roman" w:hint="eastAsia"/>
        </w:rPr>
        <w:t xml:space="preserve"> the</w:t>
      </w:r>
      <w:r>
        <w:rPr>
          <w:rFonts w:ascii="Times New Roman" w:hAnsi="Times New Roman" w:cs="Times New Roman"/>
        </w:rPr>
        <w:t xml:space="preserve"> least</w:t>
      </w:r>
      <w:r>
        <w:rPr>
          <w:rFonts w:ascii="Times New Roman" w:hAnsi="Times New Roman" w:cs="Times New Roman" w:hint="eastAsia"/>
        </w:rPr>
        <w:t>-</w:t>
      </w:r>
      <w:r>
        <w:rPr>
          <w:rFonts w:ascii="Times New Roman" w:hAnsi="Times New Roman" w:cs="Times New Roman"/>
        </w:rPr>
        <w:t>squares estimation of the multiple-regime TAR model proposed by Li and Ling (2012). Thus, the code length of the residuals can be written as</w:t>
      </w:r>
    </w:p>
    <w:p w14:paraId="751BD88C" w14:textId="77777777" w:rsidR="0074478A" w:rsidRDefault="00690393">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e</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num>
          <m:den>
            <m:r>
              <w:rPr>
                <w:rFonts w:ascii="Cambria Math" w:hAnsi="Cambria Math" w:cs="Times New Roman"/>
              </w:rPr>
              <m:t>2</m:t>
            </m:r>
          </m:den>
        </m:f>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(2π</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i,j</m:t>
                </m:r>
              </m:sub>
              <m:sup>
                <m:r>
                  <w:rPr>
                    <w:rFonts w:ascii="Cambria Math" w:hAnsi="Cambria Math" w:cs="Times New Roman"/>
                  </w:rPr>
                  <m:t>2</m:t>
                </m:r>
              </m:sup>
            </m:sSubSup>
            <m:r>
              <w:rPr>
                <w:rFonts w:ascii="Cambria Math" w:hAnsi="Cambria Math" w:cs="Times New Roman"/>
              </w:rPr>
              <m:t>)</m:t>
            </m:r>
          </m:e>
        </m:nary>
      </m:oMath>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(14)</w:t>
      </w:r>
    </w:p>
    <w:p w14:paraId="484F6D84"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Having specified the three components of </w:t>
      </w:r>
      <w:r>
        <w:rPr>
          <w:rFonts w:ascii="Times New Roman" w:hAnsi="Times New Roman" w:cs="Times New Roman" w:hint="eastAsia"/>
        </w:rPr>
        <w:t xml:space="preserve">the </w:t>
      </w:r>
      <w:r>
        <w:rPr>
          <w:rFonts w:ascii="Times New Roman" w:hAnsi="Times New Roman" w:cs="Times New Roman"/>
        </w:rPr>
        <w:t xml:space="preserve">MDL given by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9</w:t>
      </w:r>
      <w:r>
        <w:rPr>
          <w:rFonts w:ascii="Times New Roman" w:hAnsi="Times New Roman" w:cs="Times New Roman"/>
        </w:rPr>
        <w:t xml:space="preserve">), we estimate the piecewise three-regime model by minimizing the MDL. </w:t>
      </w:r>
      <w:r>
        <w:rPr>
          <w:rFonts w:ascii="Times New Roman" w:hAnsi="Times New Roman" w:cs="Times New Roman" w:hint="eastAsia"/>
        </w:rPr>
        <w:t xml:space="preserve">Given the complexity of the TAR model, it is difficult to minimize </w:t>
      </w:r>
      <w:r>
        <w:rPr>
          <w:rFonts w:ascii="Times New Roman" w:hAnsi="Times New Roman" w:cs="Times New Roman"/>
        </w:rPr>
        <w:t xml:space="preserve">the </w:t>
      </w:r>
      <w:r>
        <w:rPr>
          <w:rFonts w:ascii="Times New Roman" w:hAnsi="Times New Roman" w:cs="Times New Roman" w:hint="eastAsia"/>
        </w:rPr>
        <w:t>MDL</w:t>
      </w:r>
      <w:r>
        <w:rPr>
          <w:rFonts w:ascii="Times New Roman" w:hAnsi="Times New Roman" w:cs="Times New Roman"/>
        </w:rPr>
        <w:t xml:space="preserve"> in practice</w:t>
      </w:r>
      <w:r>
        <w:rPr>
          <w:rFonts w:ascii="Times New Roman" w:hAnsi="Times New Roman" w:cs="Times New Roman" w:hint="eastAsia"/>
        </w:rPr>
        <w:t>. To estimate the model</w:t>
      </w:r>
      <w:r>
        <w:rPr>
          <w:rFonts w:ascii="Times New Roman" w:hAnsi="Times New Roman" w:cs="Times New Roman"/>
        </w:rPr>
        <w:t xml:space="preserve"> efficiently</w:t>
      </w:r>
      <w:r>
        <w:rPr>
          <w:rFonts w:ascii="Times New Roman" w:hAnsi="Times New Roman" w:cs="Times New Roman" w:hint="eastAsia"/>
        </w:rPr>
        <w:t xml:space="preserve">, we adopt </w:t>
      </w:r>
      <w:r>
        <w:rPr>
          <w:rFonts w:ascii="Times New Roman" w:hAnsi="Times New Roman" w:cs="Times New Roman"/>
        </w:rPr>
        <w:t>the</w:t>
      </w:r>
      <w:r>
        <w:rPr>
          <w:rFonts w:ascii="Times New Roman" w:hAnsi="Times New Roman" w:cs="Times New Roman" w:hint="eastAsia"/>
        </w:rPr>
        <w:t xml:space="preserve"> genetic algorithm suggested by Yau et al. (2015) to solve the optimization problem. </w:t>
      </w:r>
      <w:r>
        <w:rPr>
          <w:rFonts w:ascii="Times New Roman" w:hAnsi="Times New Roman" w:cs="Times New Roman"/>
        </w:rPr>
        <w:t>As proved by Yau et al. (2015),</w:t>
      </w:r>
      <w:r>
        <w:rPr>
          <w:rFonts w:ascii="Times New Roman" w:hAnsi="Times New Roman" w:cs="Times New Roman" w:hint="eastAsia"/>
        </w:rPr>
        <w:t xml:space="preserve"> this estimation procedure</w:t>
      </w:r>
      <w:r>
        <w:rPr>
          <w:rFonts w:ascii="Times New Roman" w:hAnsi="Times New Roman" w:cs="Times New Roman"/>
        </w:rPr>
        <w:t xml:space="preserve"> ensures large-sample consistency of parameter estimates, including the number and locations of structural breaks </w:t>
      </w:r>
      <w:r>
        <w:rPr>
          <w:rFonts w:ascii="Times New Roman" w:hAnsi="Times New Roman" w:cs="Times New Roman" w:hint="eastAsia"/>
        </w:rPr>
        <w:t>and</w:t>
      </w:r>
      <w:r>
        <w:rPr>
          <w:rFonts w:ascii="Times New Roman" w:hAnsi="Times New Roman" w:cs="Times New Roman"/>
        </w:rPr>
        <w:t xml:space="preserve"> the corresponding parameters in each TAR model. </w:t>
      </w:r>
    </w:p>
    <w:p w14:paraId="2A294822" w14:textId="77777777" w:rsidR="0074478A" w:rsidRDefault="00690393">
      <w:pPr>
        <w:spacing w:afterLines="100" w:after="312"/>
        <w:rPr>
          <w:rFonts w:ascii="Times New Roman" w:hAnsi="Times New Roman" w:cs="Times New Roman"/>
        </w:rPr>
      </w:pPr>
      <w:r>
        <w:rPr>
          <w:rFonts w:ascii="Times New Roman" w:hAnsi="Times New Roman" w:cs="Times New Roman"/>
        </w:rPr>
        <w:t xml:space="preserve">The piecewise </w:t>
      </w:r>
      <w:r>
        <w:rPr>
          <w:rFonts w:ascii="Times New Roman" w:hAnsi="Times New Roman" w:cs="Times New Roman" w:hint="eastAsia"/>
        </w:rPr>
        <w:t>TAR estimation procedure enables us t</w:t>
      </w:r>
      <w:r>
        <w:rPr>
          <w:rFonts w:ascii="Times New Roman" w:hAnsi="Times New Roman" w:cs="Times New Roman"/>
        </w:rPr>
        <w:t>o model</w:t>
      </w:r>
      <w:r>
        <w:rPr>
          <w:rFonts w:ascii="Times New Roman" w:hAnsi="Times New Roman" w:cs="Times New Roman" w:hint="eastAsia"/>
        </w:rPr>
        <w:t xml:space="preserve"> an exchange rate regime that allows a certain degree of flexibility around the central parity. Moreover, exchange rate realignments and potential changes in the target band over time </w:t>
      </w:r>
      <w:r>
        <w:rPr>
          <w:rFonts w:ascii="Times New Roman" w:hAnsi="Times New Roman" w:cs="Times New Roman"/>
        </w:rPr>
        <w:t>can</w:t>
      </w:r>
      <w:r>
        <w:rPr>
          <w:rFonts w:ascii="Times New Roman" w:hAnsi="Times New Roman" w:cs="Times New Roman" w:hint="eastAsia"/>
        </w:rPr>
        <w:t xml:space="preserve"> be detected by this procedure. When a jump in the central parity occurs, the procedure </w:t>
      </w:r>
      <w:r>
        <w:rPr>
          <w:rFonts w:ascii="Times New Roman" w:hAnsi="Times New Roman" w:cs="Times New Roman"/>
        </w:rPr>
        <w:t>may</w:t>
      </w:r>
      <w:r>
        <w:rPr>
          <w:rFonts w:ascii="Times New Roman" w:hAnsi="Times New Roman" w:cs="Times New Roman" w:hint="eastAsia"/>
        </w:rPr>
        <w:t xml:space="preserve"> detect a sudden change in the level of the central parity and the target band around it and discern the change as a structural break point. Additionally, if the monetary authority adjusts the width of </w:t>
      </w:r>
      <w:r>
        <w:rPr>
          <w:rFonts w:ascii="Times New Roman" w:hAnsi="Times New Roman" w:cs="Times New Roman"/>
        </w:rPr>
        <w:t xml:space="preserve">the </w:t>
      </w:r>
      <w:r>
        <w:rPr>
          <w:rFonts w:ascii="Times New Roman" w:hAnsi="Times New Roman" w:cs="Times New Roman" w:hint="eastAsia"/>
        </w:rPr>
        <w:t xml:space="preserve">target band or the intensity of out-of-band interventions, the procedure will split the whole series into two separate segments and infer the target band of each segment individually. However, a potential limitation </w:t>
      </w:r>
      <w:r>
        <w:rPr>
          <w:rFonts w:ascii="Times New Roman" w:hAnsi="Times New Roman" w:cs="Times New Roman"/>
        </w:rPr>
        <w:t xml:space="preserve">is </w:t>
      </w:r>
      <w:r>
        <w:rPr>
          <w:rFonts w:ascii="Times New Roman" w:hAnsi="Times New Roman" w:cs="Times New Roman" w:hint="eastAsia"/>
        </w:rPr>
        <w:t xml:space="preserve">that the procedure is suitable only for estimating the exchange rate regime of a country following a </w:t>
      </w:r>
      <w:r>
        <w:rPr>
          <w:rFonts w:ascii="Times New Roman" w:hAnsi="Times New Roman" w:cs="Times New Roman"/>
        </w:rPr>
        <w:t xml:space="preserve">pattern of </w:t>
      </w:r>
      <w:r>
        <w:rPr>
          <w:rFonts w:ascii="Times New Roman" w:hAnsi="Times New Roman" w:cs="Times New Roman" w:hint="eastAsia"/>
        </w:rPr>
        <w:t xml:space="preserve">foreign exchange intervention </w:t>
      </w:r>
      <w:r>
        <w:rPr>
          <w:rFonts w:ascii="Times New Roman" w:hAnsi="Times New Roman" w:cs="Times New Roman"/>
        </w:rPr>
        <w:t>that resembles a</w:t>
      </w:r>
      <w:r>
        <w:rPr>
          <w:rFonts w:ascii="Times New Roman" w:hAnsi="Times New Roman" w:cs="Times New Roman" w:hint="eastAsia"/>
        </w:rPr>
        <w:t xml:space="preserve"> BBC regime. </w:t>
      </w:r>
    </w:p>
    <w:p w14:paraId="0CC0F867"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To address this matter, a more general estimation algorithm is developed; this algorithm is represented in Figure 1. In the first step, we use the piecewise TAR model to fit </w:t>
      </w:r>
      <w:bookmarkStart w:id="83" w:name="OLE_LINK16"/>
      <w:r>
        <w:rPr>
          <w:rFonts w:ascii="Times New Roman" w:hAnsi="Times New Roman" w:cs="Times New Roman" w:hint="eastAsia"/>
        </w:rPr>
        <w:t xml:space="preserve">the series of cumulative percentage </w:t>
      </w:r>
      <w:proofErr w:type="gramStart"/>
      <w:r>
        <w:rPr>
          <w:rFonts w:ascii="Times New Roman" w:hAnsi="Times New Roman" w:cs="Times New Roman" w:hint="eastAsia"/>
        </w:rPr>
        <w:t>deviation</w:t>
      </w:r>
      <w:bookmarkEnd w:id="83"/>
      <w:proofErr w:type="gramEnd"/>
      <w:r>
        <w:rPr>
          <w:rFonts w:ascii="Times New Roman" w:hAnsi="Times New Roman" w:cs="Times New Roman" w:hint="eastAsia"/>
        </w:rPr>
        <w:t xml:space="preserve"> from the central parity. Then, to consider potential jumps in the central parity, we realign the central parity back to 0 at the start of each segment </w:t>
      </w:r>
      <w:r>
        <w:rPr>
          <w:rFonts w:ascii="Times New Roman" w:hAnsi="Times New Roman" w:cs="Times New Roman"/>
        </w:rPr>
        <w:t>that is marked out</w:t>
      </w:r>
      <w:r>
        <w:rPr>
          <w:rFonts w:ascii="Times New Roman" w:hAnsi="Times New Roman" w:cs="Times New Roman" w:hint="eastAsia"/>
        </w:rPr>
        <w:t xml:space="preserve"> by the piecewise estimation </w:t>
      </w:r>
      <w:proofErr w:type="gramStart"/>
      <w:r>
        <w:rPr>
          <w:rFonts w:ascii="Times New Roman" w:hAnsi="Times New Roman" w:cs="Times New Roman" w:hint="eastAsia"/>
        </w:rPr>
        <w:t>procedure, and</w:t>
      </w:r>
      <w:proofErr w:type="gramEnd"/>
      <w:r>
        <w:rPr>
          <w:rFonts w:ascii="Times New Roman" w:hAnsi="Times New Roman" w:cs="Times New Roman" w:hint="eastAsia"/>
        </w:rPr>
        <w:t xml:space="preserve"> adjust the series of deviation</w:t>
      </w:r>
      <w:r>
        <w:rPr>
          <w:rFonts w:ascii="Times New Roman" w:hAnsi="Times New Roman" w:cs="Times New Roman"/>
        </w:rPr>
        <w:t>s</w:t>
      </w:r>
      <w:r>
        <w:rPr>
          <w:rFonts w:ascii="Times New Roman" w:hAnsi="Times New Roman" w:cs="Times New Roman" w:hint="eastAsia"/>
        </w:rPr>
        <w:t xml:space="preserve"> accordingly. After the adjustment for exchange rate realignment, the </w:t>
      </w:r>
      <w:bookmarkStart w:id="84" w:name="OLE_LINK17"/>
      <w:r>
        <w:rPr>
          <w:rFonts w:ascii="Times New Roman" w:hAnsi="Times New Roman" w:cs="Times New Roman" w:hint="eastAsia"/>
        </w:rPr>
        <w:t>standard deviation</w:t>
      </w:r>
      <w:bookmarkEnd w:id="84"/>
      <w:r>
        <w:rPr>
          <w:rFonts w:ascii="Times New Roman" w:hAnsi="Times New Roman" w:cs="Times New Roman" w:hint="eastAsia"/>
        </w:rPr>
        <w:t xml:space="preserve"> of </w:t>
      </w:r>
      <w:r>
        <w:rPr>
          <w:rFonts w:ascii="Times New Roman" w:hAnsi="Times New Roman" w:cs="Times New Roman"/>
        </w:rPr>
        <w:t xml:space="preserve">the </w:t>
      </w:r>
      <w:r>
        <w:rPr>
          <w:rFonts w:ascii="Times New Roman" w:hAnsi="Times New Roman" w:cs="Times New Roman" w:hint="eastAsia"/>
        </w:rPr>
        <w:t xml:space="preserve">actual data within each segment is calculated to infer whether the country follows </w:t>
      </w:r>
      <w:r>
        <w:rPr>
          <w:rFonts w:ascii="Times New Roman" w:hAnsi="Times New Roman" w:cs="Times New Roman"/>
        </w:rPr>
        <w:t xml:space="preserve">a </w:t>
      </w:r>
      <w:r>
        <w:rPr>
          <w:rFonts w:ascii="Times New Roman" w:hAnsi="Times New Roman" w:cs="Times New Roman" w:hint="eastAsia"/>
        </w:rPr>
        <w:t xml:space="preserve">fixed regime within the segment. We </w:t>
      </w:r>
      <w:r>
        <w:rPr>
          <w:rFonts w:ascii="Times New Roman" w:hAnsi="Times New Roman" w:cs="Times New Roman"/>
        </w:rPr>
        <w:t xml:space="preserve">set </w:t>
      </w:r>
      <w:r>
        <w:rPr>
          <w:rFonts w:ascii="Times New Roman" w:hAnsi="Times New Roman" w:cs="Times New Roman" w:hint="eastAsia"/>
        </w:rPr>
        <w:t xml:space="preserve">the threshold of </w:t>
      </w:r>
      <w:bookmarkStart w:id="85" w:name="OLE_LINK33"/>
      <w:r>
        <w:rPr>
          <w:rFonts w:ascii="Times New Roman" w:hAnsi="Times New Roman" w:cs="Times New Roman"/>
        </w:rPr>
        <w:t xml:space="preserve">the </w:t>
      </w:r>
      <w:r>
        <w:rPr>
          <w:rFonts w:ascii="Times New Roman" w:hAnsi="Times New Roman" w:cs="Times New Roman" w:hint="eastAsia"/>
        </w:rPr>
        <w:t>standard deviation</w:t>
      </w:r>
      <w:bookmarkEnd w:id="85"/>
      <w:r>
        <w:rPr>
          <w:rFonts w:ascii="Times New Roman" w:hAnsi="Times New Roman" w:cs="Times New Roman" w:hint="eastAsia"/>
        </w:rPr>
        <w:t xml:space="preserve"> </w:t>
      </w:r>
      <w:r>
        <w:rPr>
          <w:rFonts w:ascii="Times New Roman" w:hAnsi="Times New Roman" w:cs="Times New Roman"/>
        </w:rPr>
        <w:t>at</w:t>
      </w:r>
      <w:r>
        <w:rPr>
          <w:rFonts w:ascii="Times New Roman" w:hAnsi="Times New Roman" w:cs="Times New Roman" w:hint="eastAsia"/>
        </w:rPr>
        <w:t xml:space="preserve"> 1%, which distinguishes </w:t>
      </w:r>
      <w:r>
        <w:rPr>
          <w:rFonts w:ascii="Times New Roman" w:hAnsi="Times New Roman" w:cs="Times New Roman"/>
        </w:rPr>
        <w:t xml:space="preserve">a </w:t>
      </w:r>
      <w:r>
        <w:rPr>
          <w:rFonts w:ascii="Times New Roman" w:hAnsi="Times New Roman" w:cs="Times New Roman" w:hint="eastAsia"/>
        </w:rPr>
        <w:t>fixed regime from</w:t>
      </w:r>
      <w:r>
        <w:rPr>
          <w:rFonts w:ascii="Times New Roman" w:hAnsi="Times New Roman" w:cs="Times New Roman"/>
        </w:rPr>
        <w:t xml:space="preserve"> a</w:t>
      </w:r>
      <w:r>
        <w:rPr>
          <w:rFonts w:ascii="Times New Roman" w:hAnsi="Times New Roman" w:cs="Times New Roman" w:hint="eastAsia"/>
        </w:rPr>
        <w:t xml:space="preserve"> managed floating regime. If the standard deviation is </w:t>
      </w:r>
      <w:r>
        <w:rPr>
          <w:rFonts w:ascii="Times New Roman" w:hAnsi="Times New Roman" w:cs="Times New Roman"/>
        </w:rPr>
        <w:t>less</w:t>
      </w:r>
      <w:r>
        <w:rPr>
          <w:rFonts w:ascii="Times New Roman" w:hAnsi="Times New Roman" w:cs="Times New Roman" w:hint="eastAsia"/>
        </w:rPr>
        <w:t xml:space="preserve"> than 1%, the regime will be determined to be a fixed regime. </w:t>
      </w:r>
    </w:p>
    <w:p w14:paraId="620635CC" w14:textId="77777777" w:rsidR="0074478A" w:rsidRDefault="00690393">
      <w:pPr>
        <w:spacing w:afterLines="100" w:after="312"/>
        <w:rPr>
          <w:rFonts w:ascii="Times New Roman" w:hAnsi="Times New Roman" w:cs="Times New Roman"/>
          <w:szCs w:val="21"/>
        </w:rPr>
      </w:pPr>
      <w:r>
        <w:rPr>
          <w:rFonts w:ascii="Times New Roman" w:hAnsi="Times New Roman" w:cs="Times New Roman" w:hint="eastAsia"/>
        </w:rPr>
        <w:lastRenderedPageBreak/>
        <w:t>Next, we propose a test o</w:t>
      </w:r>
      <w:r>
        <w:rPr>
          <w:rFonts w:ascii="Times New Roman" w:hAnsi="Times New Roman" w:cs="Times New Roman"/>
        </w:rPr>
        <w:t>f</w:t>
      </w:r>
      <w:r>
        <w:rPr>
          <w:rFonts w:ascii="Times New Roman" w:hAnsi="Times New Roman" w:cs="Times New Roman" w:hint="eastAsia"/>
        </w:rPr>
        <w:t xml:space="preserve"> whether the country maintains a managed floating regime without a predetermined band. Typically, foreign exchange intervention </w:t>
      </w:r>
      <w:r>
        <w:rPr>
          <w:rFonts w:ascii="Times New Roman" w:hAnsi="Times New Roman" w:cs="Times New Roman"/>
        </w:rPr>
        <w:t>will not</w:t>
      </w:r>
      <w:r>
        <w:rPr>
          <w:rFonts w:ascii="Times New Roman" w:hAnsi="Times New Roman" w:cs="Times New Roman" w:hint="eastAsia"/>
        </w:rPr>
        <w:t xml:space="preserve"> take place and the dynamics of </w:t>
      </w:r>
      <w:r>
        <w:rPr>
          <w:rFonts w:ascii="Times New Roman" w:hAnsi="Times New Roman" w:cs="Times New Roman"/>
        </w:rPr>
        <w:t xml:space="preserve">the </w:t>
      </w:r>
      <w:r>
        <w:rPr>
          <w:rFonts w:ascii="Times New Roman" w:hAnsi="Times New Roman" w:cs="Times New Roman" w:hint="eastAsia"/>
        </w:rPr>
        <w:t>exchange rate can be approximated by a random walk process in the middle regime within a segment if the authority follows a floating regime or a BBC regime. In contrast, the null hypothesis of the unit root test will be rejected if inframarginal interventions under a managed floating regime with no target band exists. Relying on the</w:t>
      </w:r>
      <w:r>
        <w:rPr>
          <w:rFonts w:ascii="Times New Roman" w:hAnsi="Times New Roman" w:cs="Times New Roman"/>
        </w:rPr>
        <w:t>se</w:t>
      </w:r>
      <w:r>
        <w:rPr>
          <w:rFonts w:ascii="Times New Roman" w:hAnsi="Times New Roman" w:cs="Times New Roman" w:hint="eastAsia"/>
        </w:rPr>
        <w:t xml:space="preserve"> two fact</w:t>
      </w:r>
      <w:r>
        <w:rPr>
          <w:rFonts w:ascii="Times New Roman" w:hAnsi="Times New Roman" w:cs="Times New Roman"/>
        </w:rPr>
        <w:t>s</w:t>
      </w:r>
      <w:r>
        <w:rPr>
          <w:rFonts w:ascii="Times New Roman" w:hAnsi="Times New Roman" w:cs="Times New Roman" w:hint="eastAsia"/>
        </w:rPr>
        <w:t xml:space="preserve">, we define the exchange rate regime as a managed floating regime without a target band when </w:t>
      </w:r>
      <w:r>
        <w:rPr>
          <w:rFonts w:ascii="Times New Roman" w:hAnsi="Times New Roman" w:cs="Times New Roman"/>
        </w:rPr>
        <w:t>the</w:t>
      </w:r>
      <w:r>
        <w:rPr>
          <w:rFonts w:ascii="Times New Roman" w:hAnsi="Times New Roman" w:cs="Times New Roman" w:hint="eastAsia"/>
        </w:rPr>
        <w:t xml:space="preserve"> augmented Dickey-Fuller (ADF) unit root test on the deviation series in the middle regime rejects the null hypothesis. To distinguish floating regimes from BBC regimes, we examine whether the volatility of the deviation series is reduced when the exchange rate goes out of the band. If a country floats its exchange rate, the volatility of the exchange rate will not be affected by its current position. Instead, </w:t>
      </w:r>
      <w:bookmarkStart w:id="86" w:name="OLE_LINK85"/>
      <w:r>
        <w:rPr>
          <w:rFonts w:ascii="Times New Roman" w:hAnsi="Times New Roman" w:cs="Times New Roman" w:hint="eastAsia"/>
        </w:rPr>
        <w:t>the exchange rate</w:t>
      </w:r>
      <w:bookmarkEnd w:id="86"/>
      <w:r>
        <w:rPr>
          <w:rFonts w:ascii="Times New Roman" w:hAnsi="Times New Roman" w:cs="Times New Roman" w:hint="eastAsia"/>
        </w:rPr>
        <w:t xml:space="preserve"> follows a random walk process </w:t>
      </w: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how the rate behaves in the band. For BBC regime, the monetary authority</w:t>
      </w:r>
      <w:r>
        <w:rPr>
          <w:rFonts w:ascii="Times New Roman" w:hAnsi="Times New Roman" w:cs="Times New Roman"/>
        </w:rPr>
        <w:t>’</w:t>
      </w:r>
      <w:r>
        <w:rPr>
          <w:rFonts w:ascii="Times New Roman" w:hAnsi="Times New Roman" w:cs="Times New Roman" w:hint="eastAsia"/>
        </w:rPr>
        <w:t xml:space="preserve">s intervention will counteract the trend of continuous appreciation or </w:t>
      </w:r>
      <w:proofErr w:type="gramStart"/>
      <w:r>
        <w:rPr>
          <w:rFonts w:ascii="Times New Roman" w:hAnsi="Times New Roman" w:cs="Times New Roman" w:hint="eastAsia"/>
        </w:rPr>
        <w:t>depreciation, and</w:t>
      </w:r>
      <w:proofErr w:type="gramEnd"/>
      <w:r>
        <w:rPr>
          <w:rFonts w:ascii="Times New Roman" w:hAnsi="Times New Roman" w:cs="Times New Roman" w:hint="eastAsia"/>
        </w:rPr>
        <w:t xml:space="preserve"> decrease the volatility of value changes in local currency to keep the exchange rate at a stable level or even return the exchange rate to the band. Therefore,</w:t>
      </w:r>
      <w:r>
        <w:rPr>
          <w:rFonts w:ascii="Times New Roman" w:hAnsi="Times New Roman" w:cs="Times New Roman"/>
        </w:rPr>
        <w:t xml:space="preserve"> </w:t>
      </w:r>
      <w:r>
        <w:rPr>
          <w:rFonts w:ascii="Times New Roman" w:hAnsi="Times New Roman" w:cs="Times New Roman" w:hint="eastAsia"/>
        </w:rPr>
        <w:t>we categorize the regime</w:t>
      </w:r>
      <w:r>
        <w:rPr>
          <w:rFonts w:ascii="Times New Roman" w:hAnsi="Times New Roman" w:cs="Times New Roman" w:hint="eastAsia"/>
          <w:szCs w:val="21"/>
        </w:rPr>
        <w:t xml:space="preserve"> as a floating regime when the ratio of the variance of changes in the deviation outside the band to that in the band is not less than 1. Otherwise, the regime is classified as a BBC regime. </w:t>
      </w:r>
    </w:p>
    <w:p w14:paraId="705FC434" w14:textId="77777777" w:rsidR="00F52746" w:rsidRDefault="00690393">
      <w:pPr>
        <w:spacing w:afterLines="100" w:after="312"/>
        <w:rPr>
          <w:rFonts w:ascii="Times New Roman" w:hAnsi="Times New Roman" w:cs="Times New Roman"/>
          <w:szCs w:val="21"/>
        </w:rPr>
      </w:pPr>
      <w:r>
        <w:rPr>
          <w:rFonts w:ascii="Times New Roman" w:hAnsi="Times New Roman" w:cs="Times New Roman" w:hint="eastAsia"/>
          <w:szCs w:val="21"/>
        </w:rPr>
        <w:t xml:space="preserve">We can further estimate related parameters revealing how the monetary authority intervenes, including when it intervenes and how intensive its intervention is. The intensity of out-of-band intervention is measured by </w:t>
      </w:r>
      <w:r>
        <w:rPr>
          <w:rFonts w:ascii="Times New Roman" w:hAnsi="Times New Roman" w:cs="Times New Roman" w:hint="eastAsia"/>
        </w:rPr>
        <w:t>the standard deviation of the difference between the exchange rate in the current period and the lagged one, when the exchange rate goes outside the band, taking values between 0% and 100%</w:t>
      </w:r>
      <w:r>
        <w:rPr>
          <w:rFonts w:ascii="Times New Roman" w:hAnsi="Times New Roman" w:cs="Times New Roman" w:hint="eastAsia"/>
          <w:szCs w:val="21"/>
        </w:rPr>
        <w:t>. An intensity of 0% shows no intervention</w:t>
      </w:r>
      <w:r>
        <w:rPr>
          <w:rFonts w:ascii="Times New Roman" w:hAnsi="Times New Roman" w:cs="Times New Roman"/>
          <w:szCs w:val="21"/>
        </w:rPr>
        <w:t>,</w:t>
      </w:r>
      <w:r>
        <w:rPr>
          <w:rFonts w:ascii="Times New Roman" w:hAnsi="Times New Roman" w:cs="Times New Roman" w:hint="eastAsia"/>
          <w:szCs w:val="21"/>
        </w:rPr>
        <w:t xml:space="preserve"> while that of 100% indicates that the exogenous trend of changes in the exchange rate is fully offset by the monetary authority. </w:t>
      </w:r>
    </w:p>
    <w:p w14:paraId="234ABDA9" w14:textId="5C10176E" w:rsidR="0074478A" w:rsidRDefault="00690393">
      <w:pPr>
        <w:spacing w:afterLines="100" w:after="312"/>
        <w:rPr>
          <w:rFonts w:ascii="Times New Roman" w:hAnsi="Times New Roman" w:cs="Times New Roman"/>
          <w:szCs w:val="21"/>
        </w:rPr>
      </w:pPr>
      <w:r>
        <w:rPr>
          <w:rFonts w:ascii="Times New Roman" w:hAnsi="Times New Roman" w:cs="Times New Roman" w:hint="eastAsia"/>
          <w:szCs w:val="21"/>
        </w:rPr>
        <w:t xml:space="preserve">The band width of this segment is estimated by </w:t>
      </w:r>
      <w:bookmarkStart w:id="87" w:name="OLE_LINK18"/>
      <w:r>
        <w:rPr>
          <w:rFonts w:ascii="Times New Roman" w:hAnsi="Times New Roman" w:cs="Times New Roman" w:hint="eastAsia"/>
          <w:szCs w:val="21"/>
        </w:rPr>
        <w:t>the maximum absolute values of the two thresholds</w:t>
      </w:r>
      <w:bookmarkEnd w:id="87"/>
      <w:r>
        <w:rPr>
          <w:rFonts w:ascii="Times New Roman" w:hAnsi="Times New Roman" w:cs="Times New Roman" w:hint="eastAsia"/>
          <w:szCs w:val="21"/>
        </w:rPr>
        <w:t xml:space="preserve"> estimated by the piecewise TAR model procedure. </w:t>
      </w:r>
      <w:r>
        <w:rPr>
          <w:rFonts w:ascii="Times New Roman" w:hAnsi="Times New Roman" w:cs="Times New Roman"/>
          <w:szCs w:val="21"/>
        </w:rPr>
        <w:t xml:space="preserve">The intuition to estimate the band width in this way can be explained as follows. As the time span of each segment is </w:t>
      </w:r>
      <w:r>
        <w:rPr>
          <w:rFonts w:ascii="Times New Roman" w:hAnsi="Times New Roman" w:cs="Times New Roman" w:hint="eastAsia"/>
          <w:szCs w:val="21"/>
        </w:rPr>
        <w:t xml:space="preserve">relatively </w:t>
      </w:r>
      <w:r>
        <w:rPr>
          <w:rFonts w:ascii="Times New Roman" w:hAnsi="Times New Roman" w:cs="Times New Roman"/>
          <w:szCs w:val="21"/>
        </w:rPr>
        <w:t xml:space="preserve">short, the actual exchange rate </w:t>
      </w:r>
      <w:r>
        <w:rPr>
          <w:rFonts w:ascii="Times New Roman" w:hAnsi="Times New Roman" w:cs="Times New Roman" w:hint="eastAsia"/>
          <w:szCs w:val="21"/>
        </w:rPr>
        <w:t xml:space="preserve">often </w:t>
      </w:r>
      <w:r>
        <w:rPr>
          <w:rFonts w:ascii="Times New Roman" w:hAnsi="Times New Roman" w:cs="Times New Roman"/>
          <w:szCs w:val="21"/>
        </w:rPr>
        <w:t xml:space="preserve">does not approach both the upper and lower bounds of the target </w:t>
      </w:r>
      <w:r>
        <w:rPr>
          <w:rFonts w:ascii="Times New Roman" w:hAnsi="Times New Roman" w:cs="Times New Roman" w:hint="eastAsia"/>
          <w:szCs w:val="21"/>
        </w:rPr>
        <w:t>band</w:t>
      </w:r>
      <w:r>
        <w:rPr>
          <w:rFonts w:ascii="Times New Roman" w:hAnsi="Times New Roman" w:cs="Times New Roman"/>
          <w:szCs w:val="21"/>
        </w:rPr>
        <w:t xml:space="preserve"> within a single observation period. In this case, </w:t>
      </w:r>
      <w:r>
        <w:rPr>
          <w:rFonts w:ascii="Times New Roman" w:hAnsi="Times New Roman" w:cs="Times New Roman" w:hint="eastAsia"/>
          <w:szCs w:val="21"/>
        </w:rPr>
        <w:t xml:space="preserve">our procedure can only accurately detect the threshold that the exchange rate has reached during the period, while the threshold on the side where </w:t>
      </w:r>
      <w:r>
        <w:rPr>
          <w:rFonts w:ascii="Times New Roman" w:hAnsi="Times New Roman" w:cs="Times New Roman"/>
          <w:szCs w:val="21"/>
        </w:rPr>
        <w:t xml:space="preserve">the </w:t>
      </w:r>
      <w:r>
        <w:rPr>
          <w:rFonts w:ascii="Times New Roman" w:hAnsi="Times New Roman" w:cs="Times New Roman" w:hint="eastAsia"/>
          <w:szCs w:val="21"/>
        </w:rPr>
        <w:t>actual exchange rate does</w:t>
      </w:r>
      <w:r>
        <w:rPr>
          <w:rFonts w:ascii="Times New Roman" w:hAnsi="Times New Roman" w:cs="Times New Roman"/>
          <w:szCs w:val="21"/>
        </w:rPr>
        <w:t xml:space="preserve"> not</w:t>
      </w:r>
      <w:r>
        <w:rPr>
          <w:rFonts w:ascii="Times New Roman" w:hAnsi="Times New Roman" w:cs="Times New Roman" w:hint="eastAsia"/>
          <w:szCs w:val="21"/>
        </w:rPr>
        <w:t xml:space="preserve"> reach the limit can</w:t>
      </w:r>
      <w:r>
        <w:rPr>
          <w:rFonts w:ascii="Times New Roman" w:hAnsi="Times New Roman" w:cs="Times New Roman"/>
          <w:szCs w:val="21"/>
        </w:rPr>
        <w:t>not</w:t>
      </w:r>
      <w:r>
        <w:rPr>
          <w:rFonts w:ascii="Times New Roman" w:hAnsi="Times New Roman" w:cs="Times New Roman" w:hint="eastAsia"/>
          <w:szCs w:val="21"/>
        </w:rPr>
        <w:t xml:space="preserve"> be correctly identified </w:t>
      </w:r>
      <w:r>
        <w:rPr>
          <w:rFonts w:ascii="Times New Roman" w:hAnsi="Times New Roman" w:cs="Times New Roman"/>
          <w:szCs w:val="21"/>
        </w:rPr>
        <w:t>from the</w:t>
      </w:r>
      <w:r>
        <w:rPr>
          <w:rFonts w:ascii="Times New Roman" w:hAnsi="Times New Roman" w:cs="Times New Roman" w:hint="eastAsia"/>
          <w:szCs w:val="21"/>
        </w:rPr>
        <w:t xml:space="preserve"> data. Under this circumstance,</w:t>
      </w:r>
      <w:r>
        <w:rPr>
          <w:rFonts w:ascii="Times New Roman" w:hAnsi="Times New Roman" w:cs="Times New Roman"/>
          <w:szCs w:val="21"/>
        </w:rPr>
        <w:t xml:space="preserve"> a natural alternative is to estimate the threshold on the side that the actual exchange rate does not reach by the opposite of the threshold on the other side</w:t>
      </w:r>
      <w:r>
        <w:rPr>
          <w:rFonts w:ascii="Times New Roman" w:hAnsi="Times New Roman" w:cs="Times New Roman" w:hint="eastAsia"/>
          <w:szCs w:val="21"/>
        </w:rPr>
        <w:t>, as the upper and lower bound</w:t>
      </w:r>
      <w:r>
        <w:rPr>
          <w:rFonts w:ascii="Times New Roman" w:hAnsi="Times New Roman" w:cs="Times New Roman"/>
          <w:szCs w:val="21"/>
        </w:rPr>
        <w:t>s</w:t>
      </w:r>
      <w:r>
        <w:rPr>
          <w:rFonts w:ascii="Times New Roman" w:hAnsi="Times New Roman" w:cs="Times New Roman" w:hint="eastAsia"/>
          <w:szCs w:val="21"/>
        </w:rPr>
        <w:t xml:space="preserve"> of the target band are usually symmetric around the central parity</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w:t>
      </w:r>
      <w:r>
        <w:rPr>
          <w:rFonts w:ascii="Times New Roman" w:hAnsi="Times New Roman" w:cs="Times New Roman" w:hint="eastAsia"/>
          <w:szCs w:val="21"/>
        </w:rPr>
        <w:t xml:space="preserve">he band width is approximated by </w:t>
      </w:r>
      <w:r>
        <w:rPr>
          <w:rFonts w:ascii="Times New Roman" w:hAnsi="Times New Roman" w:cs="Times New Roman"/>
          <w:szCs w:val="21"/>
        </w:rPr>
        <w:t>the maximum of the absolute values of the two estimated threshold</w:t>
      </w:r>
      <w:r>
        <w:rPr>
          <w:rFonts w:ascii="Times New Roman" w:hAnsi="Times New Roman" w:cs="Times New Roman" w:hint="eastAsia"/>
          <w:szCs w:val="21"/>
        </w:rPr>
        <w:t>s</w:t>
      </w:r>
      <w:r>
        <w:rPr>
          <w:rFonts w:ascii="Times New Roman" w:hAnsi="Times New Roman" w:cs="Times New Roman"/>
          <w:szCs w:val="21"/>
        </w:rPr>
        <w:t>.</w:t>
      </w:r>
    </w:p>
    <w:p w14:paraId="055ABB1D" w14:textId="77777777" w:rsidR="0074478A" w:rsidRDefault="0074478A">
      <w:pPr>
        <w:spacing w:afterLines="100" w:after="312"/>
        <w:rPr>
          <w:rFonts w:ascii="Times New Roman" w:hAnsi="Times New Roman" w:cs="Times New Roman"/>
          <w:szCs w:val="21"/>
        </w:rPr>
      </w:pPr>
    </w:p>
    <w:p w14:paraId="04C8FC4A" w14:textId="77777777" w:rsidR="0074478A" w:rsidRDefault="00690393">
      <w:pPr>
        <w:numPr>
          <w:ilvl w:val="0"/>
          <w:numId w:val="2"/>
        </w:numPr>
        <w:spacing w:afterLines="100" w:after="312"/>
        <w:rPr>
          <w:rFonts w:ascii="Times New Roman" w:hAnsi="Times New Roman" w:cs="Times New Roman"/>
          <w:b/>
          <w:bCs/>
        </w:rPr>
      </w:pPr>
      <w:r>
        <w:rPr>
          <w:rFonts w:ascii="Times New Roman" w:hAnsi="Times New Roman" w:cs="Times New Roman"/>
          <w:b/>
          <w:bCs/>
        </w:rPr>
        <w:t>Estimation Results</w:t>
      </w:r>
    </w:p>
    <w:p w14:paraId="2D835191" w14:textId="77777777" w:rsidR="0074478A" w:rsidRDefault="00690393">
      <w:pPr>
        <w:numPr>
          <w:ilvl w:val="1"/>
          <w:numId w:val="2"/>
        </w:numPr>
        <w:spacing w:afterLines="100" w:after="312"/>
        <w:rPr>
          <w:rFonts w:ascii="Times New Roman" w:hAnsi="Times New Roman" w:cs="Times New Roman"/>
        </w:rPr>
      </w:pPr>
      <w:r>
        <w:rPr>
          <w:rFonts w:ascii="Times New Roman" w:hAnsi="Times New Roman" w:cs="Times New Roman"/>
        </w:rPr>
        <w:t>Data</w:t>
      </w:r>
    </w:p>
    <w:p w14:paraId="21DCE15F" w14:textId="77777777" w:rsidR="0074478A" w:rsidRDefault="00690393">
      <w:pPr>
        <w:spacing w:afterLines="100" w:after="312"/>
        <w:rPr>
          <w:rFonts w:ascii="Times New Roman" w:hAnsi="Times New Roman" w:cs="Times New Roman"/>
        </w:rPr>
      </w:pPr>
      <w:r>
        <w:rPr>
          <w:rFonts w:ascii="Times New Roman" w:hAnsi="Times New Roman" w:cs="Times New Roman"/>
        </w:rPr>
        <w:t>We obtained the</w:t>
      </w:r>
      <w:r>
        <w:rPr>
          <w:rFonts w:ascii="Times New Roman" w:hAnsi="Times New Roman" w:cs="Times New Roman" w:hint="eastAsia"/>
        </w:rPr>
        <w:t xml:space="preserve"> data from</w:t>
      </w:r>
      <w:r>
        <w:rPr>
          <w:rFonts w:ascii="Times New Roman" w:hAnsi="Times New Roman" w:cs="Times New Roman"/>
        </w:rPr>
        <w:t xml:space="preserve"> </w:t>
      </w:r>
      <w:bookmarkStart w:id="88" w:name="OLE_LINK38"/>
      <w:r>
        <w:rPr>
          <w:rFonts w:ascii="Times New Roman" w:hAnsi="Times New Roman" w:cs="Times New Roman"/>
        </w:rPr>
        <w:t>the</w:t>
      </w:r>
      <w:r>
        <w:rPr>
          <w:rFonts w:ascii="Times New Roman" w:hAnsi="Times New Roman" w:cs="Times New Roman" w:hint="eastAsia"/>
        </w:rPr>
        <w:t xml:space="preserve"> PACIFIC Exchange Rate Service database</w:t>
      </w:r>
      <w:bookmarkEnd w:id="88"/>
      <w:r>
        <w:rPr>
          <w:rFonts w:ascii="Times New Roman" w:hAnsi="Times New Roman" w:cs="Times New Roman" w:hint="eastAsia"/>
        </w:rPr>
        <w:t xml:space="preserve">. The sample consists of </w:t>
      </w:r>
      <w:r>
        <w:rPr>
          <w:rFonts w:ascii="Times New Roman" w:hAnsi="Times New Roman" w:cs="Times New Roman" w:hint="eastAsia"/>
        </w:rPr>
        <w:lastRenderedPageBreak/>
        <w:t>daily exchange rates from January 1999</w:t>
      </w:r>
      <w:r>
        <w:rPr>
          <w:rFonts w:ascii="Times New Roman" w:hAnsi="Times New Roman" w:cs="Times New Roman"/>
        </w:rPr>
        <w:t>,</w:t>
      </w:r>
      <w:r>
        <w:rPr>
          <w:rFonts w:ascii="Times New Roman" w:hAnsi="Times New Roman" w:cs="Times New Roman" w:hint="eastAsia"/>
        </w:rPr>
        <w:t xml:space="preserve"> when the euro was launched</w:t>
      </w:r>
      <w:r>
        <w:rPr>
          <w:rFonts w:ascii="Times New Roman" w:hAnsi="Times New Roman" w:cs="Times New Roman"/>
        </w:rPr>
        <w:t>,</w:t>
      </w:r>
      <w:r>
        <w:rPr>
          <w:rFonts w:ascii="Times New Roman" w:hAnsi="Times New Roman" w:cs="Times New Roman" w:hint="eastAsia"/>
        </w:rPr>
        <w:t xml:space="preserve"> to December 2020.To demonstrate how our framework works, we include </w:t>
      </w:r>
      <w:r>
        <w:rPr>
          <w:rFonts w:ascii="Times New Roman" w:hAnsi="Times New Roman" w:cs="Times New Roman"/>
        </w:rPr>
        <w:t xml:space="preserve">in the sample </w:t>
      </w:r>
      <w:r>
        <w:rPr>
          <w:rFonts w:ascii="Times New Roman" w:hAnsi="Times New Roman" w:cs="Times New Roman" w:hint="eastAsia"/>
        </w:rPr>
        <w:t>economies with diverse exchange rate regimes, including the fixed regime, intermediate regime with a target band, managed floating regime, and freely floating regime. Twenty-six countries are covered, a full list of which is shown in Table 1.</w:t>
      </w:r>
      <w:r>
        <w:rPr>
          <w:rStyle w:val="FootnoteReference"/>
          <w:rFonts w:ascii="Times New Roman" w:hAnsi="Times New Roman" w:cs="Times New Roman" w:hint="eastAsia"/>
        </w:rPr>
        <w:footnoteReference w:id="14"/>
      </w:r>
    </w:p>
    <w:p w14:paraId="31BECE1B" w14:textId="77777777" w:rsidR="0074478A" w:rsidRDefault="00690393">
      <w:pPr>
        <w:numPr>
          <w:ilvl w:val="1"/>
          <w:numId w:val="2"/>
        </w:numPr>
        <w:spacing w:afterLines="100" w:after="312"/>
        <w:rPr>
          <w:rFonts w:ascii="Times New Roman" w:hAnsi="Times New Roman" w:cs="Times New Roman"/>
        </w:rPr>
      </w:pPr>
      <w:r>
        <w:rPr>
          <w:rFonts w:ascii="Times New Roman" w:hAnsi="Times New Roman" w:cs="Times New Roman"/>
        </w:rPr>
        <w:t>Resul</w:t>
      </w:r>
      <w:r>
        <w:rPr>
          <w:rFonts w:ascii="Times New Roman" w:hAnsi="Times New Roman" w:cs="Times New Roman" w:hint="eastAsia"/>
        </w:rPr>
        <w:t>ts</w:t>
      </w:r>
    </w:p>
    <w:p w14:paraId="7FF5BE6B"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Table 2 reports the estimates of the currency basket that each country </w:t>
      </w:r>
      <w:r>
        <w:rPr>
          <w:rFonts w:ascii="Times New Roman" w:hAnsi="Times New Roman" w:cs="Times New Roman"/>
        </w:rPr>
        <w:t>targets</w:t>
      </w:r>
      <w:r>
        <w:rPr>
          <w:rFonts w:ascii="Times New Roman" w:hAnsi="Times New Roman" w:cs="Times New Roman" w:hint="eastAsia"/>
        </w:rPr>
        <w:t xml:space="preserve">, the </w:t>
      </w:r>
      <w:r>
        <w:rPr>
          <w:rFonts w:ascii="Times New Roman" w:hAnsi="Times New Roman" w:cs="Times New Roman"/>
        </w:rPr>
        <w:t>width of the band</w:t>
      </w:r>
      <w:r>
        <w:rPr>
          <w:rFonts w:ascii="Times New Roman" w:hAnsi="Times New Roman" w:cs="Times New Roman" w:hint="eastAsia"/>
        </w:rPr>
        <w:t xml:space="preserve"> </w:t>
      </w:r>
      <w:r>
        <w:rPr>
          <w:rFonts w:ascii="Times New Roman" w:hAnsi="Times New Roman" w:cs="Times New Roman"/>
        </w:rPr>
        <w:t>set by</w:t>
      </w:r>
      <w:r>
        <w:rPr>
          <w:rFonts w:ascii="Times New Roman" w:hAnsi="Times New Roman" w:cs="Times New Roman" w:hint="eastAsia"/>
        </w:rPr>
        <w:t xml:space="preserve"> the </w:t>
      </w:r>
      <w:r>
        <w:rPr>
          <w:rFonts w:ascii="Times New Roman" w:hAnsi="Times New Roman" w:cs="Times New Roman"/>
        </w:rPr>
        <w:t xml:space="preserve">monetary </w:t>
      </w:r>
      <w:r>
        <w:rPr>
          <w:rFonts w:ascii="Times New Roman" w:hAnsi="Times New Roman" w:cs="Times New Roman" w:hint="eastAsia"/>
        </w:rPr>
        <w:t>authority, the exchange rate regime categorized by our procedure</w:t>
      </w:r>
      <w:r>
        <w:rPr>
          <w:rFonts w:ascii="Times New Roman" w:hAnsi="Times New Roman" w:cs="Times New Roman"/>
        </w:rPr>
        <w:t>,</w:t>
      </w:r>
      <w:r>
        <w:rPr>
          <w:rFonts w:ascii="Times New Roman" w:hAnsi="Times New Roman" w:cs="Times New Roman" w:hint="eastAsia"/>
        </w:rPr>
        <w:t xml:space="preserve"> and the parameters in the piecewise </w:t>
      </w:r>
      <w:r>
        <w:rPr>
          <w:rFonts w:ascii="Times New Roman" w:hAnsi="Times New Roman" w:cs="Times New Roman"/>
        </w:rPr>
        <w:t>three</w:t>
      </w:r>
      <w:r>
        <w:rPr>
          <w:rFonts w:ascii="Times New Roman" w:hAnsi="Times New Roman" w:cs="Times New Roman" w:hint="eastAsia"/>
        </w:rPr>
        <w:t>-regime TAR model portraying the dynamics of the exchange rate. Figure 2 further plots the time series of the actual exchange rate</w:t>
      </w:r>
      <w:r>
        <w:rPr>
          <w:rFonts w:ascii="Times New Roman" w:hAnsi="Times New Roman" w:cs="Times New Roman"/>
        </w:rPr>
        <w:t>’</w:t>
      </w:r>
      <w:r>
        <w:rPr>
          <w:rFonts w:ascii="Times New Roman" w:hAnsi="Times New Roman" w:cs="Times New Roman" w:hint="eastAsia"/>
        </w:rPr>
        <w:t xml:space="preserve">s cumulative deviation from </w:t>
      </w:r>
      <w:r>
        <w:rPr>
          <w:rFonts w:ascii="Times New Roman" w:hAnsi="Times New Roman" w:cs="Times New Roman"/>
        </w:rPr>
        <w:t>the exchange rate’s</w:t>
      </w:r>
      <w:r>
        <w:rPr>
          <w:rFonts w:ascii="Times New Roman" w:hAnsi="Times New Roman" w:cs="Times New Roman" w:hint="eastAsia"/>
        </w:rPr>
        <w:t xml:space="preserve"> central parity and the structural breaks and the exchange rate regime within each segment inferred by </w:t>
      </w:r>
      <w:r>
        <w:rPr>
          <w:rFonts w:ascii="Times New Roman" w:hAnsi="Times New Roman" w:cs="Times New Roman"/>
        </w:rPr>
        <w:t>our</w:t>
      </w:r>
      <w:r>
        <w:rPr>
          <w:rFonts w:ascii="Times New Roman" w:hAnsi="Times New Roman" w:cs="Times New Roman" w:hint="eastAsia"/>
        </w:rPr>
        <w:t xml:space="preserve"> procedure.</w:t>
      </w:r>
    </w:p>
    <w:p w14:paraId="1196FC32"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The estimation results show that our framework is suitable for describing the behavior of the exchange rate under various exchange rate regimes. We can roughly divide countries covered in our sample into several groups according to the estimation results shown in Table 2. The first group comprises countries, such as oil exporters in the Middle East, that firmly peg their exchange rate to </w:t>
      </w:r>
      <w:r>
        <w:rPr>
          <w:rFonts w:ascii="Times New Roman" w:hAnsi="Times New Roman" w:cs="Times New Roman"/>
        </w:rPr>
        <w:t xml:space="preserve">one or more of </w:t>
      </w:r>
      <w:r>
        <w:rPr>
          <w:rFonts w:ascii="Times New Roman" w:hAnsi="Times New Roman" w:cs="Times New Roman" w:hint="eastAsia"/>
        </w:rPr>
        <w:t xml:space="preserve">a basket of currencies. The volatility of their exchange rates </w:t>
      </w:r>
      <w:proofErr w:type="gramStart"/>
      <w:r>
        <w:rPr>
          <w:rFonts w:ascii="Times New Roman" w:hAnsi="Times New Roman" w:cs="Times New Roman" w:hint="eastAsia"/>
        </w:rPr>
        <w:t>remains at</w:t>
      </w:r>
      <w:proofErr w:type="gramEnd"/>
      <w:r>
        <w:rPr>
          <w:rFonts w:ascii="Times New Roman" w:hAnsi="Times New Roman" w:cs="Times New Roman" w:hint="eastAsia"/>
        </w:rPr>
        <w:t xml:space="preserve"> rather low most of the time</w:t>
      </w:r>
      <w:r>
        <w:rPr>
          <w:rFonts w:ascii="Times New Roman" w:hAnsi="Times New Roman" w:cs="Times New Roman"/>
        </w:rPr>
        <w:t>,</w:t>
      </w:r>
      <w:r>
        <w:rPr>
          <w:rFonts w:ascii="Times New Roman" w:hAnsi="Times New Roman" w:cs="Times New Roman" w:hint="eastAsia"/>
        </w:rPr>
        <w:t xml:space="preserve"> except for some unusual periods such as the 2008 global financial crisis. </w:t>
      </w:r>
    </w:p>
    <w:p w14:paraId="6855BE3D"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The second group comprises economies with a high degree of exchange rate flexibility. Many developed countries, including Australia, Canada, Iceland, New Zealand, Norway, South Korea and Sweden, belong to this group. The group also includes some developing countries, such as India, Indonesia, Peru and Philippines. It is noteworthy that none of these countries floats its exchange rate during the full period from 1999 to 2020, thereby showing that the monetary authorities in these countries do not totally refrain from intervening in foreign exchange markets though </w:t>
      </w:r>
      <w:r>
        <w:rPr>
          <w:rFonts w:ascii="Times New Roman" w:hAnsi="Times New Roman" w:cs="Times New Roman"/>
        </w:rPr>
        <w:t>these monetary authorities</w:t>
      </w:r>
      <w:r>
        <w:rPr>
          <w:rFonts w:ascii="Times New Roman" w:hAnsi="Times New Roman" w:cs="Times New Roman" w:hint="eastAsia"/>
        </w:rPr>
        <w:t xml:space="preserve"> follow a freely floating regime policy in normal periods. Instead, </w:t>
      </w:r>
      <w:r>
        <w:rPr>
          <w:rFonts w:ascii="Times New Roman" w:hAnsi="Times New Roman" w:cs="Times New Roman"/>
        </w:rPr>
        <w:t>these monetary authorities</w:t>
      </w:r>
      <w:r>
        <w:rPr>
          <w:rFonts w:ascii="Times New Roman" w:hAnsi="Times New Roman" w:cs="Times New Roman" w:hint="eastAsia"/>
        </w:rPr>
        <w:t xml:space="preserve"> intervene occasionally when the exchange rate fluctuates considerably to stabilize the relative price. For example, many of </w:t>
      </w:r>
      <w:r>
        <w:rPr>
          <w:rFonts w:ascii="Times New Roman" w:hAnsi="Times New Roman" w:cs="Times New Roman"/>
        </w:rPr>
        <w:t>these monetary authorities</w:t>
      </w:r>
      <w:r>
        <w:rPr>
          <w:rFonts w:ascii="Times New Roman" w:hAnsi="Times New Roman" w:cs="Times New Roman" w:hint="eastAsia"/>
        </w:rPr>
        <w:t xml:space="preserve"> switch their exchange rate regime from freely floating </w:t>
      </w:r>
      <w:r>
        <w:rPr>
          <w:rFonts w:ascii="Times New Roman" w:hAnsi="Times New Roman" w:cs="Times New Roman"/>
        </w:rPr>
        <w:t>to a</w:t>
      </w:r>
      <w:r>
        <w:rPr>
          <w:rFonts w:ascii="Times New Roman" w:hAnsi="Times New Roman" w:cs="Times New Roman" w:hint="eastAsia"/>
        </w:rPr>
        <w:t xml:space="preserve"> BBC when faced with high external uncertainty during the 2008 global financial crisis. We further see that though these countries</w:t>
      </w:r>
      <w:r>
        <w:rPr>
          <w:rFonts w:ascii="Times New Roman" w:hAnsi="Times New Roman" w:cs="Times New Roman"/>
        </w:rPr>
        <w:t>’</w:t>
      </w:r>
      <w:r>
        <w:rPr>
          <w:rFonts w:ascii="Times New Roman" w:hAnsi="Times New Roman" w:cs="Times New Roman" w:hint="eastAsia"/>
        </w:rPr>
        <w:t xml:space="preserve"> monetary authorities only occasionally intervene in the foreign market, their responses to dramatic exchange rate fluctuations are intensive. Our estimation shows that most of these interventions reduce the volatility of the exchange rate by over 40% when the exchange rate reaches an extreme level. The intensity of some of these interventions, such as those by Australia during 2010-2015 and South Korea during 1999-2002 and during 2009-2010 is up to approximately 90%, thus almost fully counteracting the trend of depreciation or appreciation.</w:t>
      </w:r>
    </w:p>
    <w:p w14:paraId="3C700D37"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The last group </w:t>
      </w:r>
      <w:r>
        <w:rPr>
          <w:rFonts w:ascii="Times New Roman" w:hAnsi="Times New Roman" w:cs="Times New Roman"/>
        </w:rPr>
        <w:t>comprises</w:t>
      </w:r>
      <w:r>
        <w:rPr>
          <w:rFonts w:ascii="Times New Roman" w:hAnsi="Times New Roman" w:cs="Times New Roman" w:hint="eastAsia"/>
        </w:rPr>
        <w:t xml:space="preserve"> economies pursuing an intermediate regime, including a BBC or a managed float with no target band. Table 2 shows that BBC regimes or similar regimes that can be </w:t>
      </w:r>
      <w:r>
        <w:rPr>
          <w:rFonts w:ascii="Times New Roman" w:hAnsi="Times New Roman" w:cs="Times New Roman" w:hint="eastAsia"/>
        </w:rPr>
        <w:lastRenderedPageBreak/>
        <w:t xml:space="preserve">parameterized by the TAR model are prevalent among many countries we cover, particularly emerging market economies in Asia and Latin America. The table further indicates that the estimates of </w:t>
      </w:r>
      <w:r>
        <w:rPr>
          <w:rFonts w:ascii="Times New Roman" w:hAnsi="Times New Roman" w:cs="Times New Roman"/>
        </w:rPr>
        <w:t xml:space="preserve">the </w:t>
      </w:r>
      <w:r>
        <w:rPr>
          <w:rFonts w:ascii="Times New Roman" w:hAnsi="Times New Roman" w:cs="Times New Roman" w:hint="eastAsia"/>
        </w:rPr>
        <w:t xml:space="preserve">coefficients of the lagged term under the BBC regime are generally close to or equal to 1, thus supporting the hypothesis that </w:t>
      </w:r>
      <w:r>
        <w:rPr>
          <w:rFonts w:ascii="Times New Roman" w:hAnsi="Times New Roman" w:cs="Times New Roman"/>
        </w:rPr>
        <w:t xml:space="preserve">a </w:t>
      </w:r>
      <w:r>
        <w:rPr>
          <w:rFonts w:ascii="Times New Roman" w:hAnsi="Times New Roman" w:cs="Times New Roman" w:hint="eastAsia"/>
        </w:rPr>
        <w:t xml:space="preserve">random walk is a proper approximation for the dynamics of the exchange rate </w:t>
      </w:r>
      <w:r>
        <w:rPr>
          <w:rFonts w:ascii="Times New Roman" w:hAnsi="Times New Roman" w:cs="Times New Roman"/>
        </w:rPr>
        <w:t>when inside</w:t>
      </w:r>
      <w:r>
        <w:rPr>
          <w:rFonts w:ascii="Times New Roman" w:hAnsi="Times New Roman" w:cs="Times New Roman" w:hint="eastAsia"/>
        </w:rPr>
        <w:t xml:space="preserve"> the band. This finding further indicates that the monetary authority allows a certain degree of deviation from the central parity and </w:t>
      </w:r>
      <w:r>
        <w:rPr>
          <w:rFonts w:ascii="Times New Roman" w:hAnsi="Times New Roman" w:cs="Times New Roman"/>
        </w:rPr>
        <w:t>refrain</w:t>
      </w:r>
      <w:r>
        <w:rPr>
          <w:rFonts w:ascii="Times New Roman" w:hAnsi="Times New Roman" w:cs="Times New Roman" w:hint="eastAsia"/>
        </w:rPr>
        <w:t>s</w:t>
      </w:r>
      <w:r>
        <w:rPr>
          <w:rFonts w:ascii="Times New Roman" w:hAnsi="Times New Roman" w:cs="Times New Roman"/>
        </w:rPr>
        <w:t xml:space="preserve"> from</w:t>
      </w:r>
      <w:r>
        <w:rPr>
          <w:rFonts w:ascii="Times New Roman" w:hAnsi="Times New Roman" w:cs="Times New Roman" w:hint="eastAsia"/>
        </w:rPr>
        <w:t xml:space="preserve"> intervening </w:t>
      </w:r>
      <w:r>
        <w:rPr>
          <w:rFonts w:ascii="Times New Roman" w:hAnsi="Times New Roman" w:cs="Times New Roman"/>
        </w:rPr>
        <w:t xml:space="preserve">in </w:t>
      </w:r>
      <w:r>
        <w:rPr>
          <w:rFonts w:ascii="Times New Roman" w:hAnsi="Times New Roman" w:cs="Times New Roman" w:hint="eastAsia"/>
        </w:rPr>
        <w:t xml:space="preserve">the foreign exchange market </w:t>
      </w:r>
      <w:r>
        <w:rPr>
          <w:rFonts w:ascii="Times New Roman" w:hAnsi="Times New Roman" w:cs="Times New Roman"/>
        </w:rPr>
        <w:t xml:space="preserve">while </w:t>
      </w:r>
      <w:r>
        <w:rPr>
          <w:rFonts w:ascii="Times New Roman" w:hAnsi="Times New Roman" w:cs="Times New Roman" w:hint="eastAsia"/>
        </w:rPr>
        <w:t xml:space="preserve">within the target band. However, as shown in Figure 2, when the exchange rate occasionally strays outside the band, the exchange rate will be returned to the band soon after; this finding </w:t>
      </w:r>
      <w:r>
        <w:rPr>
          <w:rFonts w:ascii="Times New Roman" w:hAnsi="Times New Roman" w:cs="Times New Roman"/>
        </w:rPr>
        <w:t xml:space="preserve">is </w:t>
      </w:r>
      <w:r>
        <w:rPr>
          <w:rFonts w:ascii="Times New Roman" w:hAnsi="Times New Roman" w:cs="Times New Roman" w:hint="eastAsia"/>
        </w:rPr>
        <w:t xml:space="preserve">probably </w:t>
      </w:r>
      <w:r>
        <w:rPr>
          <w:rFonts w:ascii="Times New Roman" w:hAnsi="Times New Roman" w:cs="Times New Roman"/>
        </w:rPr>
        <w:t>attributable to</w:t>
      </w:r>
      <w:r>
        <w:rPr>
          <w:rFonts w:ascii="Times New Roman" w:hAnsi="Times New Roman" w:cs="Times New Roman" w:hint="eastAsia"/>
        </w:rPr>
        <w:t xml:space="preserve"> the monetary authority</w:t>
      </w:r>
      <w:r>
        <w:rPr>
          <w:rFonts w:ascii="Times New Roman" w:hAnsi="Times New Roman" w:cs="Times New Roman"/>
        </w:rPr>
        <w:t>’</w:t>
      </w:r>
      <w:r>
        <w:rPr>
          <w:rFonts w:ascii="Times New Roman" w:hAnsi="Times New Roman" w:cs="Times New Roman" w:hint="eastAsia"/>
        </w:rPr>
        <w:t xml:space="preserve">s intervention in response to an excessive deviation. </w:t>
      </w:r>
    </w:p>
    <w:p w14:paraId="31B7D5C4"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The estimates reported in Table 2 further support our observation from Figure 2. As Table </w:t>
      </w:r>
      <w:r>
        <w:rPr>
          <w:rFonts w:ascii="Times New Roman" w:hAnsi="Times New Roman" w:cs="Times New Roman"/>
        </w:rPr>
        <w:t>2</w:t>
      </w:r>
      <w:r>
        <w:rPr>
          <w:rFonts w:ascii="Times New Roman" w:hAnsi="Times New Roman" w:cs="Times New Roman" w:hint="eastAsia"/>
        </w:rPr>
        <w:t xml:space="preserve"> reports, most </w:t>
      </w:r>
      <w:r>
        <w:rPr>
          <w:rFonts w:ascii="Times New Roman" w:hAnsi="Times New Roman" w:cs="Times New Roman"/>
        </w:rPr>
        <w:t xml:space="preserve">of the </w:t>
      </w:r>
      <w:r>
        <w:rPr>
          <w:rFonts w:ascii="Times New Roman" w:hAnsi="Times New Roman" w:cs="Times New Roman" w:hint="eastAsia"/>
        </w:rPr>
        <w:t>estimates of the coefficient of</w:t>
      </w:r>
      <w:r>
        <w:rPr>
          <w:rFonts w:ascii="Times New Roman" w:hAnsi="Times New Roman" w:cs="Times New Roman"/>
        </w:rPr>
        <w:t xml:space="preserve"> the</w:t>
      </w:r>
      <w:r>
        <w:rPr>
          <w:rFonts w:ascii="Times New Roman" w:hAnsi="Times New Roman" w:cs="Times New Roman" w:hint="eastAsia"/>
        </w:rPr>
        <w:t xml:space="preserve"> AR(1) model</w:t>
      </w:r>
      <w:r>
        <w:rPr>
          <w:rFonts w:ascii="Times New Roman" w:hAnsi="Times New Roman" w:cs="Times New Roman"/>
        </w:rPr>
        <w:t>’</w:t>
      </w:r>
      <w:r>
        <w:rPr>
          <w:rFonts w:ascii="Times New Roman" w:hAnsi="Times New Roman" w:cs="Times New Roman" w:hint="eastAsia"/>
        </w:rPr>
        <w:t xml:space="preserve">s lagged term in the high </w:t>
      </w:r>
      <w:r>
        <w:rPr>
          <w:rFonts w:ascii="Times New Roman" w:hAnsi="Times New Roman" w:cs="Times New Roman"/>
        </w:rPr>
        <w:t>and</w:t>
      </w:r>
      <w:r>
        <w:rPr>
          <w:rFonts w:ascii="Times New Roman" w:hAnsi="Times New Roman" w:cs="Times New Roman" w:hint="eastAsia"/>
        </w:rPr>
        <w:t xml:space="preserve"> low regime</w:t>
      </w:r>
      <w:r>
        <w:rPr>
          <w:rFonts w:ascii="Times New Roman" w:hAnsi="Times New Roman" w:cs="Times New Roman"/>
        </w:rPr>
        <w:t>s</w:t>
      </w:r>
      <w:r>
        <w:rPr>
          <w:rFonts w:ascii="Times New Roman" w:hAnsi="Times New Roman" w:cs="Times New Roman" w:hint="eastAsia"/>
        </w:rPr>
        <w:t xml:space="preserve"> under the BBC regime are considerably </w:t>
      </w:r>
      <w:r>
        <w:rPr>
          <w:rFonts w:ascii="Times New Roman" w:hAnsi="Times New Roman" w:cs="Times New Roman"/>
        </w:rPr>
        <w:t>less</w:t>
      </w:r>
      <w:r>
        <w:rPr>
          <w:rFonts w:ascii="Times New Roman" w:hAnsi="Times New Roman" w:cs="Times New Roman" w:hint="eastAsia"/>
        </w:rPr>
        <w:t xml:space="preserve"> than 1, thus </w:t>
      </w:r>
      <w:r>
        <w:rPr>
          <w:rFonts w:ascii="Times New Roman" w:hAnsi="Times New Roman" w:cs="Times New Roman"/>
        </w:rPr>
        <w:t>reflecting</w:t>
      </w:r>
      <w:r>
        <w:rPr>
          <w:rFonts w:ascii="Times New Roman" w:hAnsi="Times New Roman" w:cs="Times New Roman" w:hint="eastAsia"/>
        </w:rPr>
        <w:t xml:space="preserve"> a tendency </w:t>
      </w:r>
      <w:r>
        <w:rPr>
          <w:rFonts w:ascii="Times New Roman" w:hAnsi="Times New Roman" w:cs="Times New Roman"/>
        </w:rPr>
        <w:t>to</w:t>
      </w:r>
      <w:r>
        <w:rPr>
          <w:rFonts w:ascii="Times New Roman" w:hAnsi="Times New Roman" w:cs="Times New Roman" w:hint="eastAsia"/>
        </w:rPr>
        <w:t xml:space="preserve"> re</w:t>
      </w:r>
      <w:r>
        <w:rPr>
          <w:rFonts w:ascii="Times New Roman" w:hAnsi="Times New Roman" w:cs="Times New Roman"/>
        </w:rPr>
        <w:t>gress</w:t>
      </w:r>
      <w:r>
        <w:rPr>
          <w:rFonts w:ascii="Times New Roman" w:hAnsi="Times New Roman" w:cs="Times New Roman" w:hint="eastAsia"/>
        </w:rPr>
        <w:t xml:space="preserve"> to</w:t>
      </w:r>
      <w:r>
        <w:rPr>
          <w:rFonts w:ascii="Times New Roman" w:hAnsi="Times New Roman" w:cs="Times New Roman"/>
        </w:rPr>
        <w:t>ward</w:t>
      </w:r>
      <w:r>
        <w:rPr>
          <w:rFonts w:ascii="Times New Roman" w:hAnsi="Times New Roman" w:cs="Times New Roman" w:hint="eastAsia"/>
        </w:rPr>
        <w:t xml:space="preserve"> the central parity.</w:t>
      </w:r>
      <w:r>
        <w:rPr>
          <w:rStyle w:val="FootnoteReference"/>
          <w:rFonts w:ascii="Times New Roman" w:hAnsi="Times New Roman" w:cs="Times New Roman" w:hint="eastAsia"/>
        </w:rPr>
        <w:footnoteReference w:id="15"/>
      </w:r>
      <w:r>
        <w:rPr>
          <w:rFonts w:ascii="Times New Roman" w:hAnsi="Times New Roman" w:cs="Times New Roman" w:hint="eastAsia"/>
        </w:rPr>
        <w:t xml:space="preserve"> The table also shows that target band widths vary significantly among these countries. Some countries (e.g., China and Singapore) maintain a narrow band</w:t>
      </w:r>
      <w:r>
        <w:rPr>
          <w:rFonts w:ascii="Times New Roman" w:hAnsi="Times New Roman" w:cs="Times New Roman"/>
        </w:rPr>
        <w:t>,</w:t>
      </w:r>
      <w:r>
        <w:rPr>
          <w:rFonts w:ascii="Times New Roman" w:hAnsi="Times New Roman" w:cs="Times New Roman" w:hint="eastAsia"/>
        </w:rPr>
        <w:t xml:space="preserve"> with a width lower than </w:t>
      </w:r>
      <w:r>
        <w:rPr>
          <w:rFonts w:ascii="Times New Roman" w:hAnsi="Times New Roman" w:cs="Times New Roman" w:hint="eastAsia"/>
        </w:rPr>
        <w:t>±</w:t>
      </w:r>
      <w:r>
        <w:rPr>
          <w:rFonts w:ascii="Times New Roman" w:hAnsi="Times New Roman" w:cs="Times New Roman" w:hint="eastAsia"/>
        </w:rPr>
        <w:t xml:space="preserve">10%, while others (e.g., Latin American countries) follow a more flexible regime. Though </w:t>
      </w:r>
      <w:r>
        <w:rPr>
          <w:rFonts w:ascii="Times New Roman" w:hAnsi="Times New Roman" w:cs="Times New Roman"/>
        </w:rPr>
        <w:t xml:space="preserve">the width of </w:t>
      </w:r>
      <w:r>
        <w:rPr>
          <w:rFonts w:ascii="Times New Roman" w:hAnsi="Times New Roman" w:cs="Times New Roman" w:hint="eastAsia"/>
        </w:rPr>
        <w:t xml:space="preserve">their target bands </w:t>
      </w:r>
      <w:r>
        <w:rPr>
          <w:rFonts w:ascii="Times New Roman" w:hAnsi="Times New Roman" w:cs="Times New Roman"/>
        </w:rPr>
        <w:t>diverges</w:t>
      </w:r>
      <w:r>
        <w:rPr>
          <w:rFonts w:ascii="Times New Roman" w:hAnsi="Times New Roman" w:cs="Times New Roman" w:hint="eastAsia"/>
        </w:rPr>
        <w:t>, the intensities of these countries</w:t>
      </w:r>
      <w:r>
        <w:rPr>
          <w:rFonts w:ascii="Times New Roman" w:hAnsi="Times New Roman" w:cs="Times New Roman"/>
        </w:rPr>
        <w:t>’</w:t>
      </w:r>
      <w:r>
        <w:rPr>
          <w:rFonts w:ascii="Times New Roman" w:hAnsi="Times New Roman" w:cs="Times New Roman" w:hint="eastAsia"/>
        </w:rPr>
        <w:t xml:space="preserve"> out-of-band interventions are similar. </w:t>
      </w:r>
      <w:proofErr w:type="gramStart"/>
      <w:r>
        <w:rPr>
          <w:rFonts w:ascii="Times New Roman" w:hAnsi="Times New Roman" w:cs="Times New Roman" w:hint="eastAsia"/>
        </w:rPr>
        <w:t>All of</w:t>
      </w:r>
      <w:proofErr w:type="gramEnd"/>
      <w:r>
        <w:rPr>
          <w:rFonts w:ascii="Times New Roman" w:hAnsi="Times New Roman" w:cs="Times New Roman" w:hint="eastAsia"/>
        </w:rPr>
        <w:t xml:space="preserve"> these countries take drastic measures to maintain the stability of the exchange rate when it wanders outside the band. Our estimation results seem to show that among countries we cover, managed floating regimes with no target band are much less popular than BBC regimes. Only a small proportion of these countries chose a managed floating regime </w:t>
      </w:r>
      <w:r>
        <w:rPr>
          <w:rFonts w:ascii="Times New Roman" w:hAnsi="Times New Roman" w:cs="Times New Roman"/>
        </w:rPr>
        <w:t xml:space="preserve">even </w:t>
      </w:r>
      <w:r>
        <w:rPr>
          <w:rFonts w:ascii="Times New Roman" w:hAnsi="Times New Roman" w:cs="Times New Roman" w:hint="eastAsia"/>
        </w:rPr>
        <w:t>for short periods, and few countries maintained the regime for long periods.</w:t>
      </w:r>
    </w:p>
    <w:p w14:paraId="7490916C"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The exchange rate regime</w:t>
      </w:r>
      <w:r>
        <w:rPr>
          <w:rFonts w:ascii="Times New Roman" w:hAnsi="Times New Roman" w:cs="Times New Roman"/>
        </w:rPr>
        <w:t>’</w:t>
      </w:r>
      <w:r>
        <w:rPr>
          <w:rFonts w:ascii="Times New Roman" w:hAnsi="Times New Roman" w:cs="Times New Roman" w:hint="eastAsia"/>
        </w:rPr>
        <w:t xml:space="preserve">s evolution, including changes in </w:t>
      </w:r>
      <w:r>
        <w:rPr>
          <w:rFonts w:ascii="Times New Roman" w:hAnsi="Times New Roman" w:cs="Times New Roman"/>
        </w:rPr>
        <w:t xml:space="preserve">the </w:t>
      </w:r>
      <w:r>
        <w:rPr>
          <w:rFonts w:ascii="Times New Roman" w:hAnsi="Times New Roman" w:cs="Times New Roman" w:hint="eastAsia"/>
        </w:rPr>
        <w:t>currency basket</w:t>
      </w:r>
      <w:r>
        <w:rPr>
          <w:rFonts w:ascii="Times New Roman" w:hAnsi="Times New Roman" w:cs="Times New Roman"/>
        </w:rPr>
        <w:t xml:space="preserve"> a</w:t>
      </w:r>
      <w:r>
        <w:rPr>
          <w:rFonts w:ascii="Times New Roman" w:hAnsi="Times New Roman" w:cs="Times New Roman" w:hint="eastAsia"/>
        </w:rPr>
        <w:t>nd the</w:t>
      </w:r>
      <w:r>
        <w:rPr>
          <w:rFonts w:ascii="Times New Roman" w:hAnsi="Times New Roman" w:cs="Times New Roman"/>
        </w:rPr>
        <w:t xml:space="preserve"> </w:t>
      </w:r>
      <w:r>
        <w:rPr>
          <w:rFonts w:ascii="Times New Roman" w:hAnsi="Times New Roman" w:cs="Times New Roman" w:hint="eastAsia"/>
        </w:rPr>
        <w:t xml:space="preserve">exchange rate regime, is well captured by our piecewise estimation procedure. </w:t>
      </w:r>
      <w:r>
        <w:rPr>
          <w:rFonts w:ascii="Times New Roman" w:hAnsi="Times New Roman" w:cs="Times New Roman"/>
        </w:rPr>
        <w:t xml:space="preserve">Many </w:t>
      </w:r>
      <w:r>
        <w:rPr>
          <w:rFonts w:ascii="Times New Roman" w:hAnsi="Times New Roman" w:cs="Times New Roman" w:hint="eastAsia"/>
        </w:rPr>
        <w:t xml:space="preserve">economies </w:t>
      </w:r>
      <w:r>
        <w:rPr>
          <w:rFonts w:ascii="Times New Roman" w:hAnsi="Times New Roman" w:cs="Times New Roman"/>
        </w:rPr>
        <w:t xml:space="preserve">have </w:t>
      </w:r>
      <w:r>
        <w:rPr>
          <w:rFonts w:ascii="Times New Roman" w:hAnsi="Times New Roman" w:cs="Times New Roman" w:hint="eastAsia"/>
        </w:rPr>
        <w:t>shift</w:t>
      </w:r>
      <w:r>
        <w:rPr>
          <w:rFonts w:ascii="Times New Roman" w:hAnsi="Times New Roman" w:cs="Times New Roman"/>
        </w:rPr>
        <w:t>ed</w:t>
      </w:r>
      <w:r>
        <w:rPr>
          <w:rFonts w:ascii="Times New Roman" w:hAnsi="Times New Roman" w:cs="Times New Roman" w:hint="eastAsia"/>
        </w:rPr>
        <w:t xml:space="preserve"> from </w:t>
      </w:r>
      <w:r>
        <w:rPr>
          <w:rFonts w:ascii="Times New Roman" w:hAnsi="Times New Roman" w:cs="Times New Roman"/>
        </w:rPr>
        <w:t xml:space="preserve">a </w:t>
      </w:r>
      <w:r>
        <w:rPr>
          <w:rFonts w:ascii="Times New Roman" w:hAnsi="Times New Roman" w:cs="Times New Roman" w:hint="eastAsia"/>
        </w:rPr>
        <w:t>firm peg to a single anchor (such as</w:t>
      </w:r>
      <w:r>
        <w:rPr>
          <w:rFonts w:ascii="Times New Roman" w:hAnsi="Times New Roman" w:cs="Times New Roman"/>
        </w:rPr>
        <w:t xml:space="preserve"> the</w:t>
      </w:r>
      <w:r>
        <w:rPr>
          <w:rFonts w:ascii="Times New Roman" w:hAnsi="Times New Roman" w:cs="Times New Roman" w:hint="eastAsia"/>
        </w:rPr>
        <w:t xml:space="preserve"> dollar) to an intermediate regime</w:t>
      </w:r>
      <w:r>
        <w:rPr>
          <w:rStyle w:val="FootnoteReference"/>
          <w:rFonts w:ascii="Times New Roman" w:hAnsi="Times New Roman" w:cs="Times New Roman"/>
        </w:rPr>
        <w:footnoteReference w:id="16"/>
      </w:r>
      <w:r>
        <w:rPr>
          <w:rFonts w:ascii="Times New Roman" w:hAnsi="Times New Roman" w:cs="Times New Roman" w:hint="eastAsia"/>
        </w:rPr>
        <w:t xml:space="preserve"> that </w:t>
      </w:r>
      <w:r>
        <w:rPr>
          <w:rFonts w:ascii="Times New Roman" w:hAnsi="Times New Roman" w:cs="Times New Roman"/>
        </w:rPr>
        <w:t xml:space="preserve">can be modeled as </w:t>
      </w:r>
      <w:r>
        <w:rPr>
          <w:rFonts w:ascii="Times New Roman" w:hAnsi="Times New Roman" w:cs="Times New Roman" w:hint="eastAsia"/>
        </w:rPr>
        <w:t>manag</w:t>
      </w:r>
      <w:r>
        <w:rPr>
          <w:rFonts w:ascii="Times New Roman" w:hAnsi="Times New Roman" w:cs="Times New Roman"/>
        </w:rPr>
        <w:t>ing</w:t>
      </w:r>
      <w:r>
        <w:rPr>
          <w:rFonts w:ascii="Times New Roman" w:hAnsi="Times New Roman" w:cs="Times New Roman" w:hint="eastAsia"/>
        </w:rPr>
        <w:t xml:space="preserve"> the exchange rate against a basket of currencies and </w:t>
      </w:r>
      <w:r>
        <w:rPr>
          <w:rFonts w:ascii="Times New Roman" w:hAnsi="Times New Roman" w:cs="Times New Roman"/>
        </w:rPr>
        <w:t xml:space="preserve">tries to </w:t>
      </w:r>
      <w:r>
        <w:rPr>
          <w:rFonts w:ascii="Times New Roman" w:hAnsi="Times New Roman" w:cs="Times New Roman" w:hint="eastAsia"/>
        </w:rPr>
        <w:t xml:space="preserve">keep the exchange rate within a certain band. This </w:t>
      </w:r>
      <w:r>
        <w:rPr>
          <w:rFonts w:ascii="Times New Roman" w:hAnsi="Times New Roman" w:cs="Times New Roman"/>
        </w:rPr>
        <w:t xml:space="preserve">hypothesis </w:t>
      </w:r>
      <w:r>
        <w:rPr>
          <w:rFonts w:ascii="Times New Roman" w:hAnsi="Times New Roman" w:cs="Times New Roman" w:hint="eastAsia"/>
        </w:rPr>
        <w:t xml:space="preserve">is supported by our estimation results. </w:t>
      </w:r>
    </w:p>
    <w:p w14:paraId="6927D88A"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Take China for instance. As Table 2 shows, before 2005, </w:t>
      </w:r>
      <w:r>
        <w:rPr>
          <w:rFonts w:ascii="Times New Roman" w:hAnsi="Times New Roman" w:cs="Times New Roman"/>
        </w:rPr>
        <w:t>the People’s Bank of China</w:t>
      </w:r>
      <w:r>
        <w:rPr>
          <w:rFonts w:ascii="Times New Roman" w:hAnsi="Times New Roman" w:cs="Times New Roman" w:hint="eastAsia"/>
        </w:rPr>
        <w:t xml:space="preserve"> </w:t>
      </w:r>
      <w:r>
        <w:rPr>
          <w:rFonts w:ascii="Times New Roman" w:hAnsi="Times New Roman" w:cs="Times New Roman"/>
        </w:rPr>
        <w:t xml:space="preserve">de facto </w:t>
      </w:r>
      <w:r>
        <w:rPr>
          <w:rFonts w:ascii="Times New Roman" w:hAnsi="Times New Roman" w:cs="Times New Roman" w:hint="eastAsia"/>
        </w:rPr>
        <w:t>firmly peg</w:t>
      </w:r>
      <w:r>
        <w:rPr>
          <w:rFonts w:ascii="Times New Roman" w:hAnsi="Times New Roman" w:cs="Times New Roman"/>
        </w:rPr>
        <w:t>ged</w:t>
      </w:r>
      <w:r>
        <w:rPr>
          <w:rFonts w:ascii="Times New Roman" w:hAnsi="Times New Roman" w:cs="Times New Roman" w:hint="eastAsia"/>
        </w:rPr>
        <w:t xml:space="preserve"> China</w:t>
      </w:r>
      <w:r>
        <w:rPr>
          <w:rFonts w:ascii="Times New Roman" w:hAnsi="Times New Roman" w:cs="Times New Roman"/>
        </w:rPr>
        <w:t>’</w:t>
      </w:r>
      <w:r>
        <w:rPr>
          <w:rFonts w:ascii="Times New Roman" w:hAnsi="Times New Roman" w:cs="Times New Roman" w:hint="eastAsia"/>
        </w:rPr>
        <w:t xml:space="preserve">s exchange rate </w:t>
      </w:r>
      <w:r>
        <w:rPr>
          <w:rFonts w:ascii="Times New Roman" w:hAnsi="Times New Roman" w:cs="Times New Roman"/>
        </w:rPr>
        <w:t>to</w:t>
      </w:r>
      <w:r>
        <w:rPr>
          <w:rFonts w:ascii="Times New Roman" w:hAnsi="Times New Roman" w:cs="Times New Roman" w:hint="eastAsia"/>
        </w:rPr>
        <w:t xml:space="preserve"> the dollar. Then, China shift</w:t>
      </w:r>
      <w:r>
        <w:rPr>
          <w:rFonts w:ascii="Times New Roman" w:hAnsi="Times New Roman" w:cs="Times New Roman"/>
        </w:rPr>
        <w:t>ed</w:t>
      </w:r>
      <w:r>
        <w:rPr>
          <w:rFonts w:ascii="Times New Roman" w:hAnsi="Times New Roman" w:cs="Times New Roman" w:hint="eastAsia"/>
        </w:rPr>
        <w:t xml:space="preserve"> to a managed floating regime in 2005, allowing a moderate degree of flexibility and diversifying the basket of currencies that China takes as reference. As Panel E in Table </w:t>
      </w:r>
      <w:r>
        <w:rPr>
          <w:rFonts w:ascii="Times New Roman" w:hAnsi="Times New Roman" w:cs="Times New Roman"/>
        </w:rPr>
        <w:t>2</w:t>
      </w:r>
      <w:r>
        <w:rPr>
          <w:rFonts w:ascii="Times New Roman" w:hAnsi="Times New Roman" w:cs="Times New Roman" w:hint="eastAsia"/>
        </w:rPr>
        <w:t xml:space="preserve"> presents, the width of </w:t>
      </w:r>
      <w:r>
        <w:rPr>
          <w:rFonts w:ascii="Times New Roman" w:hAnsi="Times New Roman" w:cs="Times New Roman"/>
        </w:rPr>
        <w:t xml:space="preserve">the </w:t>
      </w:r>
      <w:r>
        <w:rPr>
          <w:rFonts w:ascii="Times New Roman" w:hAnsi="Times New Roman" w:cs="Times New Roman" w:hint="eastAsia"/>
        </w:rPr>
        <w:t>target band increase</w:t>
      </w:r>
      <w:r>
        <w:rPr>
          <w:rFonts w:ascii="Times New Roman" w:hAnsi="Times New Roman" w:cs="Times New Roman"/>
        </w:rPr>
        <w:t>d</w:t>
      </w:r>
      <w:r>
        <w:rPr>
          <w:rFonts w:ascii="Times New Roman" w:hAnsi="Times New Roman" w:cs="Times New Roman" w:hint="eastAsia"/>
        </w:rPr>
        <w:t xml:space="preserve"> from nearly 0 before 2005 to approximately 3% after the shift. Additionally, the weight of </w:t>
      </w:r>
      <w:r>
        <w:rPr>
          <w:rFonts w:ascii="Times New Roman" w:hAnsi="Times New Roman" w:cs="Times New Roman"/>
        </w:rPr>
        <w:t xml:space="preserve">the </w:t>
      </w:r>
      <w:r>
        <w:rPr>
          <w:rFonts w:ascii="Times New Roman" w:hAnsi="Times New Roman" w:cs="Times New Roman" w:hint="eastAsia"/>
        </w:rPr>
        <w:t>dollar decrease</w:t>
      </w:r>
      <w:r>
        <w:rPr>
          <w:rFonts w:ascii="Times New Roman" w:hAnsi="Times New Roman" w:cs="Times New Roman"/>
        </w:rPr>
        <w:t>d</w:t>
      </w:r>
      <w:r>
        <w:rPr>
          <w:rFonts w:ascii="Times New Roman" w:hAnsi="Times New Roman" w:cs="Times New Roman" w:hint="eastAsia"/>
        </w:rPr>
        <w:t xml:space="preserve"> from almost 100% before 2005 to approximately 70% after 2016, and the weights </w:t>
      </w:r>
      <w:r>
        <w:rPr>
          <w:rFonts w:ascii="Times New Roman" w:hAnsi="Times New Roman" w:cs="Times New Roman"/>
        </w:rPr>
        <w:t>of the</w:t>
      </w:r>
      <w:r>
        <w:rPr>
          <w:rFonts w:ascii="Times New Roman" w:hAnsi="Times New Roman" w:cs="Times New Roman" w:hint="eastAsia"/>
        </w:rPr>
        <w:t xml:space="preserve"> euro and pound </w:t>
      </w:r>
      <w:r>
        <w:rPr>
          <w:rFonts w:ascii="Times New Roman" w:hAnsi="Times New Roman" w:cs="Times New Roman"/>
        </w:rPr>
        <w:t>increased</w:t>
      </w:r>
      <w:r>
        <w:rPr>
          <w:rFonts w:ascii="Times New Roman" w:hAnsi="Times New Roman" w:cs="Times New Roman" w:hint="eastAsia"/>
        </w:rPr>
        <w:t xml:space="preserve"> to 20% and 6%</w:t>
      </w:r>
      <w:r>
        <w:rPr>
          <w:rFonts w:ascii="Times New Roman" w:hAnsi="Times New Roman" w:cs="Times New Roman"/>
        </w:rPr>
        <w:t>,</w:t>
      </w:r>
      <w:r>
        <w:rPr>
          <w:rFonts w:ascii="Times New Roman" w:hAnsi="Times New Roman" w:cs="Times New Roman" w:hint="eastAsia"/>
        </w:rPr>
        <w:t xml:space="preserve"> respectively</w:t>
      </w:r>
      <w:r>
        <w:rPr>
          <w:rFonts w:ascii="Times New Roman" w:hAnsi="Times New Roman" w:cs="Times New Roman"/>
        </w:rPr>
        <w:t>,</w:t>
      </w:r>
      <w:r>
        <w:rPr>
          <w:rFonts w:ascii="Times New Roman" w:hAnsi="Times New Roman" w:cs="Times New Roman" w:hint="eastAsia"/>
        </w:rPr>
        <w:t xml:space="preserve"> after 2016. These estimates accord with the official declarations of China</w:t>
      </w:r>
      <w:r>
        <w:rPr>
          <w:rFonts w:ascii="Times New Roman" w:hAnsi="Times New Roman" w:cs="Times New Roman"/>
        </w:rPr>
        <w:t>’</w:t>
      </w:r>
      <w:r>
        <w:rPr>
          <w:rFonts w:ascii="Times New Roman" w:hAnsi="Times New Roman" w:cs="Times New Roman" w:hint="eastAsia"/>
        </w:rPr>
        <w:t xml:space="preserve">s monetary authority (Das 2019; Jermann et al. 2019; Lei et al. 2020). Notably, though the monetary authority gradually widened the target band to allow higher exchange rate flexibility, the out-of-band intensity of interventions was kept at a </w:t>
      </w:r>
      <w:proofErr w:type="gramStart"/>
      <w:r>
        <w:rPr>
          <w:rFonts w:ascii="Times New Roman" w:hAnsi="Times New Roman" w:cs="Times New Roman" w:hint="eastAsia"/>
        </w:rPr>
        <w:t>pretty high</w:t>
      </w:r>
      <w:proofErr w:type="gramEnd"/>
      <w:r>
        <w:rPr>
          <w:rFonts w:ascii="Times New Roman" w:hAnsi="Times New Roman" w:cs="Times New Roman" w:hint="eastAsia"/>
        </w:rPr>
        <w:t xml:space="preserve"> level, showing the authority</w:t>
      </w:r>
      <w:r>
        <w:rPr>
          <w:rFonts w:ascii="Times New Roman" w:hAnsi="Times New Roman" w:cs="Times New Roman"/>
        </w:rPr>
        <w:t>’</w:t>
      </w:r>
      <w:r>
        <w:rPr>
          <w:rFonts w:ascii="Times New Roman" w:hAnsi="Times New Roman" w:cs="Times New Roman" w:hint="eastAsia"/>
        </w:rPr>
        <w:t xml:space="preserve">s emphasis on the stability of its exchange rate. We see from Panel E that during the </w:t>
      </w:r>
      <w:r>
        <w:rPr>
          <w:rFonts w:ascii="Times New Roman" w:hAnsi="Times New Roman" w:cs="Times New Roman" w:hint="eastAsia"/>
        </w:rPr>
        <w:lastRenderedPageBreak/>
        <w:t>periods when China pursued a BBC regime, the intensity of interventions was at least 85%. During 2005 to 2007 when China had just switched from a fixed regime to an intermediate regime, the intensity even reached over 96%. These results show that the monetary authority</w:t>
      </w:r>
      <w:r>
        <w:rPr>
          <w:rFonts w:ascii="Times New Roman" w:hAnsi="Times New Roman" w:cs="Times New Roman"/>
        </w:rPr>
        <w:t>’</w:t>
      </w:r>
      <w:r>
        <w:rPr>
          <w:rFonts w:ascii="Times New Roman" w:hAnsi="Times New Roman" w:cs="Times New Roman" w:hint="eastAsia"/>
        </w:rPr>
        <w:t xml:space="preserve">s interventions almost fully counteracted the exchange rate fluctuations when it wandered outside the band, which is </w:t>
      </w:r>
      <w:r>
        <w:rPr>
          <w:rFonts w:ascii="Times New Roman" w:hAnsi="Times New Roman" w:cs="Times New Roman"/>
        </w:rPr>
        <w:t>close</w:t>
      </w:r>
      <w:r>
        <w:rPr>
          <w:rFonts w:ascii="Times New Roman" w:hAnsi="Times New Roman" w:cs="Times New Roman" w:hint="eastAsia"/>
        </w:rPr>
        <w:t xml:space="preserve"> to the target zone </w:t>
      </w:r>
      <w:r>
        <w:rPr>
          <w:rFonts w:ascii="Times New Roman" w:hAnsi="Times New Roman" w:cs="Times New Roman"/>
        </w:rPr>
        <w:t xml:space="preserve">scenario </w:t>
      </w:r>
      <w:r>
        <w:rPr>
          <w:rFonts w:ascii="Times New Roman" w:hAnsi="Times New Roman" w:cs="Times New Roman" w:hint="eastAsia"/>
        </w:rPr>
        <w:t xml:space="preserve">modeled </w:t>
      </w:r>
      <w:r>
        <w:rPr>
          <w:rFonts w:ascii="Times New Roman" w:hAnsi="Times New Roman" w:cs="Times New Roman"/>
        </w:rPr>
        <w:t>by</w:t>
      </w:r>
      <w:r>
        <w:rPr>
          <w:rFonts w:ascii="Times New Roman" w:hAnsi="Times New Roman" w:cs="Times New Roman" w:hint="eastAsia"/>
        </w:rPr>
        <w:t xml:space="preserve"> Krugman (1991).</w:t>
      </w:r>
    </w:p>
    <w:p w14:paraId="38AB0D29"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As Panel</w:t>
      </w:r>
      <w:r>
        <w:rPr>
          <w:rFonts w:ascii="Times New Roman" w:hAnsi="Times New Roman" w:cs="Times New Roman"/>
        </w:rPr>
        <w:t>s</w:t>
      </w:r>
      <w:r>
        <w:rPr>
          <w:rFonts w:ascii="Times New Roman" w:hAnsi="Times New Roman" w:cs="Times New Roman" w:hint="eastAsia"/>
        </w:rPr>
        <w:t xml:space="preserve"> J and S in Table 2 show, India and Russia experience</w:t>
      </w:r>
      <w:r>
        <w:rPr>
          <w:rFonts w:ascii="Times New Roman" w:hAnsi="Times New Roman" w:cs="Times New Roman"/>
        </w:rPr>
        <w:t>d</w:t>
      </w:r>
      <w:r>
        <w:rPr>
          <w:rFonts w:ascii="Times New Roman" w:hAnsi="Times New Roman" w:cs="Times New Roman" w:hint="eastAsia"/>
        </w:rPr>
        <w:t xml:space="preserve"> a similar evolution</w:t>
      </w:r>
      <w:r>
        <w:rPr>
          <w:rFonts w:ascii="Times New Roman" w:hAnsi="Times New Roman" w:cs="Times New Roman"/>
        </w:rPr>
        <w:t>,</w:t>
      </w:r>
      <w:r>
        <w:rPr>
          <w:rFonts w:ascii="Times New Roman" w:hAnsi="Times New Roman" w:cs="Times New Roman" w:hint="eastAsia"/>
        </w:rPr>
        <w:t xml:space="preserve"> in that both countries</w:t>
      </w:r>
      <w:r>
        <w:rPr>
          <w:rFonts w:ascii="Times New Roman" w:hAnsi="Times New Roman" w:cs="Times New Roman"/>
        </w:rPr>
        <w:t xml:space="preserve"> </w:t>
      </w:r>
      <w:r>
        <w:rPr>
          <w:rFonts w:ascii="Times New Roman" w:hAnsi="Times New Roman" w:cs="Times New Roman" w:hint="eastAsia"/>
        </w:rPr>
        <w:t xml:space="preserve">increased </w:t>
      </w:r>
      <w:r>
        <w:rPr>
          <w:rFonts w:ascii="Times New Roman" w:hAnsi="Times New Roman" w:cs="Times New Roman"/>
        </w:rPr>
        <w:t>the flexibility of their</w:t>
      </w:r>
      <w:r>
        <w:rPr>
          <w:rFonts w:ascii="Times New Roman" w:hAnsi="Times New Roman" w:cs="Times New Roman" w:hint="eastAsia"/>
        </w:rPr>
        <w:t xml:space="preserve"> exchange rates and shifted from a sole dollar</w:t>
      </w:r>
      <w:r>
        <w:rPr>
          <w:rFonts w:ascii="Times New Roman" w:hAnsi="Times New Roman" w:cs="Times New Roman"/>
        </w:rPr>
        <w:t xml:space="preserve"> target</w:t>
      </w:r>
      <w:r>
        <w:rPr>
          <w:rFonts w:ascii="Times New Roman" w:hAnsi="Times New Roman" w:cs="Times New Roman" w:hint="eastAsia"/>
        </w:rPr>
        <w:t xml:space="preserve"> to a diversified basket of currencies. The estimates indicate that the shift from a fixed regime to a floating regime in India occur</w:t>
      </w:r>
      <w:r>
        <w:rPr>
          <w:rFonts w:ascii="Times New Roman" w:hAnsi="Times New Roman" w:cs="Times New Roman"/>
        </w:rPr>
        <w:t>red</w:t>
      </w:r>
      <w:r>
        <w:rPr>
          <w:rFonts w:ascii="Times New Roman" w:hAnsi="Times New Roman" w:cs="Times New Roman" w:hint="eastAsia"/>
        </w:rPr>
        <w:t xml:space="preserve"> in June 1999; this shift is exactly in keeping with the enforcement of India</w:t>
      </w:r>
      <w:r>
        <w:rPr>
          <w:rFonts w:ascii="Times New Roman" w:hAnsi="Times New Roman" w:cs="Times New Roman"/>
        </w:rPr>
        <w:t>’</w:t>
      </w:r>
      <w:r>
        <w:rPr>
          <w:rFonts w:ascii="Times New Roman" w:hAnsi="Times New Roman" w:cs="Times New Roman" w:hint="eastAsia"/>
        </w:rPr>
        <w:t xml:space="preserve">s new </w:t>
      </w:r>
      <w:r>
        <w:rPr>
          <w:rFonts w:ascii="Times New Roman" w:hAnsi="Times New Roman" w:cs="Times New Roman"/>
        </w:rPr>
        <w:t>F</w:t>
      </w:r>
      <w:r>
        <w:rPr>
          <w:rFonts w:ascii="Times New Roman" w:hAnsi="Times New Roman" w:cs="Times New Roman" w:hint="eastAsia"/>
        </w:rPr>
        <w:t xml:space="preserve">oreign </w:t>
      </w:r>
      <w:r>
        <w:rPr>
          <w:rFonts w:ascii="Times New Roman" w:hAnsi="Times New Roman" w:cs="Times New Roman"/>
        </w:rPr>
        <w:t>E</w:t>
      </w:r>
      <w:r>
        <w:rPr>
          <w:rFonts w:ascii="Times New Roman" w:hAnsi="Times New Roman" w:cs="Times New Roman" w:hint="eastAsia"/>
        </w:rPr>
        <w:t xml:space="preserve">xchange </w:t>
      </w:r>
      <w:r>
        <w:rPr>
          <w:rFonts w:ascii="Times New Roman" w:hAnsi="Times New Roman" w:cs="Times New Roman"/>
        </w:rPr>
        <w:t>M</w:t>
      </w:r>
      <w:r>
        <w:rPr>
          <w:rFonts w:ascii="Times New Roman" w:hAnsi="Times New Roman" w:cs="Times New Roman" w:hint="eastAsia"/>
        </w:rPr>
        <w:t xml:space="preserve">anagement </w:t>
      </w:r>
      <w:r>
        <w:rPr>
          <w:rFonts w:ascii="Times New Roman" w:hAnsi="Times New Roman" w:cs="Times New Roman"/>
        </w:rPr>
        <w:t>A</w:t>
      </w:r>
      <w:r>
        <w:rPr>
          <w:rFonts w:ascii="Times New Roman" w:hAnsi="Times New Roman" w:cs="Times New Roman" w:hint="eastAsia"/>
        </w:rPr>
        <w:t>ct. Russia under</w:t>
      </w:r>
      <w:r>
        <w:rPr>
          <w:rFonts w:ascii="Times New Roman" w:hAnsi="Times New Roman" w:cs="Times New Roman"/>
        </w:rPr>
        <w:t>went</w:t>
      </w:r>
      <w:r>
        <w:rPr>
          <w:rFonts w:ascii="Times New Roman" w:hAnsi="Times New Roman" w:cs="Times New Roman" w:hint="eastAsia"/>
        </w:rPr>
        <w:t xml:space="preserve"> two significant adjustments in 2005 and 2011. As Panel S shows, </w:t>
      </w:r>
      <w:r>
        <w:rPr>
          <w:rFonts w:ascii="Times New Roman" w:hAnsi="Times New Roman" w:cs="Times New Roman"/>
        </w:rPr>
        <w:t>from 1999 to</w:t>
      </w:r>
      <w:r>
        <w:rPr>
          <w:rFonts w:ascii="Times New Roman" w:hAnsi="Times New Roman" w:cs="Times New Roman" w:hint="eastAsia"/>
        </w:rPr>
        <w:t xml:space="preserve"> 2005, Russia</w:t>
      </w:r>
      <w:r>
        <w:rPr>
          <w:rFonts w:ascii="Times New Roman" w:hAnsi="Times New Roman" w:cs="Times New Roman"/>
        </w:rPr>
        <w:t>’</w:t>
      </w:r>
      <w:r>
        <w:rPr>
          <w:rFonts w:ascii="Times New Roman" w:hAnsi="Times New Roman" w:cs="Times New Roman" w:hint="eastAsia"/>
        </w:rPr>
        <w:t xml:space="preserve">s </w:t>
      </w:r>
      <w:r>
        <w:rPr>
          <w:rFonts w:ascii="Times New Roman" w:hAnsi="Times New Roman" w:cs="Times New Roman"/>
        </w:rPr>
        <w:t xml:space="preserve">monetary </w:t>
      </w:r>
      <w:r>
        <w:rPr>
          <w:rFonts w:ascii="Times New Roman" w:hAnsi="Times New Roman" w:cs="Times New Roman" w:hint="eastAsia"/>
        </w:rPr>
        <w:t xml:space="preserve">authority fully </w:t>
      </w:r>
      <w:r>
        <w:rPr>
          <w:rFonts w:ascii="Times New Roman" w:hAnsi="Times New Roman" w:cs="Times New Roman"/>
        </w:rPr>
        <w:t>targeted</w:t>
      </w:r>
      <w:r>
        <w:rPr>
          <w:rFonts w:ascii="Times New Roman" w:hAnsi="Times New Roman" w:cs="Times New Roman" w:hint="eastAsia"/>
        </w:rPr>
        <w:t xml:space="preserve"> the dollar, and ke</w:t>
      </w:r>
      <w:r>
        <w:rPr>
          <w:rFonts w:ascii="Times New Roman" w:hAnsi="Times New Roman" w:cs="Times New Roman"/>
        </w:rPr>
        <w:t>pt</w:t>
      </w:r>
      <w:r>
        <w:rPr>
          <w:rFonts w:ascii="Times New Roman" w:hAnsi="Times New Roman" w:cs="Times New Roman" w:hint="eastAsia"/>
        </w:rPr>
        <w:t xml:space="preserve"> the exchange rate inside a zone whose one-side width </w:t>
      </w:r>
      <w:r>
        <w:rPr>
          <w:rFonts w:ascii="Times New Roman" w:hAnsi="Times New Roman" w:cs="Times New Roman"/>
        </w:rPr>
        <w:t>was</w:t>
      </w:r>
      <w:r>
        <w:rPr>
          <w:rFonts w:ascii="Times New Roman" w:hAnsi="Times New Roman" w:cs="Times New Roman" w:hint="eastAsia"/>
        </w:rPr>
        <w:t xml:space="preserve"> lower than 10%. Subsequently, the </w:t>
      </w:r>
      <w:proofErr w:type="gramStart"/>
      <w:r>
        <w:rPr>
          <w:rFonts w:ascii="Times New Roman" w:hAnsi="Times New Roman" w:cs="Times New Roman" w:hint="eastAsia"/>
        </w:rPr>
        <w:t>authority</w:t>
      </w:r>
      <w:proofErr w:type="gramEnd"/>
      <w:r>
        <w:rPr>
          <w:rFonts w:ascii="Times New Roman" w:hAnsi="Times New Roman" w:cs="Times New Roman" w:hint="eastAsia"/>
        </w:rPr>
        <w:t xml:space="preserve"> turned to </w:t>
      </w:r>
      <w:r>
        <w:rPr>
          <w:rFonts w:ascii="Times New Roman" w:hAnsi="Times New Roman" w:cs="Times New Roman"/>
        </w:rPr>
        <w:t>target</w:t>
      </w:r>
      <w:r>
        <w:rPr>
          <w:rFonts w:ascii="Times New Roman" w:hAnsi="Times New Roman" w:cs="Times New Roman" w:hint="eastAsia"/>
        </w:rPr>
        <w:t xml:space="preserve"> a basket of currencies where the weight of the dollar reduced to 60% and the euro took up the rest of the basket. The zone, meanwhile, </w:t>
      </w:r>
      <w:r>
        <w:rPr>
          <w:rFonts w:ascii="Times New Roman" w:hAnsi="Times New Roman" w:cs="Times New Roman"/>
        </w:rPr>
        <w:t>was</w:t>
      </w:r>
      <w:r>
        <w:rPr>
          <w:rFonts w:ascii="Times New Roman" w:hAnsi="Times New Roman" w:cs="Times New Roman" w:hint="eastAsia"/>
        </w:rPr>
        <w:t xml:space="preserve"> expanded to around </w:t>
      </w:r>
      <w:bookmarkStart w:id="89" w:name="OLE_LINK12"/>
      <w:r>
        <w:rPr>
          <w:rFonts w:ascii="Times New Roman" w:hAnsi="Times New Roman" w:cs="Times New Roman" w:hint="eastAsia"/>
        </w:rPr>
        <w:t>±</w:t>
      </w:r>
      <w:r>
        <w:rPr>
          <w:rFonts w:ascii="Times New Roman" w:hAnsi="Times New Roman" w:cs="Times New Roman" w:hint="eastAsia"/>
        </w:rPr>
        <w:t>20%</w:t>
      </w:r>
      <w:bookmarkEnd w:id="89"/>
      <w:r>
        <w:rPr>
          <w:rFonts w:ascii="Times New Roman" w:hAnsi="Times New Roman" w:cs="Times New Roman" w:hint="eastAsia"/>
        </w:rPr>
        <w:t xml:space="preserve"> and reached </w:t>
      </w:r>
      <w:r>
        <w:rPr>
          <w:rFonts w:ascii="Times New Roman" w:hAnsi="Times New Roman" w:cs="Times New Roman" w:hint="eastAsia"/>
        </w:rPr>
        <w:t>±</w:t>
      </w:r>
      <w:r>
        <w:rPr>
          <w:rFonts w:ascii="Times New Roman" w:hAnsi="Times New Roman" w:cs="Times New Roman" w:hint="eastAsia"/>
        </w:rPr>
        <w:t>30% after the 2008 global financial crisis. The BBC regime was finally abandoned, and the exchange rate regime was switched to a regime close to a freely floating regime after 2011</w:t>
      </w:r>
      <w:r>
        <w:rPr>
          <w:rFonts w:ascii="Times New Roman" w:hAnsi="Times New Roman" w:cs="Times New Roman" w:hint="eastAsia"/>
          <w:szCs w:val="21"/>
        </w:rPr>
        <w:t>.</w:t>
      </w:r>
      <w:r>
        <w:rPr>
          <w:rFonts w:ascii="Times New Roman" w:hAnsi="Times New Roman" w:cs="Times New Roman" w:hint="eastAsia"/>
        </w:rPr>
        <w:t xml:space="preserve"> These findings are consistent with the evolution of </w:t>
      </w:r>
      <w:r>
        <w:rPr>
          <w:rFonts w:ascii="Times New Roman" w:hAnsi="Times New Roman" w:cs="Times New Roman"/>
        </w:rPr>
        <w:t xml:space="preserve">the </w:t>
      </w:r>
      <w:r>
        <w:rPr>
          <w:rFonts w:ascii="Times New Roman" w:hAnsi="Times New Roman" w:cs="Times New Roman" w:hint="eastAsia"/>
        </w:rPr>
        <w:t xml:space="preserve">exchange rate regime officially announced by the </w:t>
      </w:r>
      <w:r>
        <w:rPr>
          <w:rFonts w:ascii="Times New Roman" w:hAnsi="Times New Roman" w:cs="Times New Roman"/>
        </w:rPr>
        <w:t>C</w:t>
      </w:r>
      <w:r>
        <w:rPr>
          <w:rFonts w:ascii="Times New Roman" w:hAnsi="Times New Roman" w:cs="Times New Roman" w:hint="eastAsia"/>
        </w:rPr>
        <w:t xml:space="preserve">entral </w:t>
      </w:r>
      <w:r>
        <w:rPr>
          <w:rFonts w:ascii="Times New Roman" w:hAnsi="Times New Roman" w:cs="Times New Roman"/>
        </w:rPr>
        <w:t>B</w:t>
      </w:r>
      <w:r>
        <w:rPr>
          <w:rFonts w:ascii="Times New Roman" w:hAnsi="Times New Roman" w:cs="Times New Roman" w:hint="eastAsia"/>
        </w:rPr>
        <w:t xml:space="preserve">ank of the Russian Federation (2013). </w:t>
      </w:r>
    </w:p>
    <w:p w14:paraId="1524AE5F" w14:textId="77777777" w:rsidR="0074478A" w:rsidRDefault="00690393">
      <w:pPr>
        <w:spacing w:afterLines="100" w:after="312"/>
        <w:rPr>
          <w:rFonts w:ascii="Times New Roman" w:hAnsi="Times New Roman" w:cs="Times New Roman"/>
        </w:rPr>
      </w:pPr>
      <w:bookmarkStart w:id="90" w:name="OLE_LINK64"/>
      <w:r>
        <w:rPr>
          <w:rFonts w:ascii="Times New Roman" w:hAnsi="Times New Roman" w:cs="Times New Roman" w:hint="eastAsia"/>
        </w:rPr>
        <w:t>The dramatic regime changes in Eastern European countries (e.g.</w:t>
      </w:r>
      <w:r>
        <w:rPr>
          <w:rFonts w:ascii="Times New Roman" w:hAnsi="Times New Roman" w:cs="Times New Roman"/>
        </w:rPr>
        <w:t>,</w:t>
      </w:r>
      <w:r>
        <w:rPr>
          <w:rFonts w:ascii="Times New Roman" w:hAnsi="Times New Roman" w:cs="Times New Roman" w:hint="eastAsia"/>
        </w:rPr>
        <w:t xml:space="preserve"> the Czech Republic, Hungary, Poland and Romania) are also revealed by our reported results, which further validate how our econometric framework can be used to classify exchange rate regimes when frequent and subtle regime changes </w:t>
      </w:r>
      <w:proofErr w:type="gramStart"/>
      <w:r>
        <w:rPr>
          <w:rFonts w:ascii="Times New Roman" w:hAnsi="Times New Roman" w:cs="Times New Roman" w:hint="eastAsia"/>
        </w:rPr>
        <w:t>have to</w:t>
      </w:r>
      <w:proofErr w:type="gramEnd"/>
      <w:r>
        <w:rPr>
          <w:rFonts w:ascii="Times New Roman" w:hAnsi="Times New Roman" w:cs="Times New Roman" w:hint="eastAsia"/>
        </w:rPr>
        <w:t xml:space="preserve"> be considered.</w:t>
      </w:r>
    </w:p>
    <w:bookmarkEnd w:id="90"/>
    <w:p w14:paraId="3B422923" w14:textId="77777777" w:rsidR="0074478A" w:rsidRDefault="00690393">
      <w:pPr>
        <w:spacing w:afterLines="100" w:after="312"/>
        <w:rPr>
          <w:rFonts w:ascii="Times New Roman" w:hAnsi="Times New Roman" w:cs="Times New Roman"/>
        </w:rPr>
      </w:pPr>
      <w:r>
        <w:rPr>
          <w:rFonts w:ascii="Times New Roman" w:hAnsi="Times New Roman" w:cs="Times New Roman" w:hint="eastAsia"/>
        </w:rPr>
        <w:t xml:space="preserve">In contrast </w:t>
      </w:r>
      <w:r>
        <w:rPr>
          <w:rFonts w:ascii="Times New Roman" w:hAnsi="Times New Roman" w:cs="Times New Roman"/>
        </w:rPr>
        <w:t>to</w:t>
      </w:r>
      <w:r>
        <w:rPr>
          <w:rFonts w:ascii="Times New Roman" w:hAnsi="Times New Roman" w:cs="Times New Roman" w:hint="eastAsia"/>
        </w:rPr>
        <w:t xml:space="preserve"> these countries</w:t>
      </w:r>
      <w:r>
        <w:rPr>
          <w:rFonts w:ascii="Times New Roman" w:hAnsi="Times New Roman" w:cs="Times New Roman"/>
        </w:rPr>
        <w:t>, where over the past two decades</w:t>
      </w:r>
      <w:r>
        <w:rPr>
          <w:rFonts w:ascii="Times New Roman" w:hAnsi="Times New Roman" w:cs="Times New Roman" w:hint="eastAsia"/>
        </w:rPr>
        <w:t xml:space="preserve"> </w:t>
      </w:r>
      <w:r>
        <w:rPr>
          <w:rFonts w:ascii="Times New Roman" w:hAnsi="Times New Roman" w:cs="Times New Roman"/>
        </w:rPr>
        <w:t xml:space="preserve">the parameters </w:t>
      </w:r>
      <w:r>
        <w:rPr>
          <w:rFonts w:ascii="Times New Roman" w:hAnsi="Times New Roman" w:cs="Times New Roman" w:hint="eastAsia"/>
        </w:rPr>
        <w:t>of</w:t>
      </w:r>
      <w:r>
        <w:rPr>
          <w:rFonts w:ascii="Times New Roman" w:hAnsi="Times New Roman" w:cs="Times New Roman"/>
        </w:rPr>
        <w:t xml:space="preserve"> </w:t>
      </w:r>
      <w:r>
        <w:rPr>
          <w:rFonts w:ascii="Times New Roman" w:hAnsi="Times New Roman" w:cs="Times New Roman" w:hint="eastAsia"/>
        </w:rPr>
        <w:t xml:space="preserve">exchange rate regimes have undergone significant evolution, </w:t>
      </w:r>
      <w:r>
        <w:rPr>
          <w:rFonts w:ascii="Times New Roman" w:hAnsi="Times New Roman" w:cs="Times New Roman"/>
        </w:rPr>
        <w:t xml:space="preserve">some </w:t>
      </w:r>
      <w:r>
        <w:rPr>
          <w:rFonts w:ascii="Times New Roman" w:hAnsi="Times New Roman" w:cs="Times New Roman" w:hint="eastAsia"/>
        </w:rPr>
        <w:t>other countries</w:t>
      </w:r>
      <w:r>
        <w:rPr>
          <w:rFonts w:ascii="Times New Roman" w:hAnsi="Times New Roman" w:cs="Times New Roman"/>
        </w:rPr>
        <w:t xml:space="preserve"> </w:t>
      </w:r>
      <w:r>
        <w:rPr>
          <w:rFonts w:ascii="Times New Roman" w:hAnsi="Times New Roman" w:cs="Times New Roman" w:hint="eastAsia"/>
        </w:rPr>
        <w:t>covered in our sample, including Singapore, South Africa, Mexico, Col</w:t>
      </w:r>
      <w:r>
        <w:rPr>
          <w:rFonts w:ascii="Times New Roman" w:hAnsi="Times New Roman" w:cs="Times New Roman"/>
        </w:rPr>
        <w:t>o</w:t>
      </w:r>
      <w:r>
        <w:rPr>
          <w:rFonts w:ascii="Times New Roman" w:hAnsi="Times New Roman" w:cs="Times New Roman" w:hint="eastAsia"/>
        </w:rPr>
        <w:t>mbia, and Thailand, consistently</w:t>
      </w:r>
      <w:r>
        <w:rPr>
          <w:rFonts w:ascii="Times New Roman" w:hAnsi="Times New Roman" w:cs="Times New Roman"/>
        </w:rPr>
        <w:t xml:space="preserve"> tended to</w:t>
      </w:r>
      <w:r>
        <w:rPr>
          <w:rFonts w:ascii="Times New Roman" w:hAnsi="Times New Roman" w:cs="Times New Roman" w:hint="eastAsia"/>
        </w:rPr>
        <w:t xml:space="preserve"> maintain a</w:t>
      </w:r>
      <w:r>
        <w:rPr>
          <w:rFonts w:ascii="Times New Roman" w:hAnsi="Times New Roman" w:cs="Times New Roman"/>
        </w:rPr>
        <w:t xml:space="preserve"> single</w:t>
      </w:r>
      <w:r>
        <w:rPr>
          <w:rFonts w:ascii="Times New Roman" w:hAnsi="Times New Roman" w:cs="Times New Roman" w:hint="eastAsia"/>
        </w:rPr>
        <w:t xml:space="preserve"> intermediate regime for a relatively long period.</w:t>
      </w:r>
      <w:r>
        <w:rPr>
          <w:rFonts w:ascii="Times New Roman" w:hAnsi="Times New Roman" w:cs="Times New Roman"/>
        </w:rPr>
        <w:t xml:space="preserve"> Colombia, for instance, maintains a wide target band with one-side width of around 25% to 30% most of the past 20 years, and keeps a moderate intensity of out-of-band interventions between 55% and 70%.</w:t>
      </w:r>
    </w:p>
    <w:p w14:paraId="7430E726" w14:textId="77777777" w:rsidR="0074478A" w:rsidRDefault="0074478A">
      <w:pPr>
        <w:spacing w:afterLines="100" w:after="312"/>
        <w:rPr>
          <w:rFonts w:ascii="Times New Roman" w:hAnsi="Times New Roman" w:cs="Times New Roman"/>
        </w:rPr>
      </w:pPr>
    </w:p>
    <w:p w14:paraId="132088EE" w14:textId="77777777" w:rsidR="0074478A" w:rsidRDefault="00690393">
      <w:pPr>
        <w:widowControl/>
        <w:numPr>
          <w:ilvl w:val="0"/>
          <w:numId w:val="2"/>
        </w:numPr>
        <w:spacing w:afterLines="100" w:after="312"/>
        <w:jc w:val="left"/>
        <w:rPr>
          <w:rFonts w:ascii="Times New Roman" w:hAnsi="Times New Roman" w:cs="Times New Roman"/>
          <w:b/>
          <w:bCs/>
          <w:szCs w:val="21"/>
        </w:rPr>
      </w:pPr>
      <w:bookmarkStart w:id="91" w:name="OLE_LINK27"/>
      <w:r>
        <w:rPr>
          <w:rFonts w:ascii="Times New Roman" w:hAnsi="Times New Roman" w:cs="Times New Roman"/>
          <w:b/>
          <w:bCs/>
          <w:szCs w:val="21"/>
        </w:rPr>
        <w:t>Conc</w:t>
      </w:r>
      <w:r>
        <w:rPr>
          <w:rFonts w:ascii="Times New Roman" w:hAnsi="Times New Roman" w:cs="Times New Roman" w:hint="eastAsia"/>
          <w:b/>
          <w:bCs/>
          <w:szCs w:val="21"/>
        </w:rPr>
        <w:t>lusion</w:t>
      </w:r>
    </w:p>
    <w:p w14:paraId="6231CA22" w14:textId="77777777" w:rsidR="0074478A" w:rsidRDefault="00690393">
      <w:pPr>
        <w:widowControl/>
        <w:spacing w:afterLines="100" w:after="312"/>
        <w:rPr>
          <w:rFonts w:ascii="Times New Roman" w:hAnsi="Times New Roman" w:cs="Times New Roman"/>
        </w:rPr>
      </w:pPr>
      <w:r>
        <w:rPr>
          <w:rFonts w:ascii="Times New Roman" w:hAnsi="Times New Roman" w:cs="Times New Roman" w:hint="eastAsia"/>
          <w:szCs w:val="21"/>
        </w:rPr>
        <w:t>This paper develops a new econometric framework to classify</w:t>
      </w:r>
      <w:r>
        <w:rPr>
          <w:rFonts w:ascii="Times New Roman" w:hAnsi="Times New Roman" w:cs="Times New Roman"/>
          <w:szCs w:val="21"/>
        </w:rPr>
        <w:t xml:space="preserve"> and estimate</w:t>
      </w:r>
      <w:r>
        <w:rPr>
          <w:rFonts w:ascii="Times New Roman" w:hAnsi="Times New Roman" w:cs="Times New Roman" w:hint="eastAsia"/>
          <w:szCs w:val="21"/>
        </w:rPr>
        <w:t xml:space="preserve"> exchange rate regimes. </w:t>
      </w:r>
      <w:r>
        <w:rPr>
          <w:rFonts w:ascii="Times New Roman" w:hAnsi="Times New Roman" w:cs="Times New Roman"/>
          <w:szCs w:val="21"/>
        </w:rPr>
        <w:t>Under this new</w:t>
      </w:r>
      <w:r>
        <w:rPr>
          <w:rFonts w:ascii="Times New Roman" w:hAnsi="Times New Roman" w:cs="Times New Roman" w:hint="eastAsia"/>
          <w:szCs w:val="21"/>
        </w:rPr>
        <w:t xml:space="preserve"> framework, the exchange rate regime a country follows is identified through a two-step procedure. In the first step, we infer the basket of currencies to which the country pegs </w:t>
      </w:r>
      <w:r>
        <w:rPr>
          <w:rFonts w:ascii="Times New Roman" w:hAnsi="Times New Roman" w:cs="Times New Roman"/>
          <w:szCs w:val="21"/>
        </w:rPr>
        <w:t>the exchange rate</w:t>
      </w:r>
      <w:r>
        <w:rPr>
          <w:rFonts w:ascii="Times New Roman" w:hAnsi="Times New Roman" w:cs="Times New Roman" w:hint="eastAsia"/>
          <w:szCs w:val="21"/>
        </w:rPr>
        <w:t xml:space="preserve"> by using the Frankel-Wei model. Then, by multiple statistically based criteria, we classify the regime into one of the following four groups: fixed, BBC, managed floating and freely floating. After the regime is determined, the related parameters that precisely capture the dynamics of the exchange rate under this regime are estimated by utilizing </w:t>
      </w:r>
      <w:r>
        <w:rPr>
          <w:rFonts w:ascii="Times New Roman" w:hAnsi="Times New Roman" w:cs="Times New Roman"/>
          <w:szCs w:val="21"/>
        </w:rPr>
        <w:t xml:space="preserve">appropriate </w:t>
      </w:r>
      <w:r>
        <w:rPr>
          <w:rFonts w:ascii="Times New Roman" w:hAnsi="Times New Roman" w:cs="Times New Roman" w:hint="eastAsia"/>
          <w:szCs w:val="21"/>
        </w:rPr>
        <w:t>times series models.</w:t>
      </w:r>
      <w:r>
        <w:rPr>
          <w:rStyle w:val="CommentReference"/>
          <w:rFonts w:hint="eastAsia"/>
        </w:rPr>
        <w:t xml:space="preserve"> </w:t>
      </w:r>
      <w:r>
        <w:rPr>
          <w:rFonts w:ascii="Times New Roman" w:hAnsi="Times New Roman" w:cs="Times New Roman"/>
          <w:szCs w:val="21"/>
        </w:rPr>
        <w:t>These parameters include</w:t>
      </w:r>
      <w:r>
        <w:rPr>
          <w:rFonts w:ascii="Times New Roman" w:hAnsi="Times New Roman" w:cs="Times New Roman" w:hint="eastAsia"/>
          <w:szCs w:val="21"/>
        </w:rPr>
        <w:t>, for instance,</w:t>
      </w:r>
      <w:r>
        <w:rPr>
          <w:rFonts w:ascii="Times New Roman" w:hAnsi="Times New Roman" w:cs="Times New Roman"/>
          <w:szCs w:val="21"/>
        </w:rPr>
        <w:t xml:space="preserve"> the width of the target band and the intensity of out-of-band </w:t>
      </w:r>
      <w:r>
        <w:rPr>
          <w:rFonts w:ascii="Times New Roman" w:hAnsi="Times New Roman" w:cs="Times New Roman"/>
          <w:szCs w:val="21"/>
        </w:rPr>
        <w:lastRenderedPageBreak/>
        <w:t>interventions under the BBC regime.</w:t>
      </w:r>
      <w:r>
        <w:rPr>
          <w:rFonts w:ascii="Times New Roman" w:hAnsi="Times New Roman" w:cs="Times New Roman" w:hint="eastAsia"/>
          <w:szCs w:val="21"/>
        </w:rPr>
        <w:t xml:space="preserve"> F</w:t>
      </w:r>
      <w:r>
        <w:rPr>
          <w:rFonts w:ascii="Times New Roman" w:hAnsi="Times New Roman" w:cs="Times New Roman" w:hint="eastAsia"/>
        </w:rPr>
        <w:t xml:space="preserve">ollowing Yau et al. (2015), </w:t>
      </w:r>
      <w:r>
        <w:rPr>
          <w:rFonts w:ascii="Times New Roman" w:hAnsi="Times New Roman" w:cs="Times New Roman" w:hint="eastAsia"/>
          <w:szCs w:val="21"/>
        </w:rPr>
        <w:t>t</w:t>
      </w:r>
      <w:r>
        <w:rPr>
          <w:rFonts w:ascii="Times New Roman" w:hAnsi="Times New Roman" w:cs="Times New Roman" w:hint="eastAsia"/>
        </w:rPr>
        <w:t>he evolution of exchange rate regimes</w:t>
      </w:r>
      <w:r>
        <w:rPr>
          <w:rFonts w:ascii="Times New Roman" w:hAnsi="Times New Roman" w:cs="Times New Roman"/>
        </w:rPr>
        <w:t xml:space="preserve"> over</w:t>
      </w:r>
      <w:r>
        <w:rPr>
          <w:rFonts w:ascii="Times New Roman" w:hAnsi="Times New Roman" w:cs="Times New Roman" w:hint="eastAsia"/>
        </w:rPr>
        <w:t xml:space="preserve"> time is allowed in this framework by simultaneous inference of nonlinearity of exchange rate variation in the state dimension and structural changes over time. </w:t>
      </w:r>
    </w:p>
    <w:p w14:paraId="2B24529E" w14:textId="77777777" w:rsidR="0074478A" w:rsidRDefault="00690393">
      <w:pPr>
        <w:widowControl/>
        <w:spacing w:afterLines="100" w:after="312"/>
        <w:rPr>
          <w:rFonts w:ascii="Times New Roman" w:hAnsi="Times New Roman" w:cs="Times New Roman"/>
        </w:rPr>
      </w:pPr>
      <w:r>
        <w:rPr>
          <w:rFonts w:ascii="Times New Roman" w:hAnsi="Times New Roman" w:cs="Times New Roman" w:hint="eastAsia"/>
        </w:rPr>
        <w:t xml:space="preserve">We apply our framework to 26 countries. The results show that exchange rate dynamics under different regimes are well captured by our framework. Several interesting patterns are revealed. Though, </w:t>
      </w:r>
      <w:r>
        <w:rPr>
          <w:rFonts w:ascii="Times New Roman" w:hAnsi="Times New Roman" w:cs="Times New Roman"/>
        </w:rPr>
        <w:t>naturally</w:t>
      </w:r>
      <w:r>
        <w:rPr>
          <w:rFonts w:ascii="Times New Roman" w:hAnsi="Times New Roman" w:cs="Times New Roman" w:hint="eastAsia"/>
        </w:rPr>
        <w:t xml:space="preserve">, </w:t>
      </w:r>
      <w:r>
        <w:rPr>
          <w:rFonts w:ascii="Times New Roman" w:hAnsi="Times New Roman" w:cs="Times New Roman"/>
        </w:rPr>
        <w:t xml:space="preserve">the </w:t>
      </w:r>
      <w:r>
        <w:rPr>
          <w:rFonts w:ascii="Times New Roman" w:hAnsi="Times New Roman" w:cs="Times New Roman" w:hint="eastAsia"/>
        </w:rPr>
        <w:t>floaters float most of the time, they don</w:t>
      </w:r>
      <w:r>
        <w:rPr>
          <w:rFonts w:ascii="Times New Roman" w:hAnsi="Times New Roman" w:cs="Times New Roman"/>
        </w:rPr>
        <w:t>’</w:t>
      </w:r>
      <w:r>
        <w:rPr>
          <w:rFonts w:ascii="Times New Roman" w:hAnsi="Times New Roman" w:cs="Times New Roman" w:hint="eastAsia"/>
        </w:rPr>
        <w:t xml:space="preserve">t fully abandon their ability to intervene in the foreign exchange market. Instead, they respond strongly to drastic exchange rate fluctuations to stabilize the exchange rate. The BBC regime is widely adopted among economies pursuing an intermediate regime. </w:t>
      </w:r>
      <w:bookmarkStart w:id="92" w:name="OLE_LINK21"/>
      <w:r>
        <w:rPr>
          <w:rFonts w:ascii="Times New Roman" w:hAnsi="Times New Roman" w:cs="Times New Roman" w:hint="eastAsia"/>
        </w:rPr>
        <w:t xml:space="preserve">Some of them, </w:t>
      </w:r>
      <w:bookmarkStart w:id="93" w:name="OLE_LINK22"/>
      <w:r>
        <w:rPr>
          <w:rFonts w:ascii="Times New Roman" w:hAnsi="Times New Roman" w:cs="Times New Roman" w:hint="eastAsia"/>
        </w:rPr>
        <w:t>including Singapore, South Africa, Mexico, Col</w:t>
      </w:r>
      <w:r>
        <w:rPr>
          <w:rFonts w:ascii="Times New Roman" w:hAnsi="Times New Roman" w:cs="Times New Roman"/>
        </w:rPr>
        <w:t>o</w:t>
      </w:r>
      <w:r>
        <w:rPr>
          <w:rFonts w:ascii="Times New Roman" w:hAnsi="Times New Roman" w:cs="Times New Roman" w:hint="eastAsia"/>
        </w:rPr>
        <w:t xml:space="preserve">mbia, and Thailand, </w:t>
      </w:r>
      <w:bookmarkEnd w:id="93"/>
      <w:r>
        <w:rPr>
          <w:rFonts w:ascii="Times New Roman" w:hAnsi="Times New Roman" w:cs="Times New Roman" w:hint="eastAsia"/>
        </w:rPr>
        <w:t xml:space="preserve">maintain a rather stable target band and a consistent rule of out-of-band interventions </w:t>
      </w:r>
      <w:r>
        <w:rPr>
          <w:rFonts w:ascii="Times New Roman" w:hAnsi="Times New Roman" w:cs="Times New Roman"/>
        </w:rPr>
        <w:t>over</w:t>
      </w:r>
      <w:r>
        <w:rPr>
          <w:rFonts w:ascii="Times New Roman" w:hAnsi="Times New Roman" w:cs="Times New Roman" w:hint="eastAsia"/>
        </w:rPr>
        <w:t xml:space="preserve"> a long period of time. </w:t>
      </w:r>
      <w:bookmarkEnd w:id="92"/>
      <w:r>
        <w:rPr>
          <w:rFonts w:ascii="Times New Roman" w:hAnsi="Times New Roman" w:cs="Times New Roman" w:hint="eastAsia"/>
        </w:rPr>
        <w:t>In contrast, only a small group of economies maintain a managed floating regime and the periods these economies follow such a regime are usually short.</w:t>
      </w:r>
      <w:r>
        <w:rPr>
          <w:rFonts w:ascii="Times New Roman" w:hAnsi="Times New Roman" w:cs="Times New Roman"/>
        </w:rPr>
        <w:t xml:space="preserve"> </w:t>
      </w:r>
    </w:p>
    <w:p w14:paraId="2B825031" w14:textId="77777777" w:rsidR="0074478A" w:rsidRDefault="00690393">
      <w:pPr>
        <w:widowControl/>
        <w:spacing w:afterLines="100" w:after="312"/>
        <w:rPr>
          <w:rFonts w:ascii="Times New Roman" w:hAnsi="Times New Roman" w:cs="Times New Roman"/>
          <w:b/>
          <w:bCs/>
          <w:szCs w:val="21"/>
        </w:rPr>
      </w:pPr>
      <w:r>
        <w:rPr>
          <w:rFonts w:ascii="Times New Roman" w:hAnsi="Times New Roman" w:cs="Times New Roman"/>
        </w:rPr>
        <w:t xml:space="preserve">The evolution of exchange rate regimes </w:t>
      </w:r>
      <w:r>
        <w:rPr>
          <w:rFonts w:ascii="Times New Roman" w:hAnsi="Times New Roman" w:cs="Times New Roman" w:hint="eastAsia"/>
        </w:rPr>
        <w:t>inferred</w:t>
      </w:r>
      <w:r>
        <w:rPr>
          <w:rFonts w:ascii="Times New Roman" w:hAnsi="Times New Roman" w:cs="Times New Roman"/>
        </w:rPr>
        <w:t xml:space="preserve"> by our </w:t>
      </w:r>
      <w:r>
        <w:rPr>
          <w:rFonts w:ascii="Times New Roman" w:hAnsi="Times New Roman" w:cs="Times New Roman" w:hint="eastAsia"/>
        </w:rPr>
        <w:t>procedure</w:t>
      </w:r>
      <w:r>
        <w:rPr>
          <w:rFonts w:ascii="Times New Roman" w:hAnsi="Times New Roman" w:cs="Times New Roman"/>
        </w:rPr>
        <w:t xml:space="preserve"> also validates how our econometric framework is enhanced by allowing time-varying statistical inference. </w:t>
      </w:r>
      <w:r>
        <w:rPr>
          <w:rFonts w:ascii="Times New Roman" w:hAnsi="Times New Roman" w:cs="Times New Roman" w:hint="eastAsia"/>
        </w:rPr>
        <w:t xml:space="preserve">We pay particular attention to three important emerging market economies, China, India, and Russia, that experienced significant </w:t>
      </w:r>
      <w:r>
        <w:rPr>
          <w:rFonts w:ascii="Times New Roman" w:hAnsi="Times New Roman" w:cs="Times New Roman"/>
        </w:rPr>
        <w:t xml:space="preserve">shifts in </w:t>
      </w:r>
      <w:r>
        <w:rPr>
          <w:rFonts w:ascii="Times New Roman" w:hAnsi="Times New Roman" w:cs="Times New Roman" w:hint="eastAsia"/>
        </w:rPr>
        <w:t>exchange rate regime in the past two decades. Our results clearly document China</w:t>
      </w:r>
      <w:r>
        <w:rPr>
          <w:rFonts w:ascii="Times New Roman" w:hAnsi="Times New Roman" w:cs="Times New Roman"/>
        </w:rPr>
        <w:t>’</w:t>
      </w:r>
      <w:r>
        <w:rPr>
          <w:rFonts w:ascii="Times New Roman" w:hAnsi="Times New Roman" w:cs="Times New Roman" w:hint="eastAsia"/>
        </w:rPr>
        <w:t xml:space="preserve">s exchange rate regime reform in 2005 and its subsequent efforts </w:t>
      </w:r>
      <w:r>
        <w:rPr>
          <w:rFonts w:ascii="Times New Roman" w:hAnsi="Times New Roman" w:cs="Times New Roman"/>
        </w:rPr>
        <w:t xml:space="preserve">to </w:t>
      </w:r>
      <w:r>
        <w:rPr>
          <w:rFonts w:ascii="Times New Roman" w:hAnsi="Times New Roman" w:cs="Times New Roman" w:hint="eastAsia"/>
        </w:rPr>
        <w:t>gradually increas</w:t>
      </w:r>
      <w:r>
        <w:rPr>
          <w:rFonts w:ascii="Times New Roman" w:hAnsi="Times New Roman" w:cs="Times New Roman"/>
        </w:rPr>
        <w:t>e</w:t>
      </w:r>
      <w:r>
        <w:rPr>
          <w:rFonts w:ascii="Times New Roman" w:hAnsi="Times New Roman" w:cs="Times New Roman" w:hint="eastAsia"/>
        </w:rPr>
        <w:t xml:space="preserve"> its exchange rate flexibility. Nevertheless, China</w:t>
      </w:r>
      <w:r>
        <w:rPr>
          <w:rFonts w:ascii="Times New Roman" w:hAnsi="Times New Roman" w:cs="Times New Roman"/>
        </w:rPr>
        <w:t>’</w:t>
      </w:r>
      <w:r>
        <w:rPr>
          <w:rFonts w:ascii="Times New Roman" w:hAnsi="Times New Roman" w:cs="Times New Roman" w:hint="eastAsia"/>
        </w:rPr>
        <w:t xml:space="preserve">s monetary authority did not lessen </w:t>
      </w:r>
      <w:r>
        <w:rPr>
          <w:rFonts w:ascii="Times New Roman" w:hAnsi="Times New Roman" w:cs="Times New Roman"/>
        </w:rPr>
        <w:t>its</w:t>
      </w:r>
      <w:r>
        <w:rPr>
          <w:rFonts w:ascii="Times New Roman" w:hAnsi="Times New Roman" w:cs="Times New Roman" w:hint="eastAsia"/>
        </w:rPr>
        <w:t xml:space="preserve"> interventions </w:t>
      </w:r>
      <w:r>
        <w:rPr>
          <w:rFonts w:ascii="Times New Roman" w:hAnsi="Times New Roman" w:cs="Times New Roman"/>
        </w:rPr>
        <w:t>correspondingly,</w:t>
      </w:r>
      <w:r>
        <w:rPr>
          <w:rFonts w:ascii="Times New Roman" w:hAnsi="Times New Roman" w:cs="Times New Roman" w:hint="eastAsia"/>
        </w:rPr>
        <w:t xml:space="preserve"> when the exchange rate wandered outside the band. Instead, the intensity of out-of-band interventions was kept high throughout the whole period. Similar</w:t>
      </w:r>
      <w:r>
        <w:rPr>
          <w:rFonts w:ascii="Times New Roman" w:hAnsi="Times New Roman" w:cs="Times New Roman"/>
        </w:rPr>
        <w:t>ly</w:t>
      </w:r>
      <w:r>
        <w:rPr>
          <w:rFonts w:ascii="Times New Roman" w:hAnsi="Times New Roman" w:cs="Times New Roman" w:hint="eastAsia"/>
        </w:rPr>
        <w:t>, India and Russia also shifted from a fixed regime to a managed floating regime</w:t>
      </w:r>
      <w:r>
        <w:rPr>
          <w:rFonts w:ascii="Times New Roman" w:hAnsi="Times New Roman" w:cs="Times New Roman"/>
        </w:rPr>
        <w:t>.  B</w:t>
      </w:r>
      <w:r>
        <w:rPr>
          <w:rFonts w:ascii="Times New Roman" w:hAnsi="Times New Roman" w:cs="Times New Roman" w:hint="eastAsia"/>
        </w:rPr>
        <w:t>ut they took bigger step</w:t>
      </w:r>
      <w:r>
        <w:rPr>
          <w:rFonts w:ascii="Times New Roman" w:hAnsi="Times New Roman" w:cs="Times New Roman"/>
        </w:rPr>
        <w:t>s</w:t>
      </w:r>
      <w:r>
        <w:rPr>
          <w:rFonts w:ascii="Times New Roman" w:hAnsi="Times New Roman" w:cs="Times New Roman" w:hint="eastAsia"/>
        </w:rPr>
        <w:t xml:space="preserve">. </w:t>
      </w:r>
      <w:proofErr w:type="gramStart"/>
      <w:r>
        <w:rPr>
          <w:rFonts w:ascii="Times New Roman" w:hAnsi="Times New Roman" w:cs="Times New Roman" w:hint="eastAsia"/>
        </w:rPr>
        <w:t>Both of them</w:t>
      </w:r>
      <w:proofErr w:type="gramEnd"/>
      <w:r>
        <w:rPr>
          <w:rFonts w:ascii="Times New Roman" w:hAnsi="Times New Roman" w:cs="Times New Roman" w:hint="eastAsia"/>
        </w:rPr>
        <w:t xml:space="preserve"> now allow a high degree of exchange rate </w:t>
      </w:r>
      <w:r>
        <w:rPr>
          <w:rFonts w:ascii="Times New Roman" w:hAnsi="Times New Roman" w:cs="Times New Roman"/>
        </w:rPr>
        <w:t>volatility, though</w:t>
      </w:r>
      <w:r>
        <w:rPr>
          <w:rFonts w:ascii="Times New Roman" w:hAnsi="Times New Roman" w:cs="Times New Roman" w:hint="eastAsia"/>
        </w:rPr>
        <w:t xml:space="preserve"> still intervening in the foreign exchange market </w:t>
      </w:r>
      <w:r>
        <w:rPr>
          <w:rFonts w:ascii="Times New Roman" w:hAnsi="Times New Roman" w:cs="Times New Roman"/>
        </w:rPr>
        <w:t>from time to time</w:t>
      </w:r>
      <w:r>
        <w:rPr>
          <w:rFonts w:ascii="Times New Roman" w:hAnsi="Times New Roman" w:cs="Times New Roman" w:hint="eastAsia"/>
        </w:rPr>
        <w:t>.</w:t>
      </w:r>
      <w:bookmarkEnd w:id="91"/>
      <w:r>
        <w:rPr>
          <w:rFonts w:ascii="Times New Roman" w:hAnsi="Times New Roman" w:cs="Times New Roman" w:hint="eastAsia"/>
          <w:b/>
          <w:bCs/>
          <w:szCs w:val="21"/>
        </w:rPr>
        <w:br w:type="page"/>
      </w:r>
    </w:p>
    <w:p w14:paraId="414B24A5" w14:textId="77777777" w:rsidR="0074478A" w:rsidRDefault="00690393">
      <w:pPr>
        <w:widowControl/>
        <w:spacing w:afterLines="100" w:after="312"/>
        <w:jc w:val="left"/>
        <w:rPr>
          <w:rFonts w:ascii="Times New Roman" w:hAnsi="Times New Roman" w:cs="Times New Roman"/>
          <w:b/>
          <w:bCs/>
          <w:szCs w:val="21"/>
        </w:rPr>
      </w:pPr>
      <w:bookmarkStart w:id="94" w:name="OLE_LINK24"/>
      <w:r>
        <w:rPr>
          <w:rFonts w:ascii="Times New Roman" w:hAnsi="Times New Roman" w:cs="Times New Roman" w:hint="eastAsia"/>
          <w:b/>
          <w:bCs/>
          <w:szCs w:val="21"/>
        </w:rPr>
        <w:lastRenderedPageBreak/>
        <w:t>Reference</w:t>
      </w:r>
      <w:r>
        <w:rPr>
          <w:rFonts w:ascii="Times New Roman" w:hAnsi="Times New Roman" w:cs="Times New Roman"/>
          <w:b/>
          <w:bCs/>
          <w:szCs w:val="21"/>
        </w:rPr>
        <w:t>s</w:t>
      </w:r>
    </w:p>
    <w:bookmarkEnd w:id="94"/>
    <w:p w14:paraId="7AC9944C"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Anthony, M., and MacDonald, R. (1998) On the Mean-Reverting Properties of Target Zone Exchange Rates:</w:t>
      </w:r>
      <w:r>
        <w:rPr>
          <w:rFonts w:ascii="Times New Roman" w:hAnsi="Times New Roman" w:cs="Times New Roman" w:hint="eastAsia"/>
          <w:szCs w:val="21"/>
        </w:rPr>
        <w:t xml:space="preserve"> </w:t>
      </w:r>
      <w:r>
        <w:rPr>
          <w:rFonts w:ascii="Times New Roman" w:hAnsi="Times New Roman" w:cs="Times New Roman"/>
          <w:szCs w:val="21"/>
        </w:rPr>
        <w:t xml:space="preserve">Some Evidence from the ERM. </w:t>
      </w:r>
      <w:r>
        <w:rPr>
          <w:rFonts w:ascii="Times New Roman" w:hAnsi="Times New Roman" w:cs="Times New Roman"/>
          <w:i/>
          <w:iCs/>
          <w:szCs w:val="21"/>
        </w:rPr>
        <w:t>European Economic Review</w:t>
      </w:r>
      <w:r>
        <w:rPr>
          <w:rFonts w:ascii="Times New Roman" w:hAnsi="Times New Roman" w:cs="Times New Roman"/>
          <w:szCs w:val="21"/>
        </w:rPr>
        <w:t xml:space="preserve"> 42: 1493</w:t>
      </w:r>
      <w:r>
        <w:rPr>
          <w:rFonts w:ascii="Times New Roman" w:hAnsi="Times New Roman" w:cs="Times New Roman" w:hint="eastAsia"/>
          <w:szCs w:val="21"/>
        </w:rPr>
        <w:t>-</w:t>
      </w:r>
      <w:r>
        <w:rPr>
          <w:rFonts w:ascii="Times New Roman" w:hAnsi="Times New Roman" w:cs="Times New Roman"/>
          <w:szCs w:val="21"/>
        </w:rPr>
        <w:t>1523.</w:t>
      </w:r>
    </w:p>
    <w:p w14:paraId="224B16F4" w14:textId="77777777" w:rsidR="0074478A" w:rsidRDefault="00690393">
      <w:pPr>
        <w:widowControl/>
        <w:spacing w:afterLines="50" w:after="156"/>
        <w:ind w:left="363" w:hanging="363"/>
        <w:rPr>
          <w:rFonts w:ascii="Times New Roman" w:hAnsi="Times New Roman" w:cs="Times New Roman"/>
          <w:szCs w:val="21"/>
        </w:rPr>
      </w:pPr>
      <w:r>
        <w:rPr>
          <w:rFonts w:ascii="Times New Roman" w:hAnsi="Times New Roman" w:cs="Times New Roman"/>
          <w:szCs w:val="21"/>
        </w:rPr>
        <w:t>Bai, J</w:t>
      </w:r>
      <w:r>
        <w:rPr>
          <w:rFonts w:ascii="Times New Roman" w:hAnsi="Times New Roman" w:cs="Times New Roman" w:hint="eastAsia"/>
          <w:szCs w:val="21"/>
        </w:rPr>
        <w:t>.</w:t>
      </w:r>
      <w:r>
        <w:rPr>
          <w:rFonts w:ascii="Times New Roman" w:hAnsi="Times New Roman" w:cs="Times New Roman"/>
          <w:szCs w:val="21"/>
        </w:rPr>
        <w:t>, and Perron</w:t>
      </w:r>
      <w:r>
        <w:rPr>
          <w:rFonts w:ascii="Times New Roman" w:hAnsi="Times New Roman" w:cs="Times New Roman" w:hint="eastAsia"/>
          <w:szCs w:val="21"/>
        </w:rPr>
        <w:t>, P</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hAnsi="Times New Roman" w:cs="Times New Roman"/>
          <w:szCs w:val="21"/>
        </w:rPr>
        <w:t>1998</w:t>
      </w:r>
      <w:r>
        <w:rPr>
          <w:rFonts w:ascii="Times New Roman" w:hAnsi="Times New Roman" w:cs="Times New Roman" w:hint="eastAsia"/>
          <w:szCs w:val="21"/>
        </w:rPr>
        <w:t>)</w:t>
      </w:r>
      <w:r>
        <w:rPr>
          <w:rFonts w:ascii="Times New Roman" w:hAnsi="Times New Roman" w:cs="Times New Roman"/>
          <w:szCs w:val="21"/>
        </w:rPr>
        <w:t xml:space="preserve"> Estimating and Testing Linear Models with Multiple Structural Changes</w:t>
      </w:r>
      <w:r>
        <w:rPr>
          <w:rFonts w:ascii="Times New Roman" w:hAnsi="Times New Roman" w:cs="Times New Roman" w:hint="eastAsia"/>
          <w:szCs w:val="21"/>
        </w:rPr>
        <w:t>.</w:t>
      </w:r>
      <w:r>
        <w:rPr>
          <w:rFonts w:ascii="Times New Roman" w:hAnsi="Times New Roman" w:cs="Times New Roman"/>
          <w:szCs w:val="21"/>
        </w:rPr>
        <w:t xml:space="preserve"> </w:t>
      </w:r>
      <w:proofErr w:type="spellStart"/>
      <w:r>
        <w:rPr>
          <w:rFonts w:ascii="Times New Roman" w:hAnsi="Times New Roman" w:cs="Times New Roman"/>
          <w:i/>
          <w:iCs/>
          <w:szCs w:val="21"/>
        </w:rPr>
        <w:t>Econometrica</w:t>
      </w:r>
      <w:proofErr w:type="spellEnd"/>
      <w:r>
        <w:rPr>
          <w:rFonts w:ascii="Times New Roman" w:hAnsi="Times New Roman" w:cs="Times New Roman"/>
          <w:szCs w:val="21"/>
        </w:rPr>
        <w:t xml:space="preserve"> 66(1): 47-78. </w:t>
      </w:r>
    </w:p>
    <w:p w14:paraId="35BC657C" w14:textId="77777777" w:rsidR="0074478A" w:rsidRDefault="00690393">
      <w:pPr>
        <w:widowControl/>
        <w:spacing w:afterLines="50" w:after="156"/>
        <w:ind w:left="420" w:hangingChars="200" w:hanging="420"/>
        <w:rPr>
          <w:rFonts w:ascii="Times New Roman" w:hAnsi="Times New Roman" w:cs="Times New Roman"/>
          <w:szCs w:val="21"/>
        </w:rPr>
      </w:pPr>
      <w:r>
        <w:rPr>
          <w:rFonts w:ascii="Times New Roman" w:hAnsi="Times New Roman" w:cs="Times New Roman"/>
          <w:szCs w:val="21"/>
        </w:rPr>
        <w:t>Bai, J</w:t>
      </w:r>
      <w:r>
        <w:rPr>
          <w:rFonts w:ascii="Times New Roman" w:hAnsi="Times New Roman" w:cs="Times New Roman" w:hint="eastAsia"/>
          <w:szCs w:val="21"/>
        </w:rPr>
        <w:t>.</w:t>
      </w:r>
      <w:r>
        <w:rPr>
          <w:rFonts w:ascii="Times New Roman" w:hAnsi="Times New Roman" w:cs="Times New Roman"/>
          <w:szCs w:val="21"/>
        </w:rPr>
        <w:t>, and Perron</w:t>
      </w:r>
      <w:r>
        <w:rPr>
          <w:rFonts w:ascii="Times New Roman" w:hAnsi="Times New Roman" w:cs="Times New Roman" w:hint="eastAsia"/>
          <w:szCs w:val="21"/>
        </w:rPr>
        <w:t>, P</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hAnsi="Times New Roman" w:cs="Times New Roman"/>
          <w:szCs w:val="21"/>
        </w:rPr>
        <w:t>2003</w:t>
      </w:r>
      <w:r>
        <w:rPr>
          <w:rFonts w:ascii="Times New Roman" w:hAnsi="Times New Roman" w:cs="Times New Roman" w:hint="eastAsia"/>
          <w:szCs w:val="21"/>
        </w:rPr>
        <w:t>)</w:t>
      </w:r>
      <w:r>
        <w:rPr>
          <w:rFonts w:ascii="Times New Roman" w:hAnsi="Times New Roman" w:cs="Times New Roman"/>
          <w:szCs w:val="21"/>
        </w:rPr>
        <w:t xml:space="preserve"> Computation and Analysis of Multiple Structural Change Models</w:t>
      </w:r>
      <w:r>
        <w:rPr>
          <w:rFonts w:ascii="Times New Roman" w:hAnsi="Times New Roman" w:cs="Times New Roman" w:hint="eastAsia"/>
          <w:szCs w:val="21"/>
        </w:rPr>
        <w:t xml:space="preserve">. </w:t>
      </w:r>
      <w:r>
        <w:rPr>
          <w:rFonts w:ascii="Times New Roman" w:hAnsi="Times New Roman" w:cs="Times New Roman"/>
          <w:i/>
          <w:iCs/>
          <w:szCs w:val="21"/>
        </w:rPr>
        <w:t>Journal of Applied Econometrics</w:t>
      </w:r>
      <w:r>
        <w:rPr>
          <w:rFonts w:ascii="Times New Roman" w:hAnsi="Times New Roman" w:cs="Times New Roman"/>
          <w:szCs w:val="21"/>
        </w:rPr>
        <w:t xml:space="preserve"> 18(1): 1-22.</w:t>
      </w:r>
    </w:p>
    <w:p w14:paraId="178E0D88" w14:textId="77777777" w:rsidR="0074478A" w:rsidRDefault="00690393">
      <w:pPr>
        <w:widowControl/>
        <w:spacing w:afterLines="50" w:after="156"/>
        <w:ind w:left="420" w:hangingChars="200" w:hanging="420"/>
        <w:rPr>
          <w:rFonts w:ascii="Times New Roman" w:hAnsi="Times New Roman" w:cs="Times New Roman"/>
          <w:szCs w:val="21"/>
        </w:rPr>
      </w:pPr>
      <w:proofErr w:type="spellStart"/>
      <w:r>
        <w:rPr>
          <w:rFonts w:ascii="Times New Roman" w:hAnsi="Times New Roman" w:cs="Times New Roman"/>
          <w:color w:val="222222"/>
          <w:szCs w:val="21"/>
          <w:shd w:val="clear" w:color="auto" w:fill="FFFFFF"/>
        </w:rPr>
        <w:t>Bénassy</w:t>
      </w:r>
      <w:proofErr w:type="spellEnd"/>
      <w:r>
        <w:rPr>
          <w:rFonts w:ascii="Times New Roman" w:hAnsi="Times New Roman" w:cs="Times New Roman"/>
          <w:color w:val="222222"/>
          <w:szCs w:val="21"/>
          <w:shd w:val="clear" w:color="auto" w:fill="FFFFFF"/>
        </w:rPr>
        <w:t>-Quéré, A</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w:t>
      </w:r>
      <w:proofErr w:type="spellStart"/>
      <w:r>
        <w:rPr>
          <w:rFonts w:ascii="Times New Roman" w:hAnsi="Times New Roman" w:cs="Times New Roman"/>
          <w:color w:val="222222"/>
          <w:szCs w:val="21"/>
          <w:shd w:val="clear" w:color="auto" w:fill="FFFFFF"/>
        </w:rPr>
        <w:t>Coeuré</w:t>
      </w:r>
      <w:proofErr w:type="spellEnd"/>
      <w:r>
        <w:rPr>
          <w:rFonts w:ascii="Times New Roman" w:hAnsi="Times New Roman" w:cs="Times New Roman" w:hint="eastAsia"/>
          <w:color w:val="222222"/>
          <w:szCs w:val="21"/>
          <w:shd w:val="clear" w:color="auto" w:fill="FFFFFF"/>
        </w:rPr>
        <w:t xml:space="preserve"> B.</w:t>
      </w:r>
      <w:r>
        <w:rPr>
          <w:rFonts w:ascii="Times New Roman" w:hAnsi="Times New Roman" w:cs="Times New Roman"/>
          <w:color w:val="222222"/>
          <w:szCs w:val="21"/>
          <w:shd w:val="clear" w:color="auto" w:fill="FFFFFF"/>
        </w:rPr>
        <w:t>,</w:t>
      </w:r>
      <w:r>
        <w:rPr>
          <w:rFonts w:ascii="Times New Roman" w:hAnsi="Times New Roman" w:cs="Times New Roman" w:hint="eastAsia"/>
          <w:color w:val="222222"/>
          <w:szCs w:val="21"/>
          <w:shd w:val="clear" w:color="auto" w:fill="FFFFFF"/>
        </w:rPr>
        <w:t xml:space="preserve"> and</w:t>
      </w:r>
      <w:r>
        <w:rPr>
          <w:rFonts w:ascii="Times New Roman" w:hAnsi="Times New Roman" w:cs="Times New Roman"/>
          <w:color w:val="222222"/>
          <w:szCs w:val="21"/>
          <w:shd w:val="clear" w:color="auto" w:fill="FFFFFF"/>
        </w:rPr>
        <w:t xml:space="preserve"> Mignon</w:t>
      </w:r>
      <w:r>
        <w:rPr>
          <w:rFonts w:ascii="Times New Roman" w:hAnsi="Times New Roman" w:cs="Times New Roman" w:hint="eastAsia"/>
          <w:color w:val="222222"/>
          <w:szCs w:val="21"/>
          <w:shd w:val="clear" w:color="auto" w:fill="FFFFFF"/>
        </w:rPr>
        <w:t xml:space="preserve"> V.</w:t>
      </w:r>
      <w:r>
        <w:rPr>
          <w:rFonts w:ascii="Times New Roman" w:hAnsi="Times New Roman" w:cs="Times New Roman"/>
          <w:color w:val="222222"/>
          <w:szCs w:val="21"/>
          <w:shd w:val="clear" w:color="auto" w:fill="FFFFFF"/>
        </w:rPr>
        <w:t xml:space="preserve"> </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2006</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On the Identification of De Facto Currency Pegs</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w:t>
      </w:r>
      <w:r>
        <w:rPr>
          <w:rFonts w:ascii="Times New Roman" w:hAnsi="Times New Roman" w:cs="Times New Roman"/>
          <w:i/>
          <w:iCs/>
          <w:color w:val="222222"/>
          <w:szCs w:val="21"/>
          <w:shd w:val="clear" w:color="auto" w:fill="FFFFFF"/>
        </w:rPr>
        <w:t>Journal of the Japanese and International Economies</w:t>
      </w:r>
      <w:r>
        <w:rPr>
          <w:rFonts w:ascii="Times New Roman" w:hAnsi="Times New Roman" w:cs="Times New Roman"/>
          <w:color w:val="222222"/>
          <w:szCs w:val="21"/>
          <w:shd w:val="clear" w:color="auto" w:fill="FFFFFF"/>
        </w:rPr>
        <w:t xml:space="preserve"> 20(1): 112</w:t>
      </w:r>
      <w:r>
        <w:rPr>
          <w:rFonts w:ascii="Times New Roman" w:hAnsi="Times New Roman" w:cs="Times New Roman" w:hint="eastAsia"/>
          <w:color w:val="222222"/>
          <w:szCs w:val="21"/>
          <w:shd w:val="clear" w:color="auto" w:fill="FFFFFF"/>
        </w:rPr>
        <w:t>-1</w:t>
      </w:r>
      <w:r>
        <w:rPr>
          <w:rFonts w:ascii="Times New Roman" w:hAnsi="Times New Roman" w:cs="Times New Roman"/>
          <w:color w:val="222222"/>
          <w:szCs w:val="21"/>
          <w:shd w:val="clear" w:color="auto" w:fill="FFFFFF"/>
        </w:rPr>
        <w:t>27</w:t>
      </w:r>
      <w:r>
        <w:rPr>
          <w:rFonts w:ascii="Times New Roman" w:hAnsi="Times New Roman" w:cs="Times New Roman" w:hint="eastAsia"/>
          <w:color w:val="222222"/>
          <w:szCs w:val="21"/>
          <w:shd w:val="clear" w:color="auto" w:fill="FFFFFF"/>
        </w:rPr>
        <w:t>.</w:t>
      </w:r>
      <w:bookmarkStart w:id="95" w:name="OLE_LINK79"/>
    </w:p>
    <w:p w14:paraId="3FA9D8D2" w14:textId="77777777" w:rsidR="0074478A" w:rsidRDefault="00690393">
      <w:pPr>
        <w:widowControl/>
        <w:spacing w:afterLines="50" w:after="156"/>
        <w:ind w:left="420" w:hangingChars="200" w:hanging="420"/>
        <w:rPr>
          <w:rFonts w:ascii="Times New Roman" w:hAnsi="Times New Roman" w:cs="Times New Roman"/>
          <w:szCs w:val="21"/>
        </w:rPr>
      </w:pPr>
      <w:r>
        <w:rPr>
          <w:rFonts w:ascii="Times New Roman" w:hAnsi="Times New Roman" w:cs="Times New Roman"/>
          <w:szCs w:val="21"/>
        </w:rPr>
        <w:t>Bertola</w:t>
      </w:r>
      <w:bookmarkEnd w:id="95"/>
      <w:r>
        <w:rPr>
          <w:rFonts w:ascii="Times New Roman" w:hAnsi="Times New Roman" w:cs="Times New Roman"/>
          <w:szCs w:val="21"/>
        </w:rPr>
        <w:t xml:space="preserve">, G., and Caballero, R. (1992) </w:t>
      </w:r>
      <w:bookmarkStart w:id="96" w:name="OLE_LINK37"/>
      <w:r>
        <w:rPr>
          <w:rFonts w:ascii="Times New Roman" w:hAnsi="Times New Roman" w:cs="Times New Roman"/>
          <w:szCs w:val="21"/>
        </w:rPr>
        <w:t>Target Zones and Realignments</w:t>
      </w:r>
      <w:bookmarkEnd w:id="96"/>
      <w:r>
        <w:rPr>
          <w:rFonts w:ascii="Times New Roman" w:hAnsi="Times New Roman" w:cs="Times New Roman"/>
          <w:szCs w:val="21"/>
        </w:rPr>
        <w:t xml:space="preserve">. </w:t>
      </w:r>
      <w:r>
        <w:rPr>
          <w:rFonts w:ascii="Times New Roman" w:hAnsi="Times New Roman" w:cs="Times New Roman"/>
          <w:i/>
          <w:iCs/>
          <w:szCs w:val="21"/>
        </w:rPr>
        <w:t>American Economic Review</w:t>
      </w:r>
      <w:r>
        <w:rPr>
          <w:rFonts w:ascii="Times New Roman" w:hAnsi="Times New Roman" w:cs="Times New Roman"/>
          <w:szCs w:val="21"/>
        </w:rPr>
        <w:t xml:space="preserve"> 82: 520</w:t>
      </w:r>
      <w:r>
        <w:rPr>
          <w:rFonts w:ascii="Times New Roman" w:hAnsi="Times New Roman" w:cs="Times New Roman" w:hint="eastAsia"/>
          <w:szCs w:val="21"/>
        </w:rPr>
        <w:t>-</w:t>
      </w:r>
      <w:r>
        <w:rPr>
          <w:rFonts w:ascii="Times New Roman" w:hAnsi="Times New Roman" w:cs="Times New Roman"/>
          <w:szCs w:val="21"/>
        </w:rPr>
        <w:t>536.</w:t>
      </w:r>
    </w:p>
    <w:p w14:paraId="71EFD5E4"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Brooks, C.</w:t>
      </w:r>
      <w:r>
        <w:rPr>
          <w:rFonts w:ascii="Times New Roman" w:hAnsi="Times New Roman" w:cs="Times New Roman"/>
          <w:szCs w:val="21"/>
        </w:rPr>
        <w:t>,</w:t>
      </w:r>
      <w:r>
        <w:rPr>
          <w:rFonts w:ascii="Times New Roman" w:hAnsi="Times New Roman" w:cs="Times New Roman" w:hint="eastAsia"/>
          <w:szCs w:val="21"/>
        </w:rPr>
        <w:t xml:space="preserve"> and </w:t>
      </w:r>
      <w:proofErr w:type="spellStart"/>
      <w:r>
        <w:rPr>
          <w:rFonts w:ascii="Times New Roman" w:hAnsi="Times New Roman" w:cs="Times New Roman" w:hint="eastAsia"/>
          <w:szCs w:val="21"/>
        </w:rPr>
        <w:t>Rev</w:t>
      </w:r>
      <w:r>
        <w:rPr>
          <w:rFonts w:ascii="Times New Roman" w:hAnsi="Times New Roman" w:cs="Times New Roman"/>
          <w:szCs w:val="21"/>
        </w:rPr>
        <w:t>é</w:t>
      </w:r>
      <w:r>
        <w:rPr>
          <w:rFonts w:ascii="Times New Roman" w:hAnsi="Times New Roman" w:cs="Times New Roman" w:hint="eastAsia"/>
          <w:szCs w:val="21"/>
        </w:rPr>
        <w:t>iz</w:t>
      </w:r>
      <w:proofErr w:type="spellEnd"/>
      <w:r>
        <w:rPr>
          <w:rFonts w:ascii="Times New Roman" w:hAnsi="Times New Roman" w:cs="Times New Roman" w:hint="eastAsia"/>
          <w:szCs w:val="21"/>
        </w:rPr>
        <w:t xml:space="preserve">, A. H. (2002) A </w:t>
      </w:r>
      <w:r>
        <w:rPr>
          <w:rFonts w:ascii="Times New Roman" w:hAnsi="Times New Roman" w:cs="Times New Roman"/>
          <w:szCs w:val="21"/>
        </w:rPr>
        <w:t>M</w:t>
      </w:r>
      <w:r>
        <w:rPr>
          <w:rFonts w:ascii="Times New Roman" w:hAnsi="Times New Roman" w:cs="Times New Roman" w:hint="eastAsia"/>
          <w:szCs w:val="21"/>
        </w:rPr>
        <w:t xml:space="preserve">odel for </w:t>
      </w:r>
      <w:r>
        <w:rPr>
          <w:rFonts w:ascii="Times New Roman" w:hAnsi="Times New Roman" w:cs="Times New Roman"/>
          <w:szCs w:val="21"/>
        </w:rPr>
        <w:t>E</w:t>
      </w:r>
      <w:r>
        <w:rPr>
          <w:rFonts w:ascii="Times New Roman" w:hAnsi="Times New Roman" w:cs="Times New Roman" w:hint="eastAsia"/>
          <w:szCs w:val="21"/>
        </w:rPr>
        <w:t xml:space="preserve">xchange </w:t>
      </w:r>
      <w:r>
        <w:rPr>
          <w:rFonts w:ascii="Times New Roman" w:hAnsi="Times New Roman" w:cs="Times New Roman"/>
          <w:szCs w:val="21"/>
        </w:rPr>
        <w:t>R</w:t>
      </w:r>
      <w:r>
        <w:rPr>
          <w:rFonts w:ascii="Times New Roman" w:hAnsi="Times New Roman" w:cs="Times New Roman" w:hint="eastAsia"/>
          <w:szCs w:val="21"/>
        </w:rPr>
        <w:t xml:space="preserve">ates with </w:t>
      </w:r>
      <w:r>
        <w:rPr>
          <w:rFonts w:ascii="Times New Roman" w:hAnsi="Times New Roman" w:cs="Times New Roman"/>
          <w:szCs w:val="21"/>
        </w:rPr>
        <w:t>C</w:t>
      </w:r>
      <w:r>
        <w:rPr>
          <w:rFonts w:ascii="Times New Roman" w:hAnsi="Times New Roman" w:cs="Times New Roman" w:hint="eastAsia"/>
          <w:szCs w:val="21"/>
        </w:rPr>
        <w:t xml:space="preserve">rawling </w:t>
      </w:r>
      <w:r>
        <w:rPr>
          <w:rFonts w:ascii="Times New Roman" w:hAnsi="Times New Roman" w:cs="Times New Roman"/>
          <w:szCs w:val="21"/>
        </w:rPr>
        <w:t>B</w:t>
      </w:r>
      <w:r>
        <w:rPr>
          <w:rFonts w:ascii="Times New Roman" w:hAnsi="Times New Roman" w:cs="Times New Roman" w:hint="eastAsia"/>
          <w:szCs w:val="21"/>
        </w:rPr>
        <w:t>ands</w:t>
      </w:r>
      <w:r>
        <w:rPr>
          <w:rFonts w:ascii="Times New Roman" w:hAnsi="Times New Roman" w:cs="Times New Roman"/>
          <w:szCs w:val="21"/>
        </w:rPr>
        <w:t>: A</w:t>
      </w:r>
      <w:r>
        <w:rPr>
          <w:rFonts w:ascii="Times New Roman" w:hAnsi="Times New Roman" w:cs="Times New Roman" w:hint="eastAsia"/>
          <w:szCs w:val="21"/>
        </w:rPr>
        <w:t xml:space="preserve">n </w:t>
      </w:r>
      <w:r>
        <w:rPr>
          <w:rFonts w:ascii="Times New Roman" w:hAnsi="Times New Roman" w:cs="Times New Roman"/>
          <w:szCs w:val="21"/>
        </w:rPr>
        <w:t>A</w:t>
      </w:r>
      <w:r>
        <w:rPr>
          <w:rFonts w:ascii="Times New Roman" w:hAnsi="Times New Roman" w:cs="Times New Roman" w:hint="eastAsia"/>
          <w:szCs w:val="21"/>
        </w:rPr>
        <w:t xml:space="preserve">pplication to the Colombian </w:t>
      </w:r>
      <w:r>
        <w:rPr>
          <w:rFonts w:ascii="Times New Roman" w:hAnsi="Times New Roman" w:cs="Times New Roman"/>
          <w:szCs w:val="21"/>
        </w:rPr>
        <w:t>P</w:t>
      </w:r>
      <w:r>
        <w:rPr>
          <w:rFonts w:ascii="Times New Roman" w:hAnsi="Times New Roman" w:cs="Times New Roman" w:hint="eastAsia"/>
          <w:szCs w:val="21"/>
        </w:rPr>
        <w:t xml:space="preserve">eso. </w:t>
      </w:r>
      <w:r>
        <w:rPr>
          <w:rFonts w:ascii="Times New Roman" w:hAnsi="Times New Roman" w:cs="Times New Roman" w:hint="eastAsia"/>
          <w:i/>
          <w:iCs/>
          <w:szCs w:val="21"/>
        </w:rPr>
        <w:t>Journal of Economics and Business</w:t>
      </w:r>
      <w:r>
        <w:rPr>
          <w:rFonts w:ascii="Times New Roman" w:hAnsi="Times New Roman" w:cs="Times New Roman" w:hint="eastAsia"/>
          <w:szCs w:val="21"/>
        </w:rPr>
        <w:t xml:space="preserve"> 54: 483-503.</w:t>
      </w:r>
    </w:p>
    <w:p w14:paraId="18ED715C" w14:textId="77777777" w:rsidR="0074478A" w:rsidRDefault="00690393">
      <w:pPr>
        <w:widowControl/>
        <w:spacing w:afterLines="50" w:after="156"/>
        <w:ind w:left="360" w:hanging="360"/>
        <w:rPr>
          <w:rFonts w:ascii="Times New Roman" w:hAnsi="Times New Roman" w:cs="Times New Roman"/>
          <w:szCs w:val="21"/>
        </w:rPr>
      </w:pPr>
      <w:r>
        <w:rPr>
          <w:rFonts w:ascii="Times New Roman" w:eastAsia="Calibri" w:hAnsi="Times New Roman" w:cs="Times New Roman"/>
        </w:rPr>
        <w:t xml:space="preserve">Calvo, G., and Reinhart, C. (2002) </w:t>
      </w:r>
      <w:bookmarkStart w:id="97" w:name="OLE_LINK23"/>
      <w:r>
        <w:rPr>
          <w:rFonts w:ascii="Times New Roman" w:hAnsi="Times New Roman" w:cs="Times New Roman"/>
        </w:rPr>
        <w:fldChar w:fldCharType="begin"/>
      </w:r>
      <w:r>
        <w:rPr>
          <w:rFonts w:ascii="Times New Roman" w:hAnsi="Times New Roman" w:cs="Times New Roman"/>
        </w:rPr>
        <w:instrText xml:space="preserve"> HYPERLINK "https://academic.oup.com/qje/article-abstract/117/2/379/1883887" \h </w:instrText>
      </w:r>
      <w:r>
        <w:rPr>
          <w:rFonts w:ascii="Times New Roman" w:hAnsi="Times New Roman" w:cs="Times New Roman"/>
        </w:rPr>
      </w:r>
      <w:r>
        <w:rPr>
          <w:rFonts w:ascii="Times New Roman" w:hAnsi="Times New Roman" w:cs="Times New Roman"/>
        </w:rPr>
        <w:fldChar w:fldCharType="separate"/>
      </w:r>
      <w:r>
        <w:rPr>
          <w:rFonts w:ascii="Times New Roman" w:eastAsia="Calibri" w:hAnsi="Times New Roman" w:cs="Times New Roman"/>
        </w:rPr>
        <w:t>Fear of Floating</w:t>
      </w:r>
      <w:r>
        <w:rPr>
          <w:rFonts w:ascii="Times New Roman" w:eastAsia="Calibri" w:hAnsi="Times New Roman" w:cs="Times New Roman"/>
        </w:rPr>
        <w:fldChar w:fldCharType="end"/>
      </w:r>
      <w:bookmarkEnd w:id="97"/>
      <w:r>
        <w:rPr>
          <w:rFonts w:ascii="Times New Roman" w:eastAsia="SimSun" w:hAnsi="Times New Roman" w:cs="Times New Roman" w:hint="eastAsia"/>
        </w:rPr>
        <w:t>.</w:t>
      </w:r>
      <w:r>
        <w:rPr>
          <w:rFonts w:ascii="Times New Roman" w:eastAsia="Calibri" w:hAnsi="Times New Roman" w:cs="Times New Roman"/>
        </w:rPr>
        <w:t xml:space="preserve"> </w:t>
      </w:r>
      <w:r>
        <w:rPr>
          <w:rFonts w:ascii="Times New Roman" w:hAnsi="Times New Roman" w:cs="Times New Roman"/>
          <w:i/>
          <w:iCs/>
          <w:szCs w:val="21"/>
        </w:rPr>
        <w:t>Quarterly Journal of Economics</w:t>
      </w:r>
      <w:r>
        <w:rPr>
          <w:rFonts w:ascii="Times New Roman" w:eastAsia="Calibri" w:hAnsi="Times New Roman" w:cs="Times New Roman"/>
        </w:rPr>
        <w:t xml:space="preserve"> 117</w:t>
      </w:r>
      <w:r>
        <w:rPr>
          <w:rFonts w:ascii="Times New Roman" w:eastAsia="SimSun" w:hAnsi="Times New Roman" w:cs="Times New Roman" w:hint="eastAsia"/>
        </w:rPr>
        <w:t>(</w:t>
      </w:r>
      <w:r>
        <w:rPr>
          <w:rFonts w:ascii="Times New Roman" w:eastAsia="Calibri" w:hAnsi="Times New Roman" w:cs="Times New Roman"/>
        </w:rPr>
        <w:t>2</w:t>
      </w:r>
      <w:r>
        <w:rPr>
          <w:rFonts w:ascii="Times New Roman" w:eastAsia="SimSun" w:hAnsi="Times New Roman" w:cs="Times New Roman" w:hint="eastAsia"/>
        </w:rPr>
        <w:t>)</w:t>
      </w:r>
      <w:hyperlink r:id="rId8">
        <w:r>
          <w:rPr>
            <w:rFonts w:ascii="Times New Roman" w:eastAsia="Calibri" w:hAnsi="Times New Roman" w:cs="Times New Roman"/>
          </w:rPr>
          <w:t>: 379-408</w:t>
        </w:r>
      </w:hyperlink>
      <w:r>
        <w:rPr>
          <w:rFonts w:ascii="Times New Roman" w:eastAsia="Calibri" w:hAnsi="Times New Roman" w:cs="Times New Roman"/>
        </w:rPr>
        <w:t>.</w:t>
      </w:r>
    </w:p>
    <w:p w14:paraId="68228EB1"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 xml:space="preserve">Central Bank of the Russian Federation. (2013) The </w:t>
      </w:r>
      <w:r>
        <w:rPr>
          <w:rFonts w:ascii="Times New Roman" w:hAnsi="Times New Roman" w:cs="Times New Roman"/>
          <w:szCs w:val="21"/>
        </w:rPr>
        <w:t>H</w:t>
      </w:r>
      <w:r>
        <w:rPr>
          <w:rFonts w:ascii="Times New Roman" w:hAnsi="Times New Roman" w:cs="Times New Roman" w:hint="eastAsia"/>
          <w:szCs w:val="21"/>
        </w:rPr>
        <w:t xml:space="preserve">istory of the Bank of Russia's </w:t>
      </w:r>
      <w:r>
        <w:rPr>
          <w:rFonts w:ascii="Times New Roman" w:hAnsi="Times New Roman" w:cs="Times New Roman"/>
          <w:szCs w:val="21"/>
        </w:rPr>
        <w:t>E</w:t>
      </w:r>
      <w:r>
        <w:rPr>
          <w:rFonts w:ascii="Times New Roman" w:hAnsi="Times New Roman" w:cs="Times New Roman" w:hint="eastAsia"/>
          <w:szCs w:val="21"/>
        </w:rPr>
        <w:t xml:space="preserve">xchange </w:t>
      </w:r>
      <w:r>
        <w:rPr>
          <w:rFonts w:ascii="Times New Roman" w:hAnsi="Times New Roman" w:cs="Times New Roman"/>
          <w:szCs w:val="21"/>
        </w:rPr>
        <w:t>R</w:t>
      </w:r>
      <w:r>
        <w:rPr>
          <w:rFonts w:ascii="Times New Roman" w:hAnsi="Times New Roman" w:cs="Times New Roman" w:hint="eastAsia"/>
          <w:szCs w:val="21"/>
        </w:rPr>
        <w:t xml:space="preserve">ate </w:t>
      </w:r>
      <w:r>
        <w:rPr>
          <w:rFonts w:ascii="Times New Roman" w:hAnsi="Times New Roman" w:cs="Times New Roman"/>
          <w:szCs w:val="21"/>
        </w:rPr>
        <w:t>P</w:t>
      </w:r>
      <w:r>
        <w:rPr>
          <w:rFonts w:ascii="Times New Roman" w:hAnsi="Times New Roman" w:cs="Times New Roman" w:hint="eastAsia"/>
          <w:szCs w:val="21"/>
        </w:rPr>
        <w:t xml:space="preserve">olicy. In </w:t>
      </w:r>
      <w:r>
        <w:rPr>
          <w:rFonts w:ascii="Times New Roman" w:hAnsi="Times New Roman" w:cs="Times New Roman" w:hint="eastAsia"/>
          <w:i/>
          <w:iCs/>
          <w:szCs w:val="21"/>
        </w:rPr>
        <w:t xml:space="preserve">Sovereign </w:t>
      </w:r>
      <w:r>
        <w:rPr>
          <w:rFonts w:ascii="Times New Roman" w:hAnsi="Times New Roman" w:cs="Times New Roman"/>
          <w:i/>
          <w:iCs/>
          <w:szCs w:val="21"/>
        </w:rPr>
        <w:t>R</w:t>
      </w:r>
      <w:r>
        <w:rPr>
          <w:rFonts w:ascii="Times New Roman" w:hAnsi="Times New Roman" w:cs="Times New Roman" w:hint="eastAsia"/>
          <w:i/>
          <w:iCs/>
          <w:szCs w:val="21"/>
        </w:rPr>
        <w:t xml:space="preserve">isk: </w:t>
      </w:r>
      <w:r>
        <w:rPr>
          <w:rFonts w:ascii="Times New Roman" w:hAnsi="Times New Roman" w:cs="Times New Roman"/>
          <w:i/>
          <w:iCs/>
          <w:szCs w:val="21"/>
        </w:rPr>
        <w:t>A</w:t>
      </w:r>
      <w:r>
        <w:rPr>
          <w:rFonts w:ascii="Times New Roman" w:hAnsi="Times New Roman" w:cs="Times New Roman" w:hint="eastAsia"/>
          <w:i/>
          <w:iCs/>
          <w:szCs w:val="21"/>
        </w:rPr>
        <w:t xml:space="preserve"> </w:t>
      </w:r>
      <w:r>
        <w:rPr>
          <w:rFonts w:ascii="Times New Roman" w:hAnsi="Times New Roman" w:cs="Times New Roman"/>
          <w:i/>
          <w:iCs/>
          <w:szCs w:val="21"/>
        </w:rPr>
        <w:t>W</w:t>
      </w:r>
      <w:r>
        <w:rPr>
          <w:rFonts w:ascii="Times New Roman" w:hAnsi="Times New Roman" w:cs="Times New Roman" w:hint="eastAsia"/>
          <w:i/>
          <w:iCs/>
          <w:szCs w:val="21"/>
        </w:rPr>
        <w:t xml:space="preserve">orld without </w:t>
      </w:r>
      <w:r>
        <w:rPr>
          <w:rFonts w:ascii="Times New Roman" w:hAnsi="Times New Roman" w:cs="Times New Roman"/>
          <w:i/>
          <w:iCs/>
          <w:szCs w:val="21"/>
        </w:rPr>
        <w:t>R</w:t>
      </w:r>
      <w:r>
        <w:rPr>
          <w:rFonts w:ascii="Times New Roman" w:hAnsi="Times New Roman" w:cs="Times New Roman" w:hint="eastAsia"/>
          <w:i/>
          <w:iCs/>
          <w:szCs w:val="21"/>
        </w:rPr>
        <w:t>isk-</w:t>
      </w:r>
      <w:r>
        <w:rPr>
          <w:rFonts w:ascii="Times New Roman" w:hAnsi="Times New Roman" w:cs="Times New Roman"/>
          <w:i/>
          <w:iCs/>
          <w:szCs w:val="21"/>
        </w:rPr>
        <w:t>F</w:t>
      </w:r>
      <w:r>
        <w:rPr>
          <w:rFonts w:ascii="Times New Roman" w:hAnsi="Times New Roman" w:cs="Times New Roman" w:hint="eastAsia"/>
          <w:i/>
          <w:iCs/>
          <w:szCs w:val="21"/>
        </w:rPr>
        <w:t xml:space="preserve">ree </w:t>
      </w:r>
      <w:r>
        <w:rPr>
          <w:rFonts w:ascii="Times New Roman" w:hAnsi="Times New Roman" w:cs="Times New Roman"/>
          <w:i/>
          <w:iCs/>
          <w:szCs w:val="21"/>
        </w:rPr>
        <w:t>A</w:t>
      </w:r>
      <w:r>
        <w:rPr>
          <w:rFonts w:ascii="Times New Roman" w:hAnsi="Times New Roman" w:cs="Times New Roman" w:hint="eastAsia"/>
          <w:i/>
          <w:iCs/>
          <w:szCs w:val="21"/>
        </w:rPr>
        <w:t>ssets?</w:t>
      </w:r>
      <w:r>
        <w:rPr>
          <w:rFonts w:ascii="Times New Roman" w:hAnsi="Times New Roman" w:cs="Times New Roman" w:hint="eastAsia"/>
          <w:szCs w:val="21"/>
        </w:rPr>
        <w:t xml:space="preserve"> edited by Bank for International Settlements, 293-299. Basel</w:t>
      </w:r>
      <w:r>
        <w:rPr>
          <w:rFonts w:ascii="Times New Roman" w:hAnsi="Times New Roman" w:cs="Times New Roman"/>
          <w:szCs w:val="21"/>
        </w:rPr>
        <w:t>, Switzerland</w:t>
      </w:r>
      <w:r>
        <w:rPr>
          <w:rFonts w:ascii="Times New Roman" w:hAnsi="Times New Roman" w:cs="Times New Roman" w:hint="eastAsia"/>
          <w:szCs w:val="21"/>
        </w:rPr>
        <w:t>: Bank for International Settlements.</w:t>
      </w:r>
    </w:p>
    <w:p w14:paraId="10C905F4"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 xml:space="preserve">Das, S. (2019) </w:t>
      </w:r>
      <w:r>
        <w:rPr>
          <w:rFonts w:ascii="Times New Roman" w:hAnsi="Times New Roman" w:cs="Times New Roman" w:hint="eastAsia"/>
          <w:i/>
          <w:iCs/>
          <w:szCs w:val="21"/>
        </w:rPr>
        <w:t>China</w:t>
      </w:r>
      <w:r>
        <w:rPr>
          <w:rFonts w:ascii="Times New Roman" w:hAnsi="Times New Roman" w:cs="Times New Roman"/>
          <w:i/>
          <w:iCs/>
          <w:szCs w:val="21"/>
        </w:rPr>
        <w:t>’</w:t>
      </w:r>
      <w:r>
        <w:rPr>
          <w:rFonts w:ascii="Times New Roman" w:hAnsi="Times New Roman" w:cs="Times New Roman" w:hint="eastAsia"/>
          <w:i/>
          <w:iCs/>
          <w:szCs w:val="21"/>
        </w:rPr>
        <w:t xml:space="preserve"> s Evolving Exchange Rate Regime</w:t>
      </w:r>
      <w:r>
        <w:rPr>
          <w:rFonts w:ascii="Times New Roman" w:hAnsi="Times New Roman" w:cs="Times New Roman" w:hint="eastAsia"/>
          <w:szCs w:val="21"/>
        </w:rPr>
        <w:t xml:space="preserve">. </w:t>
      </w:r>
      <w:r>
        <w:rPr>
          <w:rFonts w:ascii="Times New Roman" w:hAnsi="Times New Roman" w:cs="Times New Roman"/>
          <w:szCs w:val="21"/>
        </w:rPr>
        <w:t xml:space="preserve">Washington, DC: </w:t>
      </w:r>
      <w:r>
        <w:rPr>
          <w:rFonts w:ascii="Times New Roman" w:hAnsi="Times New Roman" w:cs="Times New Roman" w:hint="eastAsia"/>
          <w:szCs w:val="21"/>
        </w:rPr>
        <w:t>International Monetary Fund.</w:t>
      </w:r>
    </w:p>
    <w:p w14:paraId="0AF61977" w14:textId="77777777" w:rsidR="0074478A" w:rsidRDefault="00690393">
      <w:pPr>
        <w:widowControl/>
        <w:spacing w:afterLines="50" w:after="156"/>
        <w:ind w:left="360" w:hanging="360"/>
        <w:rPr>
          <w:rFonts w:ascii="Times New Roman" w:hAnsi="Times New Roman" w:cs="Times New Roman"/>
          <w:color w:val="222222"/>
          <w:szCs w:val="21"/>
          <w:shd w:val="clear" w:color="auto" w:fill="FFFFFF"/>
        </w:rPr>
      </w:pPr>
      <w:r>
        <w:rPr>
          <w:rFonts w:ascii="Times New Roman" w:hAnsi="Times New Roman" w:cs="Times New Roman" w:hint="eastAsia"/>
          <w:szCs w:val="21"/>
        </w:rPr>
        <w:t>F</w:t>
      </w:r>
      <w:r>
        <w:rPr>
          <w:rFonts w:ascii="Times New Roman" w:hAnsi="Times New Roman" w:cs="Times New Roman"/>
          <w:szCs w:val="21"/>
        </w:rPr>
        <w:t>lood, R., and Garber, P. (1991) The Linkage between Speculative Attack and Target Zone Models of Exchange</w:t>
      </w:r>
      <w:r>
        <w:rPr>
          <w:rFonts w:ascii="Times New Roman" w:hAnsi="Times New Roman" w:cs="Times New Roman" w:hint="eastAsia"/>
          <w:szCs w:val="21"/>
        </w:rPr>
        <w:t xml:space="preserve"> </w:t>
      </w:r>
      <w:r>
        <w:rPr>
          <w:rFonts w:ascii="Times New Roman" w:hAnsi="Times New Roman" w:cs="Times New Roman"/>
          <w:szCs w:val="21"/>
        </w:rPr>
        <w:t xml:space="preserve">Rates. </w:t>
      </w:r>
      <w:r>
        <w:rPr>
          <w:rFonts w:ascii="Times New Roman" w:hAnsi="Times New Roman" w:cs="Times New Roman"/>
          <w:i/>
          <w:iCs/>
          <w:szCs w:val="21"/>
        </w:rPr>
        <w:t>Quarterly Journal of Economics</w:t>
      </w:r>
      <w:r>
        <w:rPr>
          <w:rFonts w:ascii="Times New Roman" w:hAnsi="Times New Roman" w:cs="Times New Roman"/>
          <w:szCs w:val="21"/>
        </w:rPr>
        <w:t xml:space="preserve"> 106: 1367</w:t>
      </w:r>
      <w:r>
        <w:rPr>
          <w:rFonts w:ascii="Times New Roman" w:hAnsi="Times New Roman" w:cs="Times New Roman" w:hint="eastAsia"/>
          <w:szCs w:val="21"/>
        </w:rPr>
        <w:t>-</w:t>
      </w:r>
      <w:r>
        <w:rPr>
          <w:rFonts w:ascii="Times New Roman" w:hAnsi="Times New Roman" w:cs="Times New Roman"/>
          <w:szCs w:val="21"/>
        </w:rPr>
        <w:t>1372.</w:t>
      </w:r>
    </w:p>
    <w:p w14:paraId="1E3BAA12" w14:textId="77777777" w:rsidR="0074478A" w:rsidRDefault="00690393">
      <w:pPr>
        <w:widowControl/>
        <w:spacing w:afterLines="50" w:after="156"/>
        <w:ind w:left="360" w:hanging="360"/>
        <w:rPr>
          <w:rFonts w:ascii="Times New Roman" w:hAnsi="Times New Roman" w:cs="Times New Roman"/>
          <w:color w:val="222222"/>
          <w:szCs w:val="21"/>
          <w:shd w:val="clear" w:color="auto" w:fill="FFFFFF"/>
        </w:rPr>
      </w:pPr>
      <w:r>
        <w:rPr>
          <w:rFonts w:ascii="Times New Roman" w:hAnsi="Times New Roman" w:cs="Times New Roman"/>
          <w:color w:val="222222"/>
          <w:szCs w:val="21"/>
          <w:shd w:val="clear" w:color="auto" w:fill="FFFFFF"/>
        </w:rPr>
        <w:t xml:space="preserve">Frankel, J. </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2004</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w:t>
      </w:r>
      <w:bookmarkStart w:id="98" w:name="OLE_LINK81"/>
      <w:r>
        <w:rPr>
          <w:rFonts w:ascii="Times New Roman" w:hAnsi="Times New Roman" w:cs="Times New Roman"/>
          <w:color w:val="222222"/>
          <w:szCs w:val="21"/>
          <w:shd w:val="clear" w:color="auto" w:fill="FFFFFF"/>
        </w:rPr>
        <w:t>Experience of and Lessons from Exchange Rate Regimes in Emerging Economies</w:t>
      </w:r>
      <w:bookmarkEnd w:id="98"/>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w:t>
      </w:r>
      <w:r>
        <w:rPr>
          <w:rFonts w:ascii="Times New Roman" w:hAnsi="Times New Roman" w:cs="Times New Roman" w:hint="eastAsia"/>
          <w:color w:val="222222"/>
          <w:szCs w:val="21"/>
          <w:shd w:val="clear" w:color="auto" w:fill="FFFFFF"/>
        </w:rPr>
        <w:t>I</w:t>
      </w:r>
      <w:r>
        <w:rPr>
          <w:rFonts w:ascii="Times New Roman" w:hAnsi="Times New Roman" w:cs="Times New Roman"/>
          <w:color w:val="222222"/>
          <w:szCs w:val="21"/>
          <w:shd w:val="clear" w:color="auto" w:fill="FFFFFF"/>
        </w:rPr>
        <w:t xml:space="preserve">n </w:t>
      </w:r>
      <w:bookmarkStart w:id="99" w:name="OLE_LINK82"/>
      <w:r>
        <w:rPr>
          <w:rFonts w:ascii="Times New Roman" w:hAnsi="Times New Roman" w:cs="Times New Roman"/>
          <w:i/>
          <w:iCs/>
          <w:color w:val="222222"/>
          <w:szCs w:val="21"/>
          <w:shd w:val="clear" w:color="auto" w:fill="FFFFFF"/>
        </w:rPr>
        <w:t>Monetary and Financial Integration in East Asia: The Way Ahead</w:t>
      </w:r>
      <w:bookmarkEnd w:id="99"/>
      <w:r>
        <w:rPr>
          <w:rFonts w:ascii="Times New Roman" w:hAnsi="Times New Roman" w:cs="Times New Roman"/>
          <w:color w:val="222222"/>
          <w:szCs w:val="21"/>
          <w:shd w:val="clear" w:color="auto" w:fill="FFFFFF"/>
        </w:rPr>
        <w:t>, edited by the Asian Development Bank</w:t>
      </w:r>
      <w:r>
        <w:rPr>
          <w:rFonts w:ascii="Times New Roman" w:hAnsi="Times New Roman" w:cs="Times New Roman" w:hint="eastAsia"/>
          <w:color w:val="222222"/>
          <w:szCs w:val="21"/>
          <w:shd w:val="clear" w:color="auto" w:fill="FFFFFF"/>
        </w:rPr>
        <w:t xml:space="preserve">, 91-138. </w:t>
      </w:r>
      <w:r>
        <w:rPr>
          <w:rFonts w:ascii="Times New Roman" w:hAnsi="Times New Roman" w:cs="Times New Roman"/>
          <w:color w:val="222222"/>
          <w:szCs w:val="21"/>
          <w:shd w:val="clear" w:color="auto" w:fill="FFFFFF"/>
        </w:rPr>
        <w:t>New York</w:t>
      </w:r>
      <w:r>
        <w:rPr>
          <w:rFonts w:ascii="Times New Roman" w:hAnsi="Times New Roman" w:cs="Times New Roman" w:hint="eastAsia"/>
          <w:color w:val="222222"/>
          <w:szCs w:val="21"/>
          <w:shd w:val="clear" w:color="auto" w:fill="FFFFFF"/>
        </w:rPr>
        <w:t>, NY</w:t>
      </w:r>
      <w:r>
        <w:rPr>
          <w:rFonts w:ascii="Times New Roman" w:hAnsi="Times New Roman" w:cs="Times New Roman"/>
          <w:color w:val="222222"/>
          <w:szCs w:val="21"/>
          <w:shd w:val="clear" w:color="auto" w:fill="FFFFFF"/>
        </w:rPr>
        <w:t>: Palgrave Macmillan Press.</w:t>
      </w:r>
    </w:p>
    <w:p w14:paraId="71F84516" w14:textId="77777777" w:rsidR="0074478A" w:rsidRDefault="00690393">
      <w:pPr>
        <w:widowControl/>
        <w:shd w:val="clear" w:color="auto" w:fill="FFFFFF"/>
        <w:spacing w:afterLines="50" w:after="156"/>
        <w:ind w:left="360" w:hanging="360"/>
        <w:rPr>
          <w:rFonts w:ascii="Times New Roman" w:hAnsi="Times New Roman" w:cs="Times New Roman"/>
          <w:color w:val="1E1E1E"/>
          <w:szCs w:val="21"/>
        </w:rPr>
      </w:pPr>
      <w:r>
        <w:rPr>
          <w:rFonts w:ascii="Times New Roman" w:hAnsi="Times New Roman" w:cs="Times New Roman"/>
          <w:szCs w:val="21"/>
        </w:rPr>
        <w:t xml:space="preserve">Frankel, J. </w:t>
      </w:r>
      <w:r>
        <w:rPr>
          <w:rFonts w:ascii="Times New Roman" w:hAnsi="Times New Roman" w:cs="Times New Roman" w:hint="eastAsia"/>
          <w:szCs w:val="21"/>
        </w:rPr>
        <w:t xml:space="preserve">(2019) </w:t>
      </w:r>
      <w:r>
        <w:rPr>
          <w:rFonts w:ascii="Times New Roman" w:hAnsi="Times New Roman" w:cs="Times New Roman"/>
          <w:szCs w:val="21"/>
        </w:rPr>
        <w:t xml:space="preserve">Systematic Managed Floating. </w:t>
      </w:r>
      <w:r>
        <w:rPr>
          <w:rFonts w:ascii="Times New Roman" w:hAnsi="Times New Roman" w:cs="Times New Roman"/>
          <w:i/>
          <w:iCs/>
          <w:szCs w:val="21"/>
        </w:rPr>
        <w:t>Open Economies Review</w:t>
      </w:r>
      <w:r>
        <w:rPr>
          <w:rFonts w:ascii="Times New Roman" w:hAnsi="Times New Roman" w:cs="Times New Roman"/>
          <w:szCs w:val="21"/>
        </w:rPr>
        <w:t xml:space="preserve"> 30</w:t>
      </w:r>
      <w:r>
        <w:rPr>
          <w:rFonts w:ascii="Times New Roman" w:hAnsi="Times New Roman" w:cs="Times New Roman" w:hint="eastAsia"/>
          <w:szCs w:val="21"/>
        </w:rPr>
        <w:t xml:space="preserve">: </w:t>
      </w:r>
      <w:r>
        <w:rPr>
          <w:rFonts w:ascii="Times New Roman" w:hAnsi="Times New Roman" w:cs="Times New Roman"/>
          <w:szCs w:val="21"/>
        </w:rPr>
        <w:t>255</w:t>
      </w:r>
      <w:r>
        <w:rPr>
          <w:rFonts w:ascii="Times New Roman" w:hAnsi="Times New Roman" w:cs="Times New Roman" w:hint="eastAsia"/>
          <w:szCs w:val="21"/>
        </w:rPr>
        <w:t>-</w:t>
      </w:r>
      <w:r>
        <w:rPr>
          <w:rFonts w:ascii="Times New Roman" w:hAnsi="Times New Roman" w:cs="Times New Roman"/>
          <w:szCs w:val="21"/>
        </w:rPr>
        <w:t>295.</w:t>
      </w:r>
    </w:p>
    <w:p w14:paraId="5C7F40F2"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color w:val="1E1E1E"/>
          <w:szCs w:val="21"/>
          <w:shd w:val="clear" w:color="auto" w:fill="FFFFFF"/>
        </w:rPr>
        <w:t xml:space="preserve">Frankel, J., </w:t>
      </w:r>
      <w:proofErr w:type="spellStart"/>
      <w:r>
        <w:rPr>
          <w:rFonts w:ascii="Times New Roman" w:hAnsi="Times New Roman" w:cs="Times New Roman" w:hint="eastAsia"/>
          <w:color w:val="1E1E1E"/>
          <w:szCs w:val="21"/>
          <w:shd w:val="clear" w:color="auto" w:fill="FFFFFF"/>
        </w:rPr>
        <w:t>Fajnzylber</w:t>
      </w:r>
      <w:proofErr w:type="spellEnd"/>
      <w:r>
        <w:rPr>
          <w:rFonts w:ascii="Times New Roman" w:hAnsi="Times New Roman" w:cs="Times New Roman" w:hint="eastAsia"/>
          <w:color w:val="1E1E1E"/>
          <w:szCs w:val="21"/>
          <w:shd w:val="clear" w:color="auto" w:fill="FFFFFF"/>
        </w:rPr>
        <w:t xml:space="preserve">, E., </w:t>
      </w:r>
      <w:r>
        <w:rPr>
          <w:rFonts w:ascii="Times New Roman" w:hAnsi="Times New Roman" w:cs="Times New Roman"/>
          <w:color w:val="1E1E1E"/>
          <w:szCs w:val="21"/>
          <w:shd w:val="clear" w:color="auto" w:fill="FFFFFF"/>
        </w:rPr>
        <w:t xml:space="preserve">Schmukler, S., and Serven, L. </w:t>
      </w:r>
      <w:r>
        <w:rPr>
          <w:rFonts w:ascii="Times New Roman" w:hAnsi="Times New Roman" w:cs="Times New Roman" w:hint="eastAsia"/>
          <w:color w:val="1E1E1E"/>
          <w:szCs w:val="21"/>
          <w:shd w:val="clear" w:color="auto" w:fill="FFFFFF"/>
        </w:rPr>
        <w:t>(</w:t>
      </w:r>
      <w:r>
        <w:rPr>
          <w:rFonts w:ascii="Times New Roman" w:hAnsi="Times New Roman" w:cs="Times New Roman"/>
          <w:color w:val="1E1E1E"/>
          <w:szCs w:val="21"/>
          <w:shd w:val="clear" w:color="auto" w:fill="FFFFFF"/>
        </w:rPr>
        <w:t>2001</w:t>
      </w:r>
      <w:r>
        <w:rPr>
          <w:rFonts w:ascii="Times New Roman" w:hAnsi="Times New Roman" w:cs="Times New Roman" w:hint="eastAsia"/>
          <w:color w:val="1E1E1E"/>
          <w:szCs w:val="21"/>
          <w:shd w:val="clear" w:color="auto" w:fill="FFFFFF"/>
        </w:rPr>
        <w:t>)</w:t>
      </w:r>
      <w:r>
        <w:rPr>
          <w:rFonts w:ascii="Times New Roman" w:hAnsi="Times New Roman" w:cs="Times New Roman"/>
          <w:szCs w:val="21"/>
          <w:shd w:val="clear" w:color="auto" w:fill="FFFFFF"/>
        </w:rPr>
        <w:t xml:space="preserve"> </w:t>
      </w:r>
      <w:hyperlink r:id="rId9" w:history="1">
        <w:r>
          <w:rPr>
            <w:rStyle w:val="Hyperlink"/>
            <w:rFonts w:ascii="Times New Roman" w:eastAsia="SimSun" w:hAnsi="Times New Roman" w:cs="Times New Roman"/>
            <w:color w:val="auto"/>
            <w:szCs w:val="21"/>
            <w:u w:val="none"/>
            <w:shd w:val="clear" w:color="auto" w:fill="FFFFFF"/>
          </w:rPr>
          <w:t>Verifying Exchange Rate Regimes</w:t>
        </w:r>
      </w:hyperlink>
      <w:r>
        <w:rPr>
          <w:rFonts w:ascii="Times New Roman" w:hAnsi="Times New Roman" w:cs="Times New Roman" w:hint="eastAsia"/>
        </w:rPr>
        <w:t>.</w:t>
      </w:r>
      <w:r>
        <w:rPr>
          <w:rFonts w:ascii="Times New Roman" w:hAnsi="Times New Roman" w:cs="Times New Roman"/>
          <w:szCs w:val="21"/>
          <w:shd w:val="clear" w:color="auto" w:fill="FFFFFF"/>
        </w:rPr>
        <w:t> </w:t>
      </w:r>
      <w:hyperlink r:id="rId10" w:history="1">
        <w:r>
          <w:rPr>
            <w:rStyle w:val="Hyperlink"/>
            <w:rFonts w:ascii="Times New Roman" w:eastAsia="SimSun" w:hAnsi="Times New Roman" w:cs="Times New Roman"/>
            <w:i/>
            <w:iCs/>
            <w:color w:val="auto"/>
            <w:szCs w:val="21"/>
            <w:u w:val="none"/>
            <w:shd w:val="clear" w:color="auto" w:fill="FFFFFF"/>
          </w:rPr>
          <w:t>Journal of Development Economics</w:t>
        </w:r>
      </w:hyperlink>
      <w:r>
        <w:rPr>
          <w:rFonts w:ascii="Times New Roman" w:hAnsi="Times New Roman" w:cs="Times New Roman"/>
          <w:szCs w:val="21"/>
          <w:shd w:val="clear" w:color="auto" w:fill="FFFFFF"/>
        </w:rPr>
        <w:t xml:space="preserve"> 66</w:t>
      </w:r>
      <w:r>
        <w:rPr>
          <w:rFonts w:ascii="Times New Roman" w:hAnsi="Times New Roman" w:cs="Times New Roman" w:hint="eastAsia"/>
          <w:szCs w:val="21"/>
          <w:shd w:val="clear" w:color="auto" w:fill="FFFFFF"/>
        </w:rPr>
        <w:t>(</w:t>
      </w:r>
      <w:hyperlink r:id="rId11" w:history="1">
        <w:r>
          <w:rPr>
            <w:rStyle w:val="Hyperlink"/>
            <w:rFonts w:ascii="Times New Roman" w:eastAsia="SimSun" w:hAnsi="Times New Roman" w:cs="Times New Roman"/>
            <w:color w:val="auto"/>
            <w:szCs w:val="21"/>
            <w:u w:val="none"/>
            <w:shd w:val="clear" w:color="auto" w:fill="FFFFFF"/>
          </w:rPr>
          <w:t>809</w:t>
        </w:r>
        <w:r>
          <w:rPr>
            <w:rStyle w:val="Hyperlink"/>
            <w:rFonts w:ascii="Times New Roman" w:eastAsia="SimSun" w:hAnsi="Times New Roman" w:cs="Times New Roman" w:hint="eastAsia"/>
            <w:color w:val="auto"/>
            <w:szCs w:val="21"/>
            <w:u w:val="none"/>
            <w:shd w:val="clear" w:color="auto" w:fill="FFFFFF"/>
          </w:rPr>
          <w:t>)</w:t>
        </w:r>
        <w:r>
          <w:rPr>
            <w:rStyle w:val="Hyperlink"/>
            <w:rFonts w:ascii="Times New Roman" w:eastAsia="SimSun" w:hAnsi="Times New Roman" w:cs="Times New Roman"/>
            <w:color w:val="auto"/>
            <w:szCs w:val="21"/>
            <w:u w:val="none"/>
            <w:shd w:val="clear" w:color="auto" w:fill="FFFFFF"/>
          </w:rPr>
          <w:t>: 351-386</w:t>
        </w:r>
      </w:hyperlink>
      <w:r>
        <w:rPr>
          <w:rFonts w:ascii="Times New Roman" w:hAnsi="Times New Roman" w:cs="Times New Roman"/>
          <w:szCs w:val="21"/>
          <w:shd w:val="clear" w:color="auto" w:fill="FFFFFF"/>
        </w:rPr>
        <w:t>.</w:t>
      </w:r>
    </w:p>
    <w:p w14:paraId="18EB69BF"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Frankel, J</w:t>
      </w:r>
      <w:r>
        <w:rPr>
          <w:rFonts w:ascii="Times New Roman" w:hAnsi="Times New Roman" w:cs="Times New Roman" w:hint="eastAsia"/>
          <w:szCs w:val="21"/>
        </w:rPr>
        <w:t>.</w:t>
      </w:r>
      <w:r>
        <w:rPr>
          <w:rFonts w:ascii="Times New Roman" w:hAnsi="Times New Roman" w:cs="Times New Roman"/>
          <w:szCs w:val="21"/>
        </w:rPr>
        <w:t xml:space="preserve">, and </w:t>
      </w:r>
      <w:r>
        <w:rPr>
          <w:rFonts w:ascii="Times New Roman" w:hAnsi="Times New Roman" w:cs="Times New Roman" w:hint="eastAsia"/>
          <w:szCs w:val="21"/>
        </w:rPr>
        <w:t>Wei</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S-J</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hAnsi="Times New Roman" w:cs="Times New Roman"/>
          <w:szCs w:val="21"/>
        </w:rPr>
        <w:t>1994</w:t>
      </w:r>
      <w:r>
        <w:rPr>
          <w:rFonts w:ascii="Times New Roman" w:hAnsi="Times New Roman" w:cs="Times New Roman" w:hint="eastAsia"/>
          <w:szCs w:val="21"/>
        </w:rPr>
        <w:t>)</w:t>
      </w:r>
      <w:r>
        <w:rPr>
          <w:rFonts w:ascii="Times New Roman" w:hAnsi="Times New Roman" w:cs="Times New Roman"/>
          <w:szCs w:val="21"/>
        </w:rPr>
        <w:t xml:space="preserve"> Yen Bloc or Dollar Bloc? </w:t>
      </w:r>
      <w:r>
        <w:rPr>
          <w:rFonts w:ascii="Times New Roman" w:hAnsi="Times New Roman" w:cs="Times New Roman" w:hint="eastAsia"/>
          <w:szCs w:val="21"/>
        </w:rPr>
        <w:t>E</w:t>
      </w:r>
      <w:r>
        <w:rPr>
          <w:rFonts w:ascii="Times New Roman" w:hAnsi="Times New Roman" w:cs="Times New Roman"/>
          <w:szCs w:val="21"/>
        </w:rPr>
        <w:t xml:space="preserve">xchange Rate Policies of the East Asian Economies. In </w:t>
      </w:r>
      <w:r>
        <w:rPr>
          <w:rFonts w:ascii="Times New Roman" w:hAnsi="Times New Roman" w:cs="Times New Roman"/>
          <w:i/>
          <w:iCs/>
          <w:szCs w:val="21"/>
        </w:rPr>
        <w:t>Macroeconomic Linkages</w:t>
      </w:r>
      <w:r>
        <w:rPr>
          <w:rFonts w:ascii="Times New Roman" w:hAnsi="Times New Roman" w:cs="Times New Roman"/>
          <w:szCs w:val="21"/>
        </w:rPr>
        <w:t xml:space="preserve">, edited by </w:t>
      </w:r>
      <w:proofErr w:type="spellStart"/>
      <w:r>
        <w:rPr>
          <w:rFonts w:ascii="Times New Roman" w:hAnsi="Times New Roman" w:cs="Times New Roman"/>
          <w:szCs w:val="21"/>
        </w:rPr>
        <w:t>Takatoshi</w:t>
      </w:r>
      <w:proofErr w:type="spellEnd"/>
      <w:r>
        <w:rPr>
          <w:rFonts w:ascii="Times New Roman" w:hAnsi="Times New Roman" w:cs="Times New Roman"/>
          <w:szCs w:val="21"/>
        </w:rPr>
        <w:t xml:space="preserve"> Ito and Anne Krueger, 295</w:t>
      </w:r>
      <w:r>
        <w:rPr>
          <w:rFonts w:ascii="Times New Roman" w:hAnsi="Times New Roman" w:cs="Times New Roman" w:hint="eastAsia"/>
          <w:szCs w:val="21"/>
        </w:rPr>
        <w:t>-</w:t>
      </w:r>
      <w:r>
        <w:rPr>
          <w:rFonts w:ascii="Times New Roman" w:hAnsi="Times New Roman" w:cs="Times New Roman"/>
          <w:szCs w:val="21"/>
        </w:rPr>
        <w:t>329. Chicago, IL: University of Chicago Press.</w:t>
      </w:r>
    </w:p>
    <w:p w14:paraId="1A447218"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color w:val="1E1E1E"/>
          <w:szCs w:val="21"/>
          <w:shd w:val="clear" w:color="auto" w:fill="FFFFFF"/>
        </w:rPr>
        <w:t xml:space="preserve">Frankel, J., and Wei, S-J. (2008) </w:t>
      </w:r>
      <w:r>
        <w:rPr>
          <w:rStyle w:val="Hyperlink"/>
          <w:rFonts w:ascii="Times New Roman" w:hAnsi="Times New Roman" w:cs="Times New Roman"/>
          <w:color w:val="auto"/>
          <w:szCs w:val="21"/>
          <w:u w:val="none"/>
          <w:shd w:val="clear" w:color="auto" w:fill="FFFFFF"/>
        </w:rPr>
        <w:t>Estimation of De Facto Exchange Rate Regimes:  Synthesis of The Techniques for Inferring Flexibility and Basket Weights</w:t>
      </w:r>
      <w:r>
        <w:rPr>
          <w:rFonts w:ascii="Times New Roman" w:hAnsi="Times New Roman" w:cs="Times New Roman"/>
          <w:szCs w:val="21"/>
          <w:shd w:val="clear" w:color="auto" w:fill="FFFFFF"/>
        </w:rPr>
        <w:t>, </w:t>
      </w:r>
      <w:r>
        <w:rPr>
          <w:rStyle w:val="Hyperlink"/>
          <w:rFonts w:ascii="Times New Roman" w:hAnsi="Times New Roman" w:cs="Times New Roman"/>
          <w:i/>
          <w:iCs/>
          <w:color w:val="auto"/>
          <w:szCs w:val="21"/>
          <w:u w:val="none"/>
          <w:shd w:val="clear" w:color="auto" w:fill="FFFFFF"/>
        </w:rPr>
        <w:t>IMF Staff Papers</w:t>
      </w:r>
      <w:r>
        <w:rPr>
          <w:rFonts w:ascii="Times New Roman" w:hAnsi="Times New Roman" w:cs="Times New Roman" w:hint="eastAsia"/>
          <w:szCs w:val="21"/>
          <w:shd w:val="clear" w:color="auto" w:fill="FFFFFF"/>
        </w:rPr>
        <w:t xml:space="preserve"> 55: 384-416. </w:t>
      </w:r>
      <w:r>
        <w:rPr>
          <w:rStyle w:val="Hyperlink"/>
          <w:rFonts w:ascii="Times New Roman" w:hAnsi="Times New Roman" w:cs="Times New Roman"/>
          <w:color w:val="auto"/>
          <w:szCs w:val="21"/>
          <w:u w:val="none"/>
          <w:shd w:val="clear" w:color="auto" w:fill="FFFFFF"/>
        </w:rPr>
        <w:t>NBER WP No. 14016</w:t>
      </w:r>
      <w:hyperlink r:id="rId12" w:history="1">
        <w:r>
          <w:rPr>
            <w:rStyle w:val="Hyperlink"/>
            <w:rFonts w:ascii="Times New Roman" w:hAnsi="Times New Roman" w:cs="Times New Roman"/>
            <w:color w:val="auto"/>
            <w:szCs w:val="21"/>
            <w:u w:val="none"/>
            <w:shd w:val="clear" w:color="auto" w:fill="FFFFFF"/>
          </w:rPr>
          <w:t>.</w:t>
        </w:r>
      </w:hyperlink>
    </w:p>
    <w:p w14:paraId="4ED9D4EA"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Frankel, J., and Xie,</w:t>
      </w:r>
      <w:r>
        <w:rPr>
          <w:rFonts w:ascii="Times New Roman" w:hAnsi="Times New Roman" w:cs="Times New Roman" w:hint="eastAsia"/>
          <w:szCs w:val="21"/>
        </w:rPr>
        <w:t xml:space="preserve"> D</w:t>
      </w:r>
      <w:r>
        <w:rPr>
          <w:rFonts w:ascii="Times New Roman" w:hAnsi="Times New Roman" w:cs="Times New Roman"/>
          <w:szCs w:val="21"/>
        </w:rPr>
        <w:t xml:space="preserve">. </w:t>
      </w:r>
      <w:r>
        <w:rPr>
          <w:rFonts w:ascii="Times New Roman" w:hAnsi="Times New Roman" w:cs="Times New Roman" w:hint="eastAsia"/>
          <w:szCs w:val="21"/>
        </w:rPr>
        <w:t xml:space="preserve">(2010) </w:t>
      </w:r>
      <w:r>
        <w:rPr>
          <w:rFonts w:ascii="Times New Roman" w:hAnsi="Times New Roman" w:cs="Times New Roman"/>
          <w:szCs w:val="21"/>
        </w:rPr>
        <w:t xml:space="preserve">Estimation of De Facto Flexibility Parameter and Basket Weights in Evolving Exchange Rate Regimes. </w:t>
      </w:r>
      <w:r>
        <w:rPr>
          <w:rFonts w:ascii="Times New Roman" w:hAnsi="Times New Roman" w:cs="Times New Roman"/>
          <w:i/>
          <w:iCs/>
          <w:szCs w:val="21"/>
        </w:rPr>
        <w:t>American Economic Review</w:t>
      </w:r>
      <w:r>
        <w:rPr>
          <w:rFonts w:ascii="Times New Roman" w:hAnsi="Times New Roman" w:cs="Times New Roman" w:hint="eastAsia"/>
          <w:i/>
          <w:iCs/>
          <w:szCs w:val="21"/>
        </w:rPr>
        <w:t xml:space="preserve"> </w:t>
      </w:r>
      <w:r>
        <w:rPr>
          <w:rFonts w:ascii="Times New Roman" w:hAnsi="Times New Roman" w:cs="Times New Roman"/>
          <w:szCs w:val="21"/>
        </w:rPr>
        <w:t>10</w:t>
      </w:r>
      <w:r>
        <w:rPr>
          <w:rFonts w:ascii="Times New Roman" w:hAnsi="Times New Roman" w:cs="Times New Roman" w:hint="eastAsia"/>
          <w:szCs w:val="21"/>
        </w:rPr>
        <w:t xml:space="preserve">0: </w:t>
      </w:r>
      <w:r>
        <w:rPr>
          <w:rFonts w:ascii="Times New Roman" w:hAnsi="Times New Roman" w:cs="Times New Roman"/>
          <w:szCs w:val="21"/>
        </w:rPr>
        <w:t>568</w:t>
      </w:r>
      <w:r>
        <w:rPr>
          <w:rFonts w:ascii="Times New Roman" w:hAnsi="Times New Roman" w:cs="Times New Roman" w:hint="eastAsia"/>
          <w:szCs w:val="21"/>
        </w:rPr>
        <w:t>-</w:t>
      </w:r>
      <w:r>
        <w:rPr>
          <w:rFonts w:ascii="Times New Roman" w:hAnsi="Times New Roman" w:cs="Times New Roman"/>
          <w:szCs w:val="21"/>
        </w:rPr>
        <w:t>572.</w:t>
      </w:r>
    </w:p>
    <w:p w14:paraId="15C9F8D1"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lastRenderedPageBreak/>
        <w:t xml:space="preserve">Gao, Z., and Ling, S. (2019) Statistical inference for structurally changed threshold autoregressive models. </w:t>
      </w:r>
      <w:proofErr w:type="spellStart"/>
      <w:r>
        <w:rPr>
          <w:rFonts w:ascii="Times New Roman" w:hAnsi="Times New Roman" w:cs="Times New Roman" w:hint="eastAsia"/>
          <w:i/>
          <w:iCs/>
          <w:szCs w:val="21"/>
        </w:rPr>
        <w:t>Statistica</w:t>
      </w:r>
      <w:proofErr w:type="spellEnd"/>
      <w:r>
        <w:rPr>
          <w:rFonts w:ascii="Times New Roman" w:hAnsi="Times New Roman" w:cs="Times New Roman" w:hint="eastAsia"/>
          <w:i/>
          <w:iCs/>
          <w:szCs w:val="21"/>
        </w:rPr>
        <w:t xml:space="preserve"> </w:t>
      </w:r>
      <w:proofErr w:type="spellStart"/>
      <w:r>
        <w:rPr>
          <w:rFonts w:ascii="Times New Roman" w:hAnsi="Times New Roman" w:cs="Times New Roman" w:hint="eastAsia"/>
          <w:i/>
          <w:iCs/>
          <w:szCs w:val="21"/>
        </w:rPr>
        <w:t>Sinica</w:t>
      </w:r>
      <w:proofErr w:type="spellEnd"/>
      <w:r>
        <w:rPr>
          <w:rFonts w:ascii="Times New Roman" w:hAnsi="Times New Roman" w:cs="Times New Roman" w:hint="eastAsia"/>
          <w:szCs w:val="21"/>
        </w:rPr>
        <w:t xml:space="preserve"> 29(4): 1803-1829.</w:t>
      </w:r>
    </w:p>
    <w:p w14:paraId="005B1B4F"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 xml:space="preserve">Ghosh, A., Guide, A.-M., Ostry, J., and Wolf, H. (2000) </w:t>
      </w:r>
      <w:bookmarkStart w:id="100" w:name="OLE_LINK76"/>
      <w:r>
        <w:rPr>
          <w:rFonts w:ascii="Times New Roman" w:hAnsi="Times New Roman" w:cs="Times New Roman" w:hint="eastAsia"/>
          <w:szCs w:val="21"/>
        </w:rPr>
        <w:t>Currency Boards: More than a Quick Fix?</w:t>
      </w:r>
      <w:bookmarkEnd w:id="100"/>
      <w:r>
        <w:rPr>
          <w:rFonts w:ascii="Times New Roman" w:hAnsi="Times New Roman" w:cs="Times New Roman" w:hint="eastAsia"/>
          <w:szCs w:val="21"/>
        </w:rPr>
        <w:t xml:space="preserve"> </w:t>
      </w:r>
      <w:r>
        <w:rPr>
          <w:rFonts w:ascii="Times New Roman" w:hAnsi="Times New Roman" w:cs="Times New Roman" w:hint="eastAsia"/>
          <w:i/>
          <w:iCs/>
          <w:szCs w:val="21"/>
        </w:rPr>
        <w:t>Economic Policy</w:t>
      </w:r>
      <w:r>
        <w:rPr>
          <w:rFonts w:ascii="Times New Roman" w:hAnsi="Times New Roman" w:cs="Times New Roman" w:hint="eastAsia"/>
          <w:szCs w:val="21"/>
        </w:rPr>
        <w:t xml:space="preserve"> 31 (October): 270-335.</w:t>
      </w:r>
    </w:p>
    <w:p w14:paraId="42334DB6"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Jermann, U., Wei,</w:t>
      </w:r>
      <w:r>
        <w:rPr>
          <w:rFonts w:ascii="Times New Roman" w:hAnsi="Times New Roman" w:cs="Times New Roman" w:hint="eastAsia"/>
          <w:szCs w:val="21"/>
        </w:rPr>
        <w:t xml:space="preserve"> B.</w:t>
      </w:r>
      <w:r>
        <w:rPr>
          <w:rFonts w:ascii="Times New Roman" w:hAnsi="Times New Roman" w:cs="Times New Roman"/>
          <w:szCs w:val="21"/>
        </w:rPr>
        <w:t xml:space="preserve">, and </w:t>
      </w:r>
      <w:r>
        <w:rPr>
          <w:rFonts w:ascii="Times New Roman" w:hAnsi="Times New Roman" w:cs="Times New Roman" w:hint="eastAsia"/>
          <w:szCs w:val="21"/>
        </w:rPr>
        <w:t>Yue</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V. (2019) The Two-Pillar Policy for the RMB. No. 2019-8</w:t>
      </w:r>
      <w:r>
        <w:rPr>
          <w:rFonts w:ascii="Times New Roman" w:hAnsi="Times New Roman" w:cs="Times New Roman" w:hint="eastAsia"/>
          <w:szCs w:val="21"/>
        </w:rPr>
        <w:t>,</w:t>
      </w:r>
      <w:r>
        <w:rPr>
          <w:rFonts w:ascii="Times New Roman" w:hAnsi="Times New Roman" w:cs="Times New Roman"/>
          <w:szCs w:val="21"/>
        </w:rPr>
        <w:t xml:space="preserve"> Federal</w:t>
      </w:r>
      <w:r>
        <w:rPr>
          <w:rFonts w:ascii="Times New Roman" w:hAnsi="Times New Roman" w:cs="Times New Roman" w:hint="eastAsia"/>
          <w:szCs w:val="21"/>
        </w:rPr>
        <w:t xml:space="preserve"> </w:t>
      </w:r>
      <w:r>
        <w:rPr>
          <w:rFonts w:ascii="Times New Roman" w:hAnsi="Times New Roman" w:cs="Times New Roman"/>
          <w:szCs w:val="21"/>
        </w:rPr>
        <w:t>Reserve Bank of Atlanta, Atlanta, GA.</w:t>
      </w:r>
    </w:p>
    <w:p w14:paraId="453918CF"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Krugman, P</w:t>
      </w:r>
      <w:r>
        <w:rPr>
          <w:rFonts w:ascii="Times New Roman" w:hAnsi="Times New Roman" w:cs="Times New Roman" w:hint="eastAsia"/>
          <w:szCs w:val="21"/>
        </w:rPr>
        <w:t>. (1991)</w:t>
      </w:r>
      <w:r>
        <w:rPr>
          <w:rFonts w:ascii="Times New Roman" w:hAnsi="Times New Roman" w:cs="Times New Roman"/>
          <w:szCs w:val="21"/>
        </w:rPr>
        <w:t xml:space="preserve"> Target Zones and Exchange Rate Dynamics. </w:t>
      </w:r>
      <w:r>
        <w:rPr>
          <w:rFonts w:ascii="Times New Roman" w:hAnsi="Times New Roman" w:cs="Times New Roman"/>
          <w:i/>
          <w:iCs/>
          <w:szCs w:val="21"/>
        </w:rPr>
        <w:t>Quarterly Journal of Economics</w:t>
      </w:r>
      <w:r>
        <w:rPr>
          <w:rFonts w:ascii="Times New Roman" w:hAnsi="Times New Roman" w:cs="Times New Roman"/>
          <w:szCs w:val="21"/>
        </w:rPr>
        <w:t xml:space="preserve"> 106</w:t>
      </w:r>
      <w:r>
        <w:rPr>
          <w:rFonts w:ascii="Times New Roman" w:hAnsi="Times New Roman" w:cs="Times New Roman" w:hint="eastAsia"/>
          <w:szCs w:val="21"/>
        </w:rPr>
        <w:t>:</w:t>
      </w:r>
      <w:r>
        <w:rPr>
          <w:rFonts w:ascii="Times New Roman" w:hAnsi="Times New Roman" w:cs="Times New Roman"/>
          <w:szCs w:val="21"/>
        </w:rPr>
        <w:t xml:space="preserve"> 669</w:t>
      </w:r>
      <w:r>
        <w:rPr>
          <w:rFonts w:ascii="Times New Roman" w:hAnsi="Times New Roman" w:cs="Times New Roman" w:hint="eastAsia"/>
          <w:szCs w:val="21"/>
        </w:rPr>
        <w:t>-</w:t>
      </w:r>
      <w:r>
        <w:rPr>
          <w:rFonts w:ascii="Times New Roman" w:hAnsi="Times New Roman" w:cs="Times New Roman"/>
          <w:szCs w:val="21"/>
        </w:rPr>
        <w:t>682.</w:t>
      </w:r>
    </w:p>
    <w:p w14:paraId="3A798F52"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Lei, X., Lu, D.,</w:t>
      </w:r>
      <w:r>
        <w:rPr>
          <w:rFonts w:ascii="Times New Roman" w:hAnsi="Times New Roman" w:cs="Times New Roman" w:hint="eastAsia"/>
          <w:szCs w:val="21"/>
        </w:rPr>
        <w:t xml:space="preserve"> and</w:t>
      </w:r>
      <w:r>
        <w:rPr>
          <w:rFonts w:ascii="Times New Roman" w:hAnsi="Times New Roman" w:cs="Times New Roman"/>
          <w:szCs w:val="21"/>
        </w:rPr>
        <w:t xml:space="preserve"> Kasa, K. (2020) "Wait and See" or "Fear of Floating"</w:t>
      </w:r>
      <w:r>
        <w:rPr>
          <w:rFonts w:ascii="Times New Roman" w:hAnsi="Times New Roman" w:cs="Times New Roman" w:hint="eastAsia"/>
          <w:szCs w:val="21"/>
        </w:rPr>
        <w:t xml:space="preserve">? </w:t>
      </w:r>
      <w:r>
        <w:rPr>
          <w:rFonts w:ascii="Times New Roman" w:hAnsi="Times New Roman" w:cs="Times New Roman"/>
          <w:i/>
          <w:iCs/>
          <w:szCs w:val="21"/>
        </w:rPr>
        <w:t>Macroeconomic Dynamics</w:t>
      </w:r>
      <w:r>
        <w:rPr>
          <w:rFonts w:ascii="Times New Roman" w:hAnsi="Times New Roman" w:cs="Times New Roman"/>
          <w:szCs w:val="21"/>
        </w:rPr>
        <w:t xml:space="preserve"> 1</w:t>
      </w:r>
      <w:r>
        <w:rPr>
          <w:rFonts w:ascii="Times New Roman" w:hAnsi="Times New Roman" w:cs="Times New Roman" w:hint="eastAsia"/>
          <w:szCs w:val="21"/>
        </w:rPr>
        <w:t>-</w:t>
      </w:r>
      <w:r>
        <w:rPr>
          <w:rFonts w:ascii="Times New Roman" w:hAnsi="Times New Roman" w:cs="Times New Roman"/>
          <w:szCs w:val="21"/>
        </w:rPr>
        <w:t>52.</w:t>
      </w:r>
    </w:p>
    <w:p w14:paraId="647C19A0"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Levy-</w:t>
      </w:r>
      <w:proofErr w:type="spellStart"/>
      <w:r>
        <w:rPr>
          <w:rFonts w:ascii="Times New Roman" w:hAnsi="Times New Roman" w:cs="Times New Roman" w:hint="eastAsia"/>
          <w:szCs w:val="21"/>
        </w:rPr>
        <w:t>Yeyati</w:t>
      </w:r>
      <w:proofErr w:type="spellEnd"/>
      <w:r>
        <w:rPr>
          <w:rFonts w:ascii="Times New Roman" w:hAnsi="Times New Roman" w:cs="Times New Roman" w:hint="eastAsia"/>
          <w:szCs w:val="21"/>
        </w:rPr>
        <w:t xml:space="preserve">, E. L., and Sturzenegger, F. (2003) To Float or to Fix: Evidence on the Impact of Exchange Rate Regimes on Growth. </w:t>
      </w:r>
      <w:r>
        <w:rPr>
          <w:rFonts w:ascii="Times New Roman" w:hAnsi="Times New Roman" w:cs="Times New Roman" w:hint="eastAsia"/>
          <w:i/>
          <w:iCs/>
          <w:szCs w:val="21"/>
        </w:rPr>
        <w:t>American Economic Review</w:t>
      </w:r>
      <w:r>
        <w:rPr>
          <w:rFonts w:ascii="Times New Roman" w:hAnsi="Times New Roman" w:cs="Times New Roman" w:hint="eastAsia"/>
          <w:szCs w:val="21"/>
        </w:rPr>
        <w:t xml:space="preserve"> 93(4): 1173-1193.</w:t>
      </w:r>
    </w:p>
    <w:p w14:paraId="07EFEAFE"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 xml:space="preserve">Li, D., and Ling, S. (2012) On the Least Squares Estimation of Multiple-Regime Threshold Autoregressive Models. </w:t>
      </w:r>
      <w:r>
        <w:rPr>
          <w:rFonts w:ascii="Times New Roman" w:hAnsi="Times New Roman" w:cs="Times New Roman"/>
          <w:i/>
          <w:szCs w:val="21"/>
        </w:rPr>
        <w:t>Journal of Econometrics</w:t>
      </w:r>
      <w:r>
        <w:rPr>
          <w:rFonts w:ascii="Times New Roman" w:hAnsi="Times New Roman" w:cs="Times New Roman"/>
          <w:szCs w:val="21"/>
        </w:rPr>
        <w:t xml:space="preserve"> 167: 240-253.</w:t>
      </w:r>
    </w:p>
    <w:p w14:paraId="1A16B9EA"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 xml:space="preserve">Lundbergh, S., and </w:t>
      </w:r>
      <w:proofErr w:type="spellStart"/>
      <w:r>
        <w:rPr>
          <w:rFonts w:ascii="Times New Roman" w:hAnsi="Times New Roman" w:cs="Times New Roman"/>
          <w:szCs w:val="21"/>
        </w:rPr>
        <w:t>Terasvirta</w:t>
      </w:r>
      <w:proofErr w:type="spellEnd"/>
      <w:r>
        <w:rPr>
          <w:rFonts w:ascii="Times New Roman" w:hAnsi="Times New Roman" w:cs="Times New Roman"/>
          <w:szCs w:val="21"/>
        </w:rPr>
        <w:t>, T. (200</w:t>
      </w:r>
      <w:r>
        <w:rPr>
          <w:rFonts w:ascii="Times New Roman" w:hAnsi="Times New Roman" w:cs="Times New Roman" w:hint="eastAsia"/>
          <w:szCs w:val="21"/>
        </w:rPr>
        <w:t>6</w:t>
      </w:r>
      <w:r>
        <w:rPr>
          <w:rFonts w:ascii="Times New Roman" w:hAnsi="Times New Roman" w:cs="Times New Roman"/>
          <w:szCs w:val="21"/>
        </w:rPr>
        <w:t>) A Time Series Model for an Exchange Rate in a Target Zone with</w:t>
      </w:r>
      <w:r>
        <w:rPr>
          <w:rFonts w:ascii="Times New Roman" w:hAnsi="Times New Roman" w:cs="Times New Roman" w:hint="eastAsia"/>
          <w:szCs w:val="21"/>
        </w:rPr>
        <w:t xml:space="preserve"> </w:t>
      </w:r>
      <w:r>
        <w:rPr>
          <w:rFonts w:ascii="Times New Roman" w:hAnsi="Times New Roman" w:cs="Times New Roman"/>
          <w:szCs w:val="21"/>
        </w:rPr>
        <w:t xml:space="preserve">Applications. </w:t>
      </w:r>
      <w:r>
        <w:rPr>
          <w:rFonts w:ascii="Times New Roman" w:hAnsi="Times New Roman" w:cs="Times New Roman"/>
          <w:i/>
          <w:iCs/>
          <w:szCs w:val="21"/>
        </w:rPr>
        <w:t>Journal of Econometrics</w:t>
      </w:r>
      <w:r>
        <w:rPr>
          <w:rFonts w:ascii="Times New Roman" w:hAnsi="Times New Roman" w:cs="Times New Roman"/>
          <w:szCs w:val="21"/>
        </w:rPr>
        <w:t xml:space="preserve"> 131: 579</w:t>
      </w:r>
      <w:r>
        <w:rPr>
          <w:rFonts w:ascii="Times New Roman" w:hAnsi="Times New Roman" w:cs="Times New Roman" w:hint="eastAsia"/>
          <w:szCs w:val="21"/>
        </w:rPr>
        <w:t>-</w:t>
      </w:r>
      <w:r>
        <w:rPr>
          <w:rFonts w:ascii="Times New Roman" w:hAnsi="Times New Roman" w:cs="Times New Roman"/>
          <w:szCs w:val="21"/>
        </w:rPr>
        <w:t>609.</w:t>
      </w:r>
    </w:p>
    <w:p w14:paraId="74E6FCDA"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Rajan, R</w:t>
      </w:r>
      <w:r>
        <w:rPr>
          <w:rFonts w:ascii="Times New Roman" w:hAnsi="Times New Roman" w:cs="Times New Roman" w:hint="eastAsia"/>
          <w:szCs w:val="21"/>
        </w:rPr>
        <w:t>.</w:t>
      </w:r>
      <w:r>
        <w:rPr>
          <w:rFonts w:ascii="Times New Roman" w:hAnsi="Times New Roman" w:cs="Times New Roman"/>
          <w:szCs w:val="21"/>
        </w:rPr>
        <w:t xml:space="preserve"> S. </w:t>
      </w:r>
      <w:r>
        <w:rPr>
          <w:rFonts w:ascii="Times New Roman" w:hAnsi="Times New Roman" w:cs="Times New Roman" w:hint="eastAsia"/>
          <w:szCs w:val="21"/>
        </w:rPr>
        <w:t xml:space="preserve">(2010) </w:t>
      </w:r>
      <w:r>
        <w:rPr>
          <w:rFonts w:ascii="Times New Roman" w:hAnsi="Times New Roman" w:cs="Times New Roman"/>
          <w:szCs w:val="21"/>
        </w:rPr>
        <w:t>The Evolution and Impact of Asian Exchange Rate Regimes. Economics Working Paper Series No. 208, Asian Development Bank, Manila, Philippines.</w:t>
      </w:r>
    </w:p>
    <w:p w14:paraId="5C7F35E6"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 xml:space="preserve">Reinhart, C., and Rogoff, K. (2004) The Modern History of Exchange Rate Arrangements: A Reinterpretation. </w:t>
      </w:r>
      <w:r>
        <w:rPr>
          <w:rFonts w:ascii="Times New Roman" w:hAnsi="Times New Roman" w:cs="Times New Roman" w:hint="eastAsia"/>
          <w:i/>
          <w:iCs/>
          <w:szCs w:val="21"/>
        </w:rPr>
        <w:t>Quarterly Journal of Economics</w:t>
      </w:r>
      <w:r>
        <w:rPr>
          <w:rFonts w:ascii="Times New Roman" w:hAnsi="Times New Roman" w:cs="Times New Roman" w:hint="eastAsia"/>
          <w:szCs w:val="21"/>
        </w:rPr>
        <w:t xml:space="preserve"> 119(1): 1-48.</w:t>
      </w:r>
    </w:p>
    <w:p w14:paraId="17439864"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 xml:space="preserve">Rissanen, J. (1989) </w:t>
      </w:r>
      <w:r>
        <w:rPr>
          <w:rFonts w:ascii="Times New Roman" w:hAnsi="Times New Roman" w:cs="Times New Roman"/>
          <w:i/>
          <w:iCs/>
          <w:szCs w:val="21"/>
        </w:rPr>
        <w:t>Stochastic Complexity in Statistical Inquiry</w:t>
      </w:r>
      <w:r>
        <w:rPr>
          <w:rFonts w:ascii="Times New Roman" w:hAnsi="Times New Roman" w:cs="Times New Roman" w:hint="eastAsia"/>
          <w:szCs w:val="21"/>
        </w:rPr>
        <w:t>.</w:t>
      </w:r>
      <w:r>
        <w:rPr>
          <w:rFonts w:ascii="Times New Roman" w:hAnsi="Times New Roman" w:cs="Times New Roman"/>
          <w:szCs w:val="21"/>
        </w:rPr>
        <w:t xml:space="preserve"> Singapore:</w:t>
      </w:r>
      <w:r>
        <w:rPr>
          <w:rFonts w:ascii="Times New Roman" w:hAnsi="Times New Roman" w:cs="Times New Roman" w:hint="eastAsia"/>
          <w:szCs w:val="21"/>
        </w:rPr>
        <w:t xml:space="preserve"> </w:t>
      </w:r>
      <w:r>
        <w:rPr>
          <w:rFonts w:ascii="Times New Roman" w:hAnsi="Times New Roman" w:cs="Times New Roman"/>
          <w:szCs w:val="21"/>
        </w:rPr>
        <w:t>World Scientific.</w:t>
      </w:r>
    </w:p>
    <w:p w14:paraId="1739F405" w14:textId="77777777" w:rsidR="0074478A" w:rsidRDefault="00690393">
      <w:pPr>
        <w:widowControl/>
        <w:spacing w:afterLines="50" w:after="156"/>
        <w:ind w:left="360" w:hanging="360"/>
        <w:rPr>
          <w:rFonts w:ascii="Times New Roman" w:hAnsi="Times New Roman" w:cs="Times New Roman"/>
          <w:color w:val="222222"/>
          <w:szCs w:val="21"/>
          <w:shd w:val="clear" w:color="auto" w:fill="FFFFFF"/>
        </w:rPr>
      </w:pPr>
      <w:r>
        <w:rPr>
          <w:rFonts w:ascii="Times New Roman" w:hAnsi="Times New Roman" w:cs="Times New Roman"/>
          <w:color w:val="222222"/>
          <w:szCs w:val="21"/>
          <w:shd w:val="clear" w:color="auto" w:fill="FFFFFF"/>
        </w:rPr>
        <w:t>Rose, A. K. (2011) Exchange Rate Regimes in the Modern Era: Fixed, Floating, and Flaky. </w:t>
      </w:r>
      <w:r>
        <w:rPr>
          <w:rFonts w:ascii="Times New Roman" w:hAnsi="Times New Roman" w:cs="Times New Roman"/>
          <w:i/>
          <w:iCs/>
          <w:color w:val="222222"/>
          <w:szCs w:val="21"/>
          <w:shd w:val="clear" w:color="auto" w:fill="FFFFFF"/>
        </w:rPr>
        <w:t>Journal of Economic Literature</w:t>
      </w:r>
      <w:r>
        <w:rPr>
          <w:rFonts w:ascii="Times New Roman" w:hAnsi="Times New Roman" w:cs="Times New Roman"/>
          <w:color w:val="222222"/>
          <w:szCs w:val="21"/>
          <w:shd w:val="clear" w:color="auto" w:fill="FFFFFF"/>
        </w:rPr>
        <w:t> 49(3)</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652-72.</w:t>
      </w:r>
    </w:p>
    <w:p w14:paraId="2553266E" w14:textId="77777777" w:rsidR="0074478A" w:rsidRDefault="00690393">
      <w:pPr>
        <w:widowControl/>
        <w:spacing w:afterLines="50" w:after="156"/>
        <w:ind w:left="360" w:hanging="360"/>
        <w:rPr>
          <w:rFonts w:ascii="Times New Roman" w:hAnsi="Times New Roman" w:cs="Times New Roman"/>
          <w:color w:val="222222"/>
          <w:szCs w:val="21"/>
          <w:shd w:val="clear" w:color="auto" w:fill="FFFFFF"/>
        </w:rPr>
      </w:pPr>
      <w:r>
        <w:rPr>
          <w:rFonts w:ascii="Times New Roman" w:hAnsi="Times New Roman" w:cs="Times New Roman" w:hint="eastAsia"/>
          <w:color w:val="222222"/>
          <w:szCs w:val="21"/>
          <w:shd w:val="clear" w:color="auto" w:fill="FFFFFF"/>
        </w:rPr>
        <w:t xml:space="preserve">Shambaugh, J. C. (2004) The Effect of Fixed Exchange Rates on Monetary Policy. </w:t>
      </w:r>
      <w:r>
        <w:rPr>
          <w:rFonts w:ascii="Times New Roman" w:hAnsi="Times New Roman" w:cs="Times New Roman" w:hint="eastAsia"/>
          <w:i/>
          <w:iCs/>
          <w:color w:val="222222"/>
          <w:szCs w:val="21"/>
          <w:shd w:val="clear" w:color="auto" w:fill="FFFFFF"/>
        </w:rPr>
        <w:t>Quarterly Journal of Economics</w:t>
      </w:r>
      <w:r>
        <w:rPr>
          <w:rFonts w:ascii="Times New Roman" w:hAnsi="Times New Roman" w:cs="Times New Roman" w:hint="eastAsia"/>
          <w:color w:val="222222"/>
          <w:szCs w:val="21"/>
          <w:shd w:val="clear" w:color="auto" w:fill="FFFFFF"/>
        </w:rPr>
        <w:t xml:space="preserve"> 119(1):300-351.</w:t>
      </w:r>
    </w:p>
    <w:p w14:paraId="01F60FCC"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color w:val="222222"/>
          <w:szCs w:val="21"/>
          <w:shd w:val="clear" w:color="auto" w:fill="FFFFFF"/>
        </w:rPr>
        <w:t>Williamson, J. (2001) The case for a basket, band and crawl (BBC) regime for East Asia. </w:t>
      </w:r>
      <w:r>
        <w:rPr>
          <w:rFonts w:ascii="Times New Roman" w:hAnsi="Times New Roman" w:cs="Times New Roman" w:hint="eastAsia"/>
          <w:color w:val="222222"/>
          <w:szCs w:val="21"/>
          <w:shd w:val="clear" w:color="auto" w:fill="FFFFFF"/>
        </w:rPr>
        <w:t xml:space="preserve">In </w:t>
      </w:r>
      <w:bookmarkStart w:id="101" w:name="OLE_LINK83"/>
      <w:r>
        <w:rPr>
          <w:rFonts w:ascii="Times New Roman" w:hAnsi="Times New Roman" w:cs="Times New Roman"/>
          <w:i/>
          <w:iCs/>
          <w:color w:val="222222"/>
          <w:szCs w:val="21"/>
          <w:shd w:val="clear" w:color="auto" w:fill="FFFFFF"/>
        </w:rPr>
        <w:t>Future directions for monetary policies in East Asia</w:t>
      </w:r>
      <w:bookmarkEnd w:id="101"/>
      <w:r>
        <w:rPr>
          <w:rFonts w:ascii="Times New Roman" w:hAnsi="Times New Roman" w:cs="Times New Roman" w:hint="eastAsia"/>
          <w:color w:val="222222"/>
          <w:szCs w:val="21"/>
          <w:shd w:val="clear" w:color="auto" w:fill="FFFFFF"/>
        </w:rPr>
        <w:t>,</w:t>
      </w:r>
      <w:r>
        <w:rPr>
          <w:rFonts w:ascii="Times New Roman" w:hAnsi="Times New Roman" w:cs="Times New Roman" w:hint="eastAsia"/>
          <w:i/>
          <w:iCs/>
          <w:color w:val="222222"/>
          <w:szCs w:val="21"/>
          <w:shd w:val="clear" w:color="auto" w:fill="FFFFFF"/>
        </w:rPr>
        <w:t xml:space="preserve"> </w:t>
      </w:r>
      <w:r>
        <w:rPr>
          <w:rFonts w:ascii="Times New Roman" w:hAnsi="Times New Roman" w:cs="Times New Roman" w:hint="eastAsia"/>
          <w:color w:val="222222"/>
          <w:szCs w:val="21"/>
          <w:shd w:val="clear" w:color="auto" w:fill="FFFFFF"/>
        </w:rPr>
        <w:t xml:space="preserve">edited by David Gruen and John Simon, </w:t>
      </w:r>
      <w:r>
        <w:rPr>
          <w:rFonts w:ascii="Times New Roman" w:hAnsi="Times New Roman" w:cs="Times New Roman"/>
          <w:color w:val="222222"/>
          <w:szCs w:val="21"/>
          <w:shd w:val="clear" w:color="auto" w:fill="FFFFFF"/>
        </w:rPr>
        <w:t>96-111.</w:t>
      </w:r>
      <w:r>
        <w:rPr>
          <w:rFonts w:ascii="Times New Roman" w:hAnsi="Times New Roman" w:cs="Times New Roman" w:hint="eastAsia"/>
          <w:color w:val="222222"/>
          <w:szCs w:val="21"/>
          <w:shd w:val="clear" w:color="auto" w:fill="FFFFFF"/>
        </w:rPr>
        <w:t xml:space="preserve"> Sydney, AU: Reserve Bank of Australia.</w:t>
      </w:r>
    </w:p>
    <w:p w14:paraId="57C8C3AC" w14:textId="77777777" w:rsidR="0074478A" w:rsidRDefault="00690393">
      <w:pPr>
        <w:widowControl/>
        <w:spacing w:afterLines="50" w:after="156"/>
        <w:ind w:left="360" w:hanging="360"/>
        <w:rPr>
          <w:rFonts w:ascii="Times New Roman" w:hAnsi="Times New Roman" w:cs="Times New Roman"/>
          <w:szCs w:val="21"/>
        </w:rPr>
      </w:pPr>
      <w:r>
        <w:rPr>
          <w:rFonts w:ascii="Times New Roman" w:hAnsi="Times New Roman" w:cs="Times New Roman"/>
          <w:szCs w:val="21"/>
        </w:rPr>
        <w:t>Yau,</w:t>
      </w:r>
      <w:r>
        <w:rPr>
          <w:rFonts w:ascii="Times New Roman" w:hAnsi="Times New Roman" w:cs="Times New Roman" w:hint="eastAsia"/>
          <w:szCs w:val="21"/>
        </w:rPr>
        <w:t xml:space="preserve"> C. Y.</w:t>
      </w:r>
      <w:r>
        <w:rPr>
          <w:rFonts w:ascii="Times New Roman" w:hAnsi="Times New Roman" w:cs="Times New Roman"/>
          <w:szCs w:val="21"/>
        </w:rPr>
        <w:t>, Tang,</w:t>
      </w:r>
      <w:r>
        <w:rPr>
          <w:rFonts w:ascii="Times New Roman" w:hAnsi="Times New Roman" w:cs="Times New Roman" w:hint="eastAsia"/>
          <w:szCs w:val="21"/>
        </w:rPr>
        <w:t xml:space="preserve"> C. M.</w:t>
      </w:r>
      <w:r>
        <w:rPr>
          <w:rFonts w:ascii="Times New Roman" w:hAnsi="Times New Roman" w:cs="Times New Roman"/>
          <w:szCs w:val="21"/>
        </w:rPr>
        <w:t xml:space="preserve">, </w:t>
      </w:r>
      <w:r>
        <w:rPr>
          <w:rFonts w:ascii="Times New Roman" w:hAnsi="Times New Roman" w:cs="Times New Roman" w:hint="eastAsia"/>
          <w:szCs w:val="21"/>
        </w:rPr>
        <w:t>and</w:t>
      </w:r>
      <w:r>
        <w:rPr>
          <w:rFonts w:ascii="Times New Roman" w:hAnsi="Times New Roman" w:cs="Times New Roman"/>
          <w:szCs w:val="21"/>
        </w:rPr>
        <w:t xml:space="preserve"> Lee</w:t>
      </w:r>
      <w:r>
        <w:rPr>
          <w:rFonts w:ascii="Times New Roman" w:hAnsi="Times New Roman" w:cs="Times New Roman" w:hint="eastAsia"/>
          <w:szCs w:val="21"/>
        </w:rPr>
        <w:t>, T. C. M.</w:t>
      </w:r>
      <w:r>
        <w:rPr>
          <w:rFonts w:ascii="Times New Roman" w:hAnsi="Times New Roman" w:cs="Times New Roman"/>
          <w:szCs w:val="21"/>
        </w:rPr>
        <w:t xml:space="preserve"> (2015) Estimation of</w:t>
      </w:r>
      <w:r>
        <w:rPr>
          <w:rFonts w:ascii="Times New Roman" w:hAnsi="Times New Roman" w:cs="Times New Roman" w:hint="eastAsia"/>
          <w:szCs w:val="21"/>
        </w:rPr>
        <w:t xml:space="preserve"> </w:t>
      </w:r>
      <w:r>
        <w:rPr>
          <w:rFonts w:ascii="Times New Roman" w:hAnsi="Times New Roman" w:cs="Times New Roman"/>
          <w:szCs w:val="21"/>
        </w:rPr>
        <w:t xml:space="preserve">Multiple-Regime Threshold Autoregressive Models </w:t>
      </w:r>
      <w:r>
        <w:rPr>
          <w:rFonts w:ascii="Times New Roman" w:hAnsi="Times New Roman" w:cs="Times New Roman" w:hint="eastAsia"/>
          <w:szCs w:val="21"/>
        </w:rPr>
        <w:t>w</w:t>
      </w:r>
      <w:r>
        <w:rPr>
          <w:rFonts w:ascii="Times New Roman" w:hAnsi="Times New Roman" w:cs="Times New Roman"/>
          <w:szCs w:val="21"/>
        </w:rPr>
        <w:t>ith Structural Breaks</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i/>
          <w:iCs/>
          <w:szCs w:val="21"/>
        </w:rPr>
        <w:t>Journal of the American</w:t>
      </w:r>
      <w:r>
        <w:rPr>
          <w:rFonts w:ascii="Times New Roman" w:hAnsi="Times New Roman" w:cs="Times New Roman" w:hint="eastAsia"/>
          <w:i/>
          <w:iCs/>
          <w:szCs w:val="21"/>
        </w:rPr>
        <w:t xml:space="preserve"> </w:t>
      </w:r>
      <w:r>
        <w:rPr>
          <w:rFonts w:ascii="Times New Roman" w:hAnsi="Times New Roman" w:cs="Times New Roman"/>
          <w:i/>
          <w:iCs/>
          <w:szCs w:val="21"/>
        </w:rPr>
        <w:t>Statistical Association</w:t>
      </w:r>
      <w:r>
        <w:rPr>
          <w:rFonts w:ascii="Times New Roman" w:hAnsi="Times New Roman" w:cs="Times New Roman" w:hint="eastAsia"/>
          <w:szCs w:val="21"/>
        </w:rPr>
        <w:t xml:space="preserve"> </w:t>
      </w:r>
      <w:r>
        <w:rPr>
          <w:rFonts w:ascii="Times New Roman" w:hAnsi="Times New Roman" w:cs="Times New Roman"/>
          <w:szCs w:val="21"/>
        </w:rPr>
        <w:t>110</w:t>
      </w:r>
      <w:r>
        <w:rPr>
          <w:rFonts w:ascii="Times New Roman" w:hAnsi="Times New Roman" w:cs="Times New Roman" w:hint="eastAsia"/>
          <w:szCs w:val="21"/>
        </w:rPr>
        <w:t xml:space="preserve">: </w:t>
      </w:r>
      <w:r>
        <w:rPr>
          <w:rFonts w:ascii="Times New Roman" w:hAnsi="Times New Roman" w:cs="Times New Roman"/>
          <w:szCs w:val="21"/>
        </w:rPr>
        <w:t>1175-1186</w:t>
      </w:r>
      <w:r>
        <w:rPr>
          <w:rFonts w:ascii="Times New Roman" w:hAnsi="Times New Roman" w:cs="Times New Roman" w:hint="eastAsia"/>
          <w:szCs w:val="21"/>
        </w:rPr>
        <w:t>.</w:t>
      </w:r>
    </w:p>
    <w:p w14:paraId="4C079107" w14:textId="77777777" w:rsidR="0074478A" w:rsidRDefault="00690393">
      <w:pPr>
        <w:widowControl/>
        <w:spacing w:afterLines="50" w:after="156"/>
        <w:ind w:left="360" w:hanging="360"/>
        <w:rPr>
          <w:rFonts w:ascii="Times New Roman" w:hAnsi="Times New Roman" w:cs="Times New Roman"/>
          <w:szCs w:val="21"/>
        </w:rPr>
        <w:sectPr w:rsidR="0074478A">
          <w:footerReference w:type="default" r:id="rId13"/>
          <w:pgSz w:w="11906" w:h="16838"/>
          <w:pgMar w:top="1440" w:right="1800" w:bottom="1440" w:left="1800" w:header="851" w:footer="992" w:gutter="0"/>
          <w:cols w:space="425"/>
          <w:docGrid w:type="lines" w:linePitch="312"/>
        </w:sectPr>
      </w:pPr>
      <w:r>
        <w:rPr>
          <w:rFonts w:ascii="Times New Roman" w:hAnsi="Times New Roman" w:cs="Times New Roman" w:hint="eastAsia"/>
          <w:szCs w:val="21"/>
        </w:rPr>
        <w:t xml:space="preserve">Zhu, K., and Ling, S. (2012) Likelihood ratio tests for the structural change of an AR (p) model to a threshold AR (p) model. </w:t>
      </w:r>
      <w:r>
        <w:rPr>
          <w:rFonts w:ascii="Times New Roman" w:hAnsi="Times New Roman" w:cs="Times New Roman" w:hint="eastAsia"/>
          <w:i/>
          <w:iCs/>
          <w:szCs w:val="21"/>
        </w:rPr>
        <w:t>Journal of Time Series Analysis</w:t>
      </w:r>
      <w:r>
        <w:rPr>
          <w:rFonts w:ascii="Times New Roman" w:hAnsi="Times New Roman" w:cs="Times New Roman" w:hint="eastAsia"/>
          <w:szCs w:val="21"/>
        </w:rPr>
        <w:t xml:space="preserve"> 33(2): 223-232.</w:t>
      </w:r>
    </w:p>
    <w:p w14:paraId="59538778" w14:textId="77777777" w:rsidR="0074478A" w:rsidRDefault="00690393">
      <w:pPr>
        <w:widowControl/>
        <w:spacing w:afterLines="100" w:after="312"/>
        <w:jc w:val="left"/>
        <w:rPr>
          <w:rFonts w:ascii="Times New Roman" w:hAnsi="Times New Roman" w:cs="Times New Roman"/>
        </w:rPr>
      </w:pPr>
      <w:r>
        <w:rPr>
          <w:rFonts w:ascii="Times New Roman" w:hAnsi="Times New Roman" w:cs="Times New Roman" w:hint="eastAsia"/>
          <w:b/>
          <w:bCs/>
          <w:szCs w:val="21"/>
        </w:rPr>
        <w:lastRenderedPageBreak/>
        <w:t>Table</w:t>
      </w:r>
      <w:r>
        <w:rPr>
          <w:rFonts w:ascii="Times New Roman" w:hAnsi="Times New Roman" w:cs="Times New Roman"/>
          <w:b/>
          <w:bCs/>
          <w:szCs w:val="21"/>
        </w:rPr>
        <w:t>s</w:t>
      </w:r>
    </w:p>
    <w:p w14:paraId="7480DCD5"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Table 1 Countries </w:t>
      </w:r>
      <w:r>
        <w:rPr>
          <w:rFonts w:ascii="Times New Roman" w:hAnsi="Times New Roman" w:cs="Times New Roman"/>
        </w:rPr>
        <w:t>C</w:t>
      </w:r>
      <w:r>
        <w:rPr>
          <w:rFonts w:ascii="Times New Roman" w:hAnsi="Times New Roman" w:cs="Times New Roman" w:hint="eastAsia"/>
        </w:rPr>
        <w:t xml:space="preserve">overed in </w:t>
      </w:r>
      <w:r>
        <w:rPr>
          <w:rFonts w:ascii="Times New Roman" w:hAnsi="Times New Roman" w:cs="Times New Roman"/>
        </w:rPr>
        <w:t>the</w:t>
      </w:r>
      <w:r>
        <w:rPr>
          <w:rFonts w:ascii="Times New Roman" w:hAnsi="Times New Roman" w:cs="Times New Roman" w:hint="eastAsia"/>
        </w:rPr>
        <w:t xml:space="preserve"> </w:t>
      </w:r>
      <w:r>
        <w:rPr>
          <w:rFonts w:ascii="Times New Roman" w:hAnsi="Times New Roman" w:cs="Times New Roman"/>
        </w:rPr>
        <w:t>S</w:t>
      </w:r>
      <w:r>
        <w:rPr>
          <w:rFonts w:ascii="Times New Roman" w:hAnsi="Times New Roman" w:cs="Times New Roman" w:hint="eastAsia"/>
        </w:rPr>
        <w:t>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6415"/>
      </w:tblGrid>
      <w:tr w:rsidR="0074478A" w14:paraId="5D3C0BC6" w14:textId="77777777">
        <w:trPr>
          <w:trHeight w:val="23"/>
        </w:trPr>
        <w:tc>
          <w:tcPr>
            <w:tcW w:w="1924" w:type="dxa"/>
            <w:tcBorders>
              <w:top w:val="single" w:sz="12" w:space="0" w:color="auto"/>
              <w:bottom w:val="single" w:sz="8" w:space="0" w:color="auto"/>
            </w:tcBorders>
          </w:tcPr>
          <w:p w14:paraId="0EA4DA35"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Region</w:t>
            </w:r>
          </w:p>
        </w:tc>
        <w:tc>
          <w:tcPr>
            <w:tcW w:w="6598" w:type="dxa"/>
            <w:tcBorders>
              <w:top w:val="single" w:sz="12" w:space="0" w:color="auto"/>
              <w:bottom w:val="single" w:sz="8" w:space="0" w:color="auto"/>
            </w:tcBorders>
          </w:tcPr>
          <w:p w14:paraId="6553DC6C" w14:textId="77777777" w:rsidR="0074478A" w:rsidRDefault="00690393">
            <w:pPr>
              <w:spacing w:line="240" w:lineRule="atLeast"/>
              <w:jc w:val="center"/>
              <w:rPr>
                <w:rFonts w:ascii="Times New Roman" w:hAnsi="Times New Roman" w:cs="Times New Roman"/>
              </w:rPr>
            </w:pPr>
            <w:r>
              <w:rPr>
                <w:rFonts w:ascii="Times New Roman" w:hAnsi="Times New Roman" w:cs="Times New Roman" w:hint="eastAsia"/>
              </w:rPr>
              <w:t>Countries</w:t>
            </w:r>
          </w:p>
        </w:tc>
      </w:tr>
      <w:tr w:rsidR="0074478A" w14:paraId="49CBCA69" w14:textId="77777777">
        <w:trPr>
          <w:trHeight w:val="23"/>
        </w:trPr>
        <w:tc>
          <w:tcPr>
            <w:tcW w:w="1924" w:type="dxa"/>
            <w:tcBorders>
              <w:top w:val="single" w:sz="8" w:space="0" w:color="auto"/>
              <w:bottom w:val="nil"/>
              <w:tl2br w:val="nil"/>
              <w:tr2bl w:val="nil"/>
            </w:tcBorders>
          </w:tcPr>
          <w:p w14:paraId="639CA463"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Asia</w:t>
            </w:r>
          </w:p>
        </w:tc>
        <w:tc>
          <w:tcPr>
            <w:tcW w:w="6598" w:type="dxa"/>
            <w:tcBorders>
              <w:top w:val="single" w:sz="8" w:space="0" w:color="auto"/>
              <w:bottom w:val="nil"/>
              <w:tl2br w:val="nil"/>
              <w:tr2bl w:val="nil"/>
            </w:tcBorders>
          </w:tcPr>
          <w:p w14:paraId="0B5B54AB" w14:textId="77777777" w:rsidR="0074478A" w:rsidRDefault="00690393">
            <w:pPr>
              <w:spacing w:line="240" w:lineRule="atLeast"/>
              <w:rPr>
                <w:rFonts w:ascii="Times New Roman" w:hAnsi="Times New Roman" w:cs="Times New Roman"/>
              </w:rPr>
            </w:pPr>
            <w:r>
              <w:rPr>
                <w:rFonts w:ascii="Times New Roman" w:hAnsi="Times New Roman" w:cs="Times New Roman"/>
              </w:rPr>
              <w:t>China</w:t>
            </w:r>
            <w:r>
              <w:rPr>
                <w:rFonts w:ascii="Times New Roman" w:hAnsi="Times New Roman" w:cs="Times New Roman" w:hint="eastAsia"/>
              </w:rPr>
              <w:t>, India, Indonesia, Philippines, Saudi Arabia, Singapore, South Korea, Thailand, United Arab Emirates</w:t>
            </w:r>
          </w:p>
        </w:tc>
      </w:tr>
      <w:tr w:rsidR="0074478A" w14:paraId="223BD5E7" w14:textId="77777777">
        <w:trPr>
          <w:trHeight w:val="23"/>
        </w:trPr>
        <w:tc>
          <w:tcPr>
            <w:tcW w:w="1924" w:type="dxa"/>
            <w:tcBorders>
              <w:top w:val="nil"/>
            </w:tcBorders>
          </w:tcPr>
          <w:p w14:paraId="2A20F104"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Africa</w:t>
            </w:r>
          </w:p>
        </w:tc>
        <w:tc>
          <w:tcPr>
            <w:tcW w:w="6598" w:type="dxa"/>
            <w:tcBorders>
              <w:top w:val="nil"/>
            </w:tcBorders>
          </w:tcPr>
          <w:p w14:paraId="4CCAFC3F"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South Africa</w:t>
            </w:r>
          </w:p>
        </w:tc>
      </w:tr>
      <w:tr w:rsidR="0074478A" w14:paraId="50204B27" w14:textId="77777777">
        <w:trPr>
          <w:trHeight w:val="23"/>
        </w:trPr>
        <w:tc>
          <w:tcPr>
            <w:tcW w:w="1924" w:type="dxa"/>
            <w:tcBorders>
              <w:top w:val="nil"/>
            </w:tcBorders>
          </w:tcPr>
          <w:p w14:paraId="6C89D0AA"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Europe</w:t>
            </w:r>
          </w:p>
        </w:tc>
        <w:tc>
          <w:tcPr>
            <w:tcW w:w="6598" w:type="dxa"/>
            <w:tcBorders>
              <w:top w:val="nil"/>
            </w:tcBorders>
          </w:tcPr>
          <w:p w14:paraId="7E16EA1D" w14:textId="77777777" w:rsidR="0074478A" w:rsidRDefault="00690393">
            <w:pPr>
              <w:spacing w:line="240" w:lineRule="atLeast"/>
              <w:rPr>
                <w:rFonts w:ascii="Times New Roman" w:hAnsi="Times New Roman" w:cs="Times New Roman"/>
              </w:rPr>
            </w:pPr>
            <w:r>
              <w:rPr>
                <w:rFonts w:ascii="Times New Roman" w:hAnsi="Times New Roman" w:cs="Times New Roman"/>
              </w:rPr>
              <w:t>Czech Republic</w:t>
            </w:r>
            <w:r>
              <w:rPr>
                <w:rFonts w:ascii="Times New Roman" w:hAnsi="Times New Roman" w:cs="Times New Roman" w:hint="eastAsia"/>
              </w:rPr>
              <w:t>, Hungary, Iceland, Norway, Poland, Romania, Russia, Sweden</w:t>
            </w:r>
          </w:p>
        </w:tc>
      </w:tr>
      <w:tr w:rsidR="0074478A" w14:paraId="13BEE903" w14:textId="77777777">
        <w:trPr>
          <w:trHeight w:val="23"/>
        </w:trPr>
        <w:tc>
          <w:tcPr>
            <w:tcW w:w="1924" w:type="dxa"/>
            <w:tcBorders>
              <w:tl2br w:val="nil"/>
              <w:tr2bl w:val="nil"/>
            </w:tcBorders>
          </w:tcPr>
          <w:p w14:paraId="01EFF150"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North America</w:t>
            </w:r>
          </w:p>
        </w:tc>
        <w:tc>
          <w:tcPr>
            <w:tcW w:w="6598" w:type="dxa"/>
            <w:tcBorders>
              <w:tl2br w:val="nil"/>
              <w:tr2bl w:val="nil"/>
            </w:tcBorders>
          </w:tcPr>
          <w:p w14:paraId="6D092AE1" w14:textId="77777777" w:rsidR="0074478A" w:rsidRDefault="00690393">
            <w:pPr>
              <w:spacing w:line="240" w:lineRule="atLeast"/>
              <w:rPr>
                <w:rFonts w:ascii="Times New Roman" w:hAnsi="Times New Roman" w:cs="Times New Roman"/>
              </w:rPr>
            </w:pPr>
            <w:r>
              <w:rPr>
                <w:rFonts w:ascii="Times New Roman" w:hAnsi="Times New Roman" w:cs="Times New Roman"/>
              </w:rPr>
              <w:t>Canada</w:t>
            </w:r>
            <w:r>
              <w:rPr>
                <w:rFonts w:ascii="Times New Roman" w:hAnsi="Times New Roman" w:cs="Times New Roman" w:hint="eastAsia"/>
              </w:rPr>
              <w:t>, Mexico</w:t>
            </w:r>
          </w:p>
        </w:tc>
      </w:tr>
      <w:tr w:rsidR="0074478A" w14:paraId="0EE193EB" w14:textId="77777777">
        <w:trPr>
          <w:trHeight w:val="23"/>
        </w:trPr>
        <w:tc>
          <w:tcPr>
            <w:tcW w:w="1924" w:type="dxa"/>
            <w:tcBorders>
              <w:tl2br w:val="nil"/>
              <w:tr2bl w:val="nil"/>
            </w:tcBorders>
          </w:tcPr>
          <w:p w14:paraId="1DFDD875"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Oceania</w:t>
            </w:r>
          </w:p>
        </w:tc>
        <w:tc>
          <w:tcPr>
            <w:tcW w:w="6598" w:type="dxa"/>
            <w:tcBorders>
              <w:tl2br w:val="nil"/>
              <w:tr2bl w:val="nil"/>
            </w:tcBorders>
          </w:tcPr>
          <w:p w14:paraId="2E65B51B" w14:textId="77777777" w:rsidR="0074478A" w:rsidRDefault="00690393">
            <w:pPr>
              <w:spacing w:line="240" w:lineRule="atLeast"/>
              <w:rPr>
                <w:rFonts w:ascii="Times New Roman" w:hAnsi="Times New Roman" w:cs="Times New Roman"/>
              </w:rPr>
            </w:pPr>
            <w:r>
              <w:rPr>
                <w:rFonts w:ascii="Times New Roman" w:hAnsi="Times New Roman" w:cs="Times New Roman"/>
              </w:rPr>
              <w:t>Australia</w:t>
            </w:r>
            <w:r>
              <w:rPr>
                <w:rFonts w:ascii="Times New Roman" w:hAnsi="Times New Roman" w:cs="Times New Roman" w:hint="eastAsia"/>
              </w:rPr>
              <w:t>, New Zealand</w:t>
            </w:r>
          </w:p>
        </w:tc>
      </w:tr>
      <w:tr w:rsidR="0074478A" w14:paraId="5512DA3A" w14:textId="77777777">
        <w:trPr>
          <w:trHeight w:val="23"/>
        </w:trPr>
        <w:tc>
          <w:tcPr>
            <w:tcW w:w="1924" w:type="dxa"/>
            <w:tcBorders>
              <w:bottom w:val="single" w:sz="12" w:space="0" w:color="auto"/>
            </w:tcBorders>
          </w:tcPr>
          <w:p w14:paraId="7EF4604E"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South America</w:t>
            </w:r>
          </w:p>
        </w:tc>
        <w:tc>
          <w:tcPr>
            <w:tcW w:w="6598" w:type="dxa"/>
            <w:tcBorders>
              <w:bottom w:val="single" w:sz="12" w:space="0" w:color="auto"/>
            </w:tcBorders>
          </w:tcPr>
          <w:p w14:paraId="001F8A8C" w14:textId="77777777" w:rsidR="0074478A" w:rsidRDefault="00690393">
            <w:pPr>
              <w:spacing w:line="240" w:lineRule="atLeast"/>
              <w:rPr>
                <w:rFonts w:ascii="Times New Roman" w:hAnsi="Times New Roman" w:cs="Times New Roman"/>
              </w:rPr>
            </w:pPr>
            <w:r>
              <w:rPr>
                <w:rFonts w:ascii="Times New Roman" w:hAnsi="Times New Roman" w:cs="Times New Roman"/>
              </w:rPr>
              <w:t>Brazil</w:t>
            </w:r>
            <w:r>
              <w:rPr>
                <w:rFonts w:ascii="Times New Roman" w:hAnsi="Times New Roman" w:cs="Times New Roman" w:hint="eastAsia"/>
              </w:rPr>
              <w:t>, Chile, Col</w:t>
            </w:r>
            <w:r>
              <w:rPr>
                <w:rFonts w:ascii="Times New Roman" w:hAnsi="Times New Roman" w:cs="Times New Roman"/>
              </w:rPr>
              <w:t>o</w:t>
            </w:r>
            <w:r>
              <w:rPr>
                <w:rFonts w:ascii="Times New Roman" w:hAnsi="Times New Roman" w:cs="Times New Roman" w:hint="eastAsia"/>
              </w:rPr>
              <w:t>mbia, Peru</w:t>
            </w:r>
          </w:p>
        </w:tc>
      </w:tr>
    </w:tbl>
    <w:p w14:paraId="4F4AB3D8" w14:textId="77777777" w:rsidR="0074478A" w:rsidRDefault="0074478A">
      <w:pPr>
        <w:widowControl/>
        <w:spacing w:afterLines="50" w:after="156"/>
        <w:ind w:left="360" w:hanging="360"/>
        <w:rPr>
          <w:rFonts w:ascii="Times New Roman" w:hAnsi="Times New Roman" w:cs="Times New Roman"/>
          <w:szCs w:val="21"/>
        </w:rPr>
      </w:pPr>
    </w:p>
    <w:p w14:paraId="7FE24659" w14:textId="77777777" w:rsidR="0074478A" w:rsidRDefault="0074478A">
      <w:pPr>
        <w:widowControl/>
        <w:spacing w:afterLines="50" w:after="156"/>
        <w:ind w:left="360" w:hanging="360"/>
        <w:rPr>
          <w:rFonts w:ascii="Times New Roman" w:hAnsi="Times New Roman" w:cs="Times New Roman"/>
          <w:szCs w:val="21"/>
        </w:rPr>
      </w:pPr>
    </w:p>
    <w:p w14:paraId="26B1BF37" w14:textId="77777777" w:rsidR="0074478A" w:rsidRDefault="0074478A">
      <w:pPr>
        <w:widowControl/>
        <w:spacing w:afterLines="50" w:after="156"/>
        <w:ind w:left="360" w:hanging="360"/>
        <w:rPr>
          <w:rFonts w:ascii="Times New Roman" w:hAnsi="Times New Roman" w:cs="Times New Roman"/>
          <w:szCs w:val="21"/>
        </w:rPr>
      </w:pPr>
    </w:p>
    <w:p w14:paraId="0C0176A1" w14:textId="77777777" w:rsidR="0074478A" w:rsidRDefault="0074478A">
      <w:pPr>
        <w:widowControl/>
        <w:spacing w:afterLines="50" w:after="156"/>
        <w:ind w:left="360" w:hanging="360"/>
        <w:rPr>
          <w:rFonts w:ascii="Times New Roman" w:hAnsi="Times New Roman" w:cs="Times New Roman"/>
          <w:szCs w:val="21"/>
        </w:rPr>
      </w:pPr>
    </w:p>
    <w:p w14:paraId="2F30A334" w14:textId="77777777" w:rsidR="0074478A" w:rsidRDefault="0074478A">
      <w:pPr>
        <w:widowControl/>
        <w:spacing w:afterLines="50" w:after="156"/>
        <w:ind w:left="360" w:hanging="360"/>
        <w:rPr>
          <w:rFonts w:ascii="Times New Roman" w:hAnsi="Times New Roman" w:cs="Times New Roman"/>
          <w:szCs w:val="21"/>
        </w:rPr>
      </w:pPr>
    </w:p>
    <w:p w14:paraId="77F1DBE0" w14:textId="77777777" w:rsidR="0074478A" w:rsidRDefault="0074478A">
      <w:pPr>
        <w:widowControl/>
        <w:spacing w:afterLines="50" w:after="156"/>
        <w:ind w:left="360" w:hanging="360"/>
        <w:rPr>
          <w:rFonts w:ascii="Times New Roman" w:hAnsi="Times New Roman" w:cs="Times New Roman"/>
          <w:szCs w:val="21"/>
        </w:rPr>
      </w:pPr>
    </w:p>
    <w:p w14:paraId="148D265A" w14:textId="77777777" w:rsidR="0074478A" w:rsidRDefault="0074478A">
      <w:pPr>
        <w:widowControl/>
        <w:spacing w:afterLines="50" w:after="156"/>
        <w:ind w:left="360" w:hanging="360"/>
        <w:rPr>
          <w:rFonts w:ascii="Times New Roman" w:hAnsi="Times New Roman" w:cs="Times New Roman"/>
          <w:szCs w:val="21"/>
        </w:rPr>
      </w:pPr>
    </w:p>
    <w:p w14:paraId="0604F57C" w14:textId="77777777" w:rsidR="0074478A" w:rsidRDefault="0074478A">
      <w:pPr>
        <w:widowControl/>
        <w:spacing w:afterLines="50" w:after="156"/>
        <w:ind w:left="360" w:hanging="360"/>
        <w:rPr>
          <w:rFonts w:ascii="Times New Roman" w:hAnsi="Times New Roman" w:cs="Times New Roman"/>
          <w:szCs w:val="21"/>
        </w:rPr>
      </w:pPr>
    </w:p>
    <w:p w14:paraId="074A3EA9" w14:textId="77777777" w:rsidR="0074478A" w:rsidRDefault="0074478A">
      <w:pPr>
        <w:widowControl/>
        <w:spacing w:afterLines="50" w:after="156"/>
        <w:ind w:left="360" w:hanging="360"/>
        <w:rPr>
          <w:rFonts w:ascii="Times New Roman" w:hAnsi="Times New Roman" w:cs="Times New Roman"/>
          <w:szCs w:val="21"/>
        </w:rPr>
      </w:pPr>
    </w:p>
    <w:p w14:paraId="46529E1B" w14:textId="77777777" w:rsidR="0074478A" w:rsidRDefault="0074478A">
      <w:pPr>
        <w:widowControl/>
        <w:spacing w:afterLines="50" w:after="156"/>
        <w:ind w:left="360" w:hanging="360"/>
        <w:rPr>
          <w:rFonts w:ascii="Times New Roman" w:hAnsi="Times New Roman" w:cs="Times New Roman"/>
          <w:szCs w:val="21"/>
        </w:rPr>
      </w:pPr>
    </w:p>
    <w:p w14:paraId="6A883AF0" w14:textId="77777777" w:rsidR="0074478A" w:rsidRDefault="0074478A">
      <w:pPr>
        <w:widowControl/>
        <w:spacing w:afterLines="50" w:after="156"/>
        <w:ind w:left="360" w:hanging="360"/>
        <w:rPr>
          <w:rFonts w:ascii="Times New Roman" w:hAnsi="Times New Roman" w:cs="Times New Roman"/>
          <w:szCs w:val="21"/>
        </w:rPr>
      </w:pPr>
    </w:p>
    <w:p w14:paraId="0749EDD2" w14:textId="77777777" w:rsidR="0074478A" w:rsidRDefault="0074478A">
      <w:pPr>
        <w:widowControl/>
        <w:spacing w:afterLines="50" w:after="156"/>
        <w:ind w:left="360" w:hanging="360"/>
        <w:rPr>
          <w:rFonts w:ascii="Times New Roman" w:hAnsi="Times New Roman" w:cs="Times New Roman"/>
          <w:szCs w:val="21"/>
        </w:rPr>
      </w:pPr>
    </w:p>
    <w:p w14:paraId="3A354298" w14:textId="77777777" w:rsidR="0074478A" w:rsidRDefault="0074478A">
      <w:pPr>
        <w:widowControl/>
        <w:spacing w:afterLines="50" w:after="156"/>
        <w:ind w:left="360" w:hanging="360"/>
        <w:rPr>
          <w:rFonts w:ascii="Times New Roman" w:hAnsi="Times New Roman" w:cs="Times New Roman"/>
          <w:szCs w:val="21"/>
        </w:rPr>
      </w:pPr>
    </w:p>
    <w:p w14:paraId="284888A1" w14:textId="77777777" w:rsidR="0074478A" w:rsidRDefault="0074478A">
      <w:pPr>
        <w:widowControl/>
        <w:spacing w:afterLines="50" w:after="156"/>
        <w:ind w:left="360" w:hanging="360"/>
        <w:rPr>
          <w:rFonts w:ascii="Times New Roman" w:hAnsi="Times New Roman" w:cs="Times New Roman"/>
          <w:szCs w:val="21"/>
        </w:rPr>
      </w:pPr>
    </w:p>
    <w:p w14:paraId="01AE3FF0" w14:textId="77777777" w:rsidR="0074478A" w:rsidRDefault="0074478A">
      <w:pPr>
        <w:widowControl/>
        <w:spacing w:afterLines="50" w:after="156"/>
        <w:ind w:left="360" w:hanging="360"/>
        <w:rPr>
          <w:rFonts w:ascii="Times New Roman" w:hAnsi="Times New Roman" w:cs="Times New Roman"/>
          <w:szCs w:val="21"/>
        </w:rPr>
      </w:pPr>
    </w:p>
    <w:p w14:paraId="14D79D8D" w14:textId="77777777" w:rsidR="0074478A" w:rsidRDefault="0074478A">
      <w:pPr>
        <w:widowControl/>
        <w:spacing w:afterLines="50" w:after="156"/>
        <w:ind w:left="360" w:hanging="360"/>
        <w:rPr>
          <w:rFonts w:ascii="Times New Roman" w:hAnsi="Times New Roman" w:cs="Times New Roman"/>
          <w:szCs w:val="21"/>
        </w:rPr>
      </w:pPr>
    </w:p>
    <w:p w14:paraId="2EC3E904" w14:textId="77777777" w:rsidR="0074478A" w:rsidRDefault="0074478A">
      <w:pPr>
        <w:widowControl/>
        <w:spacing w:afterLines="50" w:after="156"/>
        <w:ind w:left="360" w:hanging="360"/>
        <w:rPr>
          <w:rFonts w:ascii="Times New Roman" w:hAnsi="Times New Roman" w:cs="Times New Roman"/>
          <w:szCs w:val="21"/>
        </w:rPr>
      </w:pPr>
    </w:p>
    <w:p w14:paraId="2CCF112D" w14:textId="77777777" w:rsidR="0074478A" w:rsidRDefault="0074478A">
      <w:pPr>
        <w:widowControl/>
        <w:spacing w:afterLines="50" w:after="156"/>
        <w:ind w:left="360" w:hanging="360"/>
        <w:rPr>
          <w:rFonts w:ascii="Times New Roman" w:hAnsi="Times New Roman" w:cs="Times New Roman"/>
          <w:szCs w:val="21"/>
        </w:rPr>
      </w:pPr>
    </w:p>
    <w:p w14:paraId="1ED2B335" w14:textId="77777777" w:rsidR="0074478A" w:rsidRDefault="0074478A">
      <w:pPr>
        <w:widowControl/>
        <w:spacing w:afterLines="50" w:after="156"/>
        <w:ind w:left="360" w:hanging="360"/>
        <w:rPr>
          <w:rFonts w:ascii="Times New Roman" w:hAnsi="Times New Roman" w:cs="Times New Roman"/>
          <w:szCs w:val="21"/>
        </w:rPr>
      </w:pPr>
    </w:p>
    <w:p w14:paraId="1431B327" w14:textId="77777777" w:rsidR="0074478A" w:rsidRDefault="0074478A">
      <w:pPr>
        <w:widowControl/>
        <w:spacing w:afterLines="50" w:after="156"/>
        <w:ind w:left="360" w:hanging="360"/>
        <w:rPr>
          <w:rFonts w:ascii="Times New Roman" w:hAnsi="Times New Roman" w:cs="Times New Roman"/>
          <w:szCs w:val="21"/>
        </w:rPr>
      </w:pPr>
    </w:p>
    <w:p w14:paraId="51B289CD" w14:textId="77777777" w:rsidR="0074478A" w:rsidRDefault="00690393">
      <w:pPr>
        <w:rPr>
          <w:rFonts w:ascii="Times New Roman" w:hAnsi="Times New Roman" w:cs="Times New Roman"/>
          <w:szCs w:val="21"/>
        </w:rPr>
      </w:pPr>
      <w:r>
        <w:rPr>
          <w:rFonts w:ascii="Times New Roman" w:hAnsi="Times New Roman" w:cs="Times New Roman" w:hint="eastAsia"/>
          <w:szCs w:val="21"/>
        </w:rPr>
        <w:br w:type="page"/>
      </w:r>
    </w:p>
    <w:p w14:paraId="495D64E0" w14:textId="77777777" w:rsidR="0074478A" w:rsidRDefault="0074478A">
      <w:pPr>
        <w:widowControl/>
        <w:spacing w:afterLines="50" w:after="156"/>
        <w:ind w:left="360" w:hanging="360"/>
        <w:rPr>
          <w:rFonts w:ascii="Times New Roman" w:hAnsi="Times New Roman" w:cs="Times New Roman"/>
          <w:b/>
          <w:bCs/>
          <w:szCs w:val="21"/>
        </w:rPr>
        <w:sectPr w:rsidR="0074478A">
          <w:pgSz w:w="11906" w:h="16838"/>
          <w:pgMar w:top="1440" w:right="1800" w:bottom="1440" w:left="1800" w:header="851" w:footer="992" w:gutter="0"/>
          <w:cols w:space="425"/>
          <w:docGrid w:type="lines" w:linePitch="312"/>
        </w:sectPr>
      </w:pPr>
    </w:p>
    <w:p w14:paraId="1EF3B254" w14:textId="77777777" w:rsidR="0074478A" w:rsidRDefault="00690393">
      <w:pPr>
        <w:spacing w:line="240" w:lineRule="atLeast"/>
        <w:jc w:val="center"/>
        <w:rPr>
          <w:rFonts w:ascii="Times New Roman" w:hAnsi="Times New Roman" w:cs="Times New Roman"/>
        </w:rPr>
      </w:pPr>
      <w:r>
        <w:rPr>
          <w:rFonts w:ascii="Times New Roman" w:hAnsi="Times New Roman" w:cs="Times New Roman" w:hint="eastAsia"/>
        </w:rPr>
        <w:lastRenderedPageBreak/>
        <w:t xml:space="preserve">Table 2 Estimation Results of </w:t>
      </w:r>
      <w:r>
        <w:rPr>
          <w:rFonts w:ascii="Times New Roman" w:hAnsi="Times New Roman" w:cs="Times New Roman"/>
        </w:rPr>
        <w:t xml:space="preserve">the </w:t>
      </w:r>
      <w:r>
        <w:rPr>
          <w:rFonts w:ascii="Times New Roman" w:hAnsi="Times New Roman" w:cs="Times New Roman" w:hint="eastAsia"/>
        </w:rPr>
        <w:t>Currency Basket and Exchange Rate Regime</w:t>
      </w:r>
    </w:p>
    <w:p w14:paraId="060D08E6"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t>Panel A: Australia</w:t>
      </w:r>
      <w:r>
        <w:rPr>
          <w:rFonts w:ascii="Times New Roman" w:hAnsi="Times New Roman" w:cs="Times New Roman"/>
        </w:rPr>
        <w:t xml:space="preserve">  </w:t>
      </w:r>
    </w:p>
    <w:tbl>
      <w:tblPr>
        <w:tblW w:w="4998" w:type="pct"/>
        <w:tblLook w:val="04A0" w:firstRow="1" w:lastRow="0" w:firstColumn="1" w:lastColumn="0" w:noHBand="0" w:noVBand="1"/>
      </w:tblPr>
      <w:tblGrid>
        <w:gridCol w:w="1613"/>
        <w:gridCol w:w="3430"/>
        <w:gridCol w:w="1611"/>
        <w:gridCol w:w="1611"/>
        <w:gridCol w:w="1435"/>
        <w:gridCol w:w="1436"/>
        <w:gridCol w:w="1436"/>
        <w:gridCol w:w="1380"/>
      </w:tblGrid>
      <w:tr w:rsidR="0074478A" w14:paraId="7ECD2F00" w14:textId="77777777">
        <w:trPr>
          <w:trHeight w:val="278"/>
        </w:trPr>
        <w:tc>
          <w:tcPr>
            <w:tcW w:w="1812" w:type="pct"/>
            <w:gridSpan w:val="2"/>
            <w:tcBorders>
              <w:top w:val="single" w:sz="12" w:space="0" w:color="auto"/>
              <w:left w:val="nil"/>
              <w:bottom w:val="single" w:sz="8" w:space="0" w:color="auto"/>
              <w:right w:val="nil"/>
            </w:tcBorders>
            <w:shd w:val="clear" w:color="auto" w:fill="auto"/>
            <w:noWrap/>
            <w:vAlign w:val="center"/>
          </w:tcPr>
          <w:p w14:paraId="3D1B24D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68" w:type="pct"/>
            <w:tcBorders>
              <w:top w:val="single" w:sz="12" w:space="0" w:color="auto"/>
              <w:left w:val="nil"/>
              <w:bottom w:val="single" w:sz="8" w:space="0" w:color="auto"/>
              <w:right w:val="nil"/>
            </w:tcBorders>
            <w:shd w:val="clear" w:color="auto" w:fill="auto"/>
            <w:noWrap/>
            <w:vAlign w:val="center"/>
          </w:tcPr>
          <w:p w14:paraId="55620CC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2D91D82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p>
        </w:tc>
        <w:tc>
          <w:tcPr>
            <w:tcW w:w="568" w:type="pct"/>
            <w:tcBorders>
              <w:top w:val="single" w:sz="12" w:space="0" w:color="auto"/>
              <w:left w:val="nil"/>
              <w:bottom w:val="single" w:sz="8" w:space="0" w:color="auto"/>
              <w:right w:val="nil"/>
            </w:tcBorders>
            <w:shd w:val="clear" w:color="auto" w:fill="auto"/>
            <w:noWrap/>
            <w:vAlign w:val="center"/>
          </w:tcPr>
          <w:p w14:paraId="4F1D6B0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2003/0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p>
          <w:p w14:paraId="369F4A0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2</w:t>
            </w:r>
          </w:p>
        </w:tc>
        <w:tc>
          <w:tcPr>
            <w:tcW w:w="517" w:type="pct"/>
            <w:tcBorders>
              <w:top w:val="single" w:sz="12" w:space="0" w:color="auto"/>
              <w:left w:val="nil"/>
              <w:bottom w:val="single" w:sz="8" w:space="0" w:color="auto"/>
              <w:right w:val="nil"/>
            </w:tcBorders>
            <w:shd w:val="clear" w:color="auto" w:fill="auto"/>
            <w:noWrap/>
            <w:vAlign w:val="center"/>
          </w:tcPr>
          <w:p w14:paraId="17E8A72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2007/0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p>
          <w:p w14:paraId="536108C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/09/0</w:t>
            </w:r>
            <w:r>
              <w:rPr>
                <w:rFonts w:ascii="Times New Roman" w:eastAsia="SimSun" w:hAnsi="Times New Roman" w:cs="Times New Roman" w:hint="eastAsia"/>
                <w:color w:val="000000"/>
                <w:kern w:val="0"/>
                <w:szCs w:val="21"/>
                <w:lang w:bidi="ar"/>
              </w:rPr>
              <w:t>1</w:t>
            </w:r>
          </w:p>
        </w:tc>
        <w:tc>
          <w:tcPr>
            <w:tcW w:w="517" w:type="pct"/>
            <w:tcBorders>
              <w:top w:val="single" w:sz="12" w:space="0" w:color="auto"/>
              <w:left w:val="nil"/>
              <w:bottom w:val="single" w:sz="8" w:space="0" w:color="auto"/>
              <w:right w:val="nil"/>
            </w:tcBorders>
            <w:shd w:val="clear" w:color="auto" w:fill="auto"/>
            <w:noWrap/>
            <w:vAlign w:val="center"/>
          </w:tcPr>
          <w:p w14:paraId="4C9AF8C3"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p w14:paraId="7046205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/07/</w:t>
            </w:r>
            <w:r>
              <w:rPr>
                <w:rFonts w:ascii="Times New Roman" w:eastAsia="SimSun" w:hAnsi="Times New Roman" w:cs="Times New Roman" w:hint="eastAsia"/>
                <w:color w:val="000000"/>
                <w:kern w:val="0"/>
                <w:szCs w:val="21"/>
                <w:lang w:bidi="ar"/>
              </w:rPr>
              <w:t>15</w:t>
            </w:r>
          </w:p>
        </w:tc>
        <w:tc>
          <w:tcPr>
            <w:tcW w:w="517" w:type="pct"/>
            <w:tcBorders>
              <w:top w:val="single" w:sz="12" w:space="0" w:color="auto"/>
              <w:left w:val="nil"/>
              <w:bottom w:val="single" w:sz="8" w:space="0" w:color="auto"/>
              <w:right w:val="nil"/>
            </w:tcBorders>
            <w:shd w:val="clear" w:color="auto" w:fill="auto"/>
            <w:noWrap/>
            <w:vAlign w:val="center"/>
          </w:tcPr>
          <w:p w14:paraId="4D5378B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/07/</w:t>
            </w:r>
            <w:r>
              <w:rPr>
                <w:rFonts w:ascii="Times New Roman" w:eastAsia="SimSun" w:hAnsi="Times New Roman" w:cs="Times New Roman" w:hint="eastAsia"/>
                <w:color w:val="000000"/>
                <w:kern w:val="0"/>
                <w:szCs w:val="21"/>
                <w:lang w:bidi="ar"/>
              </w:rPr>
              <w:t>16</w:t>
            </w:r>
            <w:r>
              <w:rPr>
                <w:rFonts w:ascii="Times New Roman" w:eastAsia="SimSun" w:hAnsi="Times New Roman" w:cs="Times New Roman"/>
                <w:color w:val="000000"/>
                <w:kern w:val="0"/>
                <w:szCs w:val="21"/>
                <w:lang w:bidi="ar"/>
              </w:rPr>
              <w:t>-</w:t>
            </w:r>
          </w:p>
          <w:p w14:paraId="164B709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/05/0</w:t>
            </w:r>
            <w:r>
              <w:rPr>
                <w:rFonts w:ascii="Times New Roman" w:eastAsia="SimSun" w:hAnsi="Times New Roman" w:cs="Times New Roman" w:hint="eastAsia"/>
                <w:color w:val="000000"/>
                <w:kern w:val="0"/>
                <w:szCs w:val="21"/>
                <w:lang w:bidi="ar"/>
              </w:rPr>
              <w:t>3</w:t>
            </w:r>
          </w:p>
        </w:tc>
        <w:tc>
          <w:tcPr>
            <w:tcW w:w="497" w:type="pct"/>
            <w:tcBorders>
              <w:top w:val="single" w:sz="12" w:space="0" w:color="auto"/>
              <w:left w:val="nil"/>
              <w:bottom w:val="single" w:sz="8" w:space="0" w:color="auto"/>
              <w:right w:val="nil"/>
            </w:tcBorders>
            <w:shd w:val="clear" w:color="auto" w:fill="auto"/>
            <w:noWrap/>
            <w:vAlign w:val="center"/>
          </w:tcPr>
          <w:p w14:paraId="672AC50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/05/</w:t>
            </w:r>
            <w:r>
              <w:rPr>
                <w:rFonts w:ascii="Times New Roman" w:eastAsia="SimSun" w:hAnsi="Times New Roman" w:cs="Times New Roman" w:hint="eastAsia"/>
                <w:color w:val="000000"/>
                <w:kern w:val="0"/>
                <w:szCs w:val="21"/>
                <w:lang w:bidi="ar"/>
              </w:rPr>
              <w:t>04</w:t>
            </w:r>
            <w:r>
              <w:rPr>
                <w:rFonts w:ascii="Times New Roman" w:eastAsia="SimSun" w:hAnsi="Times New Roman" w:cs="Times New Roman"/>
                <w:color w:val="000000"/>
                <w:kern w:val="0"/>
                <w:szCs w:val="21"/>
                <w:lang w:bidi="ar"/>
              </w:rPr>
              <w:t>-</w:t>
            </w:r>
          </w:p>
          <w:p w14:paraId="6ED50FD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1</w:t>
            </w:r>
          </w:p>
        </w:tc>
      </w:tr>
      <w:tr w:rsidR="0074478A" w14:paraId="1F5CFC48" w14:textId="77777777">
        <w:trPr>
          <w:trHeight w:val="278"/>
        </w:trPr>
        <w:tc>
          <w:tcPr>
            <w:tcW w:w="581" w:type="pct"/>
            <w:vMerge w:val="restart"/>
            <w:tcBorders>
              <w:top w:val="single" w:sz="8" w:space="0" w:color="auto"/>
              <w:left w:val="nil"/>
              <w:bottom w:val="nil"/>
              <w:right w:val="nil"/>
            </w:tcBorders>
            <w:shd w:val="clear" w:color="auto" w:fill="auto"/>
            <w:noWrap/>
            <w:vAlign w:val="center"/>
          </w:tcPr>
          <w:p w14:paraId="2090FDED"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231" w:type="pct"/>
            <w:tcBorders>
              <w:top w:val="single" w:sz="8" w:space="0" w:color="auto"/>
              <w:left w:val="nil"/>
              <w:bottom w:val="nil"/>
              <w:right w:val="nil"/>
            </w:tcBorders>
            <w:shd w:val="clear" w:color="auto" w:fill="auto"/>
            <w:noWrap/>
            <w:vAlign w:val="center"/>
          </w:tcPr>
          <w:p w14:paraId="756A285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68" w:type="pct"/>
            <w:tcBorders>
              <w:top w:val="single" w:sz="8" w:space="0" w:color="auto"/>
              <w:left w:val="nil"/>
              <w:bottom w:val="nil"/>
              <w:right w:val="nil"/>
            </w:tcBorders>
            <w:shd w:val="clear" w:color="auto" w:fill="auto"/>
            <w:vAlign w:val="bottom"/>
          </w:tcPr>
          <w:p w14:paraId="049B6BA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59.07%</w:t>
            </w:r>
          </w:p>
        </w:tc>
        <w:tc>
          <w:tcPr>
            <w:tcW w:w="568" w:type="pct"/>
            <w:tcBorders>
              <w:top w:val="single" w:sz="8" w:space="0" w:color="auto"/>
              <w:left w:val="nil"/>
              <w:bottom w:val="nil"/>
              <w:right w:val="nil"/>
            </w:tcBorders>
            <w:shd w:val="clear" w:color="auto" w:fill="auto"/>
            <w:noWrap/>
            <w:vAlign w:val="bottom"/>
          </w:tcPr>
          <w:p w14:paraId="597CAC1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-1.50%</w:t>
            </w:r>
          </w:p>
        </w:tc>
        <w:tc>
          <w:tcPr>
            <w:tcW w:w="517" w:type="pct"/>
            <w:tcBorders>
              <w:top w:val="single" w:sz="8" w:space="0" w:color="auto"/>
              <w:left w:val="nil"/>
              <w:bottom w:val="nil"/>
              <w:right w:val="nil"/>
            </w:tcBorders>
            <w:shd w:val="clear" w:color="auto" w:fill="auto"/>
            <w:noWrap/>
            <w:vAlign w:val="bottom"/>
          </w:tcPr>
          <w:p w14:paraId="1EE20B4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35.90%</w:t>
            </w:r>
          </w:p>
        </w:tc>
        <w:tc>
          <w:tcPr>
            <w:tcW w:w="517" w:type="pct"/>
            <w:tcBorders>
              <w:top w:val="single" w:sz="8" w:space="0" w:color="auto"/>
              <w:left w:val="nil"/>
              <w:bottom w:val="nil"/>
              <w:right w:val="nil"/>
            </w:tcBorders>
            <w:shd w:val="clear" w:color="auto" w:fill="auto"/>
            <w:noWrap/>
            <w:vAlign w:val="bottom"/>
          </w:tcPr>
          <w:p w14:paraId="60D85DD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1.20%</w:t>
            </w:r>
          </w:p>
        </w:tc>
        <w:tc>
          <w:tcPr>
            <w:tcW w:w="517" w:type="pct"/>
            <w:tcBorders>
              <w:top w:val="single" w:sz="8" w:space="0" w:color="auto"/>
              <w:left w:val="nil"/>
              <w:bottom w:val="nil"/>
              <w:right w:val="nil"/>
            </w:tcBorders>
            <w:shd w:val="clear" w:color="auto" w:fill="auto"/>
            <w:noWrap/>
            <w:vAlign w:val="bottom"/>
          </w:tcPr>
          <w:p w14:paraId="6795DFC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31.58%</w:t>
            </w:r>
          </w:p>
        </w:tc>
        <w:tc>
          <w:tcPr>
            <w:tcW w:w="497" w:type="pct"/>
            <w:tcBorders>
              <w:top w:val="single" w:sz="8" w:space="0" w:color="auto"/>
              <w:left w:val="nil"/>
              <w:bottom w:val="nil"/>
              <w:right w:val="nil"/>
            </w:tcBorders>
            <w:shd w:val="clear" w:color="auto" w:fill="auto"/>
            <w:noWrap/>
            <w:vAlign w:val="bottom"/>
          </w:tcPr>
          <w:p w14:paraId="7BB6656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31.58%</w:t>
            </w:r>
          </w:p>
        </w:tc>
      </w:tr>
      <w:tr w:rsidR="0074478A" w14:paraId="53AC2347" w14:textId="77777777">
        <w:trPr>
          <w:trHeight w:val="278"/>
        </w:trPr>
        <w:tc>
          <w:tcPr>
            <w:tcW w:w="581" w:type="pct"/>
            <w:vMerge/>
            <w:tcBorders>
              <w:top w:val="nil"/>
              <w:left w:val="nil"/>
              <w:bottom w:val="nil"/>
              <w:right w:val="nil"/>
            </w:tcBorders>
            <w:shd w:val="clear" w:color="auto" w:fill="auto"/>
            <w:noWrap/>
            <w:vAlign w:val="center"/>
          </w:tcPr>
          <w:p w14:paraId="4D47244E" w14:textId="77777777" w:rsidR="0074478A" w:rsidRDefault="0074478A">
            <w:pPr>
              <w:spacing w:line="240" w:lineRule="atLeast"/>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3D48AF7C"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68" w:type="pct"/>
            <w:tcBorders>
              <w:top w:val="nil"/>
              <w:left w:val="nil"/>
              <w:bottom w:val="nil"/>
              <w:right w:val="nil"/>
            </w:tcBorders>
            <w:shd w:val="clear" w:color="auto" w:fill="auto"/>
            <w:noWrap/>
            <w:vAlign w:val="bottom"/>
          </w:tcPr>
          <w:p w14:paraId="2880F82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32.31%</w:t>
            </w:r>
          </w:p>
        </w:tc>
        <w:tc>
          <w:tcPr>
            <w:tcW w:w="568" w:type="pct"/>
            <w:tcBorders>
              <w:top w:val="nil"/>
              <w:left w:val="nil"/>
              <w:bottom w:val="nil"/>
              <w:right w:val="nil"/>
            </w:tcBorders>
            <w:shd w:val="clear" w:color="auto" w:fill="auto"/>
            <w:noWrap/>
            <w:vAlign w:val="bottom"/>
          </w:tcPr>
          <w:p w14:paraId="76BC83F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45.92%</w:t>
            </w:r>
          </w:p>
        </w:tc>
        <w:tc>
          <w:tcPr>
            <w:tcW w:w="517" w:type="pct"/>
            <w:tcBorders>
              <w:top w:val="nil"/>
              <w:left w:val="nil"/>
              <w:bottom w:val="nil"/>
              <w:right w:val="nil"/>
            </w:tcBorders>
            <w:shd w:val="clear" w:color="auto" w:fill="auto"/>
            <w:noWrap/>
            <w:vAlign w:val="bottom"/>
          </w:tcPr>
          <w:p w14:paraId="391ED95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84.97%</w:t>
            </w:r>
          </w:p>
        </w:tc>
        <w:tc>
          <w:tcPr>
            <w:tcW w:w="517" w:type="pct"/>
            <w:tcBorders>
              <w:top w:val="nil"/>
              <w:left w:val="nil"/>
              <w:bottom w:val="nil"/>
              <w:right w:val="nil"/>
            </w:tcBorders>
            <w:shd w:val="clear" w:color="auto" w:fill="auto"/>
            <w:noWrap/>
            <w:vAlign w:val="bottom"/>
          </w:tcPr>
          <w:p w14:paraId="6F83E2B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41.67%</w:t>
            </w:r>
          </w:p>
        </w:tc>
        <w:tc>
          <w:tcPr>
            <w:tcW w:w="517" w:type="pct"/>
            <w:tcBorders>
              <w:top w:val="nil"/>
              <w:left w:val="nil"/>
              <w:bottom w:val="nil"/>
              <w:right w:val="nil"/>
            </w:tcBorders>
            <w:shd w:val="clear" w:color="auto" w:fill="auto"/>
            <w:noWrap/>
            <w:vAlign w:val="bottom"/>
          </w:tcPr>
          <w:p w14:paraId="319EAFE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38.05%</w:t>
            </w:r>
          </w:p>
        </w:tc>
        <w:tc>
          <w:tcPr>
            <w:tcW w:w="497" w:type="pct"/>
            <w:tcBorders>
              <w:top w:val="nil"/>
              <w:left w:val="nil"/>
              <w:bottom w:val="nil"/>
              <w:right w:val="nil"/>
            </w:tcBorders>
            <w:shd w:val="clear" w:color="auto" w:fill="auto"/>
            <w:noWrap/>
            <w:vAlign w:val="bottom"/>
          </w:tcPr>
          <w:p w14:paraId="2FCFD85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38.05%</w:t>
            </w:r>
          </w:p>
        </w:tc>
      </w:tr>
      <w:tr w:rsidR="0074478A" w14:paraId="4C9891FF" w14:textId="77777777">
        <w:trPr>
          <w:trHeight w:val="278"/>
        </w:trPr>
        <w:tc>
          <w:tcPr>
            <w:tcW w:w="581" w:type="pct"/>
            <w:vMerge/>
            <w:tcBorders>
              <w:top w:val="nil"/>
              <w:left w:val="nil"/>
              <w:bottom w:val="nil"/>
              <w:right w:val="nil"/>
            </w:tcBorders>
            <w:shd w:val="clear" w:color="auto" w:fill="auto"/>
            <w:noWrap/>
            <w:vAlign w:val="center"/>
          </w:tcPr>
          <w:p w14:paraId="0DD23D2D" w14:textId="77777777" w:rsidR="0074478A" w:rsidRDefault="0074478A">
            <w:pPr>
              <w:spacing w:line="240" w:lineRule="atLeast"/>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5581ADC7"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68" w:type="pct"/>
            <w:tcBorders>
              <w:top w:val="nil"/>
              <w:left w:val="nil"/>
              <w:bottom w:val="nil"/>
              <w:right w:val="nil"/>
            </w:tcBorders>
            <w:shd w:val="clear" w:color="auto" w:fill="auto"/>
            <w:noWrap/>
            <w:vAlign w:val="bottom"/>
          </w:tcPr>
          <w:p w14:paraId="6AF4A19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7.03%</w:t>
            </w:r>
          </w:p>
        </w:tc>
        <w:tc>
          <w:tcPr>
            <w:tcW w:w="568" w:type="pct"/>
            <w:tcBorders>
              <w:top w:val="nil"/>
              <w:left w:val="nil"/>
              <w:bottom w:val="nil"/>
              <w:right w:val="nil"/>
            </w:tcBorders>
            <w:shd w:val="clear" w:color="auto" w:fill="auto"/>
            <w:noWrap/>
            <w:vAlign w:val="bottom"/>
          </w:tcPr>
          <w:p w14:paraId="45E889E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22.26%</w:t>
            </w:r>
          </w:p>
        </w:tc>
        <w:tc>
          <w:tcPr>
            <w:tcW w:w="517" w:type="pct"/>
            <w:tcBorders>
              <w:top w:val="nil"/>
              <w:left w:val="nil"/>
              <w:bottom w:val="nil"/>
              <w:right w:val="nil"/>
            </w:tcBorders>
            <w:shd w:val="clear" w:color="auto" w:fill="auto"/>
            <w:noWrap/>
            <w:vAlign w:val="bottom"/>
          </w:tcPr>
          <w:p w14:paraId="04FE5D2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-56.66%</w:t>
            </w:r>
          </w:p>
        </w:tc>
        <w:tc>
          <w:tcPr>
            <w:tcW w:w="517" w:type="pct"/>
            <w:tcBorders>
              <w:top w:val="nil"/>
              <w:left w:val="nil"/>
              <w:bottom w:val="nil"/>
              <w:right w:val="nil"/>
            </w:tcBorders>
            <w:shd w:val="clear" w:color="auto" w:fill="auto"/>
            <w:noWrap/>
            <w:vAlign w:val="bottom"/>
          </w:tcPr>
          <w:p w14:paraId="2D49320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14.47%</w:t>
            </w:r>
          </w:p>
        </w:tc>
        <w:tc>
          <w:tcPr>
            <w:tcW w:w="517" w:type="pct"/>
            <w:tcBorders>
              <w:top w:val="nil"/>
              <w:left w:val="nil"/>
              <w:bottom w:val="nil"/>
              <w:right w:val="nil"/>
            </w:tcBorders>
            <w:shd w:val="clear" w:color="auto" w:fill="auto"/>
            <w:noWrap/>
            <w:vAlign w:val="bottom"/>
          </w:tcPr>
          <w:p w14:paraId="6C12317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-0.23%</w:t>
            </w:r>
          </w:p>
        </w:tc>
        <w:tc>
          <w:tcPr>
            <w:tcW w:w="497" w:type="pct"/>
            <w:tcBorders>
              <w:top w:val="nil"/>
              <w:left w:val="nil"/>
              <w:bottom w:val="nil"/>
              <w:right w:val="nil"/>
            </w:tcBorders>
            <w:shd w:val="clear" w:color="auto" w:fill="auto"/>
            <w:noWrap/>
            <w:vAlign w:val="bottom"/>
          </w:tcPr>
          <w:p w14:paraId="11001E5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-0.23%</w:t>
            </w:r>
          </w:p>
        </w:tc>
      </w:tr>
      <w:tr w:rsidR="0074478A" w14:paraId="445F688A" w14:textId="77777777">
        <w:trPr>
          <w:trHeight w:val="278"/>
        </w:trPr>
        <w:tc>
          <w:tcPr>
            <w:tcW w:w="581" w:type="pct"/>
            <w:vMerge/>
            <w:tcBorders>
              <w:top w:val="nil"/>
              <w:left w:val="nil"/>
              <w:bottom w:val="nil"/>
              <w:right w:val="nil"/>
            </w:tcBorders>
            <w:shd w:val="clear" w:color="auto" w:fill="auto"/>
            <w:noWrap/>
            <w:vAlign w:val="center"/>
          </w:tcPr>
          <w:p w14:paraId="1425CBCA" w14:textId="77777777" w:rsidR="0074478A" w:rsidRDefault="0074478A">
            <w:pPr>
              <w:spacing w:line="240" w:lineRule="atLeast"/>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0907CA4B"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68" w:type="pct"/>
            <w:tcBorders>
              <w:top w:val="nil"/>
              <w:left w:val="nil"/>
              <w:bottom w:val="nil"/>
              <w:right w:val="nil"/>
            </w:tcBorders>
            <w:shd w:val="clear" w:color="auto" w:fill="auto"/>
            <w:vAlign w:val="center"/>
          </w:tcPr>
          <w:p w14:paraId="0AE864C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1.58%</w:t>
            </w:r>
          </w:p>
        </w:tc>
        <w:tc>
          <w:tcPr>
            <w:tcW w:w="568" w:type="pct"/>
            <w:tcBorders>
              <w:top w:val="nil"/>
              <w:left w:val="nil"/>
              <w:bottom w:val="nil"/>
              <w:right w:val="nil"/>
            </w:tcBorders>
            <w:shd w:val="clear" w:color="auto" w:fill="auto"/>
            <w:noWrap/>
            <w:vAlign w:val="center"/>
          </w:tcPr>
          <w:p w14:paraId="106F15B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33.31%</w:t>
            </w:r>
          </w:p>
        </w:tc>
        <w:tc>
          <w:tcPr>
            <w:tcW w:w="517" w:type="pct"/>
            <w:tcBorders>
              <w:top w:val="nil"/>
              <w:left w:val="nil"/>
              <w:bottom w:val="nil"/>
              <w:right w:val="nil"/>
            </w:tcBorders>
            <w:shd w:val="clear" w:color="auto" w:fill="auto"/>
            <w:noWrap/>
            <w:vAlign w:val="center"/>
          </w:tcPr>
          <w:p w14:paraId="10A0C4C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35.79%</w:t>
            </w:r>
          </w:p>
        </w:tc>
        <w:tc>
          <w:tcPr>
            <w:tcW w:w="517" w:type="pct"/>
            <w:tcBorders>
              <w:top w:val="nil"/>
              <w:left w:val="nil"/>
              <w:bottom w:val="nil"/>
              <w:right w:val="nil"/>
            </w:tcBorders>
            <w:shd w:val="clear" w:color="auto" w:fill="auto"/>
            <w:noWrap/>
            <w:vAlign w:val="center"/>
          </w:tcPr>
          <w:p w14:paraId="02A9E21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42.66%</w:t>
            </w:r>
          </w:p>
        </w:tc>
        <w:tc>
          <w:tcPr>
            <w:tcW w:w="517" w:type="pct"/>
            <w:tcBorders>
              <w:top w:val="nil"/>
              <w:left w:val="nil"/>
              <w:bottom w:val="nil"/>
              <w:right w:val="nil"/>
            </w:tcBorders>
            <w:shd w:val="clear" w:color="auto" w:fill="auto"/>
            <w:noWrap/>
            <w:vAlign w:val="center"/>
          </w:tcPr>
          <w:p w14:paraId="4A5306A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30.59%</w:t>
            </w:r>
          </w:p>
        </w:tc>
        <w:tc>
          <w:tcPr>
            <w:tcW w:w="497" w:type="pct"/>
            <w:tcBorders>
              <w:top w:val="nil"/>
              <w:left w:val="nil"/>
              <w:bottom w:val="nil"/>
              <w:right w:val="nil"/>
            </w:tcBorders>
            <w:shd w:val="clear" w:color="auto" w:fill="auto"/>
            <w:noWrap/>
            <w:vAlign w:val="center"/>
          </w:tcPr>
          <w:p w14:paraId="6E3362B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30.59%</w:t>
            </w:r>
          </w:p>
        </w:tc>
      </w:tr>
      <w:tr w:rsidR="0074478A" w14:paraId="3444A15F" w14:textId="77777777">
        <w:trPr>
          <w:trHeight w:val="278"/>
        </w:trPr>
        <w:tc>
          <w:tcPr>
            <w:tcW w:w="1812" w:type="pct"/>
            <w:gridSpan w:val="2"/>
            <w:tcBorders>
              <w:top w:val="nil"/>
              <w:left w:val="nil"/>
              <w:bottom w:val="nil"/>
              <w:right w:val="nil"/>
            </w:tcBorders>
            <w:shd w:val="clear" w:color="auto" w:fill="auto"/>
            <w:noWrap/>
            <w:vAlign w:val="center"/>
          </w:tcPr>
          <w:p w14:paraId="1B3A506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611" w:type="dxa"/>
            <w:tcBorders>
              <w:top w:val="nil"/>
              <w:left w:val="nil"/>
              <w:bottom w:val="nil"/>
              <w:right w:val="nil"/>
            </w:tcBorders>
            <w:shd w:val="clear" w:color="auto" w:fill="auto"/>
            <w:noWrap/>
            <w:vAlign w:val="center"/>
          </w:tcPr>
          <w:p w14:paraId="272C145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611" w:type="dxa"/>
            <w:tcBorders>
              <w:top w:val="nil"/>
              <w:left w:val="nil"/>
              <w:bottom w:val="nil"/>
              <w:right w:val="nil"/>
            </w:tcBorders>
            <w:shd w:val="clear" w:color="auto" w:fill="auto"/>
            <w:noWrap/>
            <w:vAlign w:val="center"/>
          </w:tcPr>
          <w:p w14:paraId="6115A7B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17" w:type="pct"/>
            <w:tcBorders>
              <w:top w:val="nil"/>
              <w:left w:val="nil"/>
              <w:bottom w:val="nil"/>
              <w:right w:val="nil"/>
            </w:tcBorders>
            <w:shd w:val="clear" w:color="auto" w:fill="auto"/>
            <w:noWrap/>
            <w:vAlign w:val="center"/>
          </w:tcPr>
          <w:p w14:paraId="16D034A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17" w:type="pct"/>
            <w:tcBorders>
              <w:top w:val="nil"/>
              <w:left w:val="nil"/>
              <w:bottom w:val="nil"/>
              <w:right w:val="nil"/>
            </w:tcBorders>
            <w:shd w:val="clear" w:color="auto" w:fill="auto"/>
            <w:noWrap/>
            <w:vAlign w:val="center"/>
          </w:tcPr>
          <w:p w14:paraId="4C81D432"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17" w:type="pct"/>
            <w:tcBorders>
              <w:top w:val="nil"/>
              <w:left w:val="nil"/>
              <w:bottom w:val="nil"/>
              <w:right w:val="nil"/>
            </w:tcBorders>
            <w:shd w:val="clear" w:color="auto" w:fill="auto"/>
            <w:noWrap/>
            <w:vAlign w:val="center"/>
          </w:tcPr>
          <w:p w14:paraId="2BB66BF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497" w:type="pct"/>
            <w:tcBorders>
              <w:top w:val="nil"/>
              <w:left w:val="nil"/>
              <w:bottom w:val="nil"/>
              <w:right w:val="nil"/>
            </w:tcBorders>
            <w:shd w:val="clear" w:color="auto" w:fill="auto"/>
            <w:noWrap/>
            <w:vAlign w:val="center"/>
          </w:tcPr>
          <w:p w14:paraId="1058A87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5915088E" w14:textId="77777777">
        <w:trPr>
          <w:trHeight w:val="278"/>
        </w:trPr>
        <w:tc>
          <w:tcPr>
            <w:tcW w:w="1812" w:type="pct"/>
            <w:gridSpan w:val="2"/>
            <w:tcBorders>
              <w:top w:val="nil"/>
              <w:left w:val="nil"/>
              <w:bottom w:val="nil"/>
              <w:right w:val="nil"/>
            </w:tcBorders>
            <w:shd w:val="clear" w:color="auto" w:fill="auto"/>
            <w:noWrap/>
            <w:vAlign w:val="center"/>
          </w:tcPr>
          <w:p w14:paraId="47EF8ACF"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11" w:type="dxa"/>
            <w:tcBorders>
              <w:top w:val="nil"/>
              <w:left w:val="nil"/>
              <w:bottom w:val="nil"/>
              <w:right w:val="nil"/>
            </w:tcBorders>
            <w:shd w:val="clear" w:color="auto" w:fill="auto"/>
            <w:noWrap/>
            <w:vAlign w:val="center"/>
          </w:tcPr>
          <w:p w14:paraId="4BAD041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1611" w:type="dxa"/>
            <w:tcBorders>
              <w:top w:val="nil"/>
              <w:left w:val="nil"/>
              <w:bottom w:val="nil"/>
              <w:right w:val="nil"/>
            </w:tcBorders>
            <w:shd w:val="clear" w:color="auto" w:fill="auto"/>
            <w:noWrap/>
            <w:vAlign w:val="center"/>
          </w:tcPr>
          <w:p w14:paraId="4783890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1C2BB53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78</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53D4E91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9.2</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29FFABF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±2.14%</w:t>
            </w:r>
          </w:p>
        </w:tc>
        <w:tc>
          <w:tcPr>
            <w:tcW w:w="497" w:type="pct"/>
            <w:tcBorders>
              <w:top w:val="nil"/>
              <w:left w:val="nil"/>
              <w:bottom w:val="nil"/>
              <w:right w:val="nil"/>
            </w:tcBorders>
            <w:shd w:val="clear" w:color="auto" w:fill="auto"/>
            <w:noWrap/>
            <w:vAlign w:val="center"/>
          </w:tcPr>
          <w:p w14:paraId="5075FA6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tc>
      </w:tr>
      <w:tr w:rsidR="0074478A" w14:paraId="5101AC6F" w14:textId="77777777">
        <w:trPr>
          <w:trHeight w:val="278"/>
        </w:trPr>
        <w:tc>
          <w:tcPr>
            <w:tcW w:w="581" w:type="pct"/>
            <w:vMerge w:val="restart"/>
            <w:tcBorders>
              <w:top w:val="nil"/>
              <w:left w:val="nil"/>
              <w:bottom w:val="nil"/>
              <w:right w:val="nil"/>
            </w:tcBorders>
            <w:shd w:val="clear" w:color="auto" w:fill="auto"/>
            <w:noWrap/>
            <w:vAlign w:val="center"/>
          </w:tcPr>
          <w:p w14:paraId="16F60B14"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231" w:type="pct"/>
            <w:tcBorders>
              <w:top w:val="nil"/>
              <w:left w:val="nil"/>
              <w:bottom w:val="nil"/>
              <w:right w:val="nil"/>
            </w:tcBorders>
            <w:shd w:val="clear" w:color="auto" w:fill="auto"/>
            <w:noWrap/>
            <w:vAlign w:val="center"/>
          </w:tcPr>
          <w:p w14:paraId="7813A96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2557860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29BE774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AF23DA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A34E4C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68/0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661</w:t>
            </w:r>
            <w:r>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2A38577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0.000</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4E814A0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0BD2B21C" w14:textId="77777777">
        <w:trPr>
          <w:trHeight w:val="278"/>
        </w:trPr>
        <w:tc>
          <w:tcPr>
            <w:tcW w:w="581" w:type="pct"/>
            <w:vMerge/>
            <w:tcBorders>
              <w:top w:val="nil"/>
              <w:left w:val="nil"/>
              <w:bottom w:val="nil"/>
              <w:right w:val="nil"/>
            </w:tcBorders>
            <w:shd w:val="clear" w:color="auto" w:fill="auto"/>
            <w:noWrap/>
            <w:vAlign w:val="center"/>
          </w:tcPr>
          <w:p w14:paraId="4840F983" w14:textId="77777777" w:rsidR="0074478A" w:rsidRDefault="0074478A">
            <w:pPr>
              <w:spacing w:line="240" w:lineRule="atLeast"/>
              <w:jc w:val="center"/>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7FB0F29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4257D9E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3F4E882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42C9D38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98</w:t>
            </w:r>
            <w:r>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53C3AA1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94</w:t>
            </w:r>
            <w:r>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1461375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0.000</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85</w:t>
            </w:r>
            <w:r>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70947ED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0.000/0.997</w:t>
            </w:r>
          </w:p>
        </w:tc>
      </w:tr>
      <w:tr w:rsidR="0074478A" w14:paraId="3755C53A" w14:textId="77777777">
        <w:trPr>
          <w:trHeight w:val="278"/>
        </w:trPr>
        <w:tc>
          <w:tcPr>
            <w:tcW w:w="581" w:type="pct"/>
            <w:vMerge/>
            <w:tcBorders>
              <w:top w:val="nil"/>
              <w:left w:val="nil"/>
              <w:bottom w:val="nil"/>
              <w:right w:val="nil"/>
            </w:tcBorders>
            <w:shd w:val="clear" w:color="auto" w:fill="auto"/>
            <w:noWrap/>
            <w:vAlign w:val="center"/>
          </w:tcPr>
          <w:p w14:paraId="2D07920C" w14:textId="77777777" w:rsidR="0074478A" w:rsidRDefault="0074478A">
            <w:pPr>
              <w:spacing w:line="240" w:lineRule="atLeast"/>
              <w:jc w:val="center"/>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167AA0D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797920B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36E8C05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1A274B0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9</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575</w:t>
            </w:r>
            <w:r>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707636B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21CF46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2BD8CDA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0.000/0.993</w:t>
            </w:r>
          </w:p>
        </w:tc>
      </w:tr>
      <w:tr w:rsidR="0074478A" w14:paraId="691EEF93" w14:textId="77777777">
        <w:trPr>
          <w:trHeight w:val="278"/>
        </w:trPr>
        <w:tc>
          <w:tcPr>
            <w:tcW w:w="1812" w:type="pct"/>
            <w:gridSpan w:val="2"/>
            <w:tcBorders>
              <w:top w:val="nil"/>
              <w:left w:val="nil"/>
              <w:bottom w:val="single" w:sz="12" w:space="0" w:color="auto"/>
              <w:right w:val="nil"/>
            </w:tcBorders>
            <w:shd w:val="clear" w:color="auto" w:fill="auto"/>
            <w:noWrap/>
            <w:vAlign w:val="center"/>
          </w:tcPr>
          <w:p w14:paraId="707C18D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68" w:type="pct"/>
            <w:tcBorders>
              <w:top w:val="nil"/>
              <w:left w:val="nil"/>
              <w:bottom w:val="single" w:sz="12" w:space="0" w:color="auto"/>
              <w:right w:val="nil"/>
            </w:tcBorders>
            <w:shd w:val="clear" w:color="auto" w:fill="auto"/>
            <w:noWrap/>
            <w:vAlign w:val="center"/>
          </w:tcPr>
          <w:p w14:paraId="63D1B09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68" w:type="pct"/>
            <w:tcBorders>
              <w:top w:val="nil"/>
              <w:left w:val="nil"/>
              <w:bottom w:val="single" w:sz="12" w:space="0" w:color="auto"/>
              <w:right w:val="nil"/>
            </w:tcBorders>
            <w:shd w:val="clear" w:color="auto" w:fill="auto"/>
            <w:noWrap/>
            <w:vAlign w:val="center"/>
          </w:tcPr>
          <w:p w14:paraId="7E71865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17" w:type="pct"/>
            <w:tcBorders>
              <w:top w:val="nil"/>
              <w:left w:val="nil"/>
              <w:bottom w:val="single" w:sz="12" w:space="0" w:color="auto"/>
              <w:right w:val="nil"/>
            </w:tcBorders>
            <w:shd w:val="clear" w:color="auto" w:fill="auto"/>
            <w:noWrap/>
            <w:vAlign w:val="center"/>
          </w:tcPr>
          <w:p w14:paraId="643CD6B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66.22%</w:t>
            </w:r>
          </w:p>
        </w:tc>
        <w:tc>
          <w:tcPr>
            <w:tcW w:w="517" w:type="pct"/>
            <w:tcBorders>
              <w:top w:val="nil"/>
              <w:left w:val="nil"/>
              <w:bottom w:val="single" w:sz="12" w:space="0" w:color="auto"/>
              <w:right w:val="nil"/>
            </w:tcBorders>
            <w:shd w:val="clear" w:color="auto" w:fill="auto"/>
            <w:noWrap/>
            <w:vAlign w:val="center"/>
          </w:tcPr>
          <w:p w14:paraId="0D05C2B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89.33%</w:t>
            </w:r>
          </w:p>
        </w:tc>
        <w:tc>
          <w:tcPr>
            <w:tcW w:w="517" w:type="pct"/>
            <w:tcBorders>
              <w:top w:val="nil"/>
              <w:left w:val="nil"/>
              <w:bottom w:val="single" w:sz="12" w:space="0" w:color="auto"/>
              <w:right w:val="nil"/>
            </w:tcBorders>
            <w:shd w:val="clear" w:color="auto" w:fill="auto"/>
            <w:noWrap/>
            <w:vAlign w:val="center"/>
          </w:tcPr>
          <w:p w14:paraId="310A80C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35.24%</w:t>
            </w:r>
          </w:p>
        </w:tc>
        <w:tc>
          <w:tcPr>
            <w:tcW w:w="497" w:type="pct"/>
            <w:tcBorders>
              <w:top w:val="nil"/>
              <w:left w:val="nil"/>
              <w:bottom w:val="single" w:sz="12" w:space="0" w:color="auto"/>
              <w:right w:val="nil"/>
            </w:tcBorders>
            <w:shd w:val="clear" w:color="auto" w:fill="auto"/>
            <w:noWrap/>
            <w:vAlign w:val="center"/>
          </w:tcPr>
          <w:p w14:paraId="7AFA230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36.41%</w:t>
            </w:r>
          </w:p>
        </w:tc>
      </w:tr>
    </w:tbl>
    <w:p w14:paraId="62D9DC67" w14:textId="77777777" w:rsidR="0074478A" w:rsidRDefault="0074478A">
      <w:pPr>
        <w:spacing w:line="240" w:lineRule="atLeast"/>
        <w:rPr>
          <w:rFonts w:ascii="Times New Roman" w:hAnsi="Times New Roman" w:cs="Times New Roman"/>
        </w:rPr>
      </w:pPr>
    </w:p>
    <w:p w14:paraId="5AE93AE0" w14:textId="77777777" w:rsidR="0074478A" w:rsidRDefault="0074478A">
      <w:pPr>
        <w:spacing w:line="240" w:lineRule="atLeast"/>
        <w:rPr>
          <w:rFonts w:ascii="Times New Roman" w:hAnsi="Times New Roman" w:cs="Times New Roman"/>
        </w:rPr>
      </w:pPr>
    </w:p>
    <w:p w14:paraId="40848CF3" w14:textId="77777777" w:rsidR="0074478A" w:rsidRDefault="0074478A">
      <w:pPr>
        <w:spacing w:line="240" w:lineRule="atLeast"/>
        <w:rPr>
          <w:rFonts w:ascii="Times New Roman" w:hAnsi="Times New Roman" w:cs="Times New Roman"/>
        </w:rPr>
      </w:pPr>
    </w:p>
    <w:p w14:paraId="38201D7F" w14:textId="77777777" w:rsidR="0074478A" w:rsidRDefault="0074478A">
      <w:pPr>
        <w:spacing w:line="240" w:lineRule="atLeast"/>
        <w:rPr>
          <w:rFonts w:ascii="Times New Roman" w:hAnsi="Times New Roman" w:cs="Times New Roman"/>
        </w:rPr>
      </w:pPr>
    </w:p>
    <w:p w14:paraId="43185519" w14:textId="77777777" w:rsidR="0074478A" w:rsidRDefault="0074478A">
      <w:pPr>
        <w:spacing w:line="240" w:lineRule="atLeast"/>
        <w:rPr>
          <w:rFonts w:ascii="Times New Roman" w:hAnsi="Times New Roman" w:cs="Times New Roman"/>
        </w:rPr>
      </w:pPr>
    </w:p>
    <w:p w14:paraId="17857042" w14:textId="77777777" w:rsidR="0074478A" w:rsidRDefault="0074478A">
      <w:pPr>
        <w:spacing w:line="240" w:lineRule="atLeast"/>
        <w:rPr>
          <w:rFonts w:ascii="Times New Roman" w:hAnsi="Times New Roman" w:cs="Times New Roman"/>
        </w:rPr>
      </w:pPr>
    </w:p>
    <w:p w14:paraId="75305516" w14:textId="77777777" w:rsidR="0074478A" w:rsidRDefault="0074478A">
      <w:pPr>
        <w:spacing w:line="240" w:lineRule="atLeast"/>
        <w:rPr>
          <w:rFonts w:ascii="Times New Roman" w:hAnsi="Times New Roman" w:cs="Times New Roman"/>
        </w:rPr>
      </w:pPr>
    </w:p>
    <w:p w14:paraId="5A3D2746" w14:textId="77777777" w:rsidR="0074478A" w:rsidRDefault="0074478A">
      <w:pPr>
        <w:spacing w:line="240" w:lineRule="atLeast"/>
        <w:rPr>
          <w:rFonts w:ascii="Times New Roman" w:hAnsi="Times New Roman" w:cs="Times New Roman"/>
        </w:rPr>
      </w:pPr>
    </w:p>
    <w:p w14:paraId="7718930D" w14:textId="77777777" w:rsidR="0074478A" w:rsidRDefault="0074478A">
      <w:pPr>
        <w:spacing w:line="240" w:lineRule="atLeast"/>
        <w:rPr>
          <w:rFonts w:ascii="Times New Roman" w:hAnsi="Times New Roman" w:cs="Times New Roman"/>
        </w:rPr>
      </w:pPr>
    </w:p>
    <w:p w14:paraId="04CE45C6" w14:textId="77777777" w:rsidR="0074478A" w:rsidRDefault="0074478A">
      <w:pPr>
        <w:spacing w:line="240" w:lineRule="atLeast"/>
        <w:rPr>
          <w:rFonts w:ascii="Times New Roman" w:hAnsi="Times New Roman" w:cs="Times New Roman"/>
        </w:rPr>
      </w:pPr>
    </w:p>
    <w:p w14:paraId="78576DB4" w14:textId="77777777" w:rsidR="0074478A" w:rsidRDefault="0074478A">
      <w:pPr>
        <w:spacing w:line="240" w:lineRule="atLeast"/>
        <w:rPr>
          <w:rFonts w:ascii="Times New Roman" w:hAnsi="Times New Roman" w:cs="Times New Roman"/>
        </w:rPr>
      </w:pPr>
    </w:p>
    <w:p w14:paraId="4D189C1C" w14:textId="77777777" w:rsidR="0074478A" w:rsidRDefault="0074478A">
      <w:pPr>
        <w:spacing w:line="240" w:lineRule="atLeast"/>
        <w:rPr>
          <w:rFonts w:ascii="Times New Roman" w:hAnsi="Times New Roman" w:cs="Times New Roman"/>
        </w:rPr>
      </w:pPr>
    </w:p>
    <w:p w14:paraId="4429B29E" w14:textId="77777777" w:rsidR="0074478A" w:rsidRDefault="00690393">
      <w:pPr>
        <w:spacing w:line="240" w:lineRule="atLeast"/>
        <w:rPr>
          <w:rFonts w:ascii="Times New Roman" w:hAnsi="Times New Roman" w:cs="Times New Roman"/>
        </w:rPr>
      </w:pPr>
      <w:r>
        <w:rPr>
          <w:rFonts w:ascii="Times New Roman" w:hAnsi="Times New Roman" w:cs="Times New Roman" w:hint="eastAsia"/>
        </w:rPr>
        <w:lastRenderedPageBreak/>
        <w:t>Panel B: Brazil</w:t>
      </w:r>
    </w:p>
    <w:tbl>
      <w:tblPr>
        <w:tblW w:w="0" w:type="auto"/>
        <w:tblLayout w:type="fixed"/>
        <w:tblLook w:val="04A0" w:firstRow="1" w:lastRow="0" w:firstColumn="1" w:lastColumn="0" w:noHBand="0" w:noVBand="1"/>
      </w:tblPr>
      <w:tblGrid>
        <w:gridCol w:w="1862"/>
        <w:gridCol w:w="1818"/>
        <w:gridCol w:w="1749"/>
        <w:gridCol w:w="1749"/>
        <w:gridCol w:w="1749"/>
        <w:gridCol w:w="1749"/>
        <w:gridCol w:w="1749"/>
        <w:gridCol w:w="1749"/>
      </w:tblGrid>
      <w:tr w:rsidR="0074478A" w14:paraId="7F59616A" w14:textId="77777777">
        <w:trPr>
          <w:trHeight w:val="278"/>
        </w:trPr>
        <w:tc>
          <w:tcPr>
            <w:tcW w:w="3680" w:type="dxa"/>
            <w:gridSpan w:val="2"/>
            <w:tcBorders>
              <w:top w:val="single" w:sz="12" w:space="0" w:color="auto"/>
              <w:left w:val="nil"/>
              <w:bottom w:val="single" w:sz="8" w:space="0" w:color="auto"/>
              <w:right w:val="nil"/>
            </w:tcBorders>
            <w:shd w:val="clear" w:color="auto" w:fill="auto"/>
            <w:noWrap/>
            <w:vAlign w:val="center"/>
          </w:tcPr>
          <w:p w14:paraId="0EB6261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749" w:type="dxa"/>
            <w:tcBorders>
              <w:top w:val="single" w:sz="12" w:space="0" w:color="auto"/>
              <w:left w:val="nil"/>
              <w:bottom w:val="single" w:sz="8" w:space="0" w:color="auto"/>
              <w:right w:val="nil"/>
            </w:tcBorders>
            <w:shd w:val="clear" w:color="auto" w:fill="auto"/>
            <w:noWrap/>
            <w:vAlign w:val="center"/>
          </w:tcPr>
          <w:p w14:paraId="7CDF761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1999/01/01-</w:t>
            </w:r>
          </w:p>
          <w:p w14:paraId="23C29D1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27</w:t>
            </w:r>
          </w:p>
        </w:tc>
        <w:tc>
          <w:tcPr>
            <w:tcW w:w="1749" w:type="dxa"/>
            <w:tcBorders>
              <w:top w:val="single" w:sz="12" w:space="0" w:color="auto"/>
              <w:left w:val="nil"/>
              <w:bottom w:val="single" w:sz="8" w:space="0" w:color="auto"/>
              <w:right w:val="nil"/>
            </w:tcBorders>
            <w:shd w:val="clear" w:color="auto" w:fill="auto"/>
            <w:noWrap/>
            <w:vAlign w:val="center"/>
          </w:tcPr>
          <w:p w14:paraId="7C102B9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28</w:t>
            </w:r>
            <w:r>
              <w:rPr>
                <w:rFonts w:ascii="Times New Roman" w:eastAsia="SimSun" w:hAnsi="Times New Roman" w:cs="Times New Roman"/>
                <w:color w:val="000000"/>
                <w:kern w:val="0"/>
                <w:szCs w:val="21"/>
                <w:lang w:bidi="ar"/>
              </w:rPr>
              <w:t>-</w:t>
            </w:r>
          </w:p>
          <w:p w14:paraId="1364B28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2001/03/1</w:t>
            </w:r>
            <w:r>
              <w:rPr>
                <w:rFonts w:ascii="Times New Roman" w:eastAsia="SimSun" w:hAnsi="Times New Roman" w:cs="Times New Roman" w:hint="eastAsia"/>
                <w:color w:val="000000"/>
                <w:kern w:val="0"/>
                <w:szCs w:val="21"/>
                <w:lang w:bidi="ar"/>
              </w:rPr>
              <w:t>4</w:t>
            </w:r>
          </w:p>
        </w:tc>
        <w:tc>
          <w:tcPr>
            <w:tcW w:w="1749" w:type="dxa"/>
            <w:tcBorders>
              <w:top w:val="single" w:sz="12" w:space="0" w:color="auto"/>
              <w:left w:val="nil"/>
              <w:bottom w:val="single" w:sz="8" w:space="0" w:color="auto"/>
              <w:right w:val="nil"/>
            </w:tcBorders>
            <w:shd w:val="clear" w:color="auto" w:fill="auto"/>
            <w:noWrap/>
            <w:vAlign w:val="center"/>
          </w:tcPr>
          <w:p w14:paraId="1921659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2001/03/15-</w:t>
            </w:r>
          </w:p>
          <w:p w14:paraId="31424FE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p>
        </w:tc>
        <w:tc>
          <w:tcPr>
            <w:tcW w:w="1749" w:type="dxa"/>
            <w:tcBorders>
              <w:top w:val="single" w:sz="12" w:space="0" w:color="auto"/>
              <w:left w:val="nil"/>
              <w:bottom w:val="single" w:sz="8" w:space="0" w:color="auto"/>
              <w:right w:val="nil"/>
            </w:tcBorders>
            <w:shd w:val="clear" w:color="auto" w:fill="auto"/>
            <w:noWrap/>
            <w:vAlign w:val="center"/>
          </w:tcPr>
          <w:p w14:paraId="580138A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2002/0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p>
          <w:p w14:paraId="41E7145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p>
        </w:tc>
        <w:tc>
          <w:tcPr>
            <w:tcW w:w="1749" w:type="dxa"/>
            <w:tcBorders>
              <w:top w:val="single" w:sz="12" w:space="0" w:color="auto"/>
              <w:left w:val="nil"/>
              <w:bottom w:val="single" w:sz="8" w:space="0" w:color="auto"/>
              <w:right w:val="nil"/>
            </w:tcBorders>
            <w:shd w:val="clear" w:color="auto" w:fill="auto"/>
            <w:noWrap/>
            <w:vAlign w:val="center"/>
          </w:tcPr>
          <w:p w14:paraId="5903435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23</w:t>
            </w:r>
            <w:r>
              <w:rPr>
                <w:rFonts w:ascii="Times New Roman" w:eastAsia="SimSun" w:hAnsi="Times New Roman" w:cs="Times New Roman"/>
                <w:color w:val="000000"/>
                <w:kern w:val="0"/>
                <w:szCs w:val="21"/>
                <w:lang w:bidi="ar"/>
              </w:rPr>
              <w:t>-</w:t>
            </w:r>
          </w:p>
          <w:p w14:paraId="6D3C1BC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30</w:t>
            </w:r>
          </w:p>
        </w:tc>
        <w:tc>
          <w:tcPr>
            <w:tcW w:w="1749" w:type="dxa"/>
            <w:tcBorders>
              <w:top w:val="single" w:sz="12" w:space="0" w:color="auto"/>
              <w:left w:val="nil"/>
              <w:bottom w:val="single" w:sz="8" w:space="0" w:color="auto"/>
              <w:right w:val="nil"/>
            </w:tcBorders>
            <w:shd w:val="clear" w:color="auto" w:fill="auto"/>
            <w:noWrap/>
            <w:vAlign w:val="center"/>
          </w:tcPr>
          <w:p w14:paraId="3601943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r>
              <w:rPr>
                <w:rFonts w:ascii="Times New Roman" w:eastAsia="SimSun" w:hAnsi="Times New Roman" w:cs="Times New Roman"/>
                <w:color w:val="000000"/>
                <w:kern w:val="0"/>
                <w:szCs w:val="21"/>
                <w:lang w:bidi="ar"/>
              </w:rPr>
              <w:t>-</w:t>
            </w:r>
          </w:p>
          <w:p w14:paraId="759F67A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20</w:t>
            </w:r>
          </w:p>
        </w:tc>
      </w:tr>
      <w:tr w:rsidR="0074478A" w14:paraId="6DBD4F1D" w14:textId="77777777">
        <w:trPr>
          <w:trHeight w:val="278"/>
        </w:trPr>
        <w:tc>
          <w:tcPr>
            <w:tcW w:w="1862" w:type="dxa"/>
            <w:vMerge w:val="restart"/>
            <w:tcBorders>
              <w:top w:val="single" w:sz="8" w:space="0" w:color="auto"/>
              <w:left w:val="nil"/>
              <w:bottom w:val="nil"/>
              <w:right w:val="nil"/>
            </w:tcBorders>
            <w:shd w:val="clear" w:color="auto" w:fill="auto"/>
            <w:noWrap/>
            <w:vAlign w:val="center"/>
          </w:tcPr>
          <w:p w14:paraId="22FB0C3B"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818" w:type="dxa"/>
            <w:tcBorders>
              <w:top w:val="single" w:sz="8" w:space="0" w:color="auto"/>
              <w:left w:val="nil"/>
              <w:bottom w:val="nil"/>
              <w:right w:val="nil"/>
            </w:tcBorders>
            <w:shd w:val="clear" w:color="auto" w:fill="auto"/>
            <w:noWrap/>
            <w:vAlign w:val="center"/>
          </w:tcPr>
          <w:p w14:paraId="1410FC7E"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749" w:type="dxa"/>
            <w:tcBorders>
              <w:top w:val="single" w:sz="8" w:space="0" w:color="auto"/>
              <w:left w:val="nil"/>
              <w:bottom w:val="nil"/>
              <w:right w:val="nil"/>
            </w:tcBorders>
            <w:shd w:val="clear" w:color="auto" w:fill="auto"/>
            <w:vAlign w:val="bottom"/>
          </w:tcPr>
          <w:p w14:paraId="6AB3251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75A1FF5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2CD008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D9ADC3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8FE1BC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73.25%</w:t>
            </w:r>
          </w:p>
        </w:tc>
        <w:tc>
          <w:tcPr>
            <w:tcW w:w="1749" w:type="dxa"/>
            <w:tcBorders>
              <w:top w:val="single" w:sz="8" w:space="0" w:color="auto"/>
              <w:left w:val="nil"/>
              <w:bottom w:val="nil"/>
              <w:right w:val="nil"/>
            </w:tcBorders>
            <w:shd w:val="clear" w:color="auto" w:fill="auto"/>
            <w:noWrap/>
            <w:vAlign w:val="bottom"/>
          </w:tcPr>
          <w:p w14:paraId="777C11A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73.25%</w:t>
            </w:r>
          </w:p>
        </w:tc>
      </w:tr>
      <w:tr w:rsidR="0074478A" w14:paraId="532301A7" w14:textId="77777777">
        <w:trPr>
          <w:trHeight w:val="278"/>
        </w:trPr>
        <w:tc>
          <w:tcPr>
            <w:tcW w:w="1862" w:type="dxa"/>
            <w:vMerge/>
            <w:tcBorders>
              <w:top w:val="nil"/>
              <w:left w:val="nil"/>
              <w:bottom w:val="nil"/>
              <w:right w:val="nil"/>
            </w:tcBorders>
            <w:shd w:val="clear" w:color="auto" w:fill="auto"/>
            <w:noWrap/>
            <w:vAlign w:val="center"/>
          </w:tcPr>
          <w:p w14:paraId="1290EEAB" w14:textId="77777777" w:rsidR="0074478A" w:rsidRDefault="0074478A">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5D20D59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749" w:type="dxa"/>
            <w:tcBorders>
              <w:top w:val="nil"/>
              <w:left w:val="nil"/>
              <w:bottom w:val="nil"/>
              <w:right w:val="nil"/>
            </w:tcBorders>
            <w:shd w:val="clear" w:color="auto" w:fill="auto"/>
            <w:noWrap/>
            <w:vAlign w:val="bottom"/>
          </w:tcPr>
          <w:p w14:paraId="4FAEAF9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7B91F98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2A1DD40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555C0EA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47AAC4A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8.89%</w:t>
            </w:r>
          </w:p>
        </w:tc>
        <w:tc>
          <w:tcPr>
            <w:tcW w:w="1749" w:type="dxa"/>
            <w:tcBorders>
              <w:top w:val="nil"/>
              <w:left w:val="nil"/>
              <w:bottom w:val="nil"/>
              <w:right w:val="nil"/>
            </w:tcBorders>
            <w:shd w:val="clear" w:color="auto" w:fill="auto"/>
            <w:noWrap/>
            <w:vAlign w:val="bottom"/>
          </w:tcPr>
          <w:p w14:paraId="7D4820E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8.89%</w:t>
            </w:r>
          </w:p>
        </w:tc>
      </w:tr>
      <w:tr w:rsidR="0074478A" w14:paraId="28D400BB" w14:textId="77777777">
        <w:trPr>
          <w:trHeight w:val="278"/>
        </w:trPr>
        <w:tc>
          <w:tcPr>
            <w:tcW w:w="1862" w:type="dxa"/>
            <w:vMerge/>
            <w:tcBorders>
              <w:top w:val="nil"/>
              <w:left w:val="nil"/>
              <w:bottom w:val="nil"/>
              <w:right w:val="nil"/>
            </w:tcBorders>
            <w:shd w:val="clear" w:color="auto" w:fill="auto"/>
            <w:noWrap/>
            <w:vAlign w:val="center"/>
          </w:tcPr>
          <w:p w14:paraId="0103454E" w14:textId="77777777" w:rsidR="0074478A" w:rsidRDefault="0074478A">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75866872"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749" w:type="dxa"/>
            <w:tcBorders>
              <w:top w:val="nil"/>
              <w:left w:val="nil"/>
              <w:bottom w:val="nil"/>
              <w:right w:val="nil"/>
            </w:tcBorders>
            <w:shd w:val="clear" w:color="auto" w:fill="auto"/>
            <w:noWrap/>
            <w:vAlign w:val="bottom"/>
          </w:tcPr>
          <w:p w14:paraId="4061D69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04719FD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160DDE2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2D10A9A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734A496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15.34%</w:t>
            </w:r>
          </w:p>
        </w:tc>
        <w:tc>
          <w:tcPr>
            <w:tcW w:w="1749" w:type="dxa"/>
            <w:tcBorders>
              <w:top w:val="nil"/>
              <w:left w:val="nil"/>
              <w:bottom w:val="nil"/>
              <w:right w:val="nil"/>
            </w:tcBorders>
            <w:shd w:val="clear" w:color="auto" w:fill="auto"/>
            <w:noWrap/>
            <w:vAlign w:val="bottom"/>
          </w:tcPr>
          <w:p w14:paraId="03EFFD4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15.34%</w:t>
            </w:r>
          </w:p>
        </w:tc>
      </w:tr>
      <w:tr w:rsidR="0074478A" w14:paraId="2F8C5B38" w14:textId="77777777">
        <w:trPr>
          <w:trHeight w:val="278"/>
        </w:trPr>
        <w:tc>
          <w:tcPr>
            <w:tcW w:w="1862" w:type="dxa"/>
            <w:vMerge/>
            <w:tcBorders>
              <w:top w:val="nil"/>
              <w:left w:val="nil"/>
              <w:bottom w:val="nil"/>
              <w:right w:val="nil"/>
            </w:tcBorders>
            <w:shd w:val="clear" w:color="auto" w:fill="auto"/>
            <w:noWrap/>
            <w:vAlign w:val="center"/>
          </w:tcPr>
          <w:p w14:paraId="682CD668" w14:textId="77777777" w:rsidR="0074478A" w:rsidRDefault="0074478A">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1B2A30C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749" w:type="dxa"/>
            <w:tcBorders>
              <w:top w:val="nil"/>
              <w:left w:val="nil"/>
              <w:bottom w:val="nil"/>
              <w:right w:val="nil"/>
            </w:tcBorders>
            <w:shd w:val="clear" w:color="auto" w:fill="auto"/>
            <w:vAlign w:val="center"/>
          </w:tcPr>
          <w:p w14:paraId="3C9DB90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09CF212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6A36803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47E1DC0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3EC1EF4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2.53%</w:t>
            </w:r>
          </w:p>
        </w:tc>
        <w:tc>
          <w:tcPr>
            <w:tcW w:w="1749" w:type="dxa"/>
            <w:tcBorders>
              <w:top w:val="nil"/>
              <w:left w:val="nil"/>
              <w:bottom w:val="nil"/>
              <w:right w:val="nil"/>
            </w:tcBorders>
            <w:shd w:val="clear" w:color="auto" w:fill="auto"/>
            <w:noWrap/>
            <w:vAlign w:val="center"/>
          </w:tcPr>
          <w:p w14:paraId="3105334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2.53%</w:t>
            </w:r>
          </w:p>
        </w:tc>
      </w:tr>
      <w:tr w:rsidR="0074478A" w14:paraId="661CA0C9" w14:textId="77777777">
        <w:trPr>
          <w:trHeight w:val="278"/>
        </w:trPr>
        <w:tc>
          <w:tcPr>
            <w:tcW w:w="3680" w:type="dxa"/>
            <w:gridSpan w:val="2"/>
            <w:tcBorders>
              <w:top w:val="nil"/>
              <w:left w:val="nil"/>
              <w:bottom w:val="nil"/>
              <w:right w:val="nil"/>
            </w:tcBorders>
            <w:shd w:val="clear" w:color="auto" w:fill="auto"/>
            <w:noWrap/>
            <w:vAlign w:val="center"/>
          </w:tcPr>
          <w:p w14:paraId="369450E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749" w:type="dxa"/>
            <w:tcBorders>
              <w:top w:val="nil"/>
              <w:left w:val="nil"/>
              <w:bottom w:val="nil"/>
              <w:right w:val="nil"/>
            </w:tcBorders>
            <w:shd w:val="clear" w:color="auto" w:fill="auto"/>
            <w:noWrap/>
            <w:vAlign w:val="center"/>
          </w:tcPr>
          <w:p w14:paraId="72F18F4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1749" w:type="dxa"/>
            <w:tcBorders>
              <w:top w:val="nil"/>
              <w:left w:val="nil"/>
              <w:bottom w:val="nil"/>
              <w:right w:val="nil"/>
            </w:tcBorders>
            <w:shd w:val="clear" w:color="auto" w:fill="auto"/>
            <w:noWrap/>
            <w:vAlign w:val="center"/>
          </w:tcPr>
          <w:p w14:paraId="3812884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3A041FB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B422B6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48768B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19C999C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380CC1FA" w14:textId="77777777">
        <w:trPr>
          <w:trHeight w:val="278"/>
        </w:trPr>
        <w:tc>
          <w:tcPr>
            <w:tcW w:w="3680" w:type="dxa"/>
            <w:gridSpan w:val="2"/>
            <w:tcBorders>
              <w:top w:val="nil"/>
              <w:left w:val="nil"/>
              <w:bottom w:val="nil"/>
              <w:right w:val="nil"/>
            </w:tcBorders>
            <w:shd w:val="clear" w:color="auto" w:fill="auto"/>
            <w:noWrap/>
            <w:vAlign w:val="center"/>
          </w:tcPr>
          <w:p w14:paraId="73511BC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09A39C8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64B99F6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025AFA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0D1579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7A1A0A3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407531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73</w:t>
            </w:r>
            <w:r>
              <w:rPr>
                <w:rFonts w:ascii="Times New Roman" w:eastAsia="SimSun" w:hAnsi="Times New Roman" w:cs="Times New Roman"/>
                <w:color w:val="000000"/>
                <w:kern w:val="0"/>
                <w:szCs w:val="21"/>
                <w:lang w:bidi="ar"/>
              </w:rPr>
              <w:t>%</w:t>
            </w:r>
          </w:p>
        </w:tc>
      </w:tr>
      <w:tr w:rsidR="0074478A" w14:paraId="2AEE003A" w14:textId="77777777">
        <w:trPr>
          <w:trHeight w:val="278"/>
        </w:trPr>
        <w:tc>
          <w:tcPr>
            <w:tcW w:w="1862" w:type="dxa"/>
            <w:vMerge w:val="restart"/>
            <w:tcBorders>
              <w:top w:val="nil"/>
              <w:left w:val="nil"/>
              <w:bottom w:val="nil"/>
              <w:right w:val="nil"/>
            </w:tcBorders>
            <w:shd w:val="clear" w:color="auto" w:fill="auto"/>
            <w:noWrap/>
            <w:vAlign w:val="center"/>
          </w:tcPr>
          <w:p w14:paraId="5C7A5502"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818" w:type="dxa"/>
            <w:tcBorders>
              <w:top w:val="nil"/>
              <w:left w:val="nil"/>
              <w:bottom w:val="nil"/>
              <w:right w:val="nil"/>
            </w:tcBorders>
            <w:shd w:val="clear" w:color="auto" w:fill="auto"/>
            <w:noWrap/>
            <w:vAlign w:val="center"/>
          </w:tcPr>
          <w:p w14:paraId="5C1C089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3A83558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B75553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.087</w:t>
            </w:r>
            <w:r>
              <w:rPr>
                <w:rFonts w:ascii="Times New Roman" w:eastAsia="SimSun" w:hAnsi="Times New Roman" w:cs="Times New Roman"/>
                <w:color w:val="000000"/>
                <w:kern w:val="0"/>
                <w:szCs w:val="21"/>
                <w:lang w:bidi="ar"/>
              </w:rPr>
              <w:t>/0.7</w:t>
            </w:r>
            <w:r>
              <w:rPr>
                <w:rFonts w:ascii="Times New Roman" w:eastAsia="SimSun" w:hAnsi="Times New Roman" w:cs="Times New Roman" w:hint="eastAsia"/>
                <w:color w:val="000000"/>
                <w:kern w:val="0"/>
                <w:szCs w:val="21"/>
                <w:lang w:bidi="ar"/>
              </w:rPr>
              <w:t>77</w:t>
            </w:r>
          </w:p>
        </w:tc>
        <w:tc>
          <w:tcPr>
            <w:tcW w:w="1749" w:type="dxa"/>
            <w:tcBorders>
              <w:top w:val="nil"/>
              <w:left w:val="nil"/>
              <w:bottom w:val="nil"/>
              <w:right w:val="nil"/>
            </w:tcBorders>
            <w:shd w:val="clear" w:color="auto" w:fill="auto"/>
            <w:noWrap/>
            <w:vAlign w:val="center"/>
          </w:tcPr>
          <w:p w14:paraId="3F520C4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9AD9A3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24031AE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52</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685</w:t>
            </w:r>
          </w:p>
        </w:tc>
        <w:tc>
          <w:tcPr>
            <w:tcW w:w="1749" w:type="dxa"/>
            <w:tcBorders>
              <w:top w:val="nil"/>
              <w:left w:val="nil"/>
              <w:bottom w:val="nil"/>
              <w:right w:val="nil"/>
            </w:tcBorders>
            <w:shd w:val="clear" w:color="auto" w:fill="auto"/>
            <w:noWrap/>
            <w:vAlign w:val="center"/>
          </w:tcPr>
          <w:p w14:paraId="262D179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78A5C624" w14:textId="77777777">
        <w:trPr>
          <w:trHeight w:val="278"/>
        </w:trPr>
        <w:tc>
          <w:tcPr>
            <w:tcW w:w="1862" w:type="dxa"/>
            <w:vMerge/>
            <w:tcBorders>
              <w:top w:val="nil"/>
              <w:left w:val="nil"/>
              <w:bottom w:val="nil"/>
              <w:right w:val="nil"/>
            </w:tcBorders>
            <w:shd w:val="clear" w:color="auto" w:fill="auto"/>
            <w:noWrap/>
            <w:vAlign w:val="center"/>
          </w:tcPr>
          <w:p w14:paraId="078B6FCA" w14:textId="77777777" w:rsidR="0074478A" w:rsidRDefault="0074478A">
            <w:pPr>
              <w:spacing w:line="240" w:lineRule="atLeast"/>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B4C4D2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0937E66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08E90C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9</w:t>
            </w:r>
          </w:p>
        </w:tc>
        <w:tc>
          <w:tcPr>
            <w:tcW w:w="1749" w:type="dxa"/>
            <w:tcBorders>
              <w:top w:val="nil"/>
              <w:left w:val="nil"/>
              <w:bottom w:val="nil"/>
              <w:right w:val="nil"/>
            </w:tcBorders>
            <w:shd w:val="clear" w:color="auto" w:fill="auto"/>
            <w:noWrap/>
            <w:vAlign w:val="center"/>
          </w:tcPr>
          <w:p w14:paraId="3853EA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6520E9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506311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63</w:t>
            </w:r>
          </w:p>
        </w:tc>
        <w:tc>
          <w:tcPr>
            <w:tcW w:w="1749" w:type="dxa"/>
            <w:tcBorders>
              <w:top w:val="nil"/>
              <w:left w:val="nil"/>
              <w:bottom w:val="nil"/>
              <w:right w:val="nil"/>
            </w:tcBorders>
            <w:shd w:val="clear" w:color="auto" w:fill="auto"/>
            <w:noWrap/>
            <w:vAlign w:val="center"/>
          </w:tcPr>
          <w:p w14:paraId="2995F35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994</w:t>
            </w:r>
          </w:p>
        </w:tc>
      </w:tr>
      <w:tr w:rsidR="0074478A" w14:paraId="44838251" w14:textId="77777777">
        <w:trPr>
          <w:trHeight w:val="278"/>
        </w:trPr>
        <w:tc>
          <w:tcPr>
            <w:tcW w:w="1862" w:type="dxa"/>
            <w:vMerge/>
            <w:tcBorders>
              <w:top w:val="nil"/>
              <w:left w:val="nil"/>
              <w:bottom w:val="nil"/>
              <w:right w:val="nil"/>
            </w:tcBorders>
            <w:shd w:val="clear" w:color="auto" w:fill="auto"/>
            <w:noWrap/>
            <w:vAlign w:val="center"/>
          </w:tcPr>
          <w:p w14:paraId="0AAF5C5A" w14:textId="77777777" w:rsidR="0074478A" w:rsidRDefault="0074478A">
            <w:pPr>
              <w:spacing w:line="240" w:lineRule="atLeast"/>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476932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3F9252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1814048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2FF102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E1A8E5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D37CF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6DF60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84</w:t>
            </w:r>
          </w:p>
        </w:tc>
      </w:tr>
      <w:tr w:rsidR="0074478A" w14:paraId="12313AAF" w14:textId="77777777">
        <w:trPr>
          <w:trHeight w:val="278"/>
        </w:trPr>
        <w:tc>
          <w:tcPr>
            <w:tcW w:w="3680" w:type="dxa"/>
            <w:gridSpan w:val="2"/>
            <w:tcBorders>
              <w:top w:val="nil"/>
              <w:left w:val="nil"/>
              <w:bottom w:val="single" w:sz="12" w:space="0" w:color="auto"/>
              <w:right w:val="nil"/>
            </w:tcBorders>
            <w:shd w:val="clear" w:color="auto" w:fill="auto"/>
            <w:noWrap/>
            <w:vAlign w:val="center"/>
          </w:tcPr>
          <w:p w14:paraId="042B444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749" w:type="dxa"/>
            <w:tcBorders>
              <w:top w:val="nil"/>
              <w:left w:val="nil"/>
              <w:bottom w:val="single" w:sz="12" w:space="0" w:color="auto"/>
              <w:right w:val="nil"/>
            </w:tcBorders>
            <w:shd w:val="clear" w:color="auto" w:fill="auto"/>
            <w:noWrap/>
            <w:vAlign w:val="center"/>
          </w:tcPr>
          <w:p w14:paraId="0AE826E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07281E3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90.66%</w:t>
            </w:r>
          </w:p>
        </w:tc>
        <w:tc>
          <w:tcPr>
            <w:tcW w:w="1749" w:type="dxa"/>
            <w:tcBorders>
              <w:top w:val="nil"/>
              <w:left w:val="nil"/>
              <w:bottom w:val="single" w:sz="12" w:space="0" w:color="auto"/>
              <w:right w:val="nil"/>
            </w:tcBorders>
            <w:shd w:val="clear" w:color="auto" w:fill="auto"/>
            <w:noWrap/>
            <w:vAlign w:val="center"/>
          </w:tcPr>
          <w:p w14:paraId="291CF33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56AB2B6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7FAD88A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45.14%</w:t>
            </w:r>
          </w:p>
        </w:tc>
        <w:tc>
          <w:tcPr>
            <w:tcW w:w="1749" w:type="dxa"/>
            <w:tcBorders>
              <w:top w:val="nil"/>
              <w:left w:val="nil"/>
              <w:bottom w:val="single" w:sz="12" w:space="0" w:color="auto"/>
              <w:right w:val="nil"/>
            </w:tcBorders>
            <w:shd w:val="clear" w:color="auto" w:fill="auto"/>
            <w:noWrap/>
            <w:vAlign w:val="center"/>
          </w:tcPr>
          <w:p w14:paraId="3F6148C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65.30%</w:t>
            </w:r>
          </w:p>
        </w:tc>
      </w:tr>
      <w:tr w:rsidR="0074478A" w14:paraId="026FFA4D" w14:textId="77777777">
        <w:trPr>
          <w:gridAfter w:val="1"/>
          <w:wAfter w:w="1749" w:type="dxa"/>
          <w:trHeight w:val="278"/>
        </w:trPr>
        <w:tc>
          <w:tcPr>
            <w:tcW w:w="3680" w:type="dxa"/>
            <w:gridSpan w:val="2"/>
            <w:tcBorders>
              <w:top w:val="single" w:sz="12" w:space="0" w:color="auto"/>
              <w:left w:val="nil"/>
              <w:bottom w:val="single" w:sz="8" w:space="0" w:color="auto"/>
              <w:right w:val="nil"/>
            </w:tcBorders>
            <w:shd w:val="clear" w:color="auto" w:fill="auto"/>
            <w:noWrap/>
            <w:vAlign w:val="center"/>
          </w:tcPr>
          <w:p w14:paraId="05A4F6E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749" w:type="dxa"/>
            <w:tcBorders>
              <w:top w:val="single" w:sz="12" w:space="0" w:color="auto"/>
              <w:left w:val="nil"/>
              <w:bottom w:val="single" w:sz="8" w:space="0" w:color="auto"/>
              <w:right w:val="nil"/>
            </w:tcBorders>
            <w:shd w:val="clear" w:color="auto" w:fill="auto"/>
            <w:noWrap/>
            <w:vAlign w:val="center"/>
          </w:tcPr>
          <w:p w14:paraId="24A0157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2C65510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23</w:t>
            </w:r>
          </w:p>
        </w:tc>
        <w:tc>
          <w:tcPr>
            <w:tcW w:w="1749" w:type="dxa"/>
            <w:tcBorders>
              <w:top w:val="single" w:sz="12" w:space="0" w:color="auto"/>
              <w:left w:val="nil"/>
              <w:bottom w:val="single" w:sz="8" w:space="0" w:color="auto"/>
              <w:right w:val="nil"/>
            </w:tcBorders>
            <w:shd w:val="clear" w:color="auto" w:fill="auto"/>
            <w:noWrap/>
            <w:vAlign w:val="center"/>
          </w:tcPr>
          <w:p w14:paraId="45E138C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2009/0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p>
          <w:p w14:paraId="6C4B101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p>
        </w:tc>
        <w:tc>
          <w:tcPr>
            <w:tcW w:w="1749" w:type="dxa"/>
            <w:tcBorders>
              <w:top w:val="single" w:sz="12" w:space="0" w:color="auto"/>
              <w:left w:val="nil"/>
              <w:bottom w:val="single" w:sz="8" w:space="0" w:color="auto"/>
              <w:right w:val="nil"/>
            </w:tcBorders>
            <w:shd w:val="clear" w:color="auto" w:fill="auto"/>
            <w:noWrap/>
            <w:vAlign w:val="center"/>
          </w:tcPr>
          <w:p w14:paraId="16B5233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/08-</w:t>
            </w:r>
          </w:p>
          <w:p w14:paraId="3E15AFC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2014/09/0</w:t>
            </w:r>
            <w:r>
              <w:rPr>
                <w:rFonts w:ascii="Times New Roman" w:eastAsia="SimSun" w:hAnsi="Times New Roman" w:cs="Times New Roman" w:hint="eastAsia"/>
                <w:color w:val="000000"/>
                <w:kern w:val="0"/>
                <w:szCs w:val="21"/>
                <w:lang w:bidi="ar"/>
              </w:rPr>
              <w:t>3</w:t>
            </w:r>
          </w:p>
        </w:tc>
        <w:tc>
          <w:tcPr>
            <w:tcW w:w="1749" w:type="dxa"/>
            <w:tcBorders>
              <w:top w:val="single" w:sz="12" w:space="0" w:color="auto"/>
              <w:left w:val="nil"/>
              <w:bottom w:val="single" w:sz="8" w:space="0" w:color="auto"/>
              <w:right w:val="nil"/>
            </w:tcBorders>
            <w:shd w:val="clear" w:color="auto" w:fill="auto"/>
            <w:noWrap/>
            <w:vAlign w:val="center"/>
          </w:tcPr>
          <w:p w14:paraId="61045BB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2014/09/0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p>
          <w:p w14:paraId="7F3FB58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2016/0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10</w:t>
            </w:r>
          </w:p>
        </w:tc>
        <w:tc>
          <w:tcPr>
            <w:tcW w:w="1749" w:type="dxa"/>
            <w:tcBorders>
              <w:top w:val="single" w:sz="12" w:space="0" w:color="auto"/>
              <w:left w:val="nil"/>
              <w:bottom w:val="single" w:sz="8" w:space="0" w:color="auto"/>
              <w:right w:val="nil"/>
            </w:tcBorders>
            <w:shd w:val="clear" w:color="auto" w:fill="auto"/>
            <w:noWrap/>
            <w:vAlign w:val="center"/>
          </w:tcPr>
          <w:p w14:paraId="4A23D66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2016/0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p>
          <w:p w14:paraId="5BE5300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1</w:t>
            </w:r>
          </w:p>
        </w:tc>
      </w:tr>
      <w:tr w:rsidR="0074478A" w14:paraId="024CCECF" w14:textId="77777777">
        <w:trPr>
          <w:gridAfter w:val="1"/>
          <w:wAfter w:w="1749" w:type="dxa"/>
          <w:trHeight w:val="278"/>
        </w:trPr>
        <w:tc>
          <w:tcPr>
            <w:tcW w:w="1862" w:type="dxa"/>
            <w:vMerge w:val="restart"/>
            <w:tcBorders>
              <w:top w:val="single" w:sz="8" w:space="0" w:color="auto"/>
              <w:left w:val="nil"/>
              <w:bottom w:val="nil"/>
              <w:right w:val="nil"/>
            </w:tcBorders>
            <w:shd w:val="clear" w:color="auto" w:fill="auto"/>
            <w:noWrap/>
            <w:vAlign w:val="center"/>
          </w:tcPr>
          <w:p w14:paraId="1CE1FE38"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818" w:type="dxa"/>
            <w:tcBorders>
              <w:top w:val="single" w:sz="8" w:space="0" w:color="auto"/>
              <w:left w:val="nil"/>
              <w:bottom w:val="nil"/>
              <w:right w:val="nil"/>
            </w:tcBorders>
            <w:shd w:val="clear" w:color="auto" w:fill="auto"/>
            <w:noWrap/>
            <w:vAlign w:val="center"/>
          </w:tcPr>
          <w:p w14:paraId="24E25E33"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749" w:type="dxa"/>
            <w:tcBorders>
              <w:top w:val="single" w:sz="8" w:space="0" w:color="auto"/>
              <w:left w:val="nil"/>
              <w:bottom w:val="nil"/>
              <w:right w:val="nil"/>
            </w:tcBorders>
            <w:shd w:val="clear" w:color="auto" w:fill="auto"/>
            <w:vAlign w:val="bottom"/>
          </w:tcPr>
          <w:p w14:paraId="1B44895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71.08%</w:t>
            </w:r>
          </w:p>
        </w:tc>
        <w:tc>
          <w:tcPr>
            <w:tcW w:w="1749" w:type="dxa"/>
            <w:tcBorders>
              <w:top w:val="single" w:sz="8" w:space="0" w:color="auto"/>
              <w:left w:val="nil"/>
              <w:bottom w:val="nil"/>
              <w:right w:val="nil"/>
            </w:tcBorders>
            <w:shd w:val="clear" w:color="auto" w:fill="auto"/>
            <w:noWrap/>
            <w:vAlign w:val="bottom"/>
          </w:tcPr>
          <w:p w14:paraId="2F54CA8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71.08%</w:t>
            </w:r>
          </w:p>
        </w:tc>
        <w:tc>
          <w:tcPr>
            <w:tcW w:w="1749" w:type="dxa"/>
            <w:tcBorders>
              <w:top w:val="single" w:sz="8" w:space="0" w:color="auto"/>
              <w:left w:val="nil"/>
              <w:bottom w:val="nil"/>
              <w:right w:val="nil"/>
            </w:tcBorders>
            <w:shd w:val="clear" w:color="auto" w:fill="auto"/>
            <w:noWrap/>
            <w:vAlign w:val="bottom"/>
          </w:tcPr>
          <w:p w14:paraId="62E9AE2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35.87%</w:t>
            </w:r>
          </w:p>
        </w:tc>
        <w:tc>
          <w:tcPr>
            <w:tcW w:w="1749" w:type="dxa"/>
            <w:tcBorders>
              <w:top w:val="single" w:sz="8" w:space="0" w:color="auto"/>
              <w:left w:val="nil"/>
              <w:bottom w:val="nil"/>
              <w:right w:val="nil"/>
            </w:tcBorders>
            <w:shd w:val="clear" w:color="auto" w:fill="auto"/>
            <w:noWrap/>
            <w:vAlign w:val="bottom"/>
          </w:tcPr>
          <w:p w14:paraId="39CAC83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35.87%</w:t>
            </w:r>
          </w:p>
        </w:tc>
        <w:tc>
          <w:tcPr>
            <w:tcW w:w="1749" w:type="dxa"/>
            <w:tcBorders>
              <w:top w:val="single" w:sz="8" w:space="0" w:color="auto"/>
              <w:left w:val="nil"/>
              <w:bottom w:val="nil"/>
              <w:right w:val="nil"/>
            </w:tcBorders>
            <w:shd w:val="clear" w:color="auto" w:fill="auto"/>
            <w:noWrap/>
            <w:vAlign w:val="bottom"/>
          </w:tcPr>
          <w:p w14:paraId="33709D3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50.05%</w:t>
            </w:r>
          </w:p>
        </w:tc>
      </w:tr>
      <w:tr w:rsidR="0074478A" w14:paraId="2E26752B"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57A67DAA" w14:textId="77777777" w:rsidR="0074478A" w:rsidRDefault="0074478A">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292FD1E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749" w:type="dxa"/>
            <w:tcBorders>
              <w:top w:val="nil"/>
              <w:left w:val="nil"/>
              <w:bottom w:val="nil"/>
              <w:right w:val="nil"/>
            </w:tcBorders>
            <w:shd w:val="clear" w:color="auto" w:fill="auto"/>
            <w:noWrap/>
            <w:vAlign w:val="bottom"/>
          </w:tcPr>
          <w:p w14:paraId="2A937D8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70.12%</w:t>
            </w:r>
          </w:p>
        </w:tc>
        <w:tc>
          <w:tcPr>
            <w:tcW w:w="1749" w:type="dxa"/>
            <w:tcBorders>
              <w:top w:val="nil"/>
              <w:left w:val="nil"/>
              <w:bottom w:val="nil"/>
              <w:right w:val="nil"/>
            </w:tcBorders>
            <w:shd w:val="clear" w:color="auto" w:fill="auto"/>
            <w:noWrap/>
            <w:vAlign w:val="bottom"/>
          </w:tcPr>
          <w:p w14:paraId="7743873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70.12%</w:t>
            </w:r>
          </w:p>
        </w:tc>
        <w:tc>
          <w:tcPr>
            <w:tcW w:w="1749" w:type="dxa"/>
            <w:tcBorders>
              <w:top w:val="nil"/>
              <w:left w:val="nil"/>
              <w:bottom w:val="nil"/>
              <w:right w:val="nil"/>
            </w:tcBorders>
            <w:shd w:val="clear" w:color="auto" w:fill="auto"/>
            <w:noWrap/>
            <w:vAlign w:val="bottom"/>
          </w:tcPr>
          <w:p w14:paraId="74A8689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28.24%</w:t>
            </w:r>
          </w:p>
        </w:tc>
        <w:tc>
          <w:tcPr>
            <w:tcW w:w="1749" w:type="dxa"/>
            <w:tcBorders>
              <w:top w:val="nil"/>
              <w:left w:val="nil"/>
              <w:bottom w:val="nil"/>
              <w:right w:val="nil"/>
            </w:tcBorders>
            <w:shd w:val="clear" w:color="auto" w:fill="auto"/>
            <w:noWrap/>
            <w:vAlign w:val="bottom"/>
          </w:tcPr>
          <w:p w14:paraId="7BC1F1B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28.24%</w:t>
            </w:r>
          </w:p>
        </w:tc>
        <w:tc>
          <w:tcPr>
            <w:tcW w:w="1749" w:type="dxa"/>
            <w:tcBorders>
              <w:top w:val="nil"/>
              <w:left w:val="nil"/>
              <w:bottom w:val="nil"/>
              <w:right w:val="nil"/>
            </w:tcBorders>
            <w:shd w:val="clear" w:color="auto" w:fill="auto"/>
            <w:noWrap/>
            <w:vAlign w:val="bottom"/>
          </w:tcPr>
          <w:p w14:paraId="5A634A4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46.67%</w:t>
            </w:r>
          </w:p>
        </w:tc>
      </w:tr>
      <w:tr w:rsidR="0074478A" w14:paraId="59AB7C77"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1469BC81" w14:textId="77777777" w:rsidR="0074478A" w:rsidRDefault="0074478A">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37715816"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749" w:type="dxa"/>
            <w:tcBorders>
              <w:top w:val="nil"/>
              <w:left w:val="nil"/>
              <w:bottom w:val="nil"/>
              <w:right w:val="nil"/>
            </w:tcBorders>
            <w:shd w:val="clear" w:color="auto" w:fill="auto"/>
            <w:noWrap/>
            <w:vAlign w:val="bottom"/>
          </w:tcPr>
          <w:p w14:paraId="124D18D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-65.72%</w:t>
            </w:r>
          </w:p>
        </w:tc>
        <w:tc>
          <w:tcPr>
            <w:tcW w:w="1749" w:type="dxa"/>
            <w:tcBorders>
              <w:top w:val="nil"/>
              <w:left w:val="nil"/>
              <w:bottom w:val="nil"/>
              <w:right w:val="nil"/>
            </w:tcBorders>
            <w:shd w:val="clear" w:color="auto" w:fill="auto"/>
            <w:noWrap/>
            <w:vAlign w:val="bottom"/>
          </w:tcPr>
          <w:p w14:paraId="32BDAEB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-65.72%</w:t>
            </w:r>
          </w:p>
        </w:tc>
        <w:tc>
          <w:tcPr>
            <w:tcW w:w="1749" w:type="dxa"/>
            <w:tcBorders>
              <w:top w:val="nil"/>
              <w:left w:val="nil"/>
              <w:bottom w:val="nil"/>
              <w:right w:val="nil"/>
            </w:tcBorders>
            <w:shd w:val="clear" w:color="auto" w:fill="auto"/>
            <w:noWrap/>
            <w:vAlign w:val="bottom"/>
          </w:tcPr>
          <w:p w14:paraId="31E4837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-8.05%</w:t>
            </w:r>
          </w:p>
        </w:tc>
        <w:tc>
          <w:tcPr>
            <w:tcW w:w="1749" w:type="dxa"/>
            <w:tcBorders>
              <w:top w:val="nil"/>
              <w:left w:val="nil"/>
              <w:bottom w:val="nil"/>
              <w:right w:val="nil"/>
            </w:tcBorders>
            <w:shd w:val="clear" w:color="auto" w:fill="auto"/>
            <w:noWrap/>
            <w:vAlign w:val="bottom"/>
          </w:tcPr>
          <w:p w14:paraId="26933B2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-8.05%</w:t>
            </w:r>
          </w:p>
        </w:tc>
        <w:tc>
          <w:tcPr>
            <w:tcW w:w="1749" w:type="dxa"/>
            <w:tcBorders>
              <w:top w:val="nil"/>
              <w:left w:val="nil"/>
              <w:bottom w:val="nil"/>
              <w:right w:val="nil"/>
            </w:tcBorders>
            <w:shd w:val="clear" w:color="auto" w:fill="auto"/>
            <w:noWrap/>
            <w:vAlign w:val="bottom"/>
          </w:tcPr>
          <w:p w14:paraId="7951FED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-7.06%</w:t>
            </w:r>
          </w:p>
        </w:tc>
      </w:tr>
      <w:tr w:rsidR="0074478A" w14:paraId="41425B44"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22D2B7C6" w14:textId="77777777" w:rsidR="0074478A" w:rsidRDefault="0074478A">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8E0F8E8"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749" w:type="dxa"/>
            <w:tcBorders>
              <w:top w:val="nil"/>
              <w:left w:val="nil"/>
              <w:bottom w:val="nil"/>
              <w:right w:val="nil"/>
            </w:tcBorders>
            <w:shd w:val="clear" w:color="auto" w:fill="auto"/>
            <w:vAlign w:val="center"/>
          </w:tcPr>
          <w:p w14:paraId="39B984D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24.52%</w:t>
            </w:r>
          </w:p>
        </w:tc>
        <w:tc>
          <w:tcPr>
            <w:tcW w:w="1749" w:type="dxa"/>
            <w:tcBorders>
              <w:top w:val="nil"/>
              <w:left w:val="nil"/>
              <w:bottom w:val="nil"/>
              <w:right w:val="nil"/>
            </w:tcBorders>
            <w:shd w:val="clear" w:color="auto" w:fill="auto"/>
            <w:noWrap/>
            <w:vAlign w:val="center"/>
          </w:tcPr>
          <w:p w14:paraId="1D292A0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24.52%</w:t>
            </w:r>
          </w:p>
        </w:tc>
        <w:tc>
          <w:tcPr>
            <w:tcW w:w="1749" w:type="dxa"/>
            <w:tcBorders>
              <w:top w:val="nil"/>
              <w:left w:val="nil"/>
              <w:bottom w:val="nil"/>
              <w:right w:val="nil"/>
            </w:tcBorders>
            <w:shd w:val="clear" w:color="auto" w:fill="auto"/>
            <w:noWrap/>
            <w:vAlign w:val="center"/>
          </w:tcPr>
          <w:p w14:paraId="4F3E422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43.94%</w:t>
            </w:r>
          </w:p>
        </w:tc>
        <w:tc>
          <w:tcPr>
            <w:tcW w:w="1749" w:type="dxa"/>
            <w:tcBorders>
              <w:top w:val="nil"/>
              <w:left w:val="nil"/>
              <w:bottom w:val="nil"/>
              <w:right w:val="nil"/>
            </w:tcBorders>
            <w:shd w:val="clear" w:color="auto" w:fill="auto"/>
            <w:noWrap/>
            <w:vAlign w:val="center"/>
          </w:tcPr>
          <w:p w14:paraId="227CDCC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43.94%</w:t>
            </w:r>
          </w:p>
        </w:tc>
        <w:tc>
          <w:tcPr>
            <w:tcW w:w="1749" w:type="dxa"/>
            <w:tcBorders>
              <w:top w:val="nil"/>
              <w:left w:val="nil"/>
              <w:bottom w:val="nil"/>
              <w:right w:val="nil"/>
            </w:tcBorders>
            <w:shd w:val="clear" w:color="auto" w:fill="auto"/>
            <w:noWrap/>
            <w:vAlign w:val="center"/>
          </w:tcPr>
          <w:p w14:paraId="2B2EE63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10.34%</w:t>
            </w:r>
          </w:p>
        </w:tc>
      </w:tr>
      <w:tr w:rsidR="0074478A" w14:paraId="15F2CB5A" w14:textId="77777777">
        <w:trPr>
          <w:gridAfter w:val="1"/>
          <w:wAfter w:w="1749" w:type="dxa"/>
          <w:trHeight w:val="278"/>
        </w:trPr>
        <w:tc>
          <w:tcPr>
            <w:tcW w:w="3680" w:type="dxa"/>
            <w:gridSpan w:val="2"/>
            <w:tcBorders>
              <w:top w:val="nil"/>
              <w:left w:val="nil"/>
              <w:bottom w:val="nil"/>
              <w:right w:val="nil"/>
            </w:tcBorders>
            <w:shd w:val="clear" w:color="auto" w:fill="auto"/>
            <w:noWrap/>
            <w:vAlign w:val="center"/>
          </w:tcPr>
          <w:p w14:paraId="29B41BA4"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749" w:type="dxa"/>
            <w:tcBorders>
              <w:top w:val="nil"/>
              <w:left w:val="nil"/>
              <w:bottom w:val="nil"/>
              <w:right w:val="nil"/>
            </w:tcBorders>
            <w:shd w:val="clear" w:color="auto" w:fill="auto"/>
            <w:noWrap/>
            <w:vAlign w:val="center"/>
          </w:tcPr>
          <w:p w14:paraId="7D95378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6080CEF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890191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5B1E846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3CC969F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37899D0E" w14:textId="77777777">
        <w:trPr>
          <w:gridAfter w:val="1"/>
          <w:wAfter w:w="1749" w:type="dxa"/>
          <w:trHeight w:val="278"/>
        </w:trPr>
        <w:tc>
          <w:tcPr>
            <w:tcW w:w="3680" w:type="dxa"/>
            <w:gridSpan w:val="2"/>
            <w:tcBorders>
              <w:top w:val="nil"/>
              <w:left w:val="nil"/>
              <w:bottom w:val="nil"/>
              <w:right w:val="nil"/>
            </w:tcBorders>
            <w:shd w:val="clear" w:color="auto" w:fill="auto"/>
            <w:noWrap/>
            <w:vAlign w:val="center"/>
          </w:tcPr>
          <w:p w14:paraId="1E6FEC0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6BE821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48</w:t>
            </w: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591730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7F61EF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4%</w:t>
            </w:r>
          </w:p>
        </w:tc>
        <w:tc>
          <w:tcPr>
            <w:tcW w:w="1749" w:type="dxa"/>
            <w:tcBorders>
              <w:top w:val="nil"/>
              <w:left w:val="nil"/>
              <w:bottom w:val="nil"/>
              <w:right w:val="nil"/>
            </w:tcBorders>
            <w:shd w:val="clear" w:color="auto" w:fill="auto"/>
            <w:noWrap/>
            <w:vAlign w:val="center"/>
          </w:tcPr>
          <w:p w14:paraId="080DF02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w:t>
            </w:r>
            <w:r>
              <w:rPr>
                <w:rFonts w:ascii="Times New Roman" w:eastAsia="SimSun" w:hAnsi="Times New Roman" w:cs="Times New Roman" w:hint="eastAsia"/>
                <w:color w:val="000000"/>
                <w:kern w:val="0"/>
                <w:szCs w:val="21"/>
                <w:lang w:bidi="ar"/>
              </w:rPr>
              <w:t>87</w:t>
            </w: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9C1B6A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r>
              <w:rPr>
                <w:rFonts w:ascii="Times New Roman" w:eastAsia="SimSun" w:hAnsi="Times New Roman" w:cs="Times New Roman"/>
                <w:color w:val="000000"/>
                <w:kern w:val="0"/>
                <w:szCs w:val="21"/>
                <w:lang w:bidi="ar"/>
              </w:rPr>
              <w:t>.4</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tc>
      </w:tr>
      <w:tr w:rsidR="0074478A" w14:paraId="0AFDF064" w14:textId="77777777">
        <w:trPr>
          <w:gridAfter w:val="1"/>
          <w:wAfter w:w="1749" w:type="dxa"/>
          <w:trHeight w:val="278"/>
        </w:trPr>
        <w:tc>
          <w:tcPr>
            <w:tcW w:w="1862" w:type="dxa"/>
            <w:vMerge w:val="restart"/>
            <w:tcBorders>
              <w:top w:val="nil"/>
              <w:left w:val="nil"/>
              <w:bottom w:val="nil"/>
              <w:right w:val="nil"/>
            </w:tcBorders>
            <w:shd w:val="clear" w:color="auto" w:fill="auto"/>
            <w:noWrap/>
            <w:vAlign w:val="center"/>
          </w:tcPr>
          <w:p w14:paraId="355B013F"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818" w:type="dxa"/>
            <w:tcBorders>
              <w:top w:val="nil"/>
              <w:left w:val="nil"/>
              <w:bottom w:val="nil"/>
              <w:right w:val="nil"/>
            </w:tcBorders>
            <w:shd w:val="clear" w:color="auto" w:fill="auto"/>
            <w:noWrap/>
            <w:vAlign w:val="center"/>
          </w:tcPr>
          <w:p w14:paraId="7F4B9B9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29CB13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20468D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DB4116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szCs w:val="21"/>
              </w:rPr>
              <w:t>0.015</w:t>
            </w:r>
            <w:r>
              <w:rPr>
                <w:rFonts w:ascii="Times New Roman" w:eastAsia="SimSun" w:hAnsi="Times New Roman" w:cs="Times New Roman"/>
                <w:color w:val="000000"/>
                <w:szCs w:val="21"/>
              </w:rPr>
              <w:t>/</w:t>
            </w:r>
            <w:r>
              <w:rPr>
                <w:rFonts w:ascii="Times New Roman" w:eastAsia="SimSun" w:hAnsi="Times New Roman" w:cs="Times New Roman" w:hint="eastAsia"/>
                <w:color w:val="000000"/>
                <w:szCs w:val="21"/>
              </w:rPr>
              <w:t>0.909</w:t>
            </w:r>
          </w:p>
        </w:tc>
        <w:tc>
          <w:tcPr>
            <w:tcW w:w="1749" w:type="dxa"/>
            <w:tcBorders>
              <w:top w:val="nil"/>
              <w:left w:val="nil"/>
              <w:bottom w:val="nil"/>
              <w:right w:val="nil"/>
            </w:tcBorders>
            <w:shd w:val="clear" w:color="auto" w:fill="auto"/>
            <w:noWrap/>
            <w:vAlign w:val="center"/>
          </w:tcPr>
          <w:p w14:paraId="100BC9C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2F487D5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25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881</w:t>
            </w:r>
          </w:p>
        </w:tc>
      </w:tr>
      <w:tr w:rsidR="0074478A" w14:paraId="2EC265F9"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4AFBE81F" w14:textId="77777777" w:rsidR="0074478A" w:rsidRDefault="0074478A">
            <w:pPr>
              <w:spacing w:line="240" w:lineRule="atLeast"/>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3D04C52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0C457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.001</w:t>
            </w:r>
            <w:r>
              <w:rPr>
                <w:rFonts w:ascii="Times New Roman" w:eastAsia="SimSun" w:hAnsi="Times New Roman" w:cs="Times New Roman"/>
                <w:color w:val="000000"/>
                <w:kern w:val="0"/>
                <w:szCs w:val="21"/>
                <w:lang w:bidi="ar"/>
              </w:rPr>
              <w:t>/1.0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3</w:t>
            </w:r>
          </w:p>
        </w:tc>
        <w:tc>
          <w:tcPr>
            <w:tcW w:w="1749" w:type="dxa"/>
            <w:tcBorders>
              <w:top w:val="nil"/>
              <w:left w:val="nil"/>
              <w:bottom w:val="nil"/>
              <w:right w:val="nil"/>
            </w:tcBorders>
            <w:shd w:val="clear" w:color="auto" w:fill="auto"/>
            <w:noWrap/>
            <w:vAlign w:val="center"/>
          </w:tcPr>
          <w:p w14:paraId="20D2512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F7F49E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.001</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87</w:t>
            </w:r>
          </w:p>
        </w:tc>
        <w:tc>
          <w:tcPr>
            <w:tcW w:w="1749" w:type="dxa"/>
            <w:tcBorders>
              <w:top w:val="nil"/>
              <w:left w:val="nil"/>
              <w:bottom w:val="nil"/>
              <w:right w:val="nil"/>
            </w:tcBorders>
            <w:shd w:val="clear" w:color="auto" w:fill="auto"/>
            <w:noWrap/>
            <w:vAlign w:val="center"/>
          </w:tcPr>
          <w:p w14:paraId="1143513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0</w:t>
            </w:r>
          </w:p>
        </w:tc>
        <w:tc>
          <w:tcPr>
            <w:tcW w:w="1749" w:type="dxa"/>
            <w:tcBorders>
              <w:top w:val="nil"/>
              <w:left w:val="nil"/>
              <w:bottom w:val="nil"/>
              <w:right w:val="nil"/>
            </w:tcBorders>
            <w:shd w:val="clear" w:color="auto" w:fill="auto"/>
            <w:noWrap/>
            <w:vAlign w:val="center"/>
          </w:tcPr>
          <w:p w14:paraId="5E8EFE6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0.997</w:t>
            </w:r>
          </w:p>
        </w:tc>
      </w:tr>
      <w:tr w:rsidR="0074478A" w14:paraId="6096A68A" w14:textId="77777777">
        <w:trPr>
          <w:gridAfter w:val="1"/>
          <w:wAfter w:w="1749" w:type="dxa"/>
          <w:trHeight w:val="90"/>
        </w:trPr>
        <w:tc>
          <w:tcPr>
            <w:tcW w:w="1862" w:type="dxa"/>
            <w:vMerge/>
            <w:tcBorders>
              <w:top w:val="nil"/>
              <w:left w:val="nil"/>
              <w:bottom w:val="nil"/>
              <w:right w:val="nil"/>
            </w:tcBorders>
            <w:shd w:val="clear" w:color="auto" w:fill="auto"/>
            <w:noWrap/>
            <w:vAlign w:val="center"/>
          </w:tcPr>
          <w:p w14:paraId="72CECFE7" w14:textId="77777777" w:rsidR="0074478A" w:rsidRDefault="0074478A">
            <w:pPr>
              <w:spacing w:line="240" w:lineRule="atLeast"/>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30AD7F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20AF8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66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510</w:t>
            </w:r>
          </w:p>
        </w:tc>
        <w:tc>
          <w:tcPr>
            <w:tcW w:w="1749" w:type="dxa"/>
            <w:tcBorders>
              <w:top w:val="nil"/>
              <w:left w:val="nil"/>
              <w:bottom w:val="nil"/>
              <w:right w:val="nil"/>
            </w:tcBorders>
            <w:shd w:val="clear" w:color="auto" w:fill="auto"/>
            <w:noWrap/>
            <w:vAlign w:val="center"/>
          </w:tcPr>
          <w:p w14:paraId="09E5050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1FDF67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76E4294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w:t>
            </w:r>
            <w:r>
              <w:rPr>
                <w:rFonts w:ascii="Times New Roman" w:eastAsia="SimSun" w:hAnsi="Times New Roman" w:cs="Times New Roman" w:hint="eastAsia"/>
                <w:color w:val="000000"/>
                <w:kern w:val="0"/>
                <w:szCs w:val="21"/>
                <w:lang w:bidi="ar"/>
              </w:rPr>
              <w:t>37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64</w:t>
            </w:r>
            <w:r>
              <w:rPr>
                <w:rFonts w:ascii="Times New Roman" w:eastAsia="SimSun" w:hAnsi="Times New Roman" w:cs="Times New Roman"/>
                <w:color w:val="000000"/>
                <w:kern w:val="0"/>
                <w:szCs w:val="21"/>
                <w:lang w:bidi="ar"/>
              </w:rPr>
              <w:t>7</w:t>
            </w:r>
          </w:p>
        </w:tc>
        <w:tc>
          <w:tcPr>
            <w:tcW w:w="1749" w:type="dxa"/>
            <w:tcBorders>
              <w:top w:val="nil"/>
              <w:left w:val="nil"/>
              <w:bottom w:val="nil"/>
              <w:right w:val="nil"/>
            </w:tcBorders>
            <w:shd w:val="clear" w:color="auto" w:fill="auto"/>
            <w:noWrap/>
            <w:vAlign w:val="center"/>
          </w:tcPr>
          <w:p w14:paraId="2A10C65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r>
      <w:tr w:rsidR="0074478A" w14:paraId="5F075AE1" w14:textId="77777777">
        <w:trPr>
          <w:gridAfter w:val="1"/>
          <w:wAfter w:w="1749" w:type="dxa"/>
          <w:trHeight w:val="278"/>
        </w:trPr>
        <w:tc>
          <w:tcPr>
            <w:tcW w:w="3680" w:type="dxa"/>
            <w:gridSpan w:val="2"/>
            <w:tcBorders>
              <w:top w:val="nil"/>
              <w:left w:val="nil"/>
              <w:bottom w:val="single" w:sz="12" w:space="0" w:color="auto"/>
              <w:right w:val="nil"/>
            </w:tcBorders>
            <w:shd w:val="clear" w:color="auto" w:fill="auto"/>
            <w:noWrap/>
            <w:vAlign w:val="center"/>
          </w:tcPr>
          <w:p w14:paraId="0E7FE44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749" w:type="dxa"/>
            <w:tcBorders>
              <w:top w:val="nil"/>
              <w:left w:val="nil"/>
              <w:bottom w:val="single" w:sz="12" w:space="0" w:color="auto"/>
              <w:right w:val="nil"/>
            </w:tcBorders>
            <w:shd w:val="clear" w:color="auto" w:fill="auto"/>
            <w:noWrap/>
            <w:vAlign w:val="center"/>
          </w:tcPr>
          <w:p w14:paraId="5B658A6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51.83%</w:t>
            </w:r>
          </w:p>
        </w:tc>
        <w:tc>
          <w:tcPr>
            <w:tcW w:w="1749" w:type="dxa"/>
            <w:tcBorders>
              <w:top w:val="nil"/>
              <w:left w:val="nil"/>
              <w:bottom w:val="single" w:sz="12" w:space="0" w:color="auto"/>
              <w:right w:val="nil"/>
            </w:tcBorders>
            <w:shd w:val="clear" w:color="auto" w:fill="auto"/>
            <w:noWrap/>
            <w:vAlign w:val="center"/>
          </w:tcPr>
          <w:p w14:paraId="617C637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7C01C83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90.39%</w:t>
            </w:r>
          </w:p>
        </w:tc>
        <w:tc>
          <w:tcPr>
            <w:tcW w:w="1749" w:type="dxa"/>
            <w:tcBorders>
              <w:top w:val="nil"/>
              <w:left w:val="nil"/>
              <w:bottom w:val="single" w:sz="12" w:space="0" w:color="auto"/>
              <w:right w:val="nil"/>
            </w:tcBorders>
            <w:shd w:val="clear" w:color="auto" w:fill="auto"/>
            <w:noWrap/>
            <w:vAlign w:val="center"/>
          </w:tcPr>
          <w:p w14:paraId="6B69DD7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80.50%</w:t>
            </w:r>
          </w:p>
        </w:tc>
        <w:tc>
          <w:tcPr>
            <w:tcW w:w="1749" w:type="dxa"/>
            <w:tcBorders>
              <w:top w:val="nil"/>
              <w:left w:val="nil"/>
              <w:bottom w:val="single" w:sz="12" w:space="0" w:color="auto"/>
              <w:right w:val="nil"/>
            </w:tcBorders>
            <w:shd w:val="clear" w:color="auto" w:fill="auto"/>
            <w:noWrap/>
            <w:vAlign w:val="center"/>
          </w:tcPr>
          <w:p w14:paraId="5761D3C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93.29%</w:t>
            </w:r>
          </w:p>
        </w:tc>
      </w:tr>
    </w:tbl>
    <w:p w14:paraId="383649CC" w14:textId="77777777" w:rsidR="0074478A" w:rsidRDefault="0074478A">
      <w:pPr>
        <w:rPr>
          <w:rFonts w:ascii="Times New Roman" w:hAnsi="Times New Roman" w:cs="Times New Roman"/>
        </w:rPr>
      </w:pPr>
    </w:p>
    <w:p w14:paraId="15B9EBB5" w14:textId="77777777" w:rsidR="0074478A" w:rsidRDefault="0074478A">
      <w:pPr>
        <w:rPr>
          <w:rFonts w:ascii="Times New Roman" w:hAnsi="Times New Roman" w:cs="Times New Roman"/>
        </w:rPr>
      </w:pPr>
    </w:p>
    <w:p w14:paraId="18943501" w14:textId="77777777" w:rsidR="0074478A" w:rsidRDefault="00690393">
      <w:pPr>
        <w:rPr>
          <w:rFonts w:ascii="Times New Roman" w:hAnsi="Times New Roman" w:cs="Times New Roman"/>
        </w:rPr>
      </w:pPr>
      <w:r>
        <w:rPr>
          <w:rFonts w:ascii="Times New Roman" w:hAnsi="Times New Roman" w:cs="Times New Roman" w:hint="eastAsia"/>
        </w:rPr>
        <w:t>Panel C: Canada</w:t>
      </w:r>
    </w:p>
    <w:tbl>
      <w:tblPr>
        <w:tblW w:w="4998" w:type="pct"/>
        <w:tblLook w:val="04A0" w:firstRow="1" w:lastRow="0" w:firstColumn="1" w:lastColumn="0" w:noHBand="0" w:noVBand="1"/>
      </w:tblPr>
      <w:tblGrid>
        <w:gridCol w:w="1801"/>
        <w:gridCol w:w="3147"/>
        <w:gridCol w:w="1997"/>
        <w:gridCol w:w="1508"/>
        <w:gridCol w:w="1508"/>
        <w:gridCol w:w="1994"/>
        <w:gridCol w:w="1997"/>
      </w:tblGrid>
      <w:tr w:rsidR="0074478A" w14:paraId="2E5ECFEB"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08C22E5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718" w:type="pct"/>
            <w:tcBorders>
              <w:top w:val="single" w:sz="12" w:space="0" w:color="auto"/>
              <w:left w:val="nil"/>
              <w:bottom w:val="single" w:sz="8" w:space="0" w:color="auto"/>
              <w:right w:val="nil"/>
            </w:tcBorders>
            <w:shd w:val="clear" w:color="auto" w:fill="auto"/>
            <w:noWrap/>
            <w:vAlign w:val="center"/>
          </w:tcPr>
          <w:p w14:paraId="1C77DA2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1999/01/01-</w:t>
            </w:r>
          </w:p>
          <w:p w14:paraId="3CF8E64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2003/01/02</w:t>
            </w:r>
          </w:p>
        </w:tc>
        <w:tc>
          <w:tcPr>
            <w:tcW w:w="543" w:type="pct"/>
            <w:tcBorders>
              <w:top w:val="single" w:sz="12" w:space="0" w:color="auto"/>
              <w:left w:val="nil"/>
              <w:bottom w:val="single" w:sz="8" w:space="0" w:color="auto"/>
              <w:right w:val="nil"/>
            </w:tcBorders>
            <w:shd w:val="clear" w:color="auto" w:fill="auto"/>
            <w:noWrap/>
            <w:vAlign w:val="center"/>
          </w:tcPr>
          <w:p w14:paraId="33A62E8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2003/01/0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p>
          <w:p w14:paraId="0953752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0</w:t>
            </w:r>
          </w:p>
        </w:tc>
        <w:tc>
          <w:tcPr>
            <w:tcW w:w="543" w:type="pct"/>
            <w:tcBorders>
              <w:top w:val="single" w:sz="12" w:space="0" w:color="auto"/>
              <w:left w:val="nil"/>
              <w:bottom w:val="single" w:sz="8" w:space="0" w:color="auto"/>
              <w:right w:val="nil"/>
            </w:tcBorders>
            <w:shd w:val="clear" w:color="auto" w:fill="auto"/>
            <w:noWrap/>
            <w:vAlign w:val="center"/>
          </w:tcPr>
          <w:p w14:paraId="61C2A5B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21</w:t>
            </w:r>
            <w:r>
              <w:rPr>
                <w:rFonts w:ascii="Times New Roman" w:eastAsia="SimSun" w:hAnsi="Times New Roman" w:cs="Times New Roman"/>
                <w:color w:val="000000"/>
                <w:kern w:val="0"/>
                <w:szCs w:val="21"/>
                <w:lang w:bidi="ar"/>
              </w:rPr>
              <w:t>-</w:t>
            </w:r>
          </w:p>
          <w:p w14:paraId="035C7F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29</w:t>
            </w:r>
          </w:p>
        </w:tc>
        <w:tc>
          <w:tcPr>
            <w:tcW w:w="717" w:type="pct"/>
            <w:tcBorders>
              <w:top w:val="single" w:sz="12" w:space="0" w:color="auto"/>
              <w:left w:val="nil"/>
              <w:bottom w:val="single" w:sz="8" w:space="0" w:color="auto"/>
              <w:right w:val="nil"/>
            </w:tcBorders>
            <w:shd w:val="clear" w:color="auto" w:fill="auto"/>
            <w:noWrap/>
            <w:vAlign w:val="center"/>
          </w:tcPr>
          <w:p w14:paraId="0E905A0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30</w:t>
            </w:r>
            <w:r>
              <w:rPr>
                <w:rFonts w:ascii="Times New Roman" w:eastAsia="SimSun" w:hAnsi="Times New Roman" w:cs="Times New Roman"/>
                <w:color w:val="000000"/>
                <w:kern w:val="0"/>
                <w:szCs w:val="21"/>
                <w:lang w:bidi="ar"/>
              </w:rPr>
              <w:t>-</w:t>
            </w:r>
          </w:p>
          <w:p w14:paraId="52DB711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10</w:t>
            </w:r>
          </w:p>
        </w:tc>
        <w:tc>
          <w:tcPr>
            <w:tcW w:w="718" w:type="pct"/>
            <w:tcBorders>
              <w:top w:val="single" w:sz="12" w:space="0" w:color="auto"/>
              <w:left w:val="nil"/>
              <w:bottom w:val="single" w:sz="8" w:space="0" w:color="auto"/>
              <w:right w:val="nil"/>
            </w:tcBorders>
            <w:shd w:val="clear" w:color="auto" w:fill="auto"/>
            <w:noWrap/>
            <w:vAlign w:val="center"/>
          </w:tcPr>
          <w:p w14:paraId="478DC34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1-</w:t>
            </w:r>
          </w:p>
          <w:p w14:paraId="2488C79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74478A" w14:paraId="26A6786D"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065B23D8"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3147" w:type="dxa"/>
            <w:tcBorders>
              <w:top w:val="single" w:sz="8" w:space="0" w:color="auto"/>
              <w:left w:val="nil"/>
              <w:bottom w:val="nil"/>
              <w:right w:val="nil"/>
            </w:tcBorders>
            <w:shd w:val="clear" w:color="auto" w:fill="auto"/>
            <w:noWrap/>
            <w:vAlign w:val="center"/>
          </w:tcPr>
          <w:p w14:paraId="717AD528"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718" w:type="pct"/>
            <w:tcBorders>
              <w:top w:val="single" w:sz="8" w:space="0" w:color="auto"/>
              <w:left w:val="nil"/>
              <w:bottom w:val="nil"/>
              <w:right w:val="nil"/>
            </w:tcBorders>
            <w:shd w:val="clear" w:color="auto" w:fill="auto"/>
            <w:vAlign w:val="bottom"/>
          </w:tcPr>
          <w:p w14:paraId="1050488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94.14%</w:t>
            </w:r>
          </w:p>
        </w:tc>
        <w:tc>
          <w:tcPr>
            <w:tcW w:w="543" w:type="pct"/>
            <w:tcBorders>
              <w:top w:val="single" w:sz="8" w:space="0" w:color="auto"/>
              <w:left w:val="nil"/>
              <w:bottom w:val="nil"/>
              <w:right w:val="nil"/>
            </w:tcBorders>
            <w:shd w:val="clear" w:color="auto" w:fill="auto"/>
            <w:noWrap/>
            <w:vAlign w:val="bottom"/>
          </w:tcPr>
          <w:p w14:paraId="72FA692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47.41%</w:t>
            </w:r>
          </w:p>
        </w:tc>
        <w:tc>
          <w:tcPr>
            <w:tcW w:w="543" w:type="pct"/>
            <w:tcBorders>
              <w:top w:val="single" w:sz="8" w:space="0" w:color="auto"/>
              <w:left w:val="nil"/>
              <w:bottom w:val="nil"/>
              <w:right w:val="nil"/>
            </w:tcBorders>
            <w:shd w:val="clear" w:color="auto" w:fill="auto"/>
            <w:noWrap/>
            <w:vAlign w:val="bottom"/>
          </w:tcPr>
          <w:p w14:paraId="0BA0294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53.08%</w:t>
            </w:r>
          </w:p>
        </w:tc>
        <w:tc>
          <w:tcPr>
            <w:tcW w:w="717" w:type="pct"/>
            <w:tcBorders>
              <w:top w:val="single" w:sz="8" w:space="0" w:color="auto"/>
              <w:left w:val="nil"/>
              <w:bottom w:val="nil"/>
              <w:right w:val="nil"/>
            </w:tcBorders>
            <w:shd w:val="clear" w:color="auto" w:fill="auto"/>
            <w:noWrap/>
            <w:vAlign w:val="bottom"/>
          </w:tcPr>
          <w:p w14:paraId="1A5B454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46.23%</w:t>
            </w:r>
          </w:p>
        </w:tc>
        <w:tc>
          <w:tcPr>
            <w:tcW w:w="718" w:type="pct"/>
            <w:tcBorders>
              <w:top w:val="single" w:sz="8" w:space="0" w:color="auto"/>
              <w:left w:val="nil"/>
              <w:bottom w:val="nil"/>
              <w:right w:val="nil"/>
            </w:tcBorders>
            <w:shd w:val="clear" w:color="auto" w:fill="auto"/>
            <w:noWrap/>
            <w:vAlign w:val="bottom"/>
          </w:tcPr>
          <w:p w14:paraId="3A7E9EF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50.61%</w:t>
            </w:r>
          </w:p>
        </w:tc>
      </w:tr>
      <w:tr w:rsidR="0074478A" w14:paraId="208B8E0C" w14:textId="77777777">
        <w:trPr>
          <w:trHeight w:val="278"/>
        </w:trPr>
        <w:tc>
          <w:tcPr>
            <w:tcW w:w="648" w:type="pct"/>
            <w:vMerge/>
            <w:tcBorders>
              <w:top w:val="nil"/>
              <w:left w:val="nil"/>
              <w:bottom w:val="nil"/>
              <w:right w:val="nil"/>
            </w:tcBorders>
            <w:shd w:val="clear" w:color="auto" w:fill="auto"/>
            <w:noWrap/>
            <w:vAlign w:val="center"/>
          </w:tcPr>
          <w:p w14:paraId="5B66B4A1" w14:textId="77777777" w:rsidR="0074478A" w:rsidRDefault="0074478A">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0E2C65D3"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718" w:type="pct"/>
            <w:tcBorders>
              <w:top w:val="nil"/>
              <w:left w:val="nil"/>
              <w:bottom w:val="nil"/>
              <w:right w:val="nil"/>
            </w:tcBorders>
            <w:shd w:val="clear" w:color="auto" w:fill="auto"/>
            <w:noWrap/>
            <w:vAlign w:val="bottom"/>
          </w:tcPr>
          <w:p w14:paraId="584B014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5.73%</w:t>
            </w:r>
          </w:p>
        </w:tc>
        <w:tc>
          <w:tcPr>
            <w:tcW w:w="543" w:type="pct"/>
            <w:tcBorders>
              <w:top w:val="nil"/>
              <w:left w:val="nil"/>
              <w:bottom w:val="nil"/>
              <w:right w:val="nil"/>
            </w:tcBorders>
            <w:shd w:val="clear" w:color="auto" w:fill="auto"/>
            <w:noWrap/>
            <w:vAlign w:val="bottom"/>
          </w:tcPr>
          <w:p w14:paraId="507BFDE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41.22%</w:t>
            </w:r>
          </w:p>
        </w:tc>
        <w:tc>
          <w:tcPr>
            <w:tcW w:w="543" w:type="pct"/>
            <w:tcBorders>
              <w:top w:val="nil"/>
              <w:left w:val="nil"/>
              <w:bottom w:val="nil"/>
              <w:right w:val="nil"/>
            </w:tcBorders>
            <w:shd w:val="clear" w:color="auto" w:fill="auto"/>
            <w:noWrap/>
            <w:vAlign w:val="bottom"/>
          </w:tcPr>
          <w:p w14:paraId="3FC8078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47.81%</w:t>
            </w:r>
          </w:p>
        </w:tc>
        <w:tc>
          <w:tcPr>
            <w:tcW w:w="717" w:type="pct"/>
            <w:tcBorders>
              <w:top w:val="nil"/>
              <w:left w:val="nil"/>
              <w:bottom w:val="nil"/>
              <w:right w:val="nil"/>
            </w:tcBorders>
            <w:shd w:val="clear" w:color="auto" w:fill="auto"/>
            <w:noWrap/>
            <w:vAlign w:val="bottom"/>
          </w:tcPr>
          <w:p w14:paraId="77D53E2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11.66%</w:t>
            </w:r>
          </w:p>
        </w:tc>
        <w:tc>
          <w:tcPr>
            <w:tcW w:w="718" w:type="pct"/>
            <w:tcBorders>
              <w:top w:val="nil"/>
              <w:left w:val="nil"/>
              <w:bottom w:val="nil"/>
              <w:right w:val="nil"/>
            </w:tcBorders>
            <w:shd w:val="clear" w:color="auto" w:fill="auto"/>
            <w:noWrap/>
            <w:vAlign w:val="bottom"/>
          </w:tcPr>
          <w:p w14:paraId="4ABF1B6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33.55%</w:t>
            </w:r>
          </w:p>
        </w:tc>
      </w:tr>
      <w:tr w:rsidR="0074478A" w14:paraId="4CB3E010" w14:textId="77777777">
        <w:trPr>
          <w:trHeight w:val="278"/>
        </w:trPr>
        <w:tc>
          <w:tcPr>
            <w:tcW w:w="648" w:type="pct"/>
            <w:vMerge/>
            <w:tcBorders>
              <w:top w:val="nil"/>
              <w:left w:val="nil"/>
              <w:bottom w:val="nil"/>
              <w:right w:val="nil"/>
            </w:tcBorders>
            <w:shd w:val="clear" w:color="auto" w:fill="auto"/>
            <w:noWrap/>
            <w:vAlign w:val="center"/>
          </w:tcPr>
          <w:p w14:paraId="24D5225A" w14:textId="77777777" w:rsidR="0074478A" w:rsidRDefault="0074478A">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1F938ED2"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718" w:type="pct"/>
            <w:tcBorders>
              <w:top w:val="nil"/>
              <w:left w:val="nil"/>
              <w:bottom w:val="nil"/>
              <w:right w:val="nil"/>
            </w:tcBorders>
            <w:shd w:val="clear" w:color="auto" w:fill="auto"/>
            <w:noWrap/>
            <w:vAlign w:val="bottom"/>
          </w:tcPr>
          <w:p w14:paraId="7ADAC3A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3.89%</w:t>
            </w:r>
          </w:p>
        </w:tc>
        <w:tc>
          <w:tcPr>
            <w:tcW w:w="543" w:type="pct"/>
            <w:tcBorders>
              <w:top w:val="nil"/>
              <w:left w:val="nil"/>
              <w:bottom w:val="nil"/>
              <w:right w:val="nil"/>
            </w:tcBorders>
            <w:shd w:val="clear" w:color="auto" w:fill="auto"/>
            <w:noWrap/>
            <w:vAlign w:val="bottom"/>
          </w:tcPr>
          <w:p w14:paraId="35902AA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7.82%</w:t>
            </w:r>
          </w:p>
        </w:tc>
        <w:tc>
          <w:tcPr>
            <w:tcW w:w="543" w:type="pct"/>
            <w:tcBorders>
              <w:top w:val="nil"/>
              <w:left w:val="nil"/>
              <w:bottom w:val="nil"/>
              <w:right w:val="nil"/>
            </w:tcBorders>
            <w:shd w:val="clear" w:color="auto" w:fill="auto"/>
            <w:noWrap/>
            <w:vAlign w:val="bottom"/>
          </w:tcPr>
          <w:p w14:paraId="76C0BB1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-26.48%</w:t>
            </w:r>
          </w:p>
        </w:tc>
        <w:tc>
          <w:tcPr>
            <w:tcW w:w="717" w:type="pct"/>
            <w:tcBorders>
              <w:top w:val="nil"/>
              <w:left w:val="nil"/>
              <w:bottom w:val="nil"/>
              <w:right w:val="nil"/>
            </w:tcBorders>
            <w:shd w:val="clear" w:color="auto" w:fill="auto"/>
            <w:noWrap/>
            <w:vAlign w:val="bottom"/>
          </w:tcPr>
          <w:p w14:paraId="5AD6D95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3.75%</w:t>
            </w:r>
          </w:p>
        </w:tc>
        <w:tc>
          <w:tcPr>
            <w:tcW w:w="718" w:type="pct"/>
            <w:tcBorders>
              <w:top w:val="nil"/>
              <w:left w:val="nil"/>
              <w:bottom w:val="nil"/>
              <w:right w:val="nil"/>
            </w:tcBorders>
            <w:shd w:val="clear" w:color="auto" w:fill="auto"/>
            <w:noWrap/>
            <w:vAlign w:val="bottom"/>
          </w:tcPr>
          <w:p w14:paraId="7F5DCDF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-2.42%</w:t>
            </w:r>
          </w:p>
        </w:tc>
      </w:tr>
      <w:tr w:rsidR="0074478A" w14:paraId="7AA9AED9" w14:textId="77777777">
        <w:trPr>
          <w:trHeight w:val="278"/>
        </w:trPr>
        <w:tc>
          <w:tcPr>
            <w:tcW w:w="648" w:type="pct"/>
            <w:vMerge/>
            <w:tcBorders>
              <w:top w:val="nil"/>
              <w:left w:val="nil"/>
              <w:bottom w:val="nil"/>
              <w:right w:val="nil"/>
            </w:tcBorders>
            <w:shd w:val="clear" w:color="auto" w:fill="auto"/>
            <w:noWrap/>
            <w:vAlign w:val="center"/>
          </w:tcPr>
          <w:p w14:paraId="2BA7A38D" w14:textId="77777777" w:rsidR="0074478A" w:rsidRDefault="0074478A">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593A149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718" w:type="pct"/>
            <w:tcBorders>
              <w:top w:val="nil"/>
              <w:left w:val="nil"/>
              <w:bottom w:val="nil"/>
              <w:right w:val="nil"/>
            </w:tcBorders>
            <w:shd w:val="clear" w:color="auto" w:fill="auto"/>
            <w:vAlign w:val="center"/>
          </w:tcPr>
          <w:p w14:paraId="2435B4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-3.77%</w:t>
            </w:r>
          </w:p>
        </w:tc>
        <w:tc>
          <w:tcPr>
            <w:tcW w:w="543" w:type="pct"/>
            <w:tcBorders>
              <w:top w:val="nil"/>
              <w:left w:val="nil"/>
              <w:bottom w:val="nil"/>
              <w:right w:val="nil"/>
            </w:tcBorders>
            <w:shd w:val="clear" w:color="auto" w:fill="auto"/>
            <w:noWrap/>
            <w:vAlign w:val="center"/>
          </w:tcPr>
          <w:p w14:paraId="3B531C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3.55%</w:t>
            </w:r>
          </w:p>
        </w:tc>
        <w:tc>
          <w:tcPr>
            <w:tcW w:w="543" w:type="pct"/>
            <w:tcBorders>
              <w:top w:val="nil"/>
              <w:left w:val="nil"/>
              <w:bottom w:val="nil"/>
              <w:right w:val="nil"/>
            </w:tcBorders>
            <w:shd w:val="clear" w:color="auto" w:fill="auto"/>
            <w:noWrap/>
            <w:vAlign w:val="center"/>
          </w:tcPr>
          <w:p w14:paraId="7E75963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25.59%</w:t>
            </w:r>
          </w:p>
        </w:tc>
        <w:tc>
          <w:tcPr>
            <w:tcW w:w="717" w:type="pct"/>
            <w:tcBorders>
              <w:top w:val="nil"/>
              <w:left w:val="nil"/>
              <w:bottom w:val="nil"/>
              <w:right w:val="nil"/>
            </w:tcBorders>
            <w:shd w:val="clear" w:color="auto" w:fill="auto"/>
            <w:noWrap/>
            <w:vAlign w:val="center"/>
          </w:tcPr>
          <w:p w14:paraId="0010FDC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38.35%</w:t>
            </w:r>
          </w:p>
        </w:tc>
        <w:tc>
          <w:tcPr>
            <w:tcW w:w="718" w:type="pct"/>
            <w:tcBorders>
              <w:top w:val="nil"/>
              <w:left w:val="nil"/>
              <w:bottom w:val="nil"/>
              <w:right w:val="nil"/>
            </w:tcBorders>
            <w:shd w:val="clear" w:color="auto" w:fill="auto"/>
            <w:noWrap/>
            <w:vAlign w:val="center"/>
          </w:tcPr>
          <w:p w14:paraId="26E357B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18.26%</w:t>
            </w:r>
          </w:p>
        </w:tc>
      </w:tr>
      <w:tr w:rsidR="0074478A" w14:paraId="4EB6181D" w14:textId="77777777">
        <w:trPr>
          <w:trHeight w:val="278"/>
        </w:trPr>
        <w:tc>
          <w:tcPr>
            <w:tcW w:w="1758" w:type="pct"/>
            <w:gridSpan w:val="2"/>
            <w:tcBorders>
              <w:top w:val="nil"/>
              <w:left w:val="nil"/>
              <w:bottom w:val="nil"/>
              <w:right w:val="nil"/>
            </w:tcBorders>
            <w:shd w:val="clear" w:color="auto" w:fill="auto"/>
            <w:noWrap/>
            <w:vAlign w:val="center"/>
          </w:tcPr>
          <w:p w14:paraId="5AA5A35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718" w:type="pct"/>
            <w:tcBorders>
              <w:top w:val="nil"/>
              <w:left w:val="nil"/>
              <w:bottom w:val="nil"/>
              <w:right w:val="nil"/>
            </w:tcBorders>
            <w:shd w:val="clear" w:color="auto" w:fill="auto"/>
            <w:noWrap/>
            <w:vAlign w:val="center"/>
          </w:tcPr>
          <w:p w14:paraId="1F78C2E3" w14:textId="77777777" w:rsidR="0074478A" w:rsidRDefault="00690393">
            <w:pPr>
              <w:widowControl/>
              <w:jc w:val="center"/>
              <w:textAlignment w:val="center"/>
              <w:rPr>
                <w:rFonts w:ascii="Times New Roman" w:eastAsia="SimSun" w:hAnsi="Times New Roman" w:cs="Times New Roman"/>
                <w:color w:val="000000"/>
                <w:kern w:val="0"/>
                <w:szCs w:val="21"/>
                <w:lang w:bidi="ar"/>
              </w:rPr>
            </w:pPr>
            <w:bookmarkStart w:id="102" w:name="OLE_LINK39"/>
            <w:r>
              <w:rPr>
                <w:rFonts w:ascii="Times New Roman" w:eastAsia="SimSun" w:hAnsi="Times New Roman" w:cs="Times New Roman" w:hint="eastAsia"/>
                <w:color w:val="000000"/>
                <w:kern w:val="0"/>
                <w:szCs w:val="21"/>
                <w:lang w:bidi="ar"/>
              </w:rPr>
              <w:t>Managed floating</w:t>
            </w:r>
            <w:bookmarkEnd w:id="102"/>
          </w:p>
        </w:tc>
        <w:tc>
          <w:tcPr>
            <w:tcW w:w="543" w:type="pct"/>
            <w:tcBorders>
              <w:top w:val="nil"/>
              <w:left w:val="nil"/>
              <w:bottom w:val="nil"/>
              <w:right w:val="nil"/>
            </w:tcBorders>
            <w:shd w:val="clear" w:color="auto" w:fill="auto"/>
            <w:noWrap/>
            <w:vAlign w:val="center"/>
          </w:tcPr>
          <w:p w14:paraId="76D9365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43" w:type="pct"/>
            <w:tcBorders>
              <w:top w:val="nil"/>
              <w:left w:val="nil"/>
              <w:bottom w:val="nil"/>
              <w:right w:val="nil"/>
            </w:tcBorders>
            <w:shd w:val="clear" w:color="auto" w:fill="auto"/>
            <w:noWrap/>
            <w:vAlign w:val="center"/>
          </w:tcPr>
          <w:p w14:paraId="0607549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717" w:type="pct"/>
            <w:tcBorders>
              <w:top w:val="nil"/>
              <w:left w:val="nil"/>
              <w:bottom w:val="nil"/>
              <w:right w:val="nil"/>
            </w:tcBorders>
            <w:shd w:val="clear" w:color="auto" w:fill="auto"/>
            <w:noWrap/>
            <w:vAlign w:val="center"/>
          </w:tcPr>
          <w:p w14:paraId="624517B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718" w:type="pct"/>
            <w:tcBorders>
              <w:top w:val="nil"/>
              <w:left w:val="nil"/>
              <w:bottom w:val="nil"/>
              <w:right w:val="nil"/>
            </w:tcBorders>
            <w:shd w:val="clear" w:color="auto" w:fill="auto"/>
            <w:noWrap/>
            <w:vAlign w:val="center"/>
          </w:tcPr>
          <w:p w14:paraId="0FABD92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74478A" w14:paraId="02F32875" w14:textId="77777777">
        <w:trPr>
          <w:trHeight w:val="278"/>
        </w:trPr>
        <w:tc>
          <w:tcPr>
            <w:tcW w:w="1758" w:type="pct"/>
            <w:gridSpan w:val="2"/>
            <w:tcBorders>
              <w:top w:val="nil"/>
              <w:left w:val="nil"/>
              <w:bottom w:val="nil"/>
              <w:right w:val="nil"/>
            </w:tcBorders>
            <w:shd w:val="clear" w:color="auto" w:fill="auto"/>
            <w:noWrap/>
            <w:vAlign w:val="center"/>
          </w:tcPr>
          <w:p w14:paraId="3AC7E8C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bookmarkStart w:id="103" w:name="OLE_LINK40" w:colFirst="1" w:colLast="1"/>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223AD94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46ADC28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±6.58%</w:t>
            </w:r>
          </w:p>
        </w:tc>
        <w:tc>
          <w:tcPr>
            <w:tcW w:w="543" w:type="pct"/>
            <w:tcBorders>
              <w:top w:val="nil"/>
              <w:left w:val="nil"/>
              <w:bottom w:val="nil"/>
              <w:right w:val="nil"/>
            </w:tcBorders>
            <w:shd w:val="clear" w:color="auto" w:fill="auto"/>
            <w:noWrap/>
            <w:vAlign w:val="center"/>
          </w:tcPr>
          <w:p w14:paraId="130D3B3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±10.50%</w:t>
            </w:r>
          </w:p>
        </w:tc>
        <w:tc>
          <w:tcPr>
            <w:tcW w:w="717" w:type="pct"/>
            <w:tcBorders>
              <w:top w:val="nil"/>
              <w:left w:val="nil"/>
              <w:bottom w:val="nil"/>
              <w:right w:val="nil"/>
            </w:tcBorders>
            <w:shd w:val="clear" w:color="auto" w:fill="auto"/>
            <w:noWrap/>
            <w:vAlign w:val="center"/>
          </w:tcPr>
          <w:p w14:paraId="7DA59C5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556AF2D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0CC6978D" w14:textId="77777777">
        <w:trPr>
          <w:trHeight w:val="278"/>
        </w:trPr>
        <w:tc>
          <w:tcPr>
            <w:tcW w:w="648" w:type="pct"/>
            <w:vMerge w:val="restart"/>
            <w:tcBorders>
              <w:top w:val="nil"/>
              <w:left w:val="nil"/>
              <w:bottom w:val="nil"/>
              <w:right w:val="nil"/>
            </w:tcBorders>
            <w:shd w:val="clear" w:color="auto" w:fill="auto"/>
            <w:noWrap/>
            <w:vAlign w:val="center"/>
          </w:tcPr>
          <w:p w14:paraId="4563B7C4"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1D8DBAF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614966C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57F88EB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0.003/0.96</w:t>
            </w:r>
            <w:r>
              <w:rPr>
                <w:rFonts w:ascii="Times New Roman" w:eastAsia="SimSun" w:hAnsi="Times New Roman" w:cs="Times New Roman" w:hint="eastAsia"/>
                <w:color w:val="000000"/>
                <w:kern w:val="0"/>
                <w:szCs w:val="21"/>
                <w:lang w:bidi="ar"/>
              </w:rPr>
              <w:t>0</w:t>
            </w:r>
          </w:p>
        </w:tc>
        <w:tc>
          <w:tcPr>
            <w:tcW w:w="543" w:type="pct"/>
            <w:tcBorders>
              <w:top w:val="nil"/>
              <w:left w:val="nil"/>
              <w:bottom w:val="nil"/>
              <w:right w:val="nil"/>
            </w:tcBorders>
            <w:shd w:val="clear" w:color="auto" w:fill="auto"/>
            <w:noWrap/>
            <w:vAlign w:val="center"/>
          </w:tcPr>
          <w:p w14:paraId="758926E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0.008/0.917</w:t>
            </w:r>
          </w:p>
        </w:tc>
        <w:tc>
          <w:tcPr>
            <w:tcW w:w="717" w:type="pct"/>
            <w:tcBorders>
              <w:top w:val="nil"/>
              <w:left w:val="nil"/>
              <w:bottom w:val="nil"/>
              <w:right w:val="nil"/>
            </w:tcBorders>
            <w:shd w:val="clear" w:color="auto" w:fill="auto"/>
            <w:noWrap/>
            <w:vAlign w:val="center"/>
          </w:tcPr>
          <w:p w14:paraId="29A64CE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6BE0090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376871AE" w14:textId="77777777">
        <w:trPr>
          <w:trHeight w:val="278"/>
        </w:trPr>
        <w:tc>
          <w:tcPr>
            <w:tcW w:w="648" w:type="pct"/>
            <w:vMerge/>
            <w:tcBorders>
              <w:top w:val="nil"/>
              <w:left w:val="nil"/>
              <w:bottom w:val="nil"/>
              <w:right w:val="nil"/>
            </w:tcBorders>
            <w:shd w:val="clear" w:color="auto" w:fill="auto"/>
            <w:noWrap/>
            <w:vAlign w:val="center"/>
          </w:tcPr>
          <w:p w14:paraId="39B0BF95" w14:textId="77777777" w:rsidR="0074478A" w:rsidRDefault="0074478A">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4CB29C4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7B2258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6F9FED1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/0.995</w:t>
            </w:r>
          </w:p>
        </w:tc>
        <w:tc>
          <w:tcPr>
            <w:tcW w:w="543" w:type="pct"/>
            <w:tcBorders>
              <w:top w:val="nil"/>
              <w:left w:val="nil"/>
              <w:bottom w:val="nil"/>
              <w:right w:val="nil"/>
            </w:tcBorders>
            <w:shd w:val="clear" w:color="auto" w:fill="auto"/>
            <w:noWrap/>
            <w:vAlign w:val="center"/>
          </w:tcPr>
          <w:p w14:paraId="65571F0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0</w:t>
            </w:r>
          </w:p>
        </w:tc>
        <w:tc>
          <w:tcPr>
            <w:tcW w:w="717" w:type="pct"/>
            <w:tcBorders>
              <w:top w:val="nil"/>
              <w:left w:val="nil"/>
              <w:bottom w:val="nil"/>
              <w:right w:val="nil"/>
            </w:tcBorders>
            <w:shd w:val="clear" w:color="auto" w:fill="auto"/>
            <w:noWrap/>
            <w:vAlign w:val="center"/>
          </w:tcPr>
          <w:p w14:paraId="5A4F79F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3606A1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112811C6" w14:textId="77777777">
        <w:trPr>
          <w:trHeight w:val="278"/>
        </w:trPr>
        <w:tc>
          <w:tcPr>
            <w:tcW w:w="648" w:type="pct"/>
            <w:vMerge/>
            <w:tcBorders>
              <w:top w:val="nil"/>
              <w:left w:val="nil"/>
              <w:bottom w:val="nil"/>
              <w:right w:val="nil"/>
            </w:tcBorders>
            <w:shd w:val="clear" w:color="auto" w:fill="auto"/>
            <w:noWrap/>
            <w:vAlign w:val="center"/>
          </w:tcPr>
          <w:p w14:paraId="3CDDE957" w14:textId="77777777" w:rsidR="0074478A" w:rsidRDefault="0074478A">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284D933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43163C7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471A68A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43" w:type="pct"/>
            <w:tcBorders>
              <w:top w:val="nil"/>
              <w:left w:val="nil"/>
              <w:bottom w:val="nil"/>
              <w:right w:val="nil"/>
            </w:tcBorders>
            <w:shd w:val="clear" w:color="auto" w:fill="auto"/>
            <w:noWrap/>
            <w:vAlign w:val="center"/>
          </w:tcPr>
          <w:p w14:paraId="5B2D130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717" w:type="pct"/>
            <w:tcBorders>
              <w:top w:val="nil"/>
              <w:left w:val="nil"/>
              <w:bottom w:val="nil"/>
              <w:right w:val="nil"/>
            </w:tcBorders>
            <w:shd w:val="clear" w:color="auto" w:fill="auto"/>
            <w:noWrap/>
            <w:vAlign w:val="center"/>
          </w:tcPr>
          <w:p w14:paraId="6B3FB6E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0658A11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6248F3C2"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493E916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718" w:type="pct"/>
            <w:tcBorders>
              <w:top w:val="nil"/>
              <w:left w:val="nil"/>
              <w:bottom w:val="single" w:sz="12" w:space="0" w:color="auto"/>
              <w:right w:val="nil"/>
            </w:tcBorders>
            <w:shd w:val="clear" w:color="auto" w:fill="auto"/>
            <w:noWrap/>
            <w:vAlign w:val="center"/>
          </w:tcPr>
          <w:p w14:paraId="005DDAC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single" w:sz="12" w:space="0" w:color="auto"/>
              <w:right w:val="nil"/>
            </w:tcBorders>
            <w:shd w:val="clear" w:color="auto" w:fill="auto"/>
            <w:noWrap/>
            <w:vAlign w:val="center"/>
          </w:tcPr>
          <w:p w14:paraId="2B9F493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47</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9</w:t>
            </w:r>
            <w:r>
              <w:rPr>
                <w:rFonts w:ascii="Times New Roman" w:eastAsia="SimSun" w:hAnsi="Times New Roman" w:cs="Times New Roman" w:hint="eastAsia"/>
                <w:color w:val="000000"/>
                <w:kern w:val="0"/>
                <w:szCs w:val="21"/>
                <w:lang w:bidi="ar"/>
              </w:rPr>
              <w:t>2%</w:t>
            </w:r>
          </w:p>
        </w:tc>
        <w:tc>
          <w:tcPr>
            <w:tcW w:w="543" w:type="pct"/>
            <w:tcBorders>
              <w:top w:val="nil"/>
              <w:left w:val="nil"/>
              <w:bottom w:val="single" w:sz="12" w:space="0" w:color="auto"/>
              <w:right w:val="nil"/>
            </w:tcBorders>
            <w:shd w:val="clear" w:color="auto" w:fill="auto"/>
            <w:noWrap/>
            <w:vAlign w:val="center"/>
          </w:tcPr>
          <w:p w14:paraId="18C8373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.36%</w:t>
            </w:r>
          </w:p>
        </w:tc>
        <w:tc>
          <w:tcPr>
            <w:tcW w:w="717" w:type="pct"/>
            <w:tcBorders>
              <w:top w:val="nil"/>
              <w:left w:val="nil"/>
              <w:bottom w:val="single" w:sz="12" w:space="0" w:color="auto"/>
              <w:right w:val="nil"/>
            </w:tcBorders>
            <w:shd w:val="clear" w:color="auto" w:fill="auto"/>
            <w:noWrap/>
            <w:vAlign w:val="center"/>
          </w:tcPr>
          <w:p w14:paraId="53FB33B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718" w:type="pct"/>
            <w:tcBorders>
              <w:top w:val="nil"/>
              <w:left w:val="nil"/>
              <w:bottom w:val="single" w:sz="12" w:space="0" w:color="auto"/>
              <w:right w:val="nil"/>
            </w:tcBorders>
            <w:shd w:val="clear" w:color="auto" w:fill="auto"/>
            <w:noWrap/>
            <w:vAlign w:val="center"/>
          </w:tcPr>
          <w:p w14:paraId="66FBBB2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bookmarkEnd w:id="103"/>
    </w:tbl>
    <w:p w14:paraId="23BC32B8" w14:textId="77777777" w:rsidR="0074478A" w:rsidRDefault="0074478A">
      <w:pPr>
        <w:rPr>
          <w:rFonts w:ascii="Times New Roman" w:hAnsi="Times New Roman" w:cs="Times New Roman"/>
        </w:rPr>
      </w:pPr>
    </w:p>
    <w:p w14:paraId="05F27D23" w14:textId="77777777" w:rsidR="0074478A" w:rsidRDefault="0074478A">
      <w:pPr>
        <w:rPr>
          <w:rFonts w:ascii="Times New Roman" w:hAnsi="Times New Roman" w:cs="Times New Roman"/>
        </w:rPr>
      </w:pPr>
    </w:p>
    <w:p w14:paraId="42B75559" w14:textId="77777777" w:rsidR="0074478A" w:rsidRDefault="0074478A">
      <w:pPr>
        <w:rPr>
          <w:rFonts w:ascii="Times New Roman" w:hAnsi="Times New Roman" w:cs="Times New Roman"/>
        </w:rPr>
      </w:pPr>
    </w:p>
    <w:p w14:paraId="0E520290" w14:textId="77777777" w:rsidR="0074478A" w:rsidRDefault="0074478A">
      <w:pPr>
        <w:rPr>
          <w:rFonts w:ascii="Times New Roman" w:hAnsi="Times New Roman" w:cs="Times New Roman"/>
        </w:rPr>
      </w:pPr>
    </w:p>
    <w:p w14:paraId="7B390FDF" w14:textId="77777777" w:rsidR="0074478A" w:rsidRDefault="0074478A">
      <w:pPr>
        <w:rPr>
          <w:rFonts w:ascii="Times New Roman" w:hAnsi="Times New Roman" w:cs="Times New Roman"/>
        </w:rPr>
      </w:pPr>
    </w:p>
    <w:p w14:paraId="5722DBBE" w14:textId="77777777" w:rsidR="0074478A" w:rsidRDefault="0074478A">
      <w:pPr>
        <w:rPr>
          <w:rFonts w:ascii="Times New Roman" w:hAnsi="Times New Roman" w:cs="Times New Roman"/>
        </w:rPr>
      </w:pPr>
    </w:p>
    <w:p w14:paraId="6F54DA11" w14:textId="77777777" w:rsidR="0074478A" w:rsidRDefault="00690393">
      <w:pPr>
        <w:rPr>
          <w:rFonts w:ascii="Times New Roman" w:hAnsi="Times New Roman" w:cs="Times New Roman"/>
        </w:rPr>
      </w:pPr>
      <w:r>
        <w:rPr>
          <w:rFonts w:ascii="Times New Roman" w:hAnsi="Times New Roman" w:cs="Times New Roman" w:hint="eastAsia"/>
        </w:rPr>
        <w:lastRenderedPageBreak/>
        <w:t>Panel D: Chile</w:t>
      </w:r>
    </w:p>
    <w:tbl>
      <w:tblPr>
        <w:tblW w:w="4998" w:type="pct"/>
        <w:tblLook w:val="04A0" w:firstRow="1" w:lastRow="0" w:firstColumn="1" w:lastColumn="0" w:noHBand="0" w:noVBand="1"/>
      </w:tblPr>
      <w:tblGrid>
        <w:gridCol w:w="1620"/>
        <w:gridCol w:w="3147"/>
        <w:gridCol w:w="2036"/>
        <w:gridCol w:w="1540"/>
        <w:gridCol w:w="1540"/>
        <w:gridCol w:w="2033"/>
        <w:gridCol w:w="2036"/>
      </w:tblGrid>
      <w:tr w:rsidR="0074478A" w14:paraId="6AC40013"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253EBA6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718" w:type="pct"/>
            <w:tcBorders>
              <w:top w:val="single" w:sz="12" w:space="0" w:color="auto"/>
              <w:left w:val="nil"/>
              <w:bottom w:val="single" w:sz="8" w:space="0" w:color="auto"/>
              <w:right w:val="nil"/>
            </w:tcBorders>
            <w:shd w:val="clear" w:color="auto" w:fill="auto"/>
            <w:noWrap/>
            <w:vAlign w:val="center"/>
          </w:tcPr>
          <w:p w14:paraId="728207E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1999/01/01-</w:t>
            </w:r>
          </w:p>
          <w:p w14:paraId="0176779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17</w:t>
            </w:r>
          </w:p>
        </w:tc>
        <w:tc>
          <w:tcPr>
            <w:tcW w:w="543" w:type="pct"/>
            <w:tcBorders>
              <w:top w:val="single" w:sz="12" w:space="0" w:color="auto"/>
              <w:left w:val="nil"/>
              <w:bottom w:val="single" w:sz="8" w:space="0" w:color="auto"/>
              <w:right w:val="nil"/>
            </w:tcBorders>
            <w:shd w:val="clear" w:color="auto" w:fill="auto"/>
            <w:noWrap/>
            <w:vAlign w:val="center"/>
          </w:tcPr>
          <w:p w14:paraId="38D5F4A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2003/1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18</w:t>
            </w:r>
            <w:r>
              <w:rPr>
                <w:rFonts w:ascii="Times New Roman" w:eastAsia="SimSun" w:hAnsi="Times New Roman" w:cs="Times New Roman"/>
                <w:color w:val="000000"/>
                <w:kern w:val="0"/>
                <w:szCs w:val="21"/>
                <w:lang w:bidi="ar"/>
              </w:rPr>
              <w:t>-</w:t>
            </w:r>
          </w:p>
          <w:p w14:paraId="03188C7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10</w:t>
            </w:r>
          </w:p>
        </w:tc>
        <w:tc>
          <w:tcPr>
            <w:tcW w:w="543" w:type="pct"/>
            <w:tcBorders>
              <w:top w:val="single" w:sz="12" w:space="0" w:color="auto"/>
              <w:left w:val="nil"/>
              <w:bottom w:val="single" w:sz="8" w:space="0" w:color="auto"/>
              <w:right w:val="nil"/>
            </w:tcBorders>
            <w:shd w:val="clear" w:color="auto" w:fill="auto"/>
            <w:noWrap/>
            <w:vAlign w:val="center"/>
          </w:tcPr>
          <w:p w14:paraId="5FD224B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p>
          <w:p w14:paraId="1BD899F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p>
        </w:tc>
        <w:tc>
          <w:tcPr>
            <w:tcW w:w="717" w:type="pct"/>
            <w:tcBorders>
              <w:top w:val="single" w:sz="12" w:space="0" w:color="auto"/>
              <w:left w:val="nil"/>
              <w:bottom w:val="single" w:sz="8" w:space="0" w:color="auto"/>
              <w:right w:val="nil"/>
            </w:tcBorders>
            <w:shd w:val="clear" w:color="auto" w:fill="auto"/>
            <w:noWrap/>
            <w:vAlign w:val="center"/>
          </w:tcPr>
          <w:p w14:paraId="5F977CC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p>
          <w:p w14:paraId="519A0B1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24</w:t>
            </w:r>
          </w:p>
        </w:tc>
        <w:tc>
          <w:tcPr>
            <w:tcW w:w="718" w:type="pct"/>
            <w:tcBorders>
              <w:top w:val="single" w:sz="12" w:space="0" w:color="auto"/>
              <w:left w:val="nil"/>
              <w:bottom w:val="single" w:sz="8" w:space="0" w:color="auto"/>
              <w:right w:val="nil"/>
            </w:tcBorders>
            <w:shd w:val="clear" w:color="auto" w:fill="auto"/>
            <w:noWrap/>
            <w:vAlign w:val="center"/>
          </w:tcPr>
          <w:p w14:paraId="1DA98CA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25</w:t>
            </w:r>
            <w:r>
              <w:rPr>
                <w:rFonts w:ascii="Times New Roman" w:eastAsia="SimSun" w:hAnsi="Times New Roman" w:cs="Times New Roman"/>
                <w:color w:val="000000"/>
                <w:kern w:val="0"/>
                <w:szCs w:val="21"/>
                <w:lang w:bidi="ar"/>
              </w:rPr>
              <w:t>-</w:t>
            </w:r>
          </w:p>
          <w:p w14:paraId="0C85240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74478A" w14:paraId="5C9A6799"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7C43C971"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3147" w:type="dxa"/>
            <w:tcBorders>
              <w:top w:val="single" w:sz="8" w:space="0" w:color="auto"/>
              <w:left w:val="nil"/>
              <w:bottom w:val="nil"/>
              <w:right w:val="nil"/>
            </w:tcBorders>
            <w:shd w:val="clear" w:color="auto" w:fill="auto"/>
            <w:noWrap/>
            <w:vAlign w:val="center"/>
          </w:tcPr>
          <w:p w14:paraId="4F93ED82"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2036" w:type="dxa"/>
            <w:tcBorders>
              <w:top w:val="single" w:sz="8" w:space="0" w:color="auto"/>
              <w:left w:val="nil"/>
              <w:bottom w:val="nil"/>
              <w:right w:val="nil"/>
            </w:tcBorders>
            <w:shd w:val="clear" w:color="auto" w:fill="auto"/>
            <w:vAlign w:val="bottom"/>
          </w:tcPr>
          <w:p w14:paraId="790B7EF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111.05%</w:t>
            </w:r>
          </w:p>
        </w:tc>
        <w:tc>
          <w:tcPr>
            <w:tcW w:w="1540" w:type="dxa"/>
            <w:tcBorders>
              <w:top w:val="single" w:sz="8" w:space="0" w:color="auto"/>
              <w:left w:val="nil"/>
              <w:bottom w:val="nil"/>
              <w:right w:val="nil"/>
            </w:tcBorders>
            <w:shd w:val="clear" w:color="auto" w:fill="auto"/>
            <w:noWrap/>
            <w:vAlign w:val="bottom"/>
          </w:tcPr>
          <w:p w14:paraId="4913F69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64.89%</w:t>
            </w:r>
          </w:p>
        </w:tc>
        <w:tc>
          <w:tcPr>
            <w:tcW w:w="1540" w:type="dxa"/>
            <w:tcBorders>
              <w:top w:val="single" w:sz="8" w:space="0" w:color="auto"/>
              <w:left w:val="nil"/>
              <w:bottom w:val="nil"/>
              <w:right w:val="nil"/>
            </w:tcBorders>
            <w:shd w:val="clear" w:color="auto" w:fill="auto"/>
            <w:noWrap/>
            <w:vAlign w:val="bottom"/>
          </w:tcPr>
          <w:p w14:paraId="1DE9008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64.89%</w:t>
            </w:r>
          </w:p>
        </w:tc>
        <w:tc>
          <w:tcPr>
            <w:tcW w:w="2033" w:type="dxa"/>
            <w:tcBorders>
              <w:top w:val="single" w:sz="8" w:space="0" w:color="auto"/>
              <w:left w:val="nil"/>
              <w:bottom w:val="nil"/>
              <w:right w:val="nil"/>
            </w:tcBorders>
            <w:shd w:val="clear" w:color="auto" w:fill="auto"/>
            <w:noWrap/>
            <w:vAlign w:val="bottom"/>
          </w:tcPr>
          <w:p w14:paraId="0EC577C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64.95%</w:t>
            </w:r>
          </w:p>
        </w:tc>
        <w:tc>
          <w:tcPr>
            <w:tcW w:w="2036" w:type="dxa"/>
            <w:tcBorders>
              <w:top w:val="single" w:sz="8" w:space="0" w:color="auto"/>
              <w:left w:val="nil"/>
              <w:bottom w:val="nil"/>
              <w:right w:val="nil"/>
            </w:tcBorders>
            <w:shd w:val="clear" w:color="auto" w:fill="auto"/>
            <w:noWrap/>
            <w:vAlign w:val="bottom"/>
          </w:tcPr>
          <w:p w14:paraId="489022F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64.95%</w:t>
            </w:r>
          </w:p>
        </w:tc>
      </w:tr>
      <w:tr w:rsidR="0074478A" w14:paraId="4A4E0B65" w14:textId="77777777">
        <w:trPr>
          <w:trHeight w:val="278"/>
        </w:trPr>
        <w:tc>
          <w:tcPr>
            <w:tcW w:w="648" w:type="pct"/>
            <w:vMerge/>
            <w:tcBorders>
              <w:top w:val="nil"/>
              <w:left w:val="nil"/>
              <w:bottom w:val="nil"/>
              <w:right w:val="nil"/>
            </w:tcBorders>
            <w:shd w:val="clear" w:color="auto" w:fill="auto"/>
            <w:noWrap/>
            <w:vAlign w:val="center"/>
          </w:tcPr>
          <w:p w14:paraId="2A853AD1" w14:textId="77777777" w:rsidR="0074478A" w:rsidRDefault="0074478A">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542E1C6C"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2036" w:type="dxa"/>
            <w:tcBorders>
              <w:top w:val="nil"/>
              <w:left w:val="nil"/>
              <w:bottom w:val="nil"/>
              <w:right w:val="nil"/>
            </w:tcBorders>
            <w:shd w:val="clear" w:color="auto" w:fill="auto"/>
            <w:noWrap/>
            <w:vAlign w:val="bottom"/>
          </w:tcPr>
          <w:p w14:paraId="0805336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-5.62%</w:t>
            </w:r>
          </w:p>
        </w:tc>
        <w:tc>
          <w:tcPr>
            <w:tcW w:w="1540" w:type="dxa"/>
            <w:tcBorders>
              <w:top w:val="nil"/>
              <w:left w:val="nil"/>
              <w:bottom w:val="nil"/>
              <w:right w:val="nil"/>
            </w:tcBorders>
            <w:shd w:val="clear" w:color="auto" w:fill="auto"/>
            <w:noWrap/>
            <w:vAlign w:val="bottom"/>
          </w:tcPr>
          <w:p w14:paraId="4A92AE6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43.51%</w:t>
            </w:r>
          </w:p>
        </w:tc>
        <w:tc>
          <w:tcPr>
            <w:tcW w:w="1540" w:type="dxa"/>
            <w:tcBorders>
              <w:top w:val="nil"/>
              <w:left w:val="nil"/>
              <w:bottom w:val="nil"/>
              <w:right w:val="nil"/>
            </w:tcBorders>
            <w:shd w:val="clear" w:color="auto" w:fill="auto"/>
            <w:noWrap/>
            <w:vAlign w:val="bottom"/>
          </w:tcPr>
          <w:p w14:paraId="783A263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43.51%</w:t>
            </w:r>
          </w:p>
        </w:tc>
        <w:tc>
          <w:tcPr>
            <w:tcW w:w="2033" w:type="dxa"/>
            <w:tcBorders>
              <w:top w:val="nil"/>
              <w:left w:val="nil"/>
              <w:bottom w:val="nil"/>
              <w:right w:val="nil"/>
            </w:tcBorders>
            <w:shd w:val="clear" w:color="auto" w:fill="auto"/>
            <w:noWrap/>
            <w:vAlign w:val="bottom"/>
          </w:tcPr>
          <w:p w14:paraId="69D8388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26.54%</w:t>
            </w:r>
          </w:p>
        </w:tc>
        <w:tc>
          <w:tcPr>
            <w:tcW w:w="2036" w:type="dxa"/>
            <w:tcBorders>
              <w:top w:val="nil"/>
              <w:left w:val="nil"/>
              <w:bottom w:val="nil"/>
              <w:right w:val="nil"/>
            </w:tcBorders>
            <w:shd w:val="clear" w:color="auto" w:fill="auto"/>
            <w:noWrap/>
            <w:vAlign w:val="bottom"/>
          </w:tcPr>
          <w:p w14:paraId="26FCC63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26.54%</w:t>
            </w:r>
          </w:p>
        </w:tc>
      </w:tr>
      <w:tr w:rsidR="0074478A" w14:paraId="427EB79B" w14:textId="77777777">
        <w:trPr>
          <w:trHeight w:val="278"/>
        </w:trPr>
        <w:tc>
          <w:tcPr>
            <w:tcW w:w="648" w:type="pct"/>
            <w:vMerge/>
            <w:tcBorders>
              <w:top w:val="nil"/>
              <w:left w:val="nil"/>
              <w:bottom w:val="nil"/>
              <w:right w:val="nil"/>
            </w:tcBorders>
            <w:shd w:val="clear" w:color="auto" w:fill="auto"/>
            <w:noWrap/>
            <w:vAlign w:val="center"/>
          </w:tcPr>
          <w:p w14:paraId="2F17F77C" w14:textId="77777777" w:rsidR="0074478A" w:rsidRDefault="0074478A">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457E2910"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2036" w:type="dxa"/>
            <w:tcBorders>
              <w:top w:val="nil"/>
              <w:left w:val="nil"/>
              <w:bottom w:val="nil"/>
              <w:right w:val="nil"/>
            </w:tcBorders>
            <w:shd w:val="clear" w:color="auto" w:fill="auto"/>
            <w:noWrap/>
            <w:vAlign w:val="bottom"/>
          </w:tcPr>
          <w:p w14:paraId="13FA1C9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-4.96%</w:t>
            </w:r>
          </w:p>
        </w:tc>
        <w:tc>
          <w:tcPr>
            <w:tcW w:w="1540" w:type="dxa"/>
            <w:tcBorders>
              <w:top w:val="nil"/>
              <w:left w:val="nil"/>
              <w:bottom w:val="nil"/>
              <w:right w:val="nil"/>
            </w:tcBorders>
            <w:shd w:val="clear" w:color="auto" w:fill="auto"/>
            <w:noWrap/>
            <w:vAlign w:val="bottom"/>
          </w:tcPr>
          <w:p w14:paraId="7D267A4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-22.94%</w:t>
            </w:r>
          </w:p>
        </w:tc>
        <w:tc>
          <w:tcPr>
            <w:tcW w:w="1540" w:type="dxa"/>
            <w:tcBorders>
              <w:top w:val="nil"/>
              <w:left w:val="nil"/>
              <w:bottom w:val="nil"/>
              <w:right w:val="nil"/>
            </w:tcBorders>
            <w:shd w:val="clear" w:color="auto" w:fill="auto"/>
            <w:noWrap/>
            <w:vAlign w:val="bottom"/>
          </w:tcPr>
          <w:p w14:paraId="482EF2C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-22.94%</w:t>
            </w:r>
          </w:p>
        </w:tc>
        <w:tc>
          <w:tcPr>
            <w:tcW w:w="2033" w:type="dxa"/>
            <w:tcBorders>
              <w:top w:val="nil"/>
              <w:left w:val="nil"/>
              <w:bottom w:val="nil"/>
              <w:right w:val="nil"/>
            </w:tcBorders>
            <w:shd w:val="clear" w:color="auto" w:fill="auto"/>
            <w:noWrap/>
            <w:vAlign w:val="bottom"/>
          </w:tcPr>
          <w:p w14:paraId="4C25950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-9.26%</w:t>
            </w:r>
          </w:p>
        </w:tc>
        <w:tc>
          <w:tcPr>
            <w:tcW w:w="2036" w:type="dxa"/>
            <w:tcBorders>
              <w:top w:val="nil"/>
              <w:left w:val="nil"/>
              <w:bottom w:val="nil"/>
              <w:right w:val="nil"/>
            </w:tcBorders>
            <w:shd w:val="clear" w:color="auto" w:fill="auto"/>
            <w:noWrap/>
            <w:vAlign w:val="bottom"/>
          </w:tcPr>
          <w:p w14:paraId="58D3700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-9.26%</w:t>
            </w:r>
          </w:p>
        </w:tc>
      </w:tr>
      <w:tr w:rsidR="0074478A" w14:paraId="34B3F3AD" w14:textId="77777777">
        <w:trPr>
          <w:trHeight w:val="278"/>
        </w:trPr>
        <w:tc>
          <w:tcPr>
            <w:tcW w:w="648" w:type="pct"/>
            <w:vMerge/>
            <w:tcBorders>
              <w:top w:val="nil"/>
              <w:left w:val="nil"/>
              <w:bottom w:val="nil"/>
              <w:right w:val="nil"/>
            </w:tcBorders>
            <w:shd w:val="clear" w:color="auto" w:fill="auto"/>
            <w:noWrap/>
            <w:vAlign w:val="center"/>
          </w:tcPr>
          <w:p w14:paraId="12568C14" w14:textId="77777777" w:rsidR="0074478A" w:rsidRDefault="0074478A">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1D489BC8"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2036" w:type="dxa"/>
            <w:tcBorders>
              <w:top w:val="nil"/>
              <w:left w:val="nil"/>
              <w:bottom w:val="nil"/>
              <w:right w:val="nil"/>
            </w:tcBorders>
            <w:shd w:val="clear" w:color="auto" w:fill="auto"/>
            <w:vAlign w:val="center"/>
          </w:tcPr>
          <w:p w14:paraId="058D0A3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-0.47%</w:t>
            </w:r>
          </w:p>
        </w:tc>
        <w:tc>
          <w:tcPr>
            <w:tcW w:w="1540" w:type="dxa"/>
            <w:tcBorders>
              <w:top w:val="nil"/>
              <w:left w:val="nil"/>
              <w:bottom w:val="nil"/>
              <w:right w:val="nil"/>
            </w:tcBorders>
            <w:shd w:val="clear" w:color="auto" w:fill="auto"/>
            <w:noWrap/>
            <w:vAlign w:val="center"/>
          </w:tcPr>
          <w:p w14:paraId="0ECCDF0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14.54%</w:t>
            </w:r>
          </w:p>
        </w:tc>
        <w:tc>
          <w:tcPr>
            <w:tcW w:w="1540" w:type="dxa"/>
            <w:tcBorders>
              <w:top w:val="nil"/>
              <w:left w:val="nil"/>
              <w:bottom w:val="nil"/>
              <w:right w:val="nil"/>
            </w:tcBorders>
            <w:shd w:val="clear" w:color="auto" w:fill="auto"/>
            <w:noWrap/>
            <w:vAlign w:val="center"/>
          </w:tcPr>
          <w:p w14:paraId="6494F89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14.54%</w:t>
            </w:r>
          </w:p>
        </w:tc>
        <w:tc>
          <w:tcPr>
            <w:tcW w:w="2033" w:type="dxa"/>
            <w:tcBorders>
              <w:top w:val="nil"/>
              <w:left w:val="nil"/>
              <w:bottom w:val="nil"/>
              <w:right w:val="nil"/>
            </w:tcBorders>
            <w:shd w:val="clear" w:color="auto" w:fill="auto"/>
            <w:noWrap/>
            <w:vAlign w:val="center"/>
          </w:tcPr>
          <w:p w14:paraId="4211AC0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17.76%</w:t>
            </w:r>
          </w:p>
        </w:tc>
        <w:tc>
          <w:tcPr>
            <w:tcW w:w="2036" w:type="dxa"/>
            <w:tcBorders>
              <w:top w:val="nil"/>
              <w:left w:val="nil"/>
              <w:bottom w:val="nil"/>
              <w:right w:val="nil"/>
            </w:tcBorders>
            <w:shd w:val="clear" w:color="auto" w:fill="auto"/>
            <w:noWrap/>
            <w:vAlign w:val="center"/>
          </w:tcPr>
          <w:p w14:paraId="3B011CA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17.76%</w:t>
            </w:r>
          </w:p>
        </w:tc>
      </w:tr>
      <w:tr w:rsidR="0074478A" w14:paraId="33CA5585" w14:textId="77777777">
        <w:trPr>
          <w:trHeight w:val="278"/>
        </w:trPr>
        <w:tc>
          <w:tcPr>
            <w:tcW w:w="1758" w:type="pct"/>
            <w:gridSpan w:val="2"/>
            <w:tcBorders>
              <w:top w:val="nil"/>
              <w:left w:val="nil"/>
              <w:bottom w:val="nil"/>
              <w:right w:val="nil"/>
            </w:tcBorders>
            <w:shd w:val="clear" w:color="auto" w:fill="auto"/>
            <w:noWrap/>
            <w:vAlign w:val="center"/>
          </w:tcPr>
          <w:p w14:paraId="76980D9C"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718" w:type="pct"/>
            <w:tcBorders>
              <w:top w:val="nil"/>
              <w:left w:val="nil"/>
              <w:bottom w:val="nil"/>
              <w:right w:val="nil"/>
            </w:tcBorders>
            <w:shd w:val="clear" w:color="auto" w:fill="auto"/>
            <w:noWrap/>
            <w:vAlign w:val="center"/>
          </w:tcPr>
          <w:p w14:paraId="424F0AB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43" w:type="pct"/>
            <w:tcBorders>
              <w:top w:val="nil"/>
              <w:left w:val="nil"/>
              <w:bottom w:val="nil"/>
              <w:right w:val="nil"/>
            </w:tcBorders>
            <w:shd w:val="clear" w:color="auto" w:fill="auto"/>
            <w:noWrap/>
            <w:vAlign w:val="center"/>
          </w:tcPr>
          <w:p w14:paraId="6D5BD23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43" w:type="pct"/>
            <w:tcBorders>
              <w:top w:val="nil"/>
              <w:left w:val="nil"/>
              <w:bottom w:val="nil"/>
              <w:right w:val="nil"/>
            </w:tcBorders>
            <w:shd w:val="clear" w:color="auto" w:fill="auto"/>
            <w:noWrap/>
            <w:vAlign w:val="center"/>
          </w:tcPr>
          <w:p w14:paraId="769D8FB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2033" w:type="dxa"/>
            <w:tcBorders>
              <w:top w:val="nil"/>
              <w:left w:val="nil"/>
              <w:bottom w:val="nil"/>
              <w:right w:val="nil"/>
            </w:tcBorders>
            <w:shd w:val="clear" w:color="auto" w:fill="auto"/>
            <w:noWrap/>
            <w:vAlign w:val="center"/>
          </w:tcPr>
          <w:p w14:paraId="159EDDE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2036" w:type="dxa"/>
            <w:tcBorders>
              <w:top w:val="nil"/>
              <w:left w:val="nil"/>
              <w:bottom w:val="nil"/>
              <w:right w:val="nil"/>
            </w:tcBorders>
            <w:shd w:val="clear" w:color="auto" w:fill="auto"/>
            <w:noWrap/>
            <w:vAlign w:val="center"/>
          </w:tcPr>
          <w:p w14:paraId="0AB3EE5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31CE8126" w14:textId="77777777">
        <w:trPr>
          <w:trHeight w:val="278"/>
        </w:trPr>
        <w:tc>
          <w:tcPr>
            <w:tcW w:w="1758" w:type="pct"/>
            <w:gridSpan w:val="2"/>
            <w:tcBorders>
              <w:top w:val="nil"/>
              <w:left w:val="nil"/>
              <w:bottom w:val="nil"/>
              <w:right w:val="nil"/>
            </w:tcBorders>
            <w:shd w:val="clear" w:color="auto" w:fill="auto"/>
            <w:noWrap/>
            <w:vAlign w:val="center"/>
          </w:tcPr>
          <w:p w14:paraId="743F9CB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476C0AA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16E23B6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±9.60%</w:t>
            </w:r>
          </w:p>
        </w:tc>
        <w:tc>
          <w:tcPr>
            <w:tcW w:w="1540" w:type="dxa"/>
            <w:tcBorders>
              <w:top w:val="nil"/>
              <w:left w:val="nil"/>
              <w:bottom w:val="nil"/>
              <w:right w:val="nil"/>
            </w:tcBorders>
            <w:shd w:val="clear" w:color="auto" w:fill="auto"/>
            <w:noWrap/>
            <w:vAlign w:val="center"/>
          </w:tcPr>
          <w:p w14:paraId="000EC7B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±16.33%</w:t>
            </w:r>
          </w:p>
        </w:tc>
        <w:tc>
          <w:tcPr>
            <w:tcW w:w="2033" w:type="dxa"/>
            <w:tcBorders>
              <w:top w:val="nil"/>
              <w:left w:val="nil"/>
              <w:bottom w:val="nil"/>
              <w:right w:val="nil"/>
            </w:tcBorders>
            <w:shd w:val="clear" w:color="auto" w:fill="auto"/>
            <w:noWrap/>
            <w:vAlign w:val="center"/>
          </w:tcPr>
          <w:p w14:paraId="5210D91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±29.14%</w:t>
            </w:r>
          </w:p>
        </w:tc>
        <w:tc>
          <w:tcPr>
            <w:tcW w:w="2036" w:type="dxa"/>
            <w:tcBorders>
              <w:top w:val="nil"/>
              <w:left w:val="nil"/>
              <w:bottom w:val="nil"/>
              <w:right w:val="nil"/>
            </w:tcBorders>
            <w:shd w:val="clear" w:color="auto" w:fill="auto"/>
            <w:noWrap/>
            <w:vAlign w:val="center"/>
          </w:tcPr>
          <w:p w14:paraId="6B658C9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±33.26%</w:t>
            </w:r>
          </w:p>
        </w:tc>
      </w:tr>
      <w:tr w:rsidR="0074478A" w14:paraId="6DEDCA80" w14:textId="77777777">
        <w:trPr>
          <w:trHeight w:val="278"/>
        </w:trPr>
        <w:tc>
          <w:tcPr>
            <w:tcW w:w="648" w:type="pct"/>
            <w:vMerge w:val="restart"/>
            <w:tcBorders>
              <w:top w:val="nil"/>
              <w:left w:val="nil"/>
              <w:bottom w:val="nil"/>
              <w:right w:val="nil"/>
            </w:tcBorders>
            <w:shd w:val="clear" w:color="auto" w:fill="auto"/>
            <w:noWrap/>
            <w:vAlign w:val="center"/>
          </w:tcPr>
          <w:p w14:paraId="5A3D6CF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018B0C1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4E5C851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4E6A5A9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0.008/0.939</w:t>
            </w:r>
          </w:p>
        </w:tc>
        <w:tc>
          <w:tcPr>
            <w:tcW w:w="1540" w:type="dxa"/>
            <w:tcBorders>
              <w:top w:val="nil"/>
              <w:left w:val="nil"/>
              <w:bottom w:val="nil"/>
              <w:right w:val="nil"/>
            </w:tcBorders>
            <w:shd w:val="clear" w:color="auto" w:fill="auto"/>
            <w:noWrap/>
            <w:vAlign w:val="center"/>
          </w:tcPr>
          <w:p w14:paraId="6121F74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2033" w:type="dxa"/>
            <w:tcBorders>
              <w:top w:val="nil"/>
              <w:left w:val="nil"/>
              <w:bottom w:val="nil"/>
              <w:right w:val="nil"/>
            </w:tcBorders>
            <w:shd w:val="clear" w:color="auto" w:fill="auto"/>
            <w:noWrap/>
            <w:vAlign w:val="center"/>
          </w:tcPr>
          <w:p w14:paraId="6F17F68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0.027/0.912</w:t>
            </w:r>
          </w:p>
        </w:tc>
        <w:tc>
          <w:tcPr>
            <w:tcW w:w="2036" w:type="dxa"/>
            <w:tcBorders>
              <w:top w:val="nil"/>
              <w:left w:val="nil"/>
              <w:bottom w:val="nil"/>
              <w:right w:val="nil"/>
            </w:tcBorders>
            <w:shd w:val="clear" w:color="auto" w:fill="auto"/>
            <w:noWrap/>
            <w:vAlign w:val="center"/>
          </w:tcPr>
          <w:p w14:paraId="055A229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40C5242D" w14:textId="77777777">
        <w:trPr>
          <w:trHeight w:val="278"/>
        </w:trPr>
        <w:tc>
          <w:tcPr>
            <w:tcW w:w="648" w:type="pct"/>
            <w:vMerge/>
            <w:tcBorders>
              <w:top w:val="nil"/>
              <w:left w:val="nil"/>
              <w:bottom w:val="nil"/>
              <w:right w:val="nil"/>
            </w:tcBorders>
            <w:shd w:val="clear" w:color="auto" w:fill="auto"/>
            <w:noWrap/>
            <w:vAlign w:val="center"/>
          </w:tcPr>
          <w:p w14:paraId="567E93EC" w14:textId="77777777" w:rsidR="0074478A" w:rsidRDefault="0074478A">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50FDB5A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302E973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066CFB9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1540" w:type="dxa"/>
            <w:tcBorders>
              <w:top w:val="nil"/>
              <w:left w:val="nil"/>
              <w:bottom w:val="nil"/>
              <w:right w:val="nil"/>
            </w:tcBorders>
            <w:shd w:val="clear" w:color="auto" w:fill="auto"/>
            <w:noWrap/>
            <w:vAlign w:val="center"/>
          </w:tcPr>
          <w:p w14:paraId="1DFDAAE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-0.003/0.991</w:t>
            </w:r>
          </w:p>
        </w:tc>
        <w:tc>
          <w:tcPr>
            <w:tcW w:w="2033" w:type="dxa"/>
            <w:tcBorders>
              <w:top w:val="nil"/>
              <w:left w:val="nil"/>
              <w:bottom w:val="nil"/>
              <w:right w:val="nil"/>
            </w:tcBorders>
            <w:shd w:val="clear" w:color="auto" w:fill="auto"/>
            <w:noWrap/>
            <w:vAlign w:val="center"/>
          </w:tcPr>
          <w:p w14:paraId="2793075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0.001/0.996</w:t>
            </w:r>
          </w:p>
        </w:tc>
        <w:tc>
          <w:tcPr>
            <w:tcW w:w="2036" w:type="dxa"/>
            <w:tcBorders>
              <w:top w:val="nil"/>
              <w:left w:val="nil"/>
              <w:bottom w:val="nil"/>
              <w:right w:val="nil"/>
            </w:tcBorders>
            <w:shd w:val="clear" w:color="auto" w:fill="auto"/>
            <w:noWrap/>
            <w:vAlign w:val="center"/>
          </w:tcPr>
          <w:p w14:paraId="4E8E364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-0.001/0.997</w:t>
            </w:r>
          </w:p>
        </w:tc>
      </w:tr>
      <w:tr w:rsidR="0074478A" w14:paraId="0F4E7A77" w14:textId="77777777">
        <w:trPr>
          <w:trHeight w:val="278"/>
        </w:trPr>
        <w:tc>
          <w:tcPr>
            <w:tcW w:w="648" w:type="pct"/>
            <w:vMerge/>
            <w:tcBorders>
              <w:top w:val="nil"/>
              <w:left w:val="nil"/>
              <w:bottom w:val="nil"/>
              <w:right w:val="nil"/>
            </w:tcBorders>
            <w:shd w:val="clear" w:color="auto" w:fill="auto"/>
            <w:noWrap/>
            <w:vAlign w:val="center"/>
          </w:tcPr>
          <w:p w14:paraId="660998C7" w14:textId="77777777" w:rsidR="0074478A" w:rsidRDefault="0074478A">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1937009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6E1F0CE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383DF40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540" w:type="dxa"/>
            <w:tcBorders>
              <w:top w:val="nil"/>
              <w:left w:val="nil"/>
              <w:bottom w:val="nil"/>
              <w:right w:val="nil"/>
            </w:tcBorders>
            <w:shd w:val="clear" w:color="auto" w:fill="auto"/>
            <w:noWrap/>
            <w:vAlign w:val="center"/>
          </w:tcPr>
          <w:p w14:paraId="3BC74D6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-0.011/0.957</w:t>
            </w:r>
          </w:p>
        </w:tc>
        <w:tc>
          <w:tcPr>
            <w:tcW w:w="2033" w:type="dxa"/>
            <w:tcBorders>
              <w:top w:val="nil"/>
              <w:left w:val="nil"/>
              <w:bottom w:val="nil"/>
              <w:right w:val="nil"/>
            </w:tcBorders>
            <w:shd w:val="clear" w:color="auto" w:fill="auto"/>
            <w:noWrap/>
            <w:vAlign w:val="center"/>
          </w:tcPr>
          <w:p w14:paraId="67F0CC8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1BE3DAD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-0.007/0.982</w:t>
            </w:r>
          </w:p>
        </w:tc>
      </w:tr>
      <w:tr w:rsidR="0074478A" w14:paraId="600D603C"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50BCE858"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2036" w:type="dxa"/>
            <w:tcBorders>
              <w:top w:val="nil"/>
              <w:left w:val="nil"/>
              <w:bottom w:val="single" w:sz="12" w:space="0" w:color="auto"/>
              <w:right w:val="nil"/>
            </w:tcBorders>
            <w:shd w:val="clear" w:color="auto" w:fill="auto"/>
            <w:noWrap/>
            <w:vAlign w:val="center"/>
          </w:tcPr>
          <w:p w14:paraId="7A2A4BE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single" w:sz="12" w:space="0" w:color="auto"/>
              <w:right w:val="nil"/>
            </w:tcBorders>
            <w:shd w:val="clear" w:color="auto" w:fill="auto"/>
            <w:noWrap/>
            <w:vAlign w:val="center"/>
          </w:tcPr>
          <w:p w14:paraId="43AE2E1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37</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7</w:t>
            </w:r>
            <w:r>
              <w:rPr>
                <w:rFonts w:ascii="Times New Roman" w:eastAsia="SimSun" w:hAnsi="Times New Roman" w:cs="Times New Roman" w:hint="eastAsia"/>
                <w:color w:val="000000"/>
                <w:kern w:val="0"/>
                <w:szCs w:val="21"/>
                <w:lang w:bidi="ar"/>
              </w:rPr>
              <w:t>2%</w:t>
            </w:r>
          </w:p>
        </w:tc>
        <w:tc>
          <w:tcPr>
            <w:tcW w:w="1540" w:type="dxa"/>
            <w:tcBorders>
              <w:top w:val="nil"/>
              <w:left w:val="nil"/>
              <w:bottom w:val="single" w:sz="12" w:space="0" w:color="auto"/>
              <w:right w:val="nil"/>
            </w:tcBorders>
            <w:shd w:val="clear" w:color="auto" w:fill="auto"/>
            <w:noWrap/>
            <w:vAlign w:val="center"/>
          </w:tcPr>
          <w:p w14:paraId="0C2AEE1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.29%</w:t>
            </w:r>
          </w:p>
        </w:tc>
        <w:tc>
          <w:tcPr>
            <w:tcW w:w="2033" w:type="dxa"/>
            <w:tcBorders>
              <w:top w:val="nil"/>
              <w:left w:val="nil"/>
              <w:bottom w:val="single" w:sz="12" w:space="0" w:color="auto"/>
              <w:right w:val="nil"/>
            </w:tcBorders>
            <w:shd w:val="clear" w:color="auto" w:fill="auto"/>
            <w:noWrap/>
            <w:vAlign w:val="center"/>
          </w:tcPr>
          <w:p w14:paraId="65FDAC7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83</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6</w:t>
            </w:r>
            <w:r>
              <w:rPr>
                <w:rFonts w:ascii="Times New Roman" w:eastAsia="SimSun" w:hAnsi="Times New Roman" w:cs="Times New Roman" w:hint="eastAsia"/>
                <w:color w:val="000000"/>
                <w:kern w:val="0"/>
                <w:szCs w:val="21"/>
                <w:lang w:bidi="ar"/>
              </w:rPr>
              <w:t>%</w:t>
            </w:r>
          </w:p>
        </w:tc>
        <w:tc>
          <w:tcPr>
            <w:tcW w:w="2036" w:type="dxa"/>
            <w:tcBorders>
              <w:top w:val="nil"/>
              <w:left w:val="nil"/>
              <w:bottom w:val="single" w:sz="12" w:space="0" w:color="auto"/>
              <w:right w:val="nil"/>
            </w:tcBorders>
            <w:shd w:val="clear" w:color="auto" w:fill="auto"/>
            <w:noWrap/>
            <w:vAlign w:val="center"/>
          </w:tcPr>
          <w:p w14:paraId="4FCF556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55</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3</w:t>
            </w:r>
            <w:r>
              <w:rPr>
                <w:rFonts w:ascii="Times New Roman" w:eastAsia="SimSun" w:hAnsi="Times New Roman" w:cs="Times New Roman" w:hint="eastAsia"/>
                <w:color w:val="000000"/>
                <w:kern w:val="0"/>
                <w:szCs w:val="21"/>
                <w:lang w:bidi="ar"/>
              </w:rPr>
              <w:t>5%</w:t>
            </w:r>
          </w:p>
        </w:tc>
      </w:tr>
    </w:tbl>
    <w:p w14:paraId="7C31C0A0" w14:textId="77777777" w:rsidR="0074478A" w:rsidRDefault="0074478A">
      <w:pPr>
        <w:rPr>
          <w:rFonts w:ascii="Times New Roman" w:hAnsi="Times New Roman" w:cs="Times New Roman"/>
        </w:rPr>
      </w:pPr>
    </w:p>
    <w:p w14:paraId="1BB7AA5F" w14:textId="77777777" w:rsidR="0074478A" w:rsidRDefault="0074478A">
      <w:pPr>
        <w:rPr>
          <w:rFonts w:ascii="Times New Roman" w:hAnsi="Times New Roman" w:cs="Times New Roman"/>
        </w:rPr>
      </w:pPr>
    </w:p>
    <w:p w14:paraId="700FB5E2" w14:textId="77777777" w:rsidR="0074478A" w:rsidRDefault="0074478A">
      <w:pPr>
        <w:rPr>
          <w:rFonts w:ascii="Times New Roman" w:hAnsi="Times New Roman" w:cs="Times New Roman"/>
        </w:rPr>
      </w:pPr>
    </w:p>
    <w:p w14:paraId="25C181DC" w14:textId="77777777" w:rsidR="0074478A" w:rsidRDefault="0074478A">
      <w:pPr>
        <w:rPr>
          <w:rFonts w:ascii="Times New Roman" w:hAnsi="Times New Roman" w:cs="Times New Roman"/>
        </w:rPr>
      </w:pPr>
    </w:p>
    <w:p w14:paraId="0B9F97FC" w14:textId="77777777" w:rsidR="0074478A" w:rsidRDefault="0074478A">
      <w:pPr>
        <w:rPr>
          <w:rFonts w:ascii="Times New Roman" w:hAnsi="Times New Roman" w:cs="Times New Roman"/>
        </w:rPr>
      </w:pPr>
    </w:p>
    <w:p w14:paraId="049667D5" w14:textId="77777777" w:rsidR="0074478A" w:rsidRDefault="0074478A">
      <w:pPr>
        <w:rPr>
          <w:rFonts w:ascii="Times New Roman" w:hAnsi="Times New Roman" w:cs="Times New Roman"/>
        </w:rPr>
      </w:pPr>
    </w:p>
    <w:p w14:paraId="1919FC38" w14:textId="77777777" w:rsidR="0074478A" w:rsidRDefault="0074478A">
      <w:pPr>
        <w:rPr>
          <w:rFonts w:ascii="Times New Roman" w:hAnsi="Times New Roman" w:cs="Times New Roman"/>
        </w:rPr>
      </w:pPr>
    </w:p>
    <w:p w14:paraId="14EDBFC5" w14:textId="77777777" w:rsidR="0074478A" w:rsidRDefault="0074478A">
      <w:pPr>
        <w:rPr>
          <w:rFonts w:ascii="Times New Roman" w:hAnsi="Times New Roman" w:cs="Times New Roman"/>
        </w:rPr>
      </w:pPr>
    </w:p>
    <w:p w14:paraId="7FE2B0B8" w14:textId="77777777" w:rsidR="0074478A" w:rsidRDefault="0074478A">
      <w:pPr>
        <w:rPr>
          <w:rFonts w:ascii="Times New Roman" w:hAnsi="Times New Roman" w:cs="Times New Roman"/>
        </w:rPr>
      </w:pPr>
    </w:p>
    <w:p w14:paraId="36A27FFA" w14:textId="77777777" w:rsidR="0074478A" w:rsidRDefault="0074478A">
      <w:pPr>
        <w:rPr>
          <w:rFonts w:ascii="Times New Roman" w:hAnsi="Times New Roman" w:cs="Times New Roman"/>
        </w:rPr>
      </w:pPr>
    </w:p>
    <w:p w14:paraId="13145A7D" w14:textId="77777777" w:rsidR="0074478A" w:rsidRDefault="0074478A">
      <w:pPr>
        <w:rPr>
          <w:rFonts w:ascii="Times New Roman" w:hAnsi="Times New Roman" w:cs="Times New Roman"/>
        </w:rPr>
      </w:pPr>
    </w:p>
    <w:p w14:paraId="0EE01786" w14:textId="77777777" w:rsidR="0074478A" w:rsidRDefault="0074478A">
      <w:pPr>
        <w:rPr>
          <w:rFonts w:ascii="Times New Roman" w:hAnsi="Times New Roman" w:cs="Times New Roman"/>
        </w:rPr>
      </w:pPr>
    </w:p>
    <w:p w14:paraId="45F3264D" w14:textId="77777777" w:rsidR="0074478A" w:rsidRDefault="0074478A">
      <w:pPr>
        <w:rPr>
          <w:rFonts w:ascii="Times New Roman" w:hAnsi="Times New Roman" w:cs="Times New Roman"/>
        </w:rPr>
      </w:pPr>
    </w:p>
    <w:p w14:paraId="1C1141C6" w14:textId="77777777" w:rsidR="0074478A" w:rsidRDefault="00690393">
      <w:pPr>
        <w:rPr>
          <w:rFonts w:ascii="Times New Roman" w:hAnsi="Times New Roman" w:cs="Times New Roman"/>
        </w:rPr>
      </w:pPr>
      <w:r>
        <w:rPr>
          <w:rFonts w:ascii="Times New Roman" w:hAnsi="Times New Roman" w:cs="Times New Roman" w:hint="eastAsia"/>
        </w:rPr>
        <w:lastRenderedPageBreak/>
        <w:t>Panel E: China</w:t>
      </w:r>
    </w:p>
    <w:tbl>
      <w:tblPr>
        <w:tblW w:w="4996" w:type="pct"/>
        <w:tblLook w:val="04A0" w:firstRow="1" w:lastRow="0" w:firstColumn="1" w:lastColumn="0" w:noHBand="0" w:noVBand="1"/>
      </w:tblPr>
      <w:tblGrid>
        <w:gridCol w:w="1617"/>
        <w:gridCol w:w="2711"/>
        <w:gridCol w:w="1600"/>
        <w:gridCol w:w="1600"/>
        <w:gridCol w:w="1600"/>
        <w:gridCol w:w="1600"/>
        <w:gridCol w:w="1601"/>
        <w:gridCol w:w="1618"/>
      </w:tblGrid>
      <w:tr w:rsidR="0074478A" w14:paraId="4E9EAF15" w14:textId="77777777">
        <w:trPr>
          <w:trHeight w:val="278"/>
        </w:trPr>
        <w:tc>
          <w:tcPr>
            <w:tcW w:w="1543" w:type="pct"/>
            <w:gridSpan w:val="2"/>
            <w:tcBorders>
              <w:top w:val="single" w:sz="12" w:space="0" w:color="auto"/>
              <w:left w:val="nil"/>
              <w:bottom w:val="single" w:sz="8" w:space="0" w:color="auto"/>
              <w:right w:val="nil"/>
            </w:tcBorders>
            <w:shd w:val="clear" w:color="auto" w:fill="auto"/>
            <w:noWrap/>
            <w:vAlign w:val="center"/>
          </w:tcPr>
          <w:p w14:paraId="5D150EB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0BE153E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5E5C6FD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p>
        </w:tc>
        <w:tc>
          <w:tcPr>
            <w:tcW w:w="575" w:type="pct"/>
            <w:tcBorders>
              <w:top w:val="single" w:sz="12" w:space="0" w:color="auto"/>
              <w:left w:val="nil"/>
              <w:bottom w:val="single" w:sz="8" w:space="0" w:color="auto"/>
              <w:right w:val="nil"/>
            </w:tcBorders>
            <w:shd w:val="clear" w:color="auto" w:fill="auto"/>
            <w:noWrap/>
            <w:vAlign w:val="center"/>
          </w:tcPr>
          <w:p w14:paraId="1B3BDB1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p>
          <w:p w14:paraId="62517DA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0</w:t>
            </w:r>
          </w:p>
        </w:tc>
        <w:tc>
          <w:tcPr>
            <w:tcW w:w="575" w:type="pct"/>
            <w:tcBorders>
              <w:top w:val="single" w:sz="12" w:space="0" w:color="auto"/>
              <w:left w:val="nil"/>
              <w:bottom w:val="single" w:sz="8" w:space="0" w:color="auto"/>
              <w:right w:val="nil"/>
            </w:tcBorders>
            <w:shd w:val="clear" w:color="auto" w:fill="auto"/>
            <w:noWrap/>
            <w:vAlign w:val="center"/>
          </w:tcPr>
          <w:p w14:paraId="6B4DC67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21C3541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28</w:t>
            </w:r>
          </w:p>
        </w:tc>
        <w:tc>
          <w:tcPr>
            <w:tcW w:w="575" w:type="pct"/>
            <w:tcBorders>
              <w:top w:val="single" w:sz="12" w:space="0" w:color="auto"/>
              <w:left w:val="nil"/>
              <w:bottom w:val="single" w:sz="8" w:space="0" w:color="auto"/>
              <w:right w:val="nil"/>
            </w:tcBorders>
            <w:shd w:val="clear" w:color="auto" w:fill="auto"/>
            <w:noWrap/>
            <w:vAlign w:val="center"/>
          </w:tcPr>
          <w:p w14:paraId="5D7DCB3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01</w:t>
            </w:r>
            <w:r>
              <w:rPr>
                <w:rFonts w:ascii="Times New Roman" w:eastAsia="SimSun" w:hAnsi="Times New Roman" w:cs="Times New Roman"/>
                <w:color w:val="000000"/>
                <w:kern w:val="0"/>
                <w:szCs w:val="21"/>
                <w:lang w:bidi="ar"/>
              </w:rPr>
              <w:t>-</w:t>
            </w:r>
          </w:p>
          <w:p w14:paraId="3DEB285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14</w:t>
            </w:r>
          </w:p>
        </w:tc>
        <w:tc>
          <w:tcPr>
            <w:tcW w:w="575" w:type="pct"/>
            <w:tcBorders>
              <w:top w:val="single" w:sz="12" w:space="0" w:color="auto"/>
              <w:left w:val="nil"/>
              <w:bottom w:val="single" w:sz="8" w:space="0" w:color="auto"/>
              <w:right w:val="nil"/>
            </w:tcBorders>
            <w:shd w:val="clear" w:color="auto" w:fill="auto"/>
            <w:noWrap/>
            <w:vAlign w:val="center"/>
          </w:tcPr>
          <w:p w14:paraId="0178A15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15</w:t>
            </w:r>
            <w:r>
              <w:rPr>
                <w:rFonts w:ascii="Times New Roman" w:eastAsia="SimSun" w:hAnsi="Times New Roman" w:cs="Times New Roman"/>
                <w:color w:val="000000"/>
                <w:kern w:val="0"/>
                <w:szCs w:val="21"/>
                <w:lang w:bidi="ar"/>
              </w:rPr>
              <w:t>-</w:t>
            </w:r>
          </w:p>
          <w:p w14:paraId="0BD2AF3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p>
        </w:tc>
        <w:tc>
          <w:tcPr>
            <w:tcW w:w="581" w:type="pct"/>
            <w:tcBorders>
              <w:top w:val="single" w:sz="12" w:space="0" w:color="auto"/>
              <w:left w:val="nil"/>
              <w:bottom w:val="single" w:sz="8" w:space="0" w:color="auto"/>
              <w:right w:val="nil"/>
            </w:tcBorders>
            <w:shd w:val="clear" w:color="auto" w:fill="auto"/>
            <w:noWrap/>
            <w:vAlign w:val="center"/>
          </w:tcPr>
          <w:p w14:paraId="2C97DF2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p w14:paraId="595936F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29</w:t>
            </w:r>
          </w:p>
        </w:tc>
      </w:tr>
      <w:tr w:rsidR="0074478A" w14:paraId="429B6EC9" w14:textId="77777777">
        <w:trPr>
          <w:trHeight w:val="278"/>
        </w:trPr>
        <w:tc>
          <w:tcPr>
            <w:tcW w:w="581" w:type="pct"/>
            <w:vMerge w:val="restart"/>
            <w:tcBorders>
              <w:top w:val="single" w:sz="8" w:space="0" w:color="auto"/>
              <w:left w:val="nil"/>
              <w:bottom w:val="nil"/>
              <w:right w:val="nil"/>
            </w:tcBorders>
            <w:shd w:val="clear" w:color="auto" w:fill="auto"/>
            <w:noWrap/>
            <w:vAlign w:val="center"/>
          </w:tcPr>
          <w:p w14:paraId="38AF98D6"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62" w:type="pct"/>
            <w:tcBorders>
              <w:top w:val="single" w:sz="8" w:space="0" w:color="auto"/>
              <w:left w:val="nil"/>
              <w:bottom w:val="nil"/>
              <w:right w:val="nil"/>
            </w:tcBorders>
            <w:shd w:val="clear" w:color="auto" w:fill="auto"/>
            <w:noWrap/>
            <w:vAlign w:val="center"/>
          </w:tcPr>
          <w:p w14:paraId="43872C46"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5" w:type="pct"/>
            <w:tcBorders>
              <w:top w:val="single" w:sz="8" w:space="0" w:color="auto"/>
              <w:left w:val="nil"/>
              <w:bottom w:val="nil"/>
              <w:right w:val="nil"/>
            </w:tcBorders>
            <w:shd w:val="clear" w:color="auto" w:fill="auto"/>
            <w:vAlign w:val="bottom"/>
          </w:tcPr>
          <w:p w14:paraId="33BA4DC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99.88%</w:t>
            </w:r>
          </w:p>
        </w:tc>
        <w:tc>
          <w:tcPr>
            <w:tcW w:w="575" w:type="pct"/>
            <w:tcBorders>
              <w:top w:val="single" w:sz="8" w:space="0" w:color="auto"/>
              <w:left w:val="nil"/>
              <w:bottom w:val="nil"/>
              <w:right w:val="nil"/>
            </w:tcBorders>
            <w:shd w:val="clear" w:color="auto" w:fill="auto"/>
            <w:noWrap/>
            <w:vAlign w:val="bottom"/>
          </w:tcPr>
          <w:p w14:paraId="0D47792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99.88%</w:t>
            </w:r>
          </w:p>
        </w:tc>
        <w:tc>
          <w:tcPr>
            <w:tcW w:w="575" w:type="pct"/>
            <w:tcBorders>
              <w:top w:val="single" w:sz="8" w:space="0" w:color="auto"/>
              <w:left w:val="nil"/>
              <w:bottom w:val="nil"/>
              <w:right w:val="nil"/>
            </w:tcBorders>
            <w:shd w:val="clear" w:color="auto" w:fill="auto"/>
            <w:noWrap/>
            <w:vAlign w:val="bottom"/>
          </w:tcPr>
          <w:p w14:paraId="0A00AD0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94.70%</w:t>
            </w:r>
          </w:p>
        </w:tc>
        <w:tc>
          <w:tcPr>
            <w:tcW w:w="575" w:type="pct"/>
            <w:tcBorders>
              <w:top w:val="single" w:sz="8" w:space="0" w:color="auto"/>
              <w:left w:val="nil"/>
              <w:bottom w:val="nil"/>
              <w:right w:val="nil"/>
            </w:tcBorders>
            <w:shd w:val="clear" w:color="auto" w:fill="auto"/>
            <w:noWrap/>
            <w:vAlign w:val="bottom"/>
          </w:tcPr>
          <w:p w14:paraId="56FAE52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94.70%</w:t>
            </w:r>
          </w:p>
        </w:tc>
        <w:tc>
          <w:tcPr>
            <w:tcW w:w="575" w:type="pct"/>
            <w:tcBorders>
              <w:top w:val="single" w:sz="8" w:space="0" w:color="auto"/>
              <w:left w:val="nil"/>
              <w:bottom w:val="nil"/>
              <w:right w:val="nil"/>
            </w:tcBorders>
            <w:shd w:val="clear" w:color="auto" w:fill="auto"/>
            <w:noWrap/>
            <w:vAlign w:val="bottom"/>
          </w:tcPr>
          <w:p w14:paraId="7235A31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98.28%</w:t>
            </w:r>
          </w:p>
        </w:tc>
        <w:tc>
          <w:tcPr>
            <w:tcW w:w="581" w:type="pct"/>
            <w:tcBorders>
              <w:top w:val="single" w:sz="8" w:space="0" w:color="auto"/>
              <w:left w:val="nil"/>
              <w:bottom w:val="nil"/>
              <w:right w:val="nil"/>
            </w:tcBorders>
            <w:shd w:val="clear" w:color="auto" w:fill="auto"/>
            <w:noWrap/>
            <w:vAlign w:val="bottom"/>
          </w:tcPr>
          <w:p w14:paraId="0EBEA3B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98.28%</w:t>
            </w:r>
          </w:p>
        </w:tc>
      </w:tr>
      <w:tr w:rsidR="0074478A" w14:paraId="0CB4C74D" w14:textId="77777777">
        <w:trPr>
          <w:trHeight w:val="278"/>
        </w:trPr>
        <w:tc>
          <w:tcPr>
            <w:tcW w:w="581" w:type="pct"/>
            <w:vMerge/>
            <w:tcBorders>
              <w:top w:val="nil"/>
              <w:left w:val="nil"/>
              <w:bottom w:val="nil"/>
              <w:right w:val="nil"/>
            </w:tcBorders>
            <w:shd w:val="clear" w:color="auto" w:fill="auto"/>
            <w:noWrap/>
            <w:vAlign w:val="center"/>
          </w:tcPr>
          <w:p w14:paraId="5FF5DD8C" w14:textId="77777777" w:rsidR="0074478A" w:rsidRDefault="0074478A">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76413D77"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5" w:type="pct"/>
            <w:tcBorders>
              <w:top w:val="nil"/>
              <w:left w:val="nil"/>
              <w:bottom w:val="nil"/>
              <w:right w:val="nil"/>
            </w:tcBorders>
            <w:shd w:val="clear" w:color="auto" w:fill="auto"/>
            <w:noWrap/>
            <w:vAlign w:val="bottom"/>
          </w:tcPr>
          <w:p w14:paraId="3FDFF6D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0.23%</w:t>
            </w:r>
          </w:p>
        </w:tc>
        <w:tc>
          <w:tcPr>
            <w:tcW w:w="575" w:type="pct"/>
            <w:tcBorders>
              <w:top w:val="nil"/>
              <w:left w:val="nil"/>
              <w:bottom w:val="nil"/>
              <w:right w:val="nil"/>
            </w:tcBorders>
            <w:shd w:val="clear" w:color="auto" w:fill="auto"/>
            <w:noWrap/>
            <w:vAlign w:val="bottom"/>
          </w:tcPr>
          <w:p w14:paraId="0E0E673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0.23%</w:t>
            </w:r>
          </w:p>
        </w:tc>
        <w:tc>
          <w:tcPr>
            <w:tcW w:w="575" w:type="pct"/>
            <w:tcBorders>
              <w:top w:val="nil"/>
              <w:left w:val="nil"/>
              <w:bottom w:val="nil"/>
              <w:right w:val="nil"/>
            </w:tcBorders>
            <w:shd w:val="clear" w:color="auto" w:fill="auto"/>
            <w:noWrap/>
            <w:vAlign w:val="bottom"/>
          </w:tcPr>
          <w:p w14:paraId="599A3DC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nil"/>
              <w:left w:val="nil"/>
              <w:bottom w:val="nil"/>
              <w:right w:val="nil"/>
            </w:tcBorders>
            <w:shd w:val="clear" w:color="auto" w:fill="auto"/>
            <w:noWrap/>
            <w:vAlign w:val="bottom"/>
          </w:tcPr>
          <w:p w14:paraId="0D421B1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nil"/>
              <w:left w:val="nil"/>
              <w:bottom w:val="nil"/>
              <w:right w:val="nil"/>
            </w:tcBorders>
            <w:shd w:val="clear" w:color="auto" w:fill="auto"/>
            <w:noWrap/>
            <w:vAlign w:val="bottom"/>
          </w:tcPr>
          <w:p w14:paraId="3C15587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0.21%</w:t>
            </w:r>
          </w:p>
        </w:tc>
        <w:tc>
          <w:tcPr>
            <w:tcW w:w="581" w:type="pct"/>
            <w:tcBorders>
              <w:top w:val="nil"/>
              <w:left w:val="nil"/>
              <w:bottom w:val="nil"/>
              <w:right w:val="nil"/>
            </w:tcBorders>
            <w:shd w:val="clear" w:color="auto" w:fill="auto"/>
            <w:noWrap/>
            <w:vAlign w:val="bottom"/>
          </w:tcPr>
          <w:p w14:paraId="19EF4EF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0.21%</w:t>
            </w:r>
          </w:p>
        </w:tc>
      </w:tr>
      <w:tr w:rsidR="0074478A" w14:paraId="40BA4AE7" w14:textId="77777777">
        <w:trPr>
          <w:trHeight w:val="278"/>
        </w:trPr>
        <w:tc>
          <w:tcPr>
            <w:tcW w:w="581" w:type="pct"/>
            <w:vMerge/>
            <w:tcBorders>
              <w:top w:val="nil"/>
              <w:left w:val="nil"/>
              <w:bottom w:val="nil"/>
              <w:right w:val="nil"/>
            </w:tcBorders>
            <w:shd w:val="clear" w:color="auto" w:fill="auto"/>
            <w:noWrap/>
            <w:vAlign w:val="center"/>
          </w:tcPr>
          <w:p w14:paraId="0E4E9497" w14:textId="77777777" w:rsidR="0074478A" w:rsidRDefault="0074478A">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77A7207F"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5" w:type="pct"/>
            <w:tcBorders>
              <w:top w:val="nil"/>
              <w:left w:val="nil"/>
              <w:bottom w:val="nil"/>
              <w:right w:val="nil"/>
            </w:tcBorders>
            <w:shd w:val="clear" w:color="auto" w:fill="auto"/>
            <w:noWrap/>
            <w:vAlign w:val="bottom"/>
          </w:tcPr>
          <w:p w14:paraId="6196987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-0.11%</w:t>
            </w:r>
          </w:p>
        </w:tc>
        <w:tc>
          <w:tcPr>
            <w:tcW w:w="575" w:type="pct"/>
            <w:tcBorders>
              <w:top w:val="nil"/>
              <w:left w:val="nil"/>
              <w:bottom w:val="nil"/>
              <w:right w:val="nil"/>
            </w:tcBorders>
            <w:shd w:val="clear" w:color="auto" w:fill="auto"/>
            <w:noWrap/>
            <w:vAlign w:val="bottom"/>
          </w:tcPr>
          <w:p w14:paraId="69637EC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-0.11%</w:t>
            </w:r>
          </w:p>
        </w:tc>
        <w:tc>
          <w:tcPr>
            <w:tcW w:w="575" w:type="pct"/>
            <w:tcBorders>
              <w:top w:val="nil"/>
              <w:left w:val="nil"/>
              <w:bottom w:val="nil"/>
              <w:right w:val="nil"/>
            </w:tcBorders>
            <w:shd w:val="clear" w:color="auto" w:fill="auto"/>
            <w:noWrap/>
            <w:vAlign w:val="bottom"/>
          </w:tcPr>
          <w:p w14:paraId="2903233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2.17%</w:t>
            </w:r>
          </w:p>
        </w:tc>
        <w:tc>
          <w:tcPr>
            <w:tcW w:w="575" w:type="pct"/>
            <w:tcBorders>
              <w:top w:val="nil"/>
              <w:left w:val="nil"/>
              <w:bottom w:val="nil"/>
              <w:right w:val="nil"/>
            </w:tcBorders>
            <w:shd w:val="clear" w:color="auto" w:fill="auto"/>
            <w:noWrap/>
            <w:vAlign w:val="bottom"/>
          </w:tcPr>
          <w:p w14:paraId="786B7C3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2.17%</w:t>
            </w:r>
          </w:p>
        </w:tc>
        <w:tc>
          <w:tcPr>
            <w:tcW w:w="575" w:type="pct"/>
            <w:tcBorders>
              <w:top w:val="nil"/>
              <w:left w:val="nil"/>
              <w:bottom w:val="nil"/>
              <w:right w:val="nil"/>
            </w:tcBorders>
            <w:shd w:val="clear" w:color="auto" w:fill="auto"/>
            <w:noWrap/>
            <w:vAlign w:val="bottom"/>
          </w:tcPr>
          <w:p w14:paraId="4E88B4B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c>
          <w:tcPr>
            <w:tcW w:w="581" w:type="pct"/>
            <w:tcBorders>
              <w:top w:val="nil"/>
              <w:left w:val="nil"/>
              <w:bottom w:val="nil"/>
              <w:right w:val="nil"/>
            </w:tcBorders>
            <w:shd w:val="clear" w:color="auto" w:fill="auto"/>
            <w:noWrap/>
            <w:vAlign w:val="bottom"/>
          </w:tcPr>
          <w:p w14:paraId="6D8920C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r>
      <w:tr w:rsidR="0074478A" w14:paraId="41ED70CA" w14:textId="77777777">
        <w:trPr>
          <w:trHeight w:val="278"/>
        </w:trPr>
        <w:tc>
          <w:tcPr>
            <w:tcW w:w="581" w:type="pct"/>
            <w:vMerge/>
            <w:tcBorders>
              <w:top w:val="nil"/>
              <w:left w:val="nil"/>
              <w:bottom w:val="nil"/>
              <w:right w:val="nil"/>
            </w:tcBorders>
            <w:shd w:val="clear" w:color="auto" w:fill="auto"/>
            <w:noWrap/>
            <w:vAlign w:val="center"/>
          </w:tcPr>
          <w:p w14:paraId="45D86226" w14:textId="77777777" w:rsidR="0074478A" w:rsidRDefault="0074478A">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93A2AAB"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5" w:type="pct"/>
            <w:tcBorders>
              <w:top w:val="nil"/>
              <w:left w:val="nil"/>
              <w:bottom w:val="nil"/>
              <w:right w:val="nil"/>
            </w:tcBorders>
            <w:shd w:val="clear" w:color="auto" w:fill="auto"/>
            <w:vAlign w:val="center"/>
          </w:tcPr>
          <w:p w14:paraId="678393F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center"/>
          </w:tcPr>
          <w:p w14:paraId="3DCFA31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center"/>
          </w:tcPr>
          <w:p w14:paraId="61B0DD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1.69%</w:t>
            </w:r>
          </w:p>
        </w:tc>
        <w:tc>
          <w:tcPr>
            <w:tcW w:w="575" w:type="pct"/>
            <w:tcBorders>
              <w:top w:val="nil"/>
              <w:left w:val="nil"/>
              <w:bottom w:val="nil"/>
              <w:right w:val="nil"/>
            </w:tcBorders>
            <w:shd w:val="clear" w:color="auto" w:fill="auto"/>
            <w:noWrap/>
            <w:vAlign w:val="center"/>
          </w:tcPr>
          <w:p w14:paraId="592ACB2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1.69%</w:t>
            </w:r>
          </w:p>
        </w:tc>
        <w:tc>
          <w:tcPr>
            <w:tcW w:w="575" w:type="pct"/>
            <w:tcBorders>
              <w:top w:val="nil"/>
              <w:left w:val="nil"/>
              <w:bottom w:val="nil"/>
              <w:right w:val="nil"/>
            </w:tcBorders>
            <w:shd w:val="clear" w:color="auto" w:fill="auto"/>
            <w:noWrap/>
            <w:vAlign w:val="center"/>
          </w:tcPr>
          <w:p w14:paraId="59BF7D7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581" w:type="pct"/>
            <w:tcBorders>
              <w:top w:val="nil"/>
              <w:left w:val="nil"/>
              <w:bottom w:val="nil"/>
              <w:right w:val="nil"/>
            </w:tcBorders>
            <w:shd w:val="clear" w:color="auto" w:fill="auto"/>
            <w:noWrap/>
            <w:vAlign w:val="center"/>
          </w:tcPr>
          <w:p w14:paraId="223E0FB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r>
      <w:tr w:rsidR="0074478A" w14:paraId="3878A4B7" w14:textId="77777777">
        <w:trPr>
          <w:trHeight w:val="278"/>
        </w:trPr>
        <w:tc>
          <w:tcPr>
            <w:tcW w:w="1543" w:type="pct"/>
            <w:gridSpan w:val="2"/>
            <w:tcBorders>
              <w:top w:val="nil"/>
              <w:left w:val="nil"/>
              <w:bottom w:val="nil"/>
              <w:right w:val="nil"/>
            </w:tcBorders>
            <w:shd w:val="clear" w:color="auto" w:fill="auto"/>
            <w:noWrap/>
            <w:vAlign w:val="center"/>
          </w:tcPr>
          <w:p w14:paraId="4D0CCDA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7F3A321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76A0A5E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0C0A3B7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7F97C08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7BC30B9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81" w:type="pct"/>
            <w:tcBorders>
              <w:top w:val="nil"/>
              <w:left w:val="nil"/>
              <w:bottom w:val="nil"/>
              <w:right w:val="nil"/>
            </w:tcBorders>
            <w:shd w:val="clear" w:color="auto" w:fill="auto"/>
            <w:noWrap/>
            <w:vAlign w:val="center"/>
          </w:tcPr>
          <w:p w14:paraId="04A13B9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754574BF" w14:textId="77777777">
        <w:trPr>
          <w:trHeight w:val="278"/>
        </w:trPr>
        <w:tc>
          <w:tcPr>
            <w:tcW w:w="1543" w:type="pct"/>
            <w:gridSpan w:val="2"/>
            <w:tcBorders>
              <w:top w:val="nil"/>
              <w:left w:val="nil"/>
              <w:bottom w:val="nil"/>
              <w:right w:val="nil"/>
            </w:tcBorders>
            <w:shd w:val="clear" w:color="auto" w:fill="auto"/>
            <w:noWrap/>
            <w:vAlign w:val="center"/>
          </w:tcPr>
          <w:p w14:paraId="0753E08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7D9E2B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3CDBD62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8B4900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±2.64%</w:t>
            </w:r>
          </w:p>
        </w:tc>
        <w:tc>
          <w:tcPr>
            <w:tcW w:w="575" w:type="pct"/>
            <w:tcBorders>
              <w:top w:val="nil"/>
              <w:left w:val="nil"/>
              <w:bottom w:val="nil"/>
              <w:right w:val="nil"/>
            </w:tcBorders>
            <w:shd w:val="clear" w:color="auto" w:fill="auto"/>
            <w:noWrap/>
            <w:vAlign w:val="center"/>
          </w:tcPr>
          <w:p w14:paraId="22065D4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934FC2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30BA471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±8.48%</w:t>
            </w:r>
          </w:p>
        </w:tc>
      </w:tr>
      <w:tr w:rsidR="0074478A" w14:paraId="7E770B3E" w14:textId="77777777">
        <w:trPr>
          <w:trHeight w:val="278"/>
        </w:trPr>
        <w:tc>
          <w:tcPr>
            <w:tcW w:w="581" w:type="pct"/>
            <w:vMerge w:val="restart"/>
            <w:tcBorders>
              <w:top w:val="nil"/>
              <w:left w:val="nil"/>
              <w:bottom w:val="nil"/>
              <w:right w:val="nil"/>
            </w:tcBorders>
            <w:shd w:val="clear" w:color="auto" w:fill="auto"/>
            <w:noWrap/>
            <w:vAlign w:val="center"/>
          </w:tcPr>
          <w:p w14:paraId="049CC338"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62" w:type="pct"/>
            <w:tcBorders>
              <w:top w:val="nil"/>
              <w:left w:val="nil"/>
              <w:bottom w:val="nil"/>
              <w:right w:val="nil"/>
            </w:tcBorders>
            <w:shd w:val="clear" w:color="auto" w:fill="auto"/>
            <w:noWrap/>
            <w:vAlign w:val="center"/>
          </w:tcPr>
          <w:p w14:paraId="0CF9EA5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A9F47B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B8F48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2D6298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D044C0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8E4970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1482F17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0.001/0.993</w:t>
            </w:r>
          </w:p>
        </w:tc>
      </w:tr>
      <w:tr w:rsidR="0074478A" w14:paraId="5DD984E5" w14:textId="77777777">
        <w:trPr>
          <w:trHeight w:val="278"/>
        </w:trPr>
        <w:tc>
          <w:tcPr>
            <w:tcW w:w="581" w:type="pct"/>
            <w:vMerge/>
            <w:tcBorders>
              <w:top w:val="nil"/>
              <w:left w:val="nil"/>
              <w:bottom w:val="nil"/>
              <w:right w:val="nil"/>
            </w:tcBorders>
            <w:shd w:val="clear" w:color="auto" w:fill="auto"/>
            <w:noWrap/>
            <w:vAlign w:val="center"/>
          </w:tcPr>
          <w:p w14:paraId="37F74AA0" w14:textId="77777777" w:rsidR="0074478A" w:rsidRDefault="0074478A">
            <w:pPr>
              <w:spacing w:line="240" w:lineRule="atLeast"/>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24F6B4C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781987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31C3288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6F7BE2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/0.997</w:t>
            </w:r>
          </w:p>
        </w:tc>
        <w:tc>
          <w:tcPr>
            <w:tcW w:w="575" w:type="pct"/>
            <w:tcBorders>
              <w:top w:val="nil"/>
              <w:left w:val="nil"/>
              <w:bottom w:val="nil"/>
              <w:right w:val="nil"/>
            </w:tcBorders>
            <w:shd w:val="clear" w:color="auto" w:fill="auto"/>
            <w:noWrap/>
            <w:vAlign w:val="center"/>
          </w:tcPr>
          <w:p w14:paraId="0947C87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1E1A02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67CA7AE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/0.996</w:t>
            </w:r>
          </w:p>
        </w:tc>
      </w:tr>
      <w:tr w:rsidR="0074478A" w14:paraId="3C357FCF" w14:textId="77777777">
        <w:trPr>
          <w:trHeight w:val="278"/>
        </w:trPr>
        <w:tc>
          <w:tcPr>
            <w:tcW w:w="581" w:type="pct"/>
            <w:vMerge/>
            <w:tcBorders>
              <w:top w:val="nil"/>
              <w:left w:val="nil"/>
              <w:bottom w:val="nil"/>
              <w:right w:val="nil"/>
            </w:tcBorders>
            <w:shd w:val="clear" w:color="auto" w:fill="auto"/>
            <w:noWrap/>
            <w:vAlign w:val="center"/>
          </w:tcPr>
          <w:p w14:paraId="7CCC3FFF" w14:textId="77777777" w:rsidR="0074478A" w:rsidRDefault="0074478A">
            <w:pPr>
              <w:spacing w:line="240" w:lineRule="atLeast"/>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42C00EA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CFFD23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D2FAFB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974DA5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-0.023/0.1</w:t>
            </w:r>
            <w:r>
              <w:rPr>
                <w:rFonts w:ascii="Times New Roman" w:eastAsia="SimSun" w:hAnsi="Times New Roman" w:cs="Times New Roman" w:hint="eastAsia"/>
                <w:color w:val="000000"/>
                <w:kern w:val="0"/>
                <w:szCs w:val="21"/>
                <w:lang w:bidi="ar"/>
              </w:rPr>
              <w:t>00</w:t>
            </w:r>
          </w:p>
        </w:tc>
        <w:tc>
          <w:tcPr>
            <w:tcW w:w="575" w:type="pct"/>
            <w:tcBorders>
              <w:top w:val="nil"/>
              <w:left w:val="nil"/>
              <w:bottom w:val="nil"/>
              <w:right w:val="nil"/>
            </w:tcBorders>
            <w:shd w:val="clear" w:color="auto" w:fill="auto"/>
            <w:noWrap/>
            <w:vAlign w:val="center"/>
          </w:tcPr>
          <w:p w14:paraId="62EA2EA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D0C82B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73FFED0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12F64F76" w14:textId="77777777">
        <w:trPr>
          <w:trHeight w:val="278"/>
        </w:trPr>
        <w:tc>
          <w:tcPr>
            <w:tcW w:w="1543" w:type="pct"/>
            <w:gridSpan w:val="2"/>
            <w:tcBorders>
              <w:top w:val="nil"/>
              <w:left w:val="nil"/>
              <w:bottom w:val="single" w:sz="12" w:space="0" w:color="auto"/>
              <w:right w:val="nil"/>
            </w:tcBorders>
            <w:shd w:val="clear" w:color="auto" w:fill="auto"/>
            <w:noWrap/>
            <w:vAlign w:val="center"/>
          </w:tcPr>
          <w:p w14:paraId="6B7506A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038E434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03B82DF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BC7825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96</w:t>
            </w:r>
            <w:r>
              <w:rPr>
                <w:rFonts w:ascii="Times New Roman" w:eastAsia="SimSun" w:hAnsi="Times New Roman" w:cs="Times New Roman" w:hint="eastAsia"/>
                <w:color w:val="000000"/>
                <w:kern w:val="0"/>
                <w:szCs w:val="21"/>
                <w:lang w:bidi="ar"/>
              </w:rPr>
              <w:t>.46%</w:t>
            </w:r>
          </w:p>
        </w:tc>
        <w:tc>
          <w:tcPr>
            <w:tcW w:w="575" w:type="pct"/>
            <w:tcBorders>
              <w:top w:val="nil"/>
              <w:left w:val="nil"/>
              <w:bottom w:val="single" w:sz="12" w:space="0" w:color="auto"/>
              <w:right w:val="nil"/>
            </w:tcBorders>
            <w:shd w:val="clear" w:color="auto" w:fill="auto"/>
            <w:noWrap/>
            <w:vAlign w:val="center"/>
          </w:tcPr>
          <w:p w14:paraId="3FE127B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3BBE647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81" w:type="pct"/>
            <w:tcBorders>
              <w:top w:val="nil"/>
              <w:left w:val="nil"/>
              <w:bottom w:val="single" w:sz="12" w:space="0" w:color="auto"/>
              <w:right w:val="nil"/>
            </w:tcBorders>
            <w:shd w:val="clear" w:color="auto" w:fill="auto"/>
            <w:noWrap/>
            <w:vAlign w:val="center"/>
          </w:tcPr>
          <w:p w14:paraId="1220E4C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85</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1%</w:t>
            </w:r>
          </w:p>
        </w:tc>
      </w:tr>
      <w:tr w:rsidR="0074478A" w14:paraId="7C76D478" w14:textId="77777777">
        <w:trPr>
          <w:gridAfter w:val="3"/>
          <w:wAfter w:w="1731" w:type="pct"/>
          <w:trHeight w:val="278"/>
        </w:trPr>
        <w:tc>
          <w:tcPr>
            <w:tcW w:w="1543" w:type="pct"/>
            <w:gridSpan w:val="2"/>
            <w:tcBorders>
              <w:top w:val="single" w:sz="12" w:space="0" w:color="auto"/>
              <w:left w:val="nil"/>
              <w:bottom w:val="single" w:sz="8" w:space="0" w:color="auto"/>
              <w:right w:val="nil"/>
            </w:tcBorders>
            <w:shd w:val="clear" w:color="auto" w:fill="auto"/>
            <w:noWrap/>
            <w:vAlign w:val="center"/>
          </w:tcPr>
          <w:p w14:paraId="0E53242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269FC90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2015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30</w:t>
            </w:r>
            <w:r>
              <w:rPr>
                <w:rFonts w:ascii="Times New Roman" w:eastAsia="SimSun" w:hAnsi="Times New Roman" w:cs="Times New Roman"/>
                <w:color w:val="000000"/>
                <w:kern w:val="0"/>
                <w:szCs w:val="21"/>
                <w:lang w:bidi="ar"/>
              </w:rPr>
              <w:t>-</w:t>
            </w:r>
          </w:p>
          <w:p w14:paraId="5AF02D5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p>
        </w:tc>
        <w:tc>
          <w:tcPr>
            <w:tcW w:w="575" w:type="pct"/>
            <w:tcBorders>
              <w:top w:val="single" w:sz="12" w:space="0" w:color="auto"/>
              <w:left w:val="nil"/>
              <w:bottom w:val="single" w:sz="8" w:space="0" w:color="auto"/>
              <w:right w:val="nil"/>
            </w:tcBorders>
            <w:shd w:val="clear" w:color="auto" w:fill="auto"/>
            <w:noWrap/>
            <w:vAlign w:val="center"/>
          </w:tcPr>
          <w:p w14:paraId="4B076E7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23</w:t>
            </w:r>
            <w:r>
              <w:rPr>
                <w:rFonts w:ascii="Times New Roman" w:eastAsia="SimSun" w:hAnsi="Times New Roman" w:cs="Times New Roman"/>
                <w:color w:val="000000"/>
                <w:kern w:val="0"/>
                <w:szCs w:val="21"/>
                <w:lang w:bidi="ar"/>
              </w:rPr>
              <w:t>-</w:t>
            </w:r>
          </w:p>
          <w:p w14:paraId="7725B69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03</w:t>
            </w:r>
          </w:p>
        </w:tc>
        <w:tc>
          <w:tcPr>
            <w:tcW w:w="575" w:type="pct"/>
            <w:tcBorders>
              <w:top w:val="single" w:sz="12" w:space="0" w:color="auto"/>
              <w:left w:val="nil"/>
              <w:bottom w:val="single" w:sz="8" w:space="0" w:color="auto"/>
              <w:right w:val="nil"/>
            </w:tcBorders>
            <w:shd w:val="clear" w:color="auto" w:fill="auto"/>
            <w:noWrap/>
            <w:vAlign w:val="center"/>
          </w:tcPr>
          <w:p w14:paraId="7CDB16F2"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r>
              <w:rPr>
                <w:rFonts w:ascii="Times New Roman" w:eastAsia="SimSun" w:hAnsi="Times New Roman" w:cs="Times New Roman"/>
                <w:color w:val="000000"/>
                <w:kern w:val="0"/>
                <w:szCs w:val="21"/>
                <w:lang w:bidi="ar"/>
              </w:rPr>
              <w:t>-</w:t>
            </w:r>
          </w:p>
          <w:p w14:paraId="7C0C3C6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74478A" w14:paraId="311F7016" w14:textId="77777777">
        <w:trPr>
          <w:gridAfter w:val="3"/>
          <w:wAfter w:w="1731" w:type="pct"/>
          <w:trHeight w:val="278"/>
        </w:trPr>
        <w:tc>
          <w:tcPr>
            <w:tcW w:w="581" w:type="pct"/>
            <w:vMerge w:val="restart"/>
            <w:tcBorders>
              <w:top w:val="single" w:sz="8" w:space="0" w:color="auto"/>
              <w:left w:val="nil"/>
              <w:bottom w:val="nil"/>
              <w:right w:val="nil"/>
            </w:tcBorders>
            <w:shd w:val="clear" w:color="auto" w:fill="auto"/>
            <w:noWrap/>
            <w:vAlign w:val="center"/>
          </w:tcPr>
          <w:p w14:paraId="75C20CAE"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62" w:type="pct"/>
            <w:tcBorders>
              <w:top w:val="single" w:sz="8" w:space="0" w:color="auto"/>
              <w:left w:val="nil"/>
              <w:bottom w:val="nil"/>
              <w:right w:val="nil"/>
            </w:tcBorders>
            <w:shd w:val="clear" w:color="auto" w:fill="auto"/>
            <w:noWrap/>
            <w:vAlign w:val="center"/>
          </w:tcPr>
          <w:p w14:paraId="306D709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5" w:type="pct"/>
            <w:tcBorders>
              <w:top w:val="single" w:sz="8" w:space="0" w:color="auto"/>
              <w:left w:val="nil"/>
              <w:bottom w:val="nil"/>
              <w:right w:val="nil"/>
            </w:tcBorders>
            <w:shd w:val="clear" w:color="auto" w:fill="auto"/>
            <w:vAlign w:val="bottom"/>
          </w:tcPr>
          <w:p w14:paraId="7186052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98.28%</w:t>
            </w:r>
          </w:p>
        </w:tc>
        <w:tc>
          <w:tcPr>
            <w:tcW w:w="575" w:type="pct"/>
            <w:tcBorders>
              <w:top w:val="single" w:sz="8" w:space="0" w:color="auto"/>
              <w:left w:val="nil"/>
              <w:bottom w:val="nil"/>
              <w:right w:val="nil"/>
            </w:tcBorders>
            <w:shd w:val="clear" w:color="auto" w:fill="auto"/>
            <w:noWrap/>
            <w:vAlign w:val="bottom"/>
          </w:tcPr>
          <w:p w14:paraId="3D81C73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72.76%</w:t>
            </w:r>
          </w:p>
        </w:tc>
        <w:tc>
          <w:tcPr>
            <w:tcW w:w="575" w:type="pct"/>
            <w:tcBorders>
              <w:top w:val="single" w:sz="8" w:space="0" w:color="auto"/>
              <w:left w:val="nil"/>
              <w:bottom w:val="nil"/>
              <w:right w:val="nil"/>
            </w:tcBorders>
            <w:shd w:val="clear" w:color="auto" w:fill="auto"/>
            <w:noWrap/>
            <w:vAlign w:val="bottom"/>
          </w:tcPr>
          <w:p w14:paraId="36C4A5F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72.76%</w:t>
            </w:r>
          </w:p>
        </w:tc>
      </w:tr>
      <w:tr w:rsidR="0074478A" w14:paraId="34685D3C"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1E1BCBCB" w14:textId="77777777" w:rsidR="0074478A" w:rsidRDefault="0074478A">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2B65EF62"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5" w:type="pct"/>
            <w:tcBorders>
              <w:top w:val="nil"/>
              <w:left w:val="nil"/>
              <w:bottom w:val="nil"/>
              <w:right w:val="nil"/>
            </w:tcBorders>
            <w:shd w:val="clear" w:color="auto" w:fill="auto"/>
            <w:noWrap/>
            <w:vAlign w:val="bottom"/>
          </w:tcPr>
          <w:p w14:paraId="009D44C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0.21%</w:t>
            </w:r>
          </w:p>
        </w:tc>
        <w:tc>
          <w:tcPr>
            <w:tcW w:w="575" w:type="pct"/>
            <w:tcBorders>
              <w:top w:val="nil"/>
              <w:left w:val="nil"/>
              <w:bottom w:val="nil"/>
              <w:right w:val="nil"/>
            </w:tcBorders>
            <w:shd w:val="clear" w:color="auto" w:fill="auto"/>
            <w:noWrap/>
            <w:vAlign w:val="bottom"/>
          </w:tcPr>
          <w:p w14:paraId="2C63D59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19.52%</w:t>
            </w:r>
          </w:p>
        </w:tc>
        <w:tc>
          <w:tcPr>
            <w:tcW w:w="575" w:type="pct"/>
            <w:tcBorders>
              <w:top w:val="nil"/>
              <w:left w:val="nil"/>
              <w:bottom w:val="nil"/>
              <w:right w:val="nil"/>
            </w:tcBorders>
            <w:shd w:val="clear" w:color="auto" w:fill="auto"/>
            <w:noWrap/>
            <w:vAlign w:val="bottom"/>
          </w:tcPr>
          <w:p w14:paraId="0D05D92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19.52%</w:t>
            </w:r>
          </w:p>
        </w:tc>
      </w:tr>
      <w:tr w:rsidR="0074478A" w14:paraId="213C5605"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22CDA180" w14:textId="77777777" w:rsidR="0074478A" w:rsidRDefault="0074478A">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45B96D66"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5" w:type="pct"/>
            <w:tcBorders>
              <w:top w:val="nil"/>
              <w:left w:val="nil"/>
              <w:bottom w:val="nil"/>
              <w:right w:val="nil"/>
            </w:tcBorders>
            <w:shd w:val="clear" w:color="auto" w:fill="auto"/>
            <w:noWrap/>
            <w:vAlign w:val="bottom"/>
          </w:tcPr>
          <w:p w14:paraId="75A6C59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bottom"/>
          </w:tcPr>
          <w:p w14:paraId="19F7512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1.72%</w:t>
            </w:r>
          </w:p>
        </w:tc>
        <w:tc>
          <w:tcPr>
            <w:tcW w:w="575" w:type="pct"/>
            <w:tcBorders>
              <w:top w:val="nil"/>
              <w:left w:val="nil"/>
              <w:bottom w:val="nil"/>
              <w:right w:val="nil"/>
            </w:tcBorders>
            <w:shd w:val="clear" w:color="auto" w:fill="auto"/>
            <w:noWrap/>
            <w:vAlign w:val="bottom"/>
          </w:tcPr>
          <w:p w14:paraId="3FF1259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1.72%</w:t>
            </w:r>
          </w:p>
        </w:tc>
      </w:tr>
      <w:tr w:rsidR="0074478A" w14:paraId="21ACC7CE"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22BCC5D3" w14:textId="77777777" w:rsidR="0074478A" w:rsidRDefault="0074478A">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3EFDF87C"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5" w:type="pct"/>
            <w:tcBorders>
              <w:top w:val="nil"/>
              <w:left w:val="nil"/>
              <w:bottom w:val="nil"/>
              <w:right w:val="nil"/>
            </w:tcBorders>
            <w:shd w:val="clear" w:color="auto" w:fill="auto"/>
            <w:vAlign w:val="center"/>
          </w:tcPr>
          <w:p w14:paraId="303275C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575" w:type="pct"/>
            <w:tcBorders>
              <w:top w:val="nil"/>
              <w:left w:val="nil"/>
              <w:bottom w:val="nil"/>
              <w:right w:val="nil"/>
            </w:tcBorders>
            <w:shd w:val="clear" w:color="auto" w:fill="auto"/>
            <w:noWrap/>
            <w:vAlign w:val="center"/>
          </w:tcPr>
          <w:p w14:paraId="1ADE21A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6.01%</w:t>
            </w:r>
          </w:p>
        </w:tc>
        <w:tc>
          <w:tcPr>
            <w:tcW w:w="575" w:type="pct"/>
            <w:tcBorders>
              <w:top w:val="nil"/>
              <w:left w:val="nil"/>
              <w:bottom w:val="nil"/>
              <w:right w:val="nil"/>
            </w:tcBorders>
            <w:shd w:val="clear" w:color="auto" w:fill="auto"/>
            <w:noWrap/>
            <w:vAlign w:val="center"/>
          </w:tcPr>
          <w:p w14:paraId="56BCBD0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6.01%</w:t>
            </w:r>
          </w:p>
        </w:tc>
      </w:tr>
      <w:tr w:rsidR="0074478A" w14:paraId="6B5F2AEE" w14:textId="77777777">
        <w:trPr>
          <w:gridAfter w:val="3"/>
          <w:wAfter w:w="1731" w:type="pct"/>
          <w:trHeight w:val="278"/>
        </w:trPr>
        <w:tc>
          <w:tcPr>
            <w:tcW w:w="1543" w:type="pct"/>
            <w:gridSpan w:val="2"/>
            <w:tcBorders>
              <w:top w:val="nil"/>
              <w:left w:val="nil"/>
              <w:bottom w:val="nil"/>
              <w:right w:val="nil"/>
            </w:tcBorders>
            <w:shd w:val="clear" w:color="auto" w:fill="auto"/>
            <w:noWrap/>
            <w:vAlign w:val="center"/>
          </w:tcPr>
          <w:p w14:paraId="7C79F2E3"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6D67F27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47CE815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5845086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0B3D57DD" w14:textId="77777777">
        <w:trPr>
          <w:gridAfter w:val="3"/>
          <w:wAfter w:w="1731" w:type="pct"/>
          <w:trHeight w:val="278"/>
        </w:trPr>
        <w:tc>
          <w:tcPr>
            <w:tcW w:w="1543" w:type="pct"/>
            <w:gridSpan w:val="2"/>
            <w:tcBorders>
              <w:top w:val="nil"/>
              <w:left w:val="nil"/>
              <w:bottom w:val="nil"/>
              <w:right w:val="nil"/>
            </w:tcBorders>
            <w:shd w:val="clear" w:color="auto" w:fill="auto"/>
            <w:noWrap/>
            <w:vAlign w:val="center"/>
          </w:tcPr>
          <w:p w14:paraId="3CFEE76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A00D08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C4DCBE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±4.14%</w:t>
            </w:r>
          </w:p>
        </w:tc>
        <w:tc>
          <w:tcPr>
            <w:tcW w:w="575" w:type="pct"/>
            <w:tcBorders>
              <w:top w:val="nil"/>
              <w:left w:val="nil"/>
              <w:bottom w:val="nil"/>
              <w:right w:val="nil"/>
            </w:tcBorders>
            <w:shd w:val="clear" w:color="auto" w:fill="auto"/>
            <w:noWrap/>
            <w:vAlign w:val="center"/>
          </w:tcPr>
          <w:p w14:paraId="3F93269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±5.44%</w:t>
            </w:r>
          </w:p>
        </w:tc>
      </w:tr>
      <w:tr w:rsidR="0074478A" w14:paraId="5299309C" w14:textId="77777777">
        <w:trPr>
          <w:gridAfter w:val="3"/>
          <w:wAfter w:w="1731" w:type="pct"/>
          <w:trHeight w:val="278"/>
        </w:trPr>
        <w:tc>
          <w:tcPr>
            <w:tcW w:w="581" w:type="pct"/>
            <w:vMerge w:val="restart"/>
            <w:tcBorders>
              <w:top w:val="nil"/>
              <w:left w:val="nil"/>
              <w:bottom w:val="nil"/>
              <w:right w:val="nil"/>
            </w:tcBorders>
            <w:shd w:val="clear" w:color="auto" w:fill="auto"/>
            <w:noWrap/>
            <w:vAlign w:val="center"/>
          </w:tcPr>
          <w:p w14:paraId="4B60724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62" w:type="pct"/>
            <w:tcBorders>
              <w:top w:val="nil"/>
              <w:left w:val="nil"/>
              <w:bottom w:val="nil"/>
              <w:right w:val="nil"/>
            </w:tcBorders>
            <w:shd w:val="clear" w:color="auto" w:fill="auto"/>
            <w:noWrap/>
            <w:vAlign w:val="center"/>
          </w:tcPr>
          <w:p w14:paraId="4E0DFCF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9AD84E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0CFE26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22DD03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0.041/0.255</w:t>
            </w:r>
          </w:p>
        </w:tc>
      </w:tr>
      <w:tr w:rsidR="0074478A" w14:paraId="2F52D603"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59EAA2B8" w14:textId="77777777" w:rsidR="0074478A" w:rsidRDefault="0074478A">
            <w:pPr>
              <w:spacing w:line="240" w:lineRule="atLeast"/>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97142B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919201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3F1531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/0.989</w:t>
            </w:r>
          </w:p>
        </w:tc>
        <w:tc>
          <w:tcPr>
            <w:tcW w:w="575" w:type="pct"/>
            <w:tcBorders>
              <w:top w:val="nil"/>
              <w:left w:val="nil"/>
              <w:bottom w:val="nil"/>
              <w:right w:val="nil"/>
            </w:tcBorders>
            <w:shd w:val="clear" w:color="auto" w:fill="auto"/>
            <w:noWrap/>
            <w:vAlign w:val="center"/>
          </w:tcPr>
          <w:p w14:paraId="1C0CBA4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r>
      <w:tr w:rsidR="0074478A" w14:paraId="4577F84A"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17E90EFA" w14:textId="77777777" w:rsidR="0074478A" w:rsidRDefault="0074478A">
            <w:pPr>
              <w:spacing w:line="240" w:lineRule="atLeast"/>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62F0572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94C2DD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A874D3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0.006/1.122</w:t>
            </w:r>
          </w:p>
        </w:tc>
        <w:tc>
          <w:tcPr>
            <w:tcW w:w="575" w:type="pct"/>
            <w:tcBorders>
              <w:top w:val="nil"/>
              <w:left w:val="nil"/>
              <w:bottom w:val="nil"/>
              <w:right w:val="nil"/>
            </w:tcBorders>
            <w:shd w:val="clear" w:color="auto" w:fill="auto"/>
            <w:noWrap/>
            <w:vAlign w:val="center"/>
          </w:tcPr>
          <w:p w14:paraId="73A96AE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44BD76C9" w14:textId="77777777">
        <w:trPr>
          <w:gridAfter w:val="3"/>
          <w:wAfter w:w="1731" w:type="pct"/>
          <w:trHeight w:val="278"/>
        </w:trPr>
        <w:tc>
          <w:tcPr>
            <w:tcW w:w="1543" w:type="pct"/>
            <w:gridSpan w:val="2"/>
            <w:tcBorders>
              <w:top w:val="nil"/>
              <w:left w:val="nil"/>
              <w:bottom w:val="single" w:sz="12" w:space="0" w:color="auto"/>
              <w:right w:val="nil"/>
            </w:tcBorders>
            <w:shd w:val="clear" w:color="auto" w:fill="auto"/>
            <w:noWrap/>
            <w:vAlign w:val="center"/>
          </w:tcPr>
          <w:p w14:paraId="267D01D5"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24BBFEC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5B29ED2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87</w:t>
            </w:r>
            <w:r>
              <w:rPr>
                <w:rFonts w:ascii="Times New Roman" w:eastAsia="SimSun" w:hAnsi="Times New Roman" w:cs="Times New Roman" w:hint="eastAsia"/>
                <w:color w:val="000000"/>
                <w:kern w:val="0"/>
                <w:szCs w:val="21"/>
                <w:lang w:bidi="ar"/>
              </w:rPr>
              <w:t>.69%</w:t>
            </w:r>
          </w:p>
        </w:tc>
        <w:tc>
          <w:tcPr>
            <w:tcW w:w="575" w:type="pct"/>
            <w:tcBorders>
              <w:top w:val="nil"/>
              <w:left w:val="nil"/>
              <w:bottom w:val="single" w:sz="12" w:space="0" w:color="auto"/>
              <w:right w:val="nil"/>
            </w:tcBorders>
            <w:shd w:val="clear" w:color="auto" w:fill="auto"/>
            <w:noWrap/>
            <w:vAlign w:val="center"/>
          </w:tcPr>
          <w:p w14:paraId="727D1C8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94</w:t>
            </w:r>
            <w:r>
              <w:rPr>
                <w:rFonts w:ascii="Times New Roman" w:eastAsia="SimSun" w:hAnsi="Times New Roman" w:cs="Times New Roman" w:hint="eastAsia"/>
                <w:color w:val="000000"/>
                <w:kern w:val="0"/>
                <w:szCs w:val="21"/>
                <w:lang w:bidi="ar"/>
              </w:rPr>
              <w:t>.77%</w:t>
            </w:r>
          </w:p>
        </w:tc>
      </w:tr>
    </w:tbl>
    <w:p w14:paraId="3382D8F5" w14:textId="77777777" w:rsidR="0074478A" w:rsidRDefault="0074478A">
      <w:pPr>
        <w:rPr>
          <w:rFonts w:ascii="Times New Roman" w:hAnsi="Times New Roman" w:cs="Times New Roman"/>
        </w:rPr>
      </w:pPr>
    </w:p>
    <w:p w14:paraId="3DCA03F9" w14:textId="77777777" w:rsidR="0074478A" w:rsidRDefault="00690393">
      <w:pPr>
        <w:rPr>
          <w:rFonts w:ascii="Times New Roman" w:hAnsi="Times New Roman" w:cs="Times New Roman"/>
        </w:rPr>
      </w:pPr>
      <w:r>
        <w:rPr>
          <w:rFonts w:ascii="Times New Roman" w:hAnsi="Times New Roman" w:cs="Times New Roman" w:hint="eastAsia"/>
        </w:rPr>
        <w:lastRenderedPageBreak/>
        <w:t>Panel F: Col</w:t>
      </w:r>
      <w:r>
        <w:rPr>
          <w:rFonts w:ascii="Times New Roman" w:hAnsi="Times New Roman" w:cs="Times New Roman"/>
        </w:rPr>
        <w:t>o</w:t>
      </w:r>
      <w:r>
        <w:rPr>
          <w:rFonts w:ascii="Times New Roman" w:hAnsi="Times New Roman" w:cs="Times New Roman" w:hint="eastAsia"/>
        </w:rPr>
        <w:t>mbia</w:t>
      </w:r>
    </w:p>
    <w:tbl>
      <w:tblPr>
        <w:tblW w:w="4999" w:type="pct"/>
        <w:tblLayout w:type="fixed"/>
        <w:tblLook w:val="04A0" w:firstRow="1" w:lastRow="0" w:firstColumn="1" w:lastColumn="0" w:noHBand="0" w:noVBand="1"/>
      </w:tblPr>
      <w:tblGrid>
        <w:gridCol w:w="1378"/>
        <w:gridCol w:w="2229"/>
        <w:gridCol w:w="1294"/>
        <w:gridCol w:w="1293"/>
        <w:gridCol w:w="1293"/>
        <w:gridCol w:w="1293"/>
        <w:gridCol w:w="1293"/>
        <w:gridCol w:w="1293"/>
        <w:gridCol w:w="1293"/>
        <w:gridCol w:w="1296"/>
      </w:tblGrid>
      <w:tr w:rsidR="0074478A" w14:paraId="5FC905DD" w14:textId="77777777">
        <w:trPr>
          <w:trHeight w:val="278"/>
        </w:trPr>
        <w:tc>
          <w:tcPr>
            <w:tcW w:w="1290" w:type="pct"/>
            <w:gridSpan w:val="2"/>
            <w:tcBorders>
              <w:top w:val="single" w:sz="12" w:space="0" w:color="auto"/>
              <w:left w:val="nil"/>
              <w:bottom w:val="single" w:sz="8" w:space="0" w:color="auto"/>
              <w:right w:val="nil"/>
            </w:tcBorders>
            <w:shd w:val="clear" w:color="auto" w:fill="auto"/>
            <w:noWrap/>
            <w:vAlign w:val="center"/>
          </w:tcPr>
          <w:p w14:paraId="0A07408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463" w:type="pct"/>
            <w:tcBorders>
              <w:top w:val="single" w:sz="12" w:space="0" w:color="auto"/>
              <w:left w:val="nil"/>
              <w:bottom w:val="single" w:sz="8" w:space="0" w:color="auto"/>
              <w:right w:val="nil"/>
            </w:tcBorders>
            <w:shd w:val="clear" w:color="auto" w:fill="auto"/>
            <w:noWrap/>
            <w:vAlign w:val="center"/>
          </w:tcPr>
          <w:p w14:paraId="53441393"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75AFCAA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p>
        </w:tc>
        <w:tc>
          <w:tcPr>
            <w:tcW w:w="463" w:type="pct"/>
            <w:tcBorders>
              <w:top w:val="single" w:sz="12" w:space="0" w:color="auto"/>
              <w:left w:val="nil"/>
              <w:bottom w:val="single" w:sz="8" w:space="0" w:color="auto"/>
              <w:right w:val="nil"/>
            </w:tcBorders>
            <w:shd w:val="clear" w:color="auto" w:fill="auto"/>
            <w:noWrap/>
            <w:vAlign w:val="center"/>
          </w:tcPr>
          <w:p w14:paraId="73FDC00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2003/0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p>
          <w:p w14:paraId="68BDC83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15</w:t>
            </w:r>
          </w:p>
        </w:tc>
        <w:tc>
          <w:tcPr>
            <w:tcW w:w="463" w:type="pct"/>
            <w:tcBorders>
              <w:top w:val="single" w:sz="12" w:space="0" w:color="auto"/>
              <w:left w:val="nil"/>
              <w:bottom w:val="single" w:sz="8" w:space="0" w:color="auto"/>
              <w:right w:val="nil"/>
            </w:tcBorders>
            <w:shd w:val="clear" w:color="auto" w:fill="auto"/>
            <w:noWrap/>
            <w:vAlign w:val="center"/>
          </w:tcPr>
          <w:p w14:paraId="53B65B1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16</w:t>
            </w:r>
            <w:r>
              <w:rPr>
                <w:rFonts w:ascii="Times New Roman" w:eastAsia="SimSun" w:hAnsi="Times New Roman" w:cs="Times New Roman"/>
                <w:color w:val="000000"/>
                <w:kern w:val="0"/>
                <w:szCs w:val="21"/>
                <w:lang w:bidi="ar"/>
              </w:rPr>
              <w:t>-</w:t>
            </w:r>
          </w:p>
          <w:p w14:paraId="15D25AC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27</w:t>
            </w:r>
          </w:p>
        </w:tc>
        <w:tc>
          <w:tcPr>
            <w:tcW w:w="463" w:type="pct"/>
            <w:tcBorders>
              <w:top w:val="single" w:sz="12" w:space="0" w:color="auto"/>
              <w:left w:val="nil"/>
              <w:bottom w:val="single" w:sz="8" w:space="0" w:color="auto"/>
              <w:right w:val="nil"/>
            </w:tcBorders>
            <w:shd w:val="clear" w:color="auto" w:fill="auto"/>
            <w:noWrap/>
            <w:vAlign w:val="center"/>
          </w:tcPr>
          <w:p w14:paraId="41F145B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28</w:t>
            </w:r>
            <w:r>
              <w:rPr>
                <w:rFonts w:ascii="Times New Roman" w:eastAsia="SimSun" w:hAnsi="Times New Roman" w:cs="Times New Roman"/>
                <w:color w:val="000000"/>
                <w:kern w:val="0"/>
                <w:szCs w:val="21"/>
                <w:lang w:bidi="ar"/>
              </w:rPr>
              <w:t>-</w:t>
            </w:r>
          </w:p>
          <w:p w14:paraId="600BFA2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6/18</w:t>
            </w:r>
          </w:p>
        </w:tc>
        <w:tc>
          <w:tcPr>
            <w:tcW w:w="463" w:type="pct"/>
            <w:tcBorders>
              <w:top w:val="single" w:sz="12" w:space="0" w:color="auto"/>
              <w:left w:val="nil"/>
              <w:bottom w:val="single" w:sz="8" w:space="0" w:color="auto"/>
              <w:right w:val="nil"/>
            </w:tcBorders>
            <w:shd w:val="clear" w:color="auto" w:fill="auto"/>
            <w:noWrap/>
            <w:vAlign w:val="center"/>
          </w:tcPr>
          <w:p w14:paraId="4689B73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19</w:t>
            </w:r>
            <w:r>
              <w:rPr>
                <w:rFonts w:ascii="Times New Roman" w:eastAsia="SimSun" w:hAnsi="Times New Roman" w:cs="Times New Roman"/>
                <w:color w:val="000000"/>
                <w:kern w:val="0"/>
                <w:szCs w:val="21"/>
                <w:lang w:bidi="ar"/>
              </w:rPr>
              <w:t>-</w:t>
            </w:r>
          </w:p>
          <w:p w14:paraId="2C46802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19</w:t>
            </w:r>
          </w:p>
        </w:tc>
        <w:tc>
          <w:tcPr>
            <w:tcW w:w="463" w:type="pct"/>
            <w:tcBorders>
              <w:top w:val="single" w:sz="12" w:space="0" w:color="auto"/>
              <w:left w:val="nil"/>
              <w:bottom w:val="single" w:sz="8" w:space="0" w:color="auto"/>
              <w:right w:val="nil"/>
            </w:tcBorders>
            <w:shd w:val="clear" w:color="auto" w:fill="auto"/>
            <w:noWrap/>
            <w:vAlign w:val="center"/>
          </w:tcPr>
          <w:p w14:paraId="27AF942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p>
          <w:p w14:paraId="15D3DEF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27</w:t>
            </w:r>
          </w:p>
        </w:tc>
        <w:tc>
          <w:tcPr>
            <w:tcW w:w="463" w:type="pct"/>
            <w:tcBorders>
              <w:top w:val="single" w:sz="12" w:space="0" w:color="auto"/>
              <w:left w:val="nil"/>
              <w:bottom w:val="single" w:sz="8" w:space="0" w:color="auto"/>
              <w:right w:val="nil"/>
            </w:tcBorders>
            <w:shd w:val="clear" w:color="auto" w:fill="auto"/>
            <w:noWrap/>
            <w:vAlign w:val="center"/>
          </w:tcPr>
          <w:p w14:paraId="7C1E273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2014/11/28-2017/03/09</w:t>
            </w:r>
          </w:p>
        </w:tc>
        <w:tc>
          <w:tcPr>
            <w:tcW w:w="464" w:type="pct"/>
            <w:tcBorders>
              <w:top w:val="single" w:sz="12" w:space="0" w:color="auto"/>
              <w:left w:val="nil"/>
              <w:bottom w:val="single" w:sz="8" w:space="0" w:color="auto"/>
              <w:right w:val="nil"/>
            </w:tcBorders>
            <w:shd w:val="clear" w:color="auto" w:fill="auto"/>
            <w:noWrap/>
            <w:vAlign w:val="center"/>
          </w:tcPr>
          <w:p w14:paraId="2BD32F4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2017/03/10-2020/12/31</w:t>
            </w:r>
          </w:p>
        </w:tc>
      </w:tr>
      <w:tr w:rsidR="0074478A" w14:paraId="7E0B5941" w14:textId="77777777">
        <w:trPr>
          <w:trHeight w:val="278"/>
        </w:trPr>
        <w:tc>
          <w:tcPr>
            <w:tcW w:w="493" w:type="pct"/>
            <w:vMerge w:val="restart"/>
            <w:tcBorders>
              <w:top w:val="single" w:sz="8" w:space="0" w:color="auto"/>
              <w:left w:val="nil"/>
              <w:bottom w:val="nil"/>
              <w:right w:val="nil"/>
            </w:tcBorders>
            <w:shd w:val="clear" w:color="auto" w:fill="auto"/>
            <w:noWrap/>
            <w:vAlign w:val="center"/>
          </w:tcPr>
          <w:p w14:paraId="3DF2D809"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797" w:type="pct"/>
            <w:tcBorders>
              <w:top w:val="single" w:sz="8" w:space="0" w:color="auto"/>
              <w:left w:val="nil"/>
              <w:bottom w:val="nil"/>
              <w:right w:val="nil"/>
            </w:tcBorders>
            <w:shd w:val="clear" w:color="auto" w:fill="auto"/>
            <w:noWrap/>
            <w:vAlign w:val="center"/>
          </w:tcPr>
          <w:p w14:paraId="2856A890"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463" w:type="pct"/>
            <w:tcBorders>
              <w:top w:val="single" w:sz="8" w:space="0" w:color="auto"/>
              <w:left w:val="nil"/>
              <w:bottom w:val="nil"/>
              <w:right w:val="nil"/>
            </w:tcBorders>
            <w:shd w:val="clear" w:color="auto" w:fill="auto"/>
            <w:vAlign w:val="bottom"/>
          </w:tcPr>
          <w:p w14:paraId="1F8D673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0EBE819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3D7DCC4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1E11AA0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84.37%</w:t>
            </w:r>
          </w:p>
        </w:tc>
        <w:tc>
          <w:tcPr>
            <w:tcW w:w="463" w:type="pct"/>
            <w:tcBorders>
              <w:top w:val="single" w:sz="8" w:space="0" w:color="auto"/>
              <w:left w:val="nil"/>
              <w:bottom w:val="nil"/>
              <w:right w:val="nil"/>
            </w:tcBorders>
            <w:shd w:val="clear" w:color="auto" w:fill="auto"/>
            <w:noWrap/>
            <w:vAlign w:val="bottom"/>
          </w:tcPr>
          <w:p w14:paraId="26B40B1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84.37%</w:t>
            </w:r>
          </w:p>
        </w:tc>
        <w:tc>
          <w:tcPr>
            <w:tcW w:w="463" w:type="pct"/>
            <w:tcBorders>
              <w:top w:val="single" w:sz="8" w:space="0" w:color="auto"/>
              <w:left w:val="nil"/>
              <w:bottom w:val="nil"/>
              <w:right w:val="nil"/>
            </w:tcBorders>
            <w:shd w:val="clear" w:color="auto" w:fill="auto"/>
            <w:noWrap/>
            <w:vAlign w:val="bottom"/>
          </w:tcPr>
          <w:p w14:paraId="641AF8B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65.68%</w:t>
            </w:r>
          </w:p>
        </w:tc>
        <w:tc>
          <w:tcPr>
            <w:tcW w:w="463" w:type="pct"/>
            <w:tcBorders>
              <w:top w:val="single" w:sz="8" w:space="0" w:color="auto"/>
              <w:left w:val="nil"/>
              <w:bottom w:val="nil"/>
              <w:right w:val="nil"/>
            </w:tcBorders>
            <w:shd w:val="clear" w:color="auto" w:fill="auto"/>
            <w:noWrap/>
            <w:vAlign w:val="bottom"/>
          </w:tcPr>
          <w:p w14:paraId="79C4E350"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65.68%</w:t>
            </w:r>
          </w:p>
        </w:tc>
        <w:tc>
          <w:tcPr>
            <w:tcW w:w="464" w:type="pct"/>
            <w:tcBorders>
              <w:top w:val="single" w:sz="8" w:space="0" w:color="auto"/>
              <w:left w:val="nil"/>
              <w:bottom w:val="nil"/>
              <w:right w:val="nil"/>
            </w:tcBorders>
            <w:shd w:val="clear" w:color="auto" w:fill="auto"/>
            <w:noWrap/>
            <w:vAlign w:val="bottom"/>
          </w:tcPr>
          <w:p w14:paraId="11517BE9"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69.92%</w:t>
            </w:r>
          </w:p>
        </w:tc>
      </w:tr>
      <w:tr w:rsidR="0074478A" w14:paraId="1D69229A" w14:textId="77777777">
        <w:trPr>
          <w:trHeight w:val="278"/>
        </w:trPr>
        <w:tc>
          <w:tcPr>
            <w:tcW w:w="493" w:type="pct"/>
            <w:vMerge/>
            <w:tcBorders>
              <w:top w:val="nil"/>
              <w:left w:val="nil"/>
              <w:bottom w:val="nil"/>
              <w:right w:val="nil"/>
            </w:tcBorders>
            <w:shd w:val="clear" w:color="auto" w:fill="auto"/>
            <w:noWrap/>
            <w:vAlign w:val="center"/>
          </w:tcPr>
          <w:p w14:paraId="146C1AFC" w14:textId="77777777" w:rsidR="0074478A" w:rsidRDefault="0074478A">
            <w:pPr>
              <w:spacing w:line="240" w:lineRule="atLeast"/>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1253FF8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463" w:type="pct"/>
            <w:tcBorders>
              <w:top w:val="nil"/>
              <w:left w:val="nil"/>
              <w:bottom w:val="nil"/>
              <w:right w:val="nil"/>
            </w:tcBorders>
            <w:shd w:val="clear" w:color="auto" w:fill="auto"/>
            <w:noWrap/>
            <w:vAlign w:val="bottom"/>
          </w:tcPr>
          <w:p w14:paraId="3B7DB60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60BE07C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753D758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51D3594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45.48%</w:t>
            </w:r>
          </w:p>
        </w:tc>
        <w:tc>
          <w:tcPr>
            <w:tcW w:w="463" w:type="pct"/>
            <w:tcBorders>
              <w:top w:val="nil"/>
              <w:left w:val="nil"/>
              <w:bottom w:val="nil"/>
              <w:right w:val="nil"/>
            </w:tcBorders>
            <w:shd w:val="clear" w:color="auto" w:fill="auto"/>
            <w:noWrap/>
            <w:vAlign w:val="bottom"/>
          </w:tcPr>
          <w:p w14:paraId="34157F9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45.48%</w:t>
            </w:r>
          </w:p>
        </w:tc>
        <w:tc>
          <w:tcPr>
            <w:tcW w:w="463" w:type="pct"/>
            <w:tcBorders>
              <w:top w:val="nil"/>
              <w:left w:val="nil"/>
              <w:bottom w:val="nil"/>
              <w:right w:val="nil"/>
            </w:tcBorders>
            <w:shd w:val="clear" w:color="auto" w:fill="auto"/>
            <w:noWrap/>
            <w:vAlign w:val="bottom"/>
          </w:tcPr>
          <w:p w14:paraId="37CBB80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18.28%</w:t>
            </w:r>
          </w:p>
        </w:tc>
        <w:tc>
          <w:tcPr>
            <w:tcW w:w="463" w:type="pct"/>
            <w:tcBorders>
              <w:top w:val="nil"/>
              <w:left w:val="nil"/>
              <w:bottom w:val="nil"/>
              <w:right w:val="nil"/>
            </w:tcBorders>
            <w:shd w:val="clear" w:color="auto" w:fill="auto"/>
            <w:noWrap/>
            <w:vAlign w:val="bottom"/>
          </w:tcPr>
          <w:p w14:paraId="1D6033B9"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18.28%</w:t>
            </w:r>
          </w:p>
        </w:tc>
        <w:tc>
          <w:tcPr>
            <w:tcW w:w="464" w:type="pct"/>
            <w:tcBorders>
              <w:top w:val="nil"/>
              <w:left w:val="nil"/>
              <w:bottom w:val="nil"/>
              <w:right w:val="nil"/>
            </w:tcBorders>
            <w:shd w:val="clear" w:color="auto" w:fill="auto"/>
            <w:noWrap/>
            <w:vAlign w:val="bottom"/>
          </w:tcPr>
          <w:p w14:paraId="0EACFCC1"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46.95%</w:t>
            </w:r>
          </w:p>
        </w:tc>
      </w:tr>
      <w:tr w:rsidR="0074478A" w14:paraId="6FC53F66" w14:textId="77777777">
        <w:trPr>
          <w:trHeight w:val="278"/>
        </w:trPr>
        <w:tc>
          <w:tcPr>
            <w:tcW w:w="493" w:type="pct"/>
            <w:vMerge/>
            <w:tcBorders>
              <w:top w:val="nil"/>
              <w:left w:val="nil"/>
              <w:bottom w:val="nil"/>
              <w:right w:val="nil"/>
            </w:tcBorders>
            <w:shd w:val="clear" w:color="auto" w:fill="auto"/>
            <w:noWrap/>
            <w:vAlign w:val="center"/>
          </w:tcPr>
          <w:p w14:paraId="6561210B" w14:textId="77777777" w:rsidR="0074478A" w:rsidRDefault="0074478A">
            <w:pPr>
              <w:spacing w:line="240" w:lineRule="atLeast"/>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5A3D9E8D"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463" w:type="pct"/>
            <w:tcBorders>
              <w:top w:val="nil"/>
              <w:left w:val="nil"/>
              <w:bottom w:val="nil"/>
              <w:right w:val="nil"/>
            </w:tcBorders>
            <w:shd w:val="clear" w:color="auto" w:fill="auto"/>
            <w:noWrap/>
            <w:vAlign w:val="bottom"/>
          </w:tcPr>
          <w:p w14:paraId="08F8753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3EB5B1B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5B6ED70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463BE77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-36.38%</w:t>
            </w:r>
          </w:p>
        </w:tc>
        <w:tc>
          <w:tcPr>
            <w:tcW w:w="463" w:type="pct"/>
            <w:tcBorders>
              <w:top w:val="nil"/>
              <w:left w:val="nil"/>
              <w:bottom w:val="nil"/>
              <w:right w:val="nil"/>
            </w:tcBorders>
            <w:shd w:val="clear" w:color="auto" w:fill="auto"/>
            <w:noWrap/>
            <w:vAlign w:val="bottom"/>
          </w:tcPr>
          <w:p w14:paraId="032B4B0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-36.38%</w:t>
            </w:r>
          </w:p>
        </w:tc>
        <w:tc>
          <w:tcPr>
            <w:tcW w:w="463" w:type="pct"/>
            <w:tcBorders>
              <w:top w:val="nil"/>
              <w:left w:val="nil"/>
              <w:bottom w:val="nil"/>
              <w:right w:val="nil"/>
            </w:tcBorders>
            <w:shd w:val="clear" w:color="auto" w:fill="auto"/>
            <w:noWrap/>
            <w:vAlign w:val="bottom"/>
          </w:tcPr>
          <w:p w14:paraId="2EE9DEA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-8.22%</w:t>
            </w:r>
          </w:p>
        </w:tc>
        <w:tc>
          <w:tcPr>
            <w:tcW w:w="463" w:type="pct"/>
            <w:tcBorders>
              <w:top w:val="nil"/>
              <w:left w:val="nil"/>
              <w:bottom w:val="nil"/>
              <w:right w:val="nil"/>
            </w:tcBorders>
            <w:shd w:val="clear" w:color="auto" w:fill="auto"/>
            <w:noWrap/>
            <w:vAlign w:val="bottom"/>
          </w:tcPr>
          <w:p w14:paraId="5D0F6C5C"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-8.22%</w:t>
            </w:r>
          </w:p>
        </w:tc>
        <w:tc>
          <w:tcPr>
            <w:tcW w:w="464" w:type="pct"/>
            <w:tcBorders>
              <w:top w:val="nil"/>
              <w:left w:val="nil"/>
              <w:bottom w:val="nil"/>
              <w:right w:val="nil"/>
            </w:tcBorders>
            <w:shd w:val="clear" w:color="auto" w:fill="auto"/>
            <w:noWrap/>
            <w:vAlign w:val="bottom"/>
          </w:tcPr>
          <w:p w14:paraId="33BCDF0A"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-47.25%</w:t>
            </w:r>
          </w:p>
        </w:tc>
      </w:tr>
      <w:tr w:rsidR="0074478A" w14:paraId="1CC92BC5" w14:textId="77777777">
        <w:trPr>
          <w:trHeight w:val="278"/>
        </w:trPr>
        <w:tc>
          <w:tcPr>
            <w:tcW w:w="493" w:type="pct"/>
            <w:vMerge/>
            <w:tcBorders>
              <w:top w:val="nil"/>
              <w:left w:val="nil"/>
              <w:bottom w:val="nil"/>
              <w:right w:val="nil"/>
            </w:tcBorders>
            <w:shd w:val="clear" w:color="auto" w:fill="auto"/>
            <w:noWrap/>
            <w:vAlign w:val="center"/>
          </w:tcPr>
          <w:p w14:paraId="7D1E11CE" w14:textId="77777777" w:rsidR="0074478A" w:rsidRDefault="0074478A">
            <w:pPr>
              <w:spacing w:line="240" w:lineRule="atLeast"/>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059DFF74"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463" w:type="pct"/>
            <w:tcBorders>
              <w:top w:val="nil"/>
              <w:left w:val="nil"/>
              <w:bottom w:val="nil"/>
              <w:right w:val="nil"/>
            </w:tcBorders>
            <w:shd w:val="clear" w:color="auto" w:fill="auto"/>
            <w:vAlign w:val="center"/>
          </w:tcPr>
          <w:p w14:paraId="195DC31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3D12C4F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141B0FA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6D33231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6.53%</w:t>
            </w:r>
          </w:p>
        </w:tc>
        <w:tc>
          <w:tcPr>
            <w:tcW w:w="463" w:type="pct"/>
            <w:tcBorders>
              <w:top w:val="nil"/>
              <w:left w:val="nil"/>
              <w:bottom w:val="nil"/>
              <w:right w:val="nil"/>
            </w:tcBorders>
            <w:shd w:val="clear" w:color="auto" w:fill="auto"/>
            <w:noWrap/>
            <w:vAlign w:val="center"/>
          </w:tcPr>
          <w:p w14:paraId="5DD5615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6.53%</w:t>
            </w:r>
          </w:p>
        </w:tc>
        <w:tc>
          <w:tcPr>
            <w:tcW w:w="463" w:type="pct"/>
            <w:tcBorders>
              <w:top w:val="nil"/>
              <w:left w:val="nil"/>
              <w:bottom w:val="nil"/>
              <w:right w:val="nil"/>
            </w:tcBorders>
            <w:shd w:val="clear" w:color="auto" w:fill="auto"/>
            <w:noWrap/>
            <w:vAlign w:val="center"/>
          </w:tcPr>
          <w:p w14:paraId="5E047E4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24.26%</w:t>
            </w:r>
          </w:p>
        </w:tc>
        <w:tc>
          <w:tcPr>
            <w:tcW w:w="463" w:type="pct"/>
            <w:tcBorders>
              <w:top w:val="nil"/>
              <w:left w:val="nil"/>
              <w:bottom w:val="nil"/>
              <w:right w:val="nil"/>
            </w:tcBorders>
            <w:shd w:val="clear" w:color="auto" w:fill="auto"/>
            <w:noWrap/>
            <w:vAlign w:val="center"/>
          </w:tcPr>
          <w:p w14:paraId="6D6C652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24.26%</w:t>
            </w:r>
          </w:p>
        </w:tc>
        <w:tc>
          <w:tcPr>
            <w:tcW w:w="464" w:type="pct"/>
            <w:tcBorders>
              <w:top w:val="nil"/>
              <w:left w:val="nil"/>
              <w:bottom w:val="nil"/>
              <w:right w:val="nil"/>
            </w:tcBorders>
            <w:shd w:val="clear" w:color="auto" w:fill="auto"/>
            <w:noWrap/>
            <w:vAlign w:val="center"/>
          </w:tcPr>
          <w:p w14:paraId="72720F7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30.38%</w:t>
            </w:r>
          </w:p>
        </w:tc>
      </w:tr>
      <w:tr w:rsidR="0074478A" w14:paraId="6531755D" w14:textId="77777777">
        <w:trPr>
          <w:trHeight w:val="278"/>
        </w:trPr>
        <w:tc>
          <w:tcPr>
            <w:tcW w:w="1290" w:type="pct"/>
            <w:gridSpan w:val="2"/>
            <w:tcBorders>
              <w:top w:val="nil"/>
              <w:left w:val="nil"/>
              <w:bottom w:val="nil"/>
              <w:right w:val="nil"/>
            </w:tcBorders>
            <w:shd w:val="clear" w:color="auto" w:fill="auto"/>
            <w:noWrap/>
            <w:vAlign w:val="center"/>
          </w:tcPr>
          <w:p w14:paraId="6CA0D3B2"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463" w:type="pct"/>
            <w:tcBorders>
              <w:top w:val="nil"/>
              <w:left w:val="nil"/>
              <w:bottom w:val="nil"/>
              <w:right w:val="nil"/>
            </w:tcBorders>
            <w:shd w:val="clear" w:color="auto" w:fill="auto"/>
            <w:noWrap/>
            <w:vAlign w:val="center"/>
          </w:tcPr>
          <w:p w14:paraId="70E6372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463" w:type="pct"/>
            <w:tcBorders>
              <w:top w:val="nil"/>
              <w:left w:val="nil"/>
              <w:bottom w:val="nil"/>
              <w:right w:val="nil"/>
            </w:tcBorders>
            <w:shd w:val="clear" w:color="auto" w:fill="auto"/>
            <w:noWrap/>
            <w:vAlign w:val="center"/>
          </w:tcPr>
          <w:p w14:paraId="4ADF4ED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463" w:type="pct"/>
            <w:tcBorders>
              <w:top w:val="nil"/>
              <w:left w:val="nil"/>
              <w:bottom w:val="nil"/>
              <w:right w:val="nil"/>
            </w:tcBorders>
            <w:shd w:val="clear" w:color="auto" w:fill="auto"/>
            <w:noWrap/>
            <w:vAlign w:val="center"/>
          </w:tcPr>
          <w:p w14:paraId="73E0E02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463" w:type="pct"/>
            <w:tcBorders>
              <w:top w:val="nil"/>
              <w:left w:val="nil"/>
              <w:bottom w:val="nil"/>
              <w:right w:val="nil"/>
            </w:tcBorders>
            <w:shd w:val="clear" w:color="auto" w:fill="auto"/>
            <w:noWrap/>
            <w:vAlign w:val="center"/>
          </w:tcPr>
          <w:p w14:paraId="1503312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463" w:type="pct"/>
            <w:tcBorders>
              <w:top w:val="nil"/>
              <w:left w:val="nil"/>
              <w:bottom w:val="nil"/>
              <w:right w:val="nil"/>
            </w:tcBorders>
            <w:shd w:val="clear" w:color="auto" w:fill="auto"/>
            <w:noWrap/>
            <w:vAlign w:val="center"/>
          </w:tcPr>
          <w:p w14:paraId="36814CA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463" w:type="pct"/>
            <w:tcBorders>
              <w:top w:val="nil"/>
              <w:left w:val="nil"/>
              <w:bottom w:val="nil"/>
              <w:right w:val="nil"/>
            </w:tcBorders>
            <w:shd w:val="clear" w:color="auto" w:fill="auto"/>
            <w:noWrap/>
            <w:vAlign w:val="center"/>
          </w:tcPr>
          <w:p w14:paraId="1966984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bookmarkStart w:id="104" w:name="OLE_LINK41"/>
            <w:r>
              <w:rPr>
                <w:rFonts w:ascii="Times New Roman" w:eastAsia="SimSun" w:hAnsi="Times New Roman" w:cs="Times New Roman" w:hint="eastAsia"/>
                <w:color w:val="000000"/>
                <w:kern w:val="0"/>
                <w:szCs w:val="21"/>
                <w:lang w:bidi="ar"/>
              </w:rPr>
              <w:t>BBC</w:t>
            </w:r>
            <w:bookmarkEnd w:id="104"/>
          </w:p>
        </w:tc>
        <w:tc>
          <w:tcPr>
            <w:tcW w:w="463" w:type="pct"/>
            <w:tcBorders>
              <w:top w:val="nil"/>
              <w:left w:val="nil"/>
              <w:bottom w:val="nil"/>
              <w:right w:val="nil"/>
            </w:tcBorders>
            <w:shd w:val="clear" w:color="auto" w:fill="auto"/>
            <w:noWrap/>
            <w:vAlign w:val="center"/>
          </w:tcPr>
          <w:p w14:paraId="0FEDC8E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464" w:type="pct"/>
            <w:tcBorders>
              <w:top w:val="nil"/>
              <w:left w:val="nil"/>
              <w:bottom w:val="nil"/>
              <w:right w:val="nil"/>
            </w:tcBorders>
            <w:shd w:val="clear" w:color="auto" w:fill="auto"/>
            <w:noWrap/>
            <w:vAlign w:val="center"/>
          </w:tcPr>
          <w:p w14:paraId="3041BE62"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74478A" w14:paraId="116A650D" w14:textId="77777777">
        <w:trPr>
          <w:trHeight w:val="278"/>
        </w:trPr>
        <w:tc>
          <w:tcPr>
            <w:tcW w:w="1290" w:type="pct"/>
            <w:gridSpan w:val="2"/>
            <w:tcBorders>
              <w:top w:val="nil"/>
              <w:left w:val="nil"/>
              <w:bottom w:val="nil"/>
              <w:right w:val="nil"/>
            </w:tcBorders>
            <w:shd w:val="clear" w:color="auto" w:fill="auto"/>
            <w:noWrap/>
            <w:vAlign w:val="center"/>
          </w:tcPr>
          <w:p w14:paraId="357060B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bookmarkStart w:id="105" w:name="OLE_LINK42" w:colFirst="3" w:colLast="3"/>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33BA7A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±29.79%</w:t>
            </w:r>
          </w:p>
        </w:tc>
        <w:tc>
          <w:tcPr>
            <w:tcW w:w="463" w:type="pct"/>
            <w:tcBorders>
              <w:top w:val="nil"/>
              <w:left w:val="nil"/>
              <w:bottom w:val="nil"/>
              <w:right w:val="nil"/>
            </w:tcBorders>
            <w:shd w:val="clear" w:color="auto" w:fill="auto"/>
            <w:noWrap/>
            <w:vAlign w:val="center"/>
          </w:tcPr>
          <w:p w14:paraId="129B4A3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±27.50%</w:t>
            </w:r>
          </w:p>
        </w:tc>
        <w:tc>
          <w:tcPr>
            <w:tcW w:w="463" w:type="pct"/>
            <w:tcBorders>
              <w:top w:val="nil"/>
              <w:left w:val="nil"/>
              <w:bottom w:val="nil"/>
              <w:right w:val="nil"/>
            </w:tcBorders>
            <w:shd w:val="clear" w:color="auto" w:fill="auto"/>
            <w:noWrap/>
            <w:vAlign w:val="center"/>
          </w:tcPr>
          <w:p w14:paraId="6A7C1C8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65FC92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3B5A48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A75BF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±24.50%</w:t>
            </w:r>
          </w:p>
        </w:tc>
        <w:tc>
          <w:tcPr>
            <w:tcW w:w="463" w:type="pct"/>
            <w:tcBorders>
              <w:top w:val="nil"/>
              <w:left w:val="nil"/>
              <w:bottom w:val="nil"/>
              <w:right w:val="nil"/>
            </w:tcBorders>
            <w:shd w:val="clear" w:color="auto" w:fill="auto"/>
            <w:noWrap/>
            <w:vAlign w:val="center"/>
          </w:tcPr>
          <w:p w14:paraId="523DF0D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±29.04%</w:t>
            </w:r>
          </w:p>
        </w:tc>
        <w:tc>
          <w:tcPr>
            <w:tcW w:w="464" w:type="pct"/>
            <w:tcBorders>
              <w:top w:val="nil"/>
              <w:left w:val="nil"/>
              <w:bottom w:val="nil"/>
              <w:right w:val="nil"/>
            </w:tcBorders>
            <w:shd w:val="clear" w:color="auto" w:fill="auto"/>
            <w:noWrap/>
            <w:vAlign w:val="center"/>
          </w:tcPr>
          <w:p w14:paraId="2D4D816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1A54BAEE" w14:textId="77777777">
        <w:trPr>
          <w:trHeight w:val="278"/>
        </w:trPr>
        <w:tc>
          <w:tcPr>
            <w:tcW w:w="493" w:type="pct"/>
            <w:vMerge w:val="restart"/>
            <w:tcBorders>
              <w:top w:val="nil"/>
              <w:left w:val="nil"/>
              <w:bottom w:val="nil"/>
              <w:right w:val="nil"/>
            </w:tcBorders>
            <w:shd w:val="clear" w:color="auto" w:fill="auto"/>
            <w:noWrap/>
            <w:vAlign w:val="center"/>
          </w:tcPr>
          <w:p w14:paraId="39B3574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797" w:type="pct"/>
            <w:tcBorders>
              <w:top w:val="nil"/>
              <w:left w:val="nil"/>
              <w:bottom w:val="nil"/>
              <w:right w:val="nil"/>
            </w:tcBorders>
            <w:shd w:val="clear" w:color="auto" w:fill="auto"/>
            <w:noWrap/>
            <w:vAlign w:val="center"/>
          </w:tcPr>
          <w:p w14:paraId="3027F11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75814D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592317C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-0.001/1.004</w:t>
            </w:r>
          </w:p>
        </w:tc>
        <w:tc>
          <w:tcPr>
            <w:tcW w:w="463" w:type="pct"/>
            <w:tcBorders>
              <w:top w:val="nil"/>
              <w:left w:val="nil"/>
              <w:bottom w:val="nil"/>
              <w:right w:val="nil"/>
            </w:tcBorders>
            <w:shd w:val="clear" w:color="auto" w:fill="auto"/>
            <w:noWrap/>
            <w:vAlign w:val="center"/>
          </w:tcPr>
          <w:p w14:paraId="3254DBB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C7D661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1C3BC6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D1EBEA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/0.96</w:t>
            </w:r>
            <w:r>
              <w:rPr>
                <w:rFonts w:ascii="Times New Roman" w:eastAsia="SimSun" w:hAnsi="Times New Roman" w:cs="Times New Roman" w:hint="eastAsia"/>
                <w:color w:val="000000"/>
                <w:kern w:val="0"/>
                <w:szCs w:val="21"/>
                <w:lang w:bidi="ar"/>
              </w:rPr>
              <w:t>0</w:t>
            </w:r>
          </w:p>
        </w:tc>
        <w:tc>
          <w:tcPr>
            <w:tcW w:w="463" w:type="pct"/>
            <w:tcBorders>
              <w:top w:val="nil"/>
              <w:left w:val="nil"/>
              <w:bottom w:val="nil"/>
              <w:right w:val="nil"/>
            </w:tcBorders>
            <w:shd w:val="clear" w:color="auto" w:fill="auto"/>
            <w:noWrap/>
            <w:vAlign w:val="center"/>
          </w:tcPr>
          <w:p w14:paraId="1F85491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p>
        </w:tc>
        <w:tc>
          <w:tcPr>
            <w:tcW w:w="464" w:type="pct"/>
            <w:tcBorders>
              <w:top w:val="nil"/>
              <w:left w:val="nil"/>
              <w:bottom w:val="nil"/>
              <w:right w:val="nil"/>
            </w:tcBorders>
            <w:shd w:val="clear" w:color="auto" w:fill="auto"/>
            <w:noWrap/>
            <w:vAlign w:val="center"/>
          </w:tcPr>
          <w:p w14:paraId="5752B0C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7EE617A9" w14:textId="77777777">
        <w:trPr>
          <w:trHeight w:val="278"/>
        </w:trPr>
        <w:tc>
          <w:tcPr>
            <w:tcW w:w="493" w:type="pct"/>
            <w:vMerge/>
            <w:tcBorders>
              <w:top w:val="nil"/>
              <w:left w:val="nil"/>
              <w:bottom w:val="nil"/>
              <w:right w:val="nil"/>
            </w:tcBorders>
            <w:shd w:val="clear" w:color="auto" w:fill="auto"/>
            <w:noWrap/>
            <w:vAlign w:val="center"/>
          </w:tcPr>
          <w:p w14:paraId="3F9400DF" w14:textId="77777777" w:rsidR="0074478A" w:rsidRDefault="0074478A">
            <w:pPr>
              <w:spacing w:line="240" w:lineRule="atLeast"/>
              <w:jc w:val="center"/>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2BF23EA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7599B9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-0.001/0.996</w:t>
            </w:r>
          </w:p>
        </w:tc>
        <w:tc>
          <w:tcPr>
            <w:tcW w:w="463" w:type="pct"/>
            <w:tcBorders>
              <w:top w:val="nil"/>
              <w:left w:val="nil"/>
              <w:bottom w:val="nil"/>
              <w:right w:val="nil"/>
            </w:tcBorders>
            <w:shd w:val="clear" w:color="auto" w:fill="auto"/>
            <w:noWrap/>
            <w:vAlign w:val="center"/>
          </w:tcPr>
          <w:p w14:paraId="13B3391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/1.002</w:t>
            </w:r>
          </w:p>
        </w:tc>
        <w:tc>
          <w:tcPr>
            <w:tcW w:w="463" w:type="pct"/>
            <w:tcBorders>
              <w:top w:val="nil"/>
              <w:left w:val="nil"/>
              <w:bottom w:val="nil"/>
              <w:right w:val="nil"/>
            </w:tcBorders>
            <w:shd w:val="clear" w:color="auto" w:fill="auto"/>
            <w:noWrap/>
            <w:vAlign w:val="center"/>
          </w:tcPr>
          <w:p w14:paraId="5DA2E30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4CEC670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243A199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3F494B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0.001/0.997</w:t>
            </w:r>
          </w:p>
        </w:tc>
        <w:tc>
          <w:tcPr>
            <w:tcW w:w="463" w:type="pct"/>
            <w:tcBorders>
              <w:top w:val="nil"/>
              <w:left w:val="nil"/>
              <w:bottom w:val="nil"/>
              <w:right w:val="nil"/>
            </w:tcBorders>
            <w:shd w:val="clear" w:color="auto" w:fill="auto"/>
            <w:noWrap/>
            <w:vAlign w:val="center"/>
          </w:tcPr>
          <w:p w14:paraId="38FA08A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-0.002/0.987</w:t>
            </w:r>
          </w:p>
        </w:tc>
        <w:tc>
          <w:tcPr>
            <w:tcW w:w="464" w:type="pct"/>
            <w:tcBorders>
              <w:top w:val="nil"/>
              <w:left w:val="nil"/>
              <w:bottom w:val="nil"/>
              <w:right w:val="nil"/>
            </w:tcBorders>
            <w:shd w:val="clear" w:color="auto" w:fill="auto"/>
            <w:noWrap/>
            <w:vAlign w:val="center"/>
          </w:tcPr>
          <w:p w14:paraId="6B2B804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2794C5ED" w14:textId="77777777">
        <w:trPr>
          <w:trHeight w:val="278"/>
        </w:trPr>
        <w:tc>
          <w:tcPr>
            <w:tcW w:w="493" w:type="pct"/>
            <w:vMerge/>
            <w:tcBorders>
              <w:top w:val="nil"/>
              <w:left w:val="nil"/>
              <w:bottom w:val="nil"/>
              <w:right w:val="nil"/>
            </w:tcBorders>
            <w:shd w:val="clear" w:color="auto" w:fill="auto"/>
            <w:noWrap/>
            <w:vAlign w:val="center"/>
          </w:tcPr>
          <w:p w14:paraId="5C269AD0" w14:textId="77777777" w:rsidR="0074478A" w:rsidRDefault="0074478A">
            <w:pPr>
              <w:spacing w:line="240" w:lineRule="atLeast"/>
              <w:jc w:val="center"/>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500E177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47A744B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-0.002/0.991</w:t>
            </w:r>
          </w:p>
        </w:tc>
        <w:tc>
          <w:tcPr>
            <w:tcW w:w="463" w:type="pct"/>
            <w:tcBorders>
              <w:top w:val="nil"/>
              <w:left w:val="nil"/>
              <w:bottom w:val="nil"/>
              <w:right w:val="nil"/>
            </w:tcBorders>
            <w:shd w:val="clear" w:color="auto" w:fill="auto"/>
            <w:noWrap/>
            <w:vAlign w:val="center"/>
          </w:tcPr>
          <w:p w14:paraId="7704E0F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1369F6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78DCCB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5F37F5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968239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B291CA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-0.045/0.862</w:t>
            </w:r>
          </w:p>
        </w:tc>
        <w:tc>
          <w:tcPr>
            <w:tcW w:w="464" w:type="pct"/>
            <w:tcBorders>
              <w:top w:val="nil"/>
              <w:left w:val="nil"/>
              <w:bottom w:val="nil"/>
              <w:right w:val="nil"/>
            </w:tcBorders>
            <w:shd w:val="clear" w:color="auto" w:fill="auto"/>
            <w:noWrap/>
            <w:vAlign w:val="center"/>
          </w:tcPr>
          <w:p w14:paraId="233E497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3185A7D7" w14:textId="77777777">
        <w:trPr>
          <w:trHeight w:val="278"/>
        </w:trPr>
        <w:tc>
          <w:tcPr>
            <w:tcW w:w="1290" w:type="pct"/>
            <w:gridSpan w:val="2"/>
            <w:tcBorders>
              <w:top w:val="nil"/>
              <w:left w:val="nil"/>
              <w:bottom w:val="single" w:sz="12" w:space="0" w:color="auto"/>
              <w:right w:val="nil"/>
            </w:tcBorders>
            <w:shd w:val="clear" w:color="auto" w:fill="auto"/>
            <w:noWrap/>
            <w:vAlign w:val="center"/>
          </w:tcPr>
          <w:p w14:paraId="1179E653"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463" w:type="pct"/>
            <w:tcBorders>
              <w:top w:val="nil"/>
              <w:left w:val="nil"/>
              <w:bottom w:val="single" w:sz="12" w:space="0" w:color="auto"/>
              <w:right w:val="nil"/>
            </w:tcBorders>
            <w:shd w:val="clear" w:color="auto" w:fill="auto"/>
            <w:noWrap/>
            <w:vAlign w:val="center"/>
          </w:tcPr>
          <w:p w14:paraId="0C85ADB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56</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1%</w:t>
            </w:r>
          </w:p>
        </w:tc>
        <w:tc>
          <w:tcPr>
            <w:tcW w:w="463" w:type="pct"/>
            <w:tcBorders>
              <w:top w:val="nil"/>
              <w:left w:val="nil"/>
              <w:bottom w:val="single" w:sz="12" w:space="0" w:color="auto"/>
              <w:right w:val="nil"/>
            </w:tcBorders>
            <w:shd w:val="clear" w:color="auto" w:fill="auto"/>
            <w:noWrap/>
            <w:vAlign w:val="center"/>
          </w:tcPr>
          <w:p w14:paraId="7F66C5E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67</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9</w:t>
            </w:r>
            <w:r>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24C25EF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4FC2314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67E93AD2"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798275C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87</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6</w:t>
            </w:r>
            <w:r>
              <w:rPr>
                <w:rFonts w:ascii="Times New Roman" w:eastAsia="SimSun" w:hAnsi="Times New Roman" w:cs="Times New Roman" w:hint="eastAsia"/>
                <w:color w:val="000000"/>
                <w:kern w:val="0"/>
                <w:szCs w:val="21"/>
                <w:lang w:bidi="ar"/>
              </w:rPr>
              <w:t>1%</w:t>
            </w:r>
          </w:p>
        </w:tc>
        <w:tc>
          <w:tcPr>
            <w:tcW w:w="463" w:type="pct"/>
            <w:tcBorders>
              <w:top w:val="nil"/>
              <w:left w:val="nil"/>
              <w:bottom w:val="single" w:sz="12" w:space="0" w:color="auto"/>
              <w:right w:val="nil"/>
            </w:tcBorders>
            <w:shd w:val="clear" w:color="auto" w:fill="auto"/>
            <w:noWrap/>
            <w:vAlign w:val="center"/>
          </w:tcPr>
          <w:p w14:paraId="1CEE792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65</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9</w:t>
            </w:r>
            <w:r>
              <w:rPr>
                <w:rFonts w:ascii="Times New Roman" w:eastAsia="SimSun" w:hAnsi="Times New Roman" w:cs="Times New Roman" w:hint="eastAsia"/>
                <w:color w:val="000000"/>
                <w:kern w:val="0"/>
                <w:szCs w:val="21"/>
                <w:lang w:bidi="ar"/>
              </w:rPr>
              <w:t>%</w:t>
            </w:r>
          </w:p>
        </w:tc>
        <w:tc>
          <w:tcPr>
            <w:tcW w:w="464" w:type="pct"/>
            <w:tcBorders>
              <w:top w:val="nil"/>
              <w:left w:val="nil"/>
              <w:bottom w:val="single" w:sz="12" w:space="0" w:color="auto"/>
              <w:right w:val="nil"/>
            </w:tcBorders>
            <w:shd w:val="clear" w:color="auto" w:fill="auto"/>
            <w:noWrap/>
            <w:vAlign w:val="center"/>
          </w:tcPr>
          <w:p w14:paraId="03AA2622"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bookmarkEnd w:id="105"/>
    </w:tbl>
    <w:p w14:paraId="6F84B380" w14:textId="77777777" w:rsidR="0074478A" w:rsidRDefault="0074478A">
      <w:pPr>
        <w:rPr>
          <w:rFonts w:ascii="Times New Roman" w:hAnsi="Times New Roman" w:cs="Times New Roman"/>
        </w:rPr>
      </w:pPr>
    </w:p>
    <w:p w14:paraId="50E731E1" w14:textId="77777777" w:rsidR="0074478A" w:rsidRDefault="0074478A">
      <w:pPr>
        <w:rPr>
          <w:rFonts w:ascii="Times New Roman" w:hAnsi="Times New Roman" w:cs="Times New Roman"/>
        </w:rPr>
      </w:pPr>
    </w:p>
    <w:p w14:paraId="507172A8" w14:textId="77777777" w:rsidR="0074478A" w:rsidRDefault="0074478A">
      <w:pPr>
        <w:rPr>
          <w:rFonts w:ascii="Times New Roman" w:hAnsi="Times New Roman" w:cs="Times New Roman"/>
        </w:rPr>
      </w:pPr>
    </w:p>
    <w:p w14:paraId="2B4882C8" w14:textId="77777777" w:rsidR="0074478A" w:rsidRDefault="0074478A">
      <w:pPr>
        <w:rPr>
          <w:rFonts w:ascii="Times New Roman" w:hAnsi="Times New Roman" w:cs="Times New Roman"/>
        </w:rPr>
      </w:pPr>
    </w:p>
    <w:p w14:paraId="17CDEDC7" w14:textId="77777777" w:rsidR="0074478A" w:rsidRDefault="0074478A">
      <w:pPr>
        <w:rPr>
          <w:rFonts w:ascii="Times New Roman" w:hAnsi="Times New Roman" w:cs="Times New Roman"/>
        </w:rPr>
      </w:pPr>
    </w:p>
    <w:p w14:paraId="5227AAD5" w14:textId="77777777" w:rsidR="0074478A" w:rsidRDefault="0074478A">
      <w:pPr>
        <w:rPr>
          <w:rFonts w:ascii="Times New Roman" w:hAnsi="Times New Roman" w:cs="Times New Roman"/>
        </w:rPr>
      </w:pPr>
    </w:p>
    <w:p w14:paraId="56D1886A" w14:textId="77777777" w:rsidR="0074478A" w:rsidRDefault="0074478A">
      <w:pPr>
        <w:rPr>
          <w:rFonts w:ascii="Times New Roman" w:hAnsi="Times New Roman" w:cs="Times New Roman"/>
        </w:rPr>
      </w:pPr>
    </w:p>
    <w:p w14:paraId="3F6B3EF2" w14:textId="77777777" w:rsidR="0074478A" w:rsidRDefault="0074478A">
      <w:pPr>
        <w:rPr>
          <w:rFonts w:ascii="Times New Roman" w:hAnsi="Times New Roman" w:cs="Times New Roman"/>
        </w:rPr>
      </w:pPr>
    </w:p>
    <w:p w14:paraId="105AAE19" w14:textId="77777777" w:rsidR="0074478A" w:rsidRDefault="0074478A">
      <w:pPr>
        <w:rPr>
          <w:rFonts w:ascii="Times New Roman" w:hAnsi="Times New Roman" w:cs="Times New Roman"/>
        </w:rPr>
      </w:pPr>
    </w:p>
    <w:p w14:paraId="01D5A2F1" w14:textId="77777777" w:rsidR="0074478A" w:rsidRDefault="00690393">
      <w:pPr>
        <w:rPr>
          <w:rFonts w:ascii="Times New Roman" w:hAnsi="Times New Roman" w:cs="Times New Roman"/>
        </w:rPr>
      </w:pPr>
      <w:r>
        <w:rPr>
          <w:rFonts w:ascii="Times New Roman" w:hAnsi="Times New Roman" w:cs="Times New Roman" w:hint="eastAsia"/>
        </w:rPr>
        <w:lastRenderedPageBreak/>
        <w:t>Panel G: Czech</w:t>
      </w:r>
      <w:r>
        <w:rPr>
          <w:rFonts w:ascii="Times New Roman" w:hAnsi="Times New Roman" w:cs="Times New Roman"/>
        </w:rPr>
        <w:t xml:space="preserve"> Republic</w:t>
      </w:r>
    </w:p>
    <w:tbl>
      <w:tblPr>
        <w:tblW w:w="5000" w:type="pct"/>
        <w:tblLayout w:type="fixed"/>
        <w:tblLook w:val="04A0" w:firstRow="1" w:lastRow="0" w:firstColumn="1" w:lastColumn="0" w:noHBand="0" w:noVBand="1"/>
      </w:tblPr>
      <w:tblGrid>
        <w:gridCol w:w="1565"/>
        <w:gridCol w:w="2739"/>
        <w:gridCol w:w="1608"/>
        <w:gridCol w:w="1608"/>
        <w:gridCol w:w="1608"/>
        <w:gridCol w:w="1608"/>
        <w:gridCol w:w="1608"/>
        <w:gridCol w:w="1614"/>
      </w:tblGrid>
      <w:tr w:rsidR="0074478A" w14:paraId="450AE029" w14:textId="77777777">
        <w:trPr>
          <w:trHeight w:val="278"/>
        </w:trPr>
        <w:tc>
          <w:tcPr>
            <w:tcW w:w="1542" w:type="pct"/>
            <w:gridSpan w:val="2"/>
            <w:tcBorders>
              <w:top w:val="single" w:sz="12" w:space="0" w:color="auto"/>
              <w:left w:val="nil"/>
              <w:bottom w:val="single" w:sz="8" w:space="0" w:color="auto"/>
              <w:right w:val="nil"/>
            </w:tcBorders>
            <w:shd w:val="clear" w:color="auto" w:fill="auto"/>
            <w:noWrap/>
            <w:vAlign w:val="center"/>
          </w:tcPr>
          <w:p w14:paraId="7BD8B15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6" w:type="pct"/>
            <w:tcBorders>
              <w:top w:val="single" w:sz="12" w:space="0" w:color="auto"/>
              <w:left w:val="nil"/>
              <w:bottom w:val="single" w:sz="8" w:space="0" w:color="auto"/>
              <w:right w:val="nil"/>
            </w:tcBorders>
            <w:shd w:val="clear" w:color="auto" w:fill="auto"/>
            <w:noWrap/>
            <w:vAlign w:val="center"/>
          </w:tcPr>
          <w:p w14:paraId="4317725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1999/01/01-</w:t>
            </w:r>
          </w:p>
          <w:p w14:paraId="758AD64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2000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19</w:t>
            </w:r>
          </w:p>
        </w:tc>
        <w:tc>
          <w:tcPr>
            <w:tcW w:w="576" w:type="pct"/>
            <w:tcBorders>
              <w:top w:val="single" w:sz="12" w:space="0" w:color="auto"/>
              <w:left w:val="nil"/>
              <w:bottom w:val="single" w:sz="8" w:space="0" w:color="auto"/>
              <w:right w:val="nil"/>
            </w:tcBorders>
            <w:shd w:val="clear" w:color="auto" w:fill="auto"/>
            <w:noWrap/>
            <w:vAlign w:val="center"/>
          </w:tcPr>
          <w:p w14:paraId="6A4AB3E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2000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p>
          <w:p w14:paraId="4EE5D1B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1</w:t>
            </w:r>
          </w:p>
        </w:tc>
        <w:tc>
          <w:tcPr>
            <w:tcW w:w="576" w:type="pct"/>
            <w:tcBorders>
              <w:top w:val="single" w:sz="12" w:space="0" w:color="auto"/>
              <w:left w:val="nil"/>
              <w:bottom w:val="single" w:sz="8" w:space="0" w:color="auto"/>
              <w:right w:val="nil"/>
            </w:tcBorders>
            <w:shd w:val="clear" w:color="auto" w:fill="auto"/>
            <w:noWrap/>
            <w:vAlign w:val="center"/>
          </w:tcPr>
          <w:p w14:paraId="61ABE11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p>
          <w:p w14:paraId="19E6968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p>
        </w:tc>
        <w:tc>
          <w:tcPr>
            <w:tcW w:w="576" w:type="pct"/>
            <w:tcBorders>
              <w:top w:val="single" w:sz="12" w:space="0" w:color="auto"/>
              <w:left w:val="nil"/>
              <w:bottom w:val="single" w:sz="8" w:space="0" w:color="auto"/>
              <w:right w:val="nil"/>
            </w:tcBorders>
            <w:shd w:val="clear" w:color="auto" w:fill="auto"/>
            <w:noWrap/>
            <w:vAlign w:val="center"/>
          </w:tcPr>
          <w:p w14:paraId="3E2A9AB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23</w:t>
            </w:r>
            <w:r>
              <w:rPr>
                <w:rFonts w:ascii="Times New Roman" w:eastAsia="SimSun" w:hAnsi="Times New Roman" w:cs="Times New Roman"/>
                <w:color w:val="000000"/>
                <w:kern w:val="0"/>
                <w:szCs w:val="21"/>
                <w:lang w:bidi="ar"/>
              </w:rPr>
              <w:t>-</w:t>
            </w:r>
          </w:p>
          <w:p w14:paraId="037DD26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p>
        </w:tc>
        <w:tc>
          <w:tcPr>
            <w:tcW w:w="576" w:type="pct"/>
            <w:tcBorders>
              <w:top w:val="single" w:sz="12" w:space="0" w:color="auto"/>
              <w:left w:val="nil"/>
              <w:bottom w:val="single" w:sz="8" w:space="0" w:color="auto"/>
              <w:right w:val="nil"/>
            </w:tcBorders>
            <w:shd w:val="clear" w:color="auto" w:fill="auto"/>
            <w:noWrap/>
            <w:vAlign w:val="center"/>
          </w:tcPr>
          <w:p w14:paraId="0CFE235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p>
          <w:p w14:paraId="0C9EC3F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02</w:t>
            </w:r>
          </w:p>
        </w:tc>
        <w:tc>
          <w:tcPr>
            <w:tcW w:w="577" w:type="pct"/>
            <w:tcBorders>
              <w:top w:val="single" w:sz="12" w:space="0" w:color="auto"/>
              <w:left w:val="nil"/>
              <w:bottom w:val="single" w:sz="8" w:space="0" w:color="auto"/>
              <w:right w:val="nil"/>
            </w:tcBorders>
            <w:shd w:val="clear" w:color="auto" w:fill="auto"/>
            <w:noWrap/>
            <w:vAlign w:val="center"/>
          </w:tcPr>
          <w:p w14:paraId="41D0517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03</w:t>
            </w:r>
            <w:r>
              <w:rPr>
                <w:rFonts w:ascii="Times New Roman" w:eastAsia="SimSun" w:hAnsi="Times New Roman" w:cs="Times New Roman"/>
                <w:color w:val="000000"/>
                <w:kern w:val="0"/>
                <w:szCs w:val="21"/>
                <w:lang w:bidi="ar"/>
              </w:rPr>
              <w:t>-</w:t>
            </w:r>
          </w:p>
          <w:p w14:paraId="6FD121C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19</w:t>
            </w:r>
          </w:p>
        </w:tc>
      </w:tr>
      <w:tr w:rsidR="0074478A" w14:paraId="4E7F4315" w14:textId="77777777">
        <w:trPr>
          <w:trHeight w:val="278"/>
        </w:trPr>
        <w:tc>
          <w:tcPr>
            <w:tcW w:w="561" w:type="pct"/>
            <w:vMerge w:val="restart"/>
            <w:tcBorders>
              <w:top w:val="single" w:sz="8" w:space="0" w:color="auto"/>
              <w:left w:val="nil"/>
              <w:bottom w:val="nil"/>
              <w:right w:val="nil"/>
            </w:tcBorders>
            <w:shd w:val="clear" w:color="auto" w:fill="auto"/>
            <w:noWrap/>
            <w:vAlign w:val="center"/>
          </w:tcPr>
          <w:p w14:paraId="4D465657"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2782" w:type="dxa"/>
            <w:tcBorders>
              <w:top w:val="single" w:sz="8" w:space="0" w:color="auto"/>
              <w:left w:val="nil"/>
              <w:bottom w:val="nil"/>
              <w:right w:val="nil"/>
            </w:tcBorders>
            <w:shd w:val="clear" w:color="auto" w:fill="auto"/>
            <w:noWrap/>
            <w:vAlign w:val="center"/>
          </w:tcPr>
          <w:p w14:paraId="1E6B327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6" w:type="pct"/>
            <w:tcBorders>
              <w:top w:val="single" w:sz="8" w:space="0" w:color="auto"/>
              <w:left w:val="nil"/>
              <w:bottom w:val="nil"/>
              <w:right w:val="nil"/>
            </w:tcBorders>
            <w:shd w:val="clear" w:color="auto" w:fill="auto"/>
            <w:vAlign w:val="bottom"/>
          </w:tcPr>
          <w:p w14:paraId="117B66B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4620DE9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760710D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081E738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-6.09%</w:t>
            </w:r>
          </w:p>
        </w:tc>
        <w:tc>
          <w:tcPr>
            <w:tcW w:w="576" w:type="pct"/>
            <w:tcBorders>
              <w:top w:val="single" w:sz="8" w:space="0" w:color="auto"/>
              <w:left w:val="nil"/>
              <w:bottom w:val="nil"/>
              <w:right w:val="nil"/>
            </w:tcBorders>
            <w:shd w:val="clear" w:color="auto" w:fill="auto"/>
            <w:noWrap/>
            <w:vAlign w:val="bottom"/>
          </w:tcPr>
          <w:p w14:paraId="1342F77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-11.13%</w:t>
            </w:r>
          </w:p>
        </w:tc>
        <w:tc>
          <w:tcPr>
            <w:tcW w:w="577" w:type="pct"/>
            <w:tcBorders>
              <w:top w:val="single" w:sz="8" w:space="0" w:color="auto"/>
              <w:left w:val="nil"/>
              <w:bottom w:val="nil"/>
              <w:right w:val="nil"/>
            </w:tcBorders>
            <w:shd w:val="clear" w:color="auto" w:fill="auto"/>
            <w:noWrap/>
            <w:vAlign w:val="bottom"/>
          </w:tcPr>
          <w:p w14:paraId="0B1C0F2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-11.13%</w:t>
            </w:r>
          </w:p>
        </w:tc>
      </w:tr>
      <w:tr w:rsidR="0074478A" w14:paraId="50FF620C" w14:textId="77777777">
        <w:trPr>
          <w:trHeight w:val="278"/>
        </w:trPr>
        <w:tc>
          <w:tcPr>
            <w:tcW w:w="561" w:type="pct"/>
            <w:vMerge/>
            <w:tcBorders>
              <w:top w:val="nil"/>
              <w:left w:val="nil"/>
              <w:bottom w:val="nil"/>
              <w:right w:val="nil"/>
            </w:tcBorders>
            <w:shd w:val="clear" w:color="auto" w:fill="auto"/>
            <w:noWrap/>
            <w:vAlign w:val="center"/>
          </w:tcPr>
          <w:p w14:paraId="033D61A3" w14:textId="77777777" w:rsidR="0074478A" w:rsidRDefault="0074478A">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64D757FE"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6" w:type="pct"/>
            <w:tcBorders>
              <w:top w:val="nil"/>
              <w:left w:val="nil"/>
              <w:bottom w:val="nil"/>
              <w:right w:val="nil"/>
            </w:tcBorders>
            <w:shd w:val="clear" w:color="auto" w:fill="auto"/>
            <w:noWrap/>
            <w:vAlign w:val="bottom"/>
          </w:tcPr>
          <w:p w14:paraId="3457AAC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2240712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1D4200F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082B0F9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97.23%</w:t>
            </w:r>
          </w:p>
        </w:tc>
        <w:tc>
          <w:tcPr>
            <w:tcW w:w="576" w:type="pct"/>
            <w:tcBorders>
              <w:top w:val="nil"/>
              <w:left w:val="nil"/>
              <w:bottom w:val="nil"/>
              <w:right w:val="nil"/>
            </w:tcBorders>
            <w:shd w:val="clear" w:color="auto" w:fill="auto"/>
            <w:noWrap/>
            <w:vAlign w:val="bottom"/>
          </w:tcPr>
          <w:p w14:paraId="7701FF3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112.73%</w:t>
            </w:r>
          </w:p>
        </w:tc>
        <w:tc>
          <w:tcPr>
            <w:tcW w:w="577" w:type="pct"/>
            <w:tcBorders>
              <w:top w:val="nil"/>
              <w:left w:val="nil"/>
              <w:bottom w:val="nil"/>
              <w:right w:val="nil"/>
            </w:tcBorders>
            <w:shd w:val="clear" w:color="auto" w:fill="auto"/>
            <w:noWrap/>
            <w:vAlign w:val="bottom"/>
          </w:tcPr>
          <w:p w14:paraId="22A9391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112.73%</w:t>
            </w:r>
          </w:p>
        </w:tc>
      </w:tr>
      <w:tr w:rsidR="0074478A" w14:paraId="47EAD879" w14:textId="77777777">
        <w:trPr>
          <w:trHeight w:val="278"/>
        </w:trPr>
        <w:tc>
          <w:tcPr>
            <w:tcW w:w="561" w:type="pct"/>
            <w:vMerge/>
            <w:tcBorders>
              <w:top w:val="nil"/>
              <w:left w:val="nil"/>
              <w:bottom w:val="nil"/>
              <w:right w:val="nil"/>
            </w:tcBorders>
            <w:shd w:val="clear" w:color="auto" w:fill="auto"/>
            <w:noWrap/>
            <w:vAlign w:val="center"/>
          </w:tcPr>
          <w:p w14:paraId="70613F85" w14:textId="77777777" w:rsidR="0074478A" w:rsidRDefault="0074478A">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5DCED75D"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6" w:type="pct"/>
            <w:tcBorders>
              <w:top w:val="nil"/>
              <w:left w:val="nil"/>
              <w:bottom w:val="nil"/>
              <w:right w:val="nil"/>
            </w:tcBorders>
            <w:shd w:val="clear" w:color="auto" w:fill="auto"/>
            <w:noWrap/>
            <w:vAlign w:val="bottom"/>
          </w:tcPr>
          <w:p w14:paraId="6328E2F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329862A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1B0D14E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5FE7CE4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5.28%</w:t>
            </w:r>
          </w:p>
        </w:tc>
        <w:tc>
          <w:tcPr>
            <w:tcW w:w="576" w:type="pct"/>
            <w:tcBorders>
              <w:top w:val="nil"/>
              <w:left w:val="nil"/>
              <w:bottom w:val="nil"/>
              <w:right w:val="nil"/>
            </w:tcBorders>
            <w:shd w:val="clear" w:color="auto" w:fill="auto"/>
            <w:noWrap/>
            <w:vAlign w:val="bottom"/>
          </w:tcPr>
          <w:p w14:paraId="5AE0D33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-14.49%</w:t>
            </w:r>
          </w:p>
        </w:tc>
        <w:tc>
          <w:tcPr>
            <w:tcW w:w="577" w:type="pct"/>
            <w:tcBorders>
              <w:top w:val="nil"/>
              <w:left w:val="nil"/>
              <w:bottom w:val="nil"/>
              <w:right w:val="nil"/>
            </w:tcBorders>
            <w:shd w:val="clear" w:color="auto" w:fill="auto"/>
            <w:noWrap/>
            <w:vAlign w:val="bottom"/>
          </w:tcPr>
          <w:p w14:paraId="7E135D2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-14.49%</w:t>
            </w:r>
          </w:p>
        </w:tc>
      </w:tr>
      <w:tr w:rsidR="0074478A" w14:paraId="4D90C3C4" w14:textId="77777777">
        <w:trPr>
          <w:trHeight w:val="278"/>
        </w:trPr>
        <w:tc>
          <w:tcPr>
            <w:tcW w:w="561" w:type="pct"/>
            <w:vMerge/>
            <w:tcBorders>
              <w:top w:val="nil"/>
              <w:left w:val="nil"/>
              <w:bottom w:val="nil"/>
              <w:right w:val="nil"/>
            </w:tcBorders>
            <w:shd w:val="clear" w:color="auto" w:fill="auto"/>
            <w:noWrap/>
            <w:vAlign w:val="center"/>
          </w:tcPr>
          <w:p w14:paraId="177F724D" w14:textId="77777777" w:rsidR="0074478A" w:rsidRDefault="0074478A">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0F50AD5F"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6" w:type="pct"/>
            <w:tcBorders>
              <w:top w:val="nil"/>
              <w:left w:val="nil"/>
              <w:bottom w:val="nil"/>
              <w:right w:val="nil"/>
            </w:tcBorders>
            <w:shd w:val="clear" w:color="auto" w:fill="auto"/>
            <w:vAlign w:val="center"/>
          </w:tcPr>
          <w:p w14:paraId="2517CE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D4F9A8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1E818D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00EBEB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3.58%</w:t>
            </w:r>
          </w:p>
        </w:tc>
        <w:tc>
          <w:tcPr>
            <w:tcW w:w="576" w:type="pct"/>
            <w:tcBorders>
              <w:top w:val="nil"/>
              <w:left w:val="nil"/>
              <w:bottom w:val="nil"/>
              <w:right w:val="nil"/>
            </w:tcBorders>
            <w:shd w:val="clear" w:color="auto" w:fill="auto"/>
            <w:noWrap/>
            <w:vAlign w:val="center"/>
          </w:tcPr>
          <w:p w14:paraId="20B8141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12.88%</w:t>
            </w:r>
          </w:p>
        </w:tc>
        <w:tc>
          <w:tcPr>
            <w:tcW w:w="577" w:type="pct"/>
            <w:tcBorders>
              <w:top w:val="nil"/>
              <w:left w:val="nil"/>
              <w:bottom w:val="nil"/>
              <w:right w:val="nil"/>
            </w:tcBorders>
            <w:shd w:val="clear" w:color="auto" w:fill="auto"/>
            <w:noWrap/>
            <w:vAlign w:val="center"/>
          </w:tcPr>
          <w:p w14:paraId="50E71EA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12.88%</w:t>
            </w:r>
          </w:p>
        </w:tc>
      </w:tr>
      <w:tr w:rsidR="0074478A" w14:paraId="73FCA90B" w14:textId="77777777">
        <w:trPr>
          <w:trHeight w:val="278"/>
        </w:trPr>
        <w:tc>
          <w:tcPr>
            <w:tcW w:w="1542" w:type="pct"/>
            <w:gridSpan w:val="2"/>
            <w:tcBorders>
              <w:top w:val="nil"/>
              <w:left w:val="nil"/>
              <w:bottom w:val="nil"/>
              <w:right w:val="nil"/>
            </w:tcBorders>
            <w:shd w:val="clear" w:color="auto" w:fill="auto"/>
            <w:noWrap/>
            <w:vAlign w:val="center"/>
          </w:tcPr>
          <w:p w14:paraId="45B305C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bookmarkStart w:id="106" w:name="OLE_LINK43" w:colFirst="3" w:colLast="3"/>
            <w:r>
              <w:rPr>
                <w:rFonts w:ascii="Times New Roman" w:eastAsia="SimSun" w:hAnsi="Times New Roman" w:cs="Times New Roman" w:hint="eastAsia"/>
                <w:color w:val="000000"/>
                <w:kern w:val="0"/>
                <w:szCs w:val="21"/>
                <w:lang w:bidi="ar"/>
              </w:rPr>
              <w:t>Exchange rate regime</w:t>
            </w:r>
          </w:p>
        </w:tc>
        <w:tc>
          <w:tcPr>
            <w:tcW w:w="576" w:type="pct"/>
            <w:tcBorders>
              <w:top w:val="nil"/>
              <w:left w:val="nil"/>
              <w:bottom w:val="nil"/>
              <w:right w:val="nil"/>
            </w:tcBorders>
            <w:shd w:val="clear" w:color="auto" w:fill="auto"/>
            <w:noWrap/>
            <w:vAlign w:val="center"/>
          </w:tcPr>
          <w:p w14:paraId="7FF17962"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6" w:type="pct"/>
            <w:tcBorders>
              <w:top w:val="nil"/>
              <w:left w:val="nil"/>
              <w:bottom w:val="nil"/>
              <w:right w:val="nil"/>
            </w:tcBorders>
            <w:shd w:val="clear" w:color="auto" w:fill="auto"/>
            <w:noWrap/>
            <w:vAlign w:val="center"/>
          </w:tcPr>
          <w:p w14:paraId="6DCA997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6" w:type="pct"/>
            <w:tcBorders>
              <w:top w:val="nil"/>
              <w:left w:val="nil"/>
              <w:bottom w:val="nil"/>
              <w:right w:val="nil"/>
            </w:tcBorders>
            <w:shd w:val="clear" w:color="auto" w:fill="auto"/>
            <w:noWrap/>
            <w:vAlign w:val="center"/>
          </w:tcPr>
          <w:p w14:paraId="106F380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15C5933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57ACF4E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7" w:type="pct"/>
            <w:tcBorders>
              <w:top w:val="nil"/>
              <w:left w:val="nil"/>
              <w:bottom w:val="nil"/>
              <w:right w:val="nil"/>
            </w:tcBorders>
            <w:shd w:val="clear" w:color="auto" w:fill="auto"/>
            <w:noWrap/>
            <w:vAlign w:val="center"/>
          </w:tcPr>
          <w:p w14:paraId="213B1E0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7FAF50D0" w14:textId="77777777">
        <w:trPr>
          <w:trHeight w:val="278"/>
        </w:trPr>
        <w:tc>
          <w:tcPr>
            <w:tcW w:w="1542" w:type="pct"/>
            <w:gridSpan w:val="2"/>
            <w:tcBorders>
              <w:top w:val="nil"/>
              <w:left w:val="nil"/>
              <w:bottom w:val="nil"/>
              <w:right w:val="nil"/>
            </w:tcBorders>
            <w:shd w:val="clear" w:color="auto" w:fill="auto"/>
            <w:noWrap/>
            <w:vAlign w:val="center"/>
          </w:tcPr>
          <w:p w14:paraId="3EEE0069"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B9287E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±10.56%</w:t>
            </w:r>
          </w:p>
        </w:tc>
        <w:tc>
          <w:tcPr>
            <w:tcW w:w="576" w:type="pct"/>
            <w:tcBorders>
              <w:top w:val="nil"/>
              <w:left w:val="nil"/>
              <w:bottom w:val="nil"/>
              <w:right w:val="nil"/>
            </w:tcBorders>
            <w:shd w:val="clear" w:color="auto" w:fill="auto"/>
            <w:noWrap/>
            <w:vAlign w:val="center"/>
          </w:tcPr>
          <w:p w14:paraId="4F744E8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BF5984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7E0236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CBAFC1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3C64BCE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±5.94%</w:t>
            </w:r>
          </w:p>
        </w:tc>
      </w:tr>
      <w:tr w:rsidR="0074478A" w14:paraId="70EED91F" w14:textId="77777777">
        <w:trPr>
          <w:trHeight w:val="278"/>
        </w:trPr>
        <w:tc>
          <w:tcPr>
            <w:tcW w:w="561" w:type="pct"/>
            <w:vMerge w:val="restart"/>
            <w:tcBorders>
              <w:top w:val="nil"/>
              <w:left w:val="nil"/>
              <w:bottom w:val="nil"/>
              <w:right w:val="nil"/>
            </w:tcBorders>
            <w:shd w:val="clear" w:color="auto" w:fill="auto"/>
            <w:noWrap/>
            <w:vAlign w:val="center"/>
          </w:tcPr>
          <w:p w14:paraId="03BC418A"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81" w:type="pct"/>
            <w:tcBorders>
              <w:top w:val="nil"/>
              <w:left w:val="nil"/>
              <w:bottom w:val="nil"/>
              <w:right w:val="nil"/>
            </w:tcBorders>
            <w:shd w:val="clear" w:color="auto" w:fill="auto"/>
            <w:noWrap/>
            <w:vAlign w:val="center"/>
          </w:tcPr>
          <w:p w14:paraId="682AF5E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32907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80BA60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21EDBD2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87D594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BD5EA4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1889939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0.005/0.927</w:t>
            </w:r>
          </w:p>
        </w:tc>
      </w:tr>
      <w:tr w:rsidR="0074478A" w14:paraId="1E9618BB" w14:textId="77777777">
        <w:trPr>
          <w:trHeight w:val="278"/>
        </w:trPr>
        <w:tc>
          <w:tcPr>
            <w:tcW w:w="561" w:type="pct"/>
            <w:vMerge/>
            <w:tcBorders>
              <w:top w:val="nil"/>
              <w:left w:val="nil"/>
              <w:bottom w:val="nil"/>
              <w:right w:val="nil"/>
            </w:tcBorders>
            <w:shd w:val="clear" w:color="auto" w:fill="auto"/>
            <w:noWrap/>
            <w:vAlign w:val="center"/>
          </w:tcPr>
          <w:p w14:paraId="160C63FD" w14:textId="77777777" w:rsidR="0074478A" w:rsidRDefault="0074478A">
            <w:pPr>
              <w:spacing w:line="240" w:lineRule="atLeast"/>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74649FC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35257F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-0.007/0.911</w:t>
            </w:r>
          </w:p>
        </w:tc>
        <w:tc>
          <w:tcPr>
            <w:tcW w:w="576" w:type="pct"/>
            <w:tcBorders>
              <w:top w:val="nil"/>
              <w:left w:val="nil"/>
              <w:bottom w:val="nil"/>
              <w:right w:val="nil"/>
            </w:tcBorders>
            <w:shd w:val="clear" w:color="auto" w:fill="auto"/>
            <w:noWrap/>
            <w:vAlign w:val="center"/>
          </w:tcPr>
          <w:p w14:paraId="1906052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6FFD81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011FC6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D0C62D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5F38BC2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0.001/0.985</w:t>
            </w:r>
          </w:p>
        </w:tc>
      </w:tr>
      <w:tr w:rsidR="0074478A" w14:paraId="7E0C2D0C" w14:textId="77777777">
        <w:trPr>
          <w:trHeight w:val="278"/>
        </w:trPr>
        <w:tc>
          <w:tcPr>
            <w:tcW w:w="561" w:type="pct"/>
            <w:vMerge/>
            <w:tcBorders>
              <w:top w:val="nil"/>
              <w:left w:val="nil"/>
              <w:bottom w:val="nil"/>
              <w:right w:val="nil"/>
            </w:tcBorders>
            <w:shd w:val="clear" w:color="auto" w:fill="auto"/>
            <w:noWrap/>
            <w:vAlign w:val="center"/>
          </w:tcPr>
          <w:p w14:paraId="7F3F7022" w14:textId="77777777" w:rsidR="0074478A" w:rsidRDefault="0074478A">
            <w:pPr>
              <w:spacing w:line="240" w:lineRule="atLeast"/>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3FBDBD0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D09153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-0.004/0.967</w:t>
            </w:r>
          </w:p>
        </w:tc>
        <w:tc>
          <w:tcPr>
            <w:tcW w:w="576" w:type="pct"/>
            <w:tcBorders>
              <w:top w:val="nil"/>
              <w:left w:val="nil"/>
              <w:bottom w:val="nil"/>
              <w:right w:val="nil"/>
            </w:tcBorders>
            <w:shd w:val="clear" w:color="auto" w:fill="auto"/>
            <w:noWrap/>
            <w:vAlign w:val="center"/>
          </w:tcPr>
          <w:p w14:paraId="1081071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0F9410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540EE0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6F7803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2FFFA9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0340394D" w14:textId="77777777">
        <w:trPr>
          <w:trHeight w:val="278"/>
        </w:trPr>
        <w:tc>
          <w:tcPr>
            <w:tcW w:w="1542" w:type="pct"/>
            <w:gridSpan w:val="2"/>
            <w:tcBorders>
              <w:top w:val="nil"/>
              <w:left w:val="nil"/>
              <w:bottom w:val="single" w:sz="12" w:space="0" w:color="auto"/>
              <w:right w:val="nil"/>
            </w:tcBorders>
            <w:shd w:val="clear" w:color="auto" w:fill="auto"/>
            <w:noWrap/>
            <w:vAlign w:val="center"/>
          </w:tcPr>
          <w:p w14:paraId="342925C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6" w:type="pct"/>
            <w:tcBorders>
              <w:top w:val="nil"/>
              <w:left w:val="nil"/>
              <w:bottom w:val="single" w:sz="12" w:space="0" w:color="auto"/>
              <w:right w:val="nil"/>
            </w:tcBorders>
            <w:shd w:val="clear" w:color="auto" w:fill="auto"/>
            <w:noWrap/>
            <w:vAlign w:val="center"/>
          </w:tcPr>
          <w:p w14:paraId="299B76B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40.97%</w:t>
            </w:r>
          </w:p>
        </w:tc>
        <w:tc>
          <w:tcPr>
            <w:tcW w:w="576" w:type="pct"/>
            <w:tcBorders>
              <w:top w:val="nil"/>
              <w:left w:val="nil"/>
              <w:bottom w:val="single" w:sz="12" w:space="0" w:color="auto"/>
              <w:right w:val="nil"/>
            </w:tcBorders>
            <w:shd w:val="clear" w:color="auto" w:fill="auto"/>
            <w:noWrap/>
            <w:vAlign w:val="center"/>
          </w:tcPr>
          <w:p w14:paraId="4C27585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1C753BC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58840FC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5D5DF2C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7" w:type="pct"/>
            <w:tcBorders>
              <w:top w:val="nil"/>
              <w:left w:val="nil"/>
              <w:bottom w:val="single" w:sz="12" w:space="0" w:color="auto"/>
              <w:right w:val="nil"/>
            </w:tcBorders>
            <w:shd w:val="clear" w:color="auto" w:fill="auto"/>
            <w:noWrap/>
            <w:vAlign w:val="center"/>
          </w:tcPr>
          <w:p w14:paraId="7837799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71.71%</w:t>
            </w:r>
          </w:p>
        </w:tc>
      </w:tr>
      <w:bookmarkEnd w:id="106"/>
      <w:tr w:rsidR="0074478A" w14:paraId="67D3B21F" w14:textId="77777777">
        <w:trPr>
          <w:gridAfter w:val="2"/>
          <w:wAfter w:w="1155" w:type="pct"/>
          <w:trHeight w:val="278"/>
        </w:trPr>
        <w:tc>
          <w:tcPr>
            <w:tcW w:w="1542" w:type="pct"/>
            <w:gridSpan w:val="2"/>
            <w:tcBorders>
              <w:top w:val="single" w:sz="12" w:space="0" w:color="auto"/>
              <w:left w:val="nil"/>
              <w:bottom w:val="single" w:sz="8" w:space="0" w:color="auto"/>
              <w:right w:val="nil"/>
            </w:tcBorders>
            <w:shd w:val="clear" w:color="auto" w:fill="auto"/>
            <w:noWrap/>
            <w:vAlign w:val="center"/>
          </w:tcPr>
          <w:p w14:paraId="51E2EF4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0A033CE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0/2</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p>
          <w:p w14:paraId="394387C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p>
        </w:tc>
        <w:tc>
          <w:tcPr>
            <w:tcW w:w="575" w:type="pct"/>
            <w:tcBorders>
              <w:top w:val="single" w:sz="12" w:space="0" w:color="auto"/>
              <w:left w:val="nil"/>
              <w:bottom w:val="single" w:sz="8" w:space="0" w:color="auto"/>
              <w:right w:val="nil"/>
            </w:tcBorders>
            <w:shd w:val="clear" w:color="auto" w:fill="auto"/>
            <w:noWrap/>
            <w:vAlign w:val="center"/>
          </w:tcPr>
          <w:p w14:paraId="6EBC1FA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p>
          <w:p w14:paraId="42162A8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13</w:t>
            </w:r>
          </w:p>
        </w:tc>
        <w:tc>
          <w:tcPr>
            <w:tcW w:w="575" w:type="pct"/>
            <w:tcBorders>
              <w:top w:val="single" w:sz="12" w:space="0" w:color="auto"/>
              <w:left w:val="nil"/>
              <w:bottom w:val="single" w:sz="8" w:space="0" w:color="auto"/>
              <w:right w:val="nil"/>
            </w:tcBorders>
            <w:shd w:val="clear" w:color="auto" w:fill="auto"/>
            <w:noWrap/>
            <w:vAlign w:val="center"/>
          </w:tcPr>
          <w:p w14:paraId="676A11A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w:t>
            </w:r>
          </w:p>
          <w:p w14:paraId="6B33E54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9</w:t>
            </w:r>
          </w:p>
        </w:tc>
        <w:tc>
          <w:tcPr>
            <w:tcW w:w="575" w:type="pct"/>
            <w:tcBorders>
              <w:top w:val="single" w:sz="12" w:space="0" w:color="auto"/>
              <w:left w:val="nil"/>
              <w:bottom w:val="single" w:sz="8" w:space="0" w:color="auto"/>
              <w:right w:val="nil"/>
            </w:tcBorders>
            <w:shd w:val="clear" w:color="auto" w:fill="auto"/>
            <w:noWrap/>
            <w:vAlign w:val="center"/>
          </w:tcPr>
          <w:p w14:paraId="40EF6B5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p>
          <w:p w14:paraId="3BF602B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74478A" w14:paraId="0EA66CA9" w14:textId="77777777">
        <w:trPr>
          <w:gridAfter w:val="2"/>
          <w:wAfter w:w="1155" w:type="pct"/>
          <w:trHeight w:val="278"/>
        </w:trPr>
        <w:tc>
          <w:tcPr>
            <w:tcW w:w="561" w:type="pct"/>
            <w:vMerge w:val="restart"/>
            <w:tcBorders>
              <w:top w:val="single" w:sz="8" w:space="0" w:color="auto"/>
              <w:left w:val="nil"/>
              <w:bottom w:val="nil"/>
              <w:right w:val="nil"/>
            </w:tcBorders>
            <w:shd w:val="clear" w:color="auto" w:fill="auto"/>
            <w:noWrap/>
            <w:vAlign w:val="center"/>
          </w:tcPr>
          <w:p w14:paraId="3F654892"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2782" w:type="dxa"/>
            <w:tcBorders>
              <w:top w:val="single" w:sz="8" w:space="0" w:color="auto"/>
              <w:left w:val="nil"/>
              <w:bottom w:val="nil"/>
              <w:right w:val="nil"/>
            </w:tcBorders>
            <w:shd w:val="clear" w:color="auto" w:fill="auto"/>
            <w:noWrap/>
            <w:vAlign w:val="center"/>
          </w:tcPr>
          <w:p w14:paraId="2B9DE5C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5" w:type="pct"/>
            <w:tcBorders>
              <w:top w:val="single" w:sz="8" w:space="0" w:color="auto"/>
              <w:left w:val="nil"/>
              <w:bottom w:val="nil"/>
              <w:right w:val="nil"/>
            </w:tcBorders>
            <w:shd w:val="clear" w:color="auto" w:fill="auto"/>
            <w:vAlign w:val="bottom"/>
          </w:tcPr>
          <w:p w14:paraId="6385BE5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1CE4EE4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1595A9E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29A3DEC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-5.52%</w:t>
            </w:r>
          </w:p>
        </w:tc>
      </w:tr>
      <w:tr w:rsidR="0074478A" w14:paraId="2F9A86FA"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21A3463F" w14:textId="77777777" w:rsidR="0074478A" w:rsidRDefault="0074478A">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0FCA90DE"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5" w:type="pct"/>
            <w:tcBorders>
              <w:top w:val="nil"/>
              <w:left w:val="nil"/>
              <w:bottom w:val="nil"/>
              <w:right w:val="nil"/>
            </w:tcBorders>
            <w:shd w:val="clear" w:color="auto" w:fill="auto"/>
            <w:noWrap/>
            <w:vAlign w:val="bottom"/>
          </w:tcPr>
          <w:p w14:paraId="69244E0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30D2DB1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242B7B5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3328643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95.33%</w:t>
            </w:r>
          </w:p>
        </w:tc>
      </w:tr>
      <w:tr w:rsidR="0074478A" w14:paraId="2D31780B"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638E03D" w14:textId="77777777" w:rsidR="0074478A" w:rsidRDefault="0074478A">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5EFF5F92"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5" w:type="pct"/>
            <w:tcBorders>
              <w:top w:val="nil"/>
              <w:left w:val="nil"/>
              <w:bottom w:val="nil"/>
              <w:right w:val="nil"/>
            </w:tcBorders>
            <w:shd w:val="clear" w:color="auto" w:fill="auto"/>
            <w:noWrap/>
            <w:vAlign w:val="bottom"/>
          </w:tcPr>
          <w:p w14:paraId="060254F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22820A9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71DCA5D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38D3B77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-8.74%</w:t>
            </w:r>
          </w:p>
        </w:tc>
      </w:tr>
      <w:tr w:rsidR="0074478A" w14:paraId="4B8C3D97"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DD6F97D" w14:textId="77777777" w:rsidR="0074478A" w:rsidRDefault="0074478A">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1B2E12CB"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5" w:type="pct"/>
            <w:tcBorders>
              <w:top w:val="nil"/>
              <w:left w:val="nil"/>
              <w:bottom w:val="nil"/>
              <w:right w:val="nil"/>
            </w:tcBorders>
            <w:shd w:val="clear" w:color="auto" w:fill="auto"/>
            <w:vAlign w:val="center"/>
          </w:tcPr>
          <w:p w14:paraId="5193BC2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2BA700A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40D125F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32AA550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18.93%</w:t>
            </w:r>
          </w:p>
        </w:tc>
      </w:tr>
      <w:tr w:rsidR="0074478A" w14:paraId="726BC4C4" w14:textId="77777777">
        <w:trPr>
          <w:gridAfter w:val="2"/>
          <w:wAfter w:w="1155" w:type="pct"/>
          <w:trHeight w:val="278"/>
        </w:trPr>
        <w:tc>
          <w:tcPr>
            <w:tcW w:w="1542" w:type="pct"/>
            <w:gridSpan w:val="2"/>
            <w:tcBorders>
              <w:top w:val="nil"/>
              <w:left w:val="nil"/>
              <w:bottom w:val="nil"/>
              <w:right w:val="nil"/>
            </w:tcBorders>
            <w:shd w:val="clear" w:color="auto" w:fill="auto"/>
            <w:noWrap/>
            <w:vAlign w:val="center"/>
          </w:tcPr>
          <w:p w14:paraId="5E239A1A"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16DBC5E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08438BA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2250642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11DE1C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57ED2F88" w14:textId="77777777">
        <w:trPr>
          <w:gridAfter w:val="2"/>
          <w:wAfter w:w="1155" w:type="pct"/>
          <w:trHeight w:val="278"/>
        </w:trPr>
        <w:tc>
          <w:tcPr>
            <w:tcW w:w="1542" w:type="pct"/>
            <w:gridSpan w:val="2"/>
            <w:tcBorders>
              <w:top w:val="nil"/>
              <w:left w:val="nil"/>
              <w:bottom w:val="nil"/>
              <w:right w:val="nil"/>
            </w:tcBorders>
            <w:shd w:val="clear" w:color="auto" w:fill="auto"/>
            <w:noWrap/>
            <w:vAlign w:val="center"/>
          </w:tcPr>
          <w:p w14:paraId="2B6890DC"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8A1E7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±4.64%</w:t>
            </w:r>
          </w:p>
        </w:tc>
        <w:tc>
          <w:tcPr>
            <w:tcW w:w="575" w:type="pct"/>
            <w:tcBorders>
              <w:top w:val="nil"/>
              <w:left w:val="nil"/>
              <w:bottom w:val="nil"/>
              <w:right w:val="nil"/>
            </w:tcBorders>
            <w:shd w:val="clear" w:color="auto" w:fill="auto"/>
            <w:noWrap/>
            <w:vAlign w:val="center"/>
          </w:tcPr>
          <w:p w14:paraId="7EBF8D3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±2.61%</w:t>
            </w:r>
          </w:p>
        </w:tc>
        <w:tc>
          <w:tcPr>
            <w:tcW w:w="575" w:type="pct"/>
            <w:tcBorders>
              <w:top w:val="nil"/>
              <w:left w:val="nil"/>
              <w:bottom w:val="nil"/>
              <w:right w:val="nil"/>
            </w:tcBorders>
            <w:shd w:val="clear" w:color="auto" w:fill="auto"/>
            <w:noWrap/>
            <w:vAlign w:val="center"/>
          </w:tcPr>
          <w:p w14:paraId="1598D2C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2DB739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±4.42%</w:t>
            </w:r>
          </w:p>
        </w:tc>
      </w:tr>
      <w:tr w:rsidR="0074478A" w14:paraId="18B4E960" w14:textId="77777777">
        <w:trPr>
          <w:gridAfter w:val="2"/>
          <w:wAfter w:w="1155" w:type="pct"/>
          <w:trHeight w:val="278"/>
        </w:trPr>
        <w:tc>
          <w:tcPr>
            <w:tcW w:w="561" w:type="pct"/>
            <w:vMerge w:val="restart"/>
            <w:tcBorders>
              <w:top w:val="nil"/>
              <w:left w:val="nil"/>
              <w:bottom w:val="nil"/>
              <w:right w:val="nil"/>
            </w:tcBorders>
            <w:shd w:val="clear" w:color="auto" w:fill="auto"/>
            <w:noWrap/>
            <w:vAlign w:val="center"/>
          </w:tcPr>
          <w:p w14:paraId="4145548A"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81" w:type="pct"/>
            <w:tcBorders>
              <w:top w:val="nil"/>
              <w:left w:val="nil"/>
              <w:bottom w:val="nil"/>
              <w:right w:val="nil"/>
            </w:tcBorders>
            <w:shd w:val="clear" w:color="auto" w:fill="auto"/>
            <w:noWrap/>
            <w:vAlign w:val="center"/>
          </w:tcPr>
          <w:p w14:paraId="1BC90DB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B1F3E2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8A04BD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/0.992</w:t>
            </w:r>
          </w:p>
        </w:tc>
        <w:tc>
          <w:tcPr>
            <w:tcW w:w="575" w:type="pct"/>
            <w:tcBorders>
              <w:top w:val="nil"/>
              <w:left w:val="nil"/>
              <w:bottom w:val="nil"/>
              <w:right w:val="nil"/>
            </w:tcBorders>
            <w:shd w:val="clear" w:color="auto" w:fill="auto"/>
            <w:noWrap/>
            <w:vAlign w:val="center"/>
          </w:tcPr>
          <w:p w14:paraId="488B342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F5B9D7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0.005/0.891</w:t>
            </w:r>
          </w:p>
        </w:tc>
      </w:tr>
      <w:tr w:rsidR="0074478A" w14:paraId="057C23A8"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6F69C71D" w14:textId="77777777" w:rsidR="0074478A" w:rsidRDefault="0074478A">
            <w:pPr>
              <w:spacing w:line="240" w:lineRule="atLeast"/>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4808891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A7F097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-0.002/0.924</w:t>
            </w:r>
          </w:p>
        </w:tc>
        <w:tc>
          <w:tcPr>
            <w:tcW w:w="575" w:type="pct"/>
            <w:tcBorders>
              <w:top w:val="nil"/>
              <w:left w:val="nil"/>
              <w:bottom w:val="nil"/>
              <w:right w:val="nil"/>
            </w:tcBorders>
            <w:shd w:val="clear" w:color="auto" w:fill="auto"/>
            <w:noWrap/>
            <w:vAlign w:val="center"/>
          </w:tcPr>
          <w:p w14:paraId="469A441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/0.977</w:t>
            </w:r>
          </w:p>
        </w:tc>
        <w:tc>
          <w:tcPr>
            <w:tcW w:w="575" w:type="pct"/>
            <w:tcBorders>
              <w:top w:val="nil"/>
              <w:left w:val="nil"/>
              <w:bottom w:val="nil"/>
              <w:right w:val="nil"/>
            </w:tcBorders>
            <w:shd w:val="clear" w:color="auto" w:fill="auto"/>
            <w:noWrap/>
            <w:vAlign w:val="center"/>
          </w:tcPr>
          <w:p w14:paraId="2731F80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303D7D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w:t>
            </w:r>
            <w:r>
              <w:rPr>
                <w:rFonts w:ascii="Times New Roman" w:eastAsia="SimSun" w:hAnsi="Times New Roman" w:cs="Times New Roman" w:hint="eastAsia"/>
                <w:color w:val="000000"/>
                <w:kern w:val="0"/>
                <w:szCs w:val="21"/>
                <w:lang w:bidi="ar"/>
              </w:rPr>
              <w:t>0</w:t>
            </w:r>
          </w:p>
        </w:tc>
      </w:tr>
      <w:tr w:rsidR="0074478A" w14:paraId="7E66C8CA"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0670A1A0" w14:textId="77777777" w:rsidR="0074478A" w:rsidRDefault="0074478A">
            <w:pPr>
              <w:spacing w:line="240" w:lineRule="atLeast"/>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29F5367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F36532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-0.003/0.959</w:t>
            </w:r>
          </w:p>
        </w:tc>
        <w:tc>
          <w:tcPr>
            <w:tcW w:w="575" w:type="pct"/>
            <w:tcBorders>
              <w:top w:val="nil"/>
              <w:left w:val="nil"/>
              <w:bottom w:val="nil"/>
              <w:right w:val="nil"/>
            </w:tcBorders>
            <w:shd w:val="clear" w:color="auto" w:fill="auto"/>
            <w:noWrap/>
            <w:vAlign w:val="center"/>
          </w:tcPr>
          <w:p w14:paraId="22220C8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F46E0A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D24F8B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41DE511B" w14:textId="77777777">
        <w:trPr>
          <w:gridAfter w:val="2"/>
          <w:wAfter w:w="1155" w:type="pct"/>
          <w:trHeight w:val="278"/>
        </w:trPr>
        <w:tc>
          <w:tcPr>
            <w:tcW w:w="1542" w:type="pct"/>
            <w:gridSpan w:val="2"/>
            <w:tcBorders>
              <w:top w:val="nil"/>
              <w:left w:val="nil"/>
              <w:bottom w:val="single" w:sz="12" w:space="0" w:color="auto"/>
              <w:right w:val="nil"/>
            </w:tcBorders>
            <w:shd w:val="clear" w:color="auto" w:fill="auto"/>
            <w:noWrap/>
            <w:vAlign w:val="center"/>
          </w:tcPr>
          <w:p w14:paraId="4831E9B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3DDEEBF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49.33%</w:t>
            </w:r>
          </w:p>
        </w:tc>
        <w:tc>
          <w:tcPr>
            <w:tcW w:w="575" w:type="pct"/>
            <w:tcBorders>
              <w:top w:val="nil"/>
              <w:left w:val="nil"/>
              <w:bottom w:val="single" w:sz="12" w:space="0" w:color="auto"/>
              <w:right w:val="nil"/>
            </w:tcBorders>
            <w:shd w:val="clear" w:color="auto" w:fill="auto"/>
            <w:noWrap/>
            <w:vAlign w:val="center"/>
          </w:tcPr>
          <w:p w14:paraId="2C0F333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37.98%</w:t>
            </w:r>
          </w:p>
        </w:tc>
        <w:tc>
          <w:tcPr>
            <w:tcW w:w="575" w:type="pct"/>
            <w:tcBorders>
              <w:top w:val="nil"/>
              <w:left w:val="nil"/>
              <w:bottom w:val="single" w:sz="12" w:space="0" w:color="auto"/>
              <w:right w:val="nil"/>
            </w:tcBorders>
            <w:shd w:val="clear" w:color="auto" w:fill="auto"/>
            <w:noWrap/>
            <w:vAlign w:val="center"/>
          </w:tcPr>
          <w:p w14:paraId="5E2C2EE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600F312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0.06%</w:t>
            </w:r>
          </w:p>
        </w:tc>
      </w:tr>
    </w:tbl>
    <w:p w14:paraId="08DA56C6" w14:textId="77777777" w:rsidR="0074478A" w:rsidRDefault="00690393">
      <w:pPr>
        <w:rPr>
          <w:rFonts w:ascii="Times New Roman" w:hAnsi="Times New Roman" w:cs="Times New Roman"/>
        </w:rPr>
      </w:pPr>
      <w:r>
        <w:rPr>
          <w:rFonts w:ascii="Times New Roman" w:hAnsi="Times New Roman" w:cs="Times New Roman" w:hint="eastAsia"/>
        </w:rPr>
        <w:lastRenderedPageBreak/>
        <w:t>Panel H: Hungary</w:t>
      </w:r>
    </w:p>
    <w:tbl>
      <w:tblPr>
        <w:tblW w:w="5000" w:type="pct"/>
        <w:tblLayout w:type="fixed"/>
        <w:tblLook w:val="04A0" w:firstRow="1" w:lastRow="0" w:firstColumn="1" w:lastColumn="0" w:noHBand="0" w:noVBand="1"/>
      </w:tblPr>
      <w:tblGrid>
        <w:gridCol w:w="1620"/>
        <w:gridCol w:w="2703"/>
        <w:gridCol w:w="1606"/>
        <w:gridCol w:w="1603"/>
        <w:gridCol w:w="1606"/>
        <w:gridCol w:w="1606"/>
        <w:gridCol w:w="1606"/>
        <w:gridCol w:w="1608"/>
      </w:tblGrid>
      <w:tr w:rsidR="0074478A" w14:paraId="055E8162" w14:textId="77777777">
        <w:trPr>
          <w:trHeight w:val="278"/>
        </w:trPr>
        <w:tc>
          <w:tcPr>
            <w:tcW w:w="1548" w:type="pct"/>
            <w:gridSpan w:val="2"/>
            <w:tcBorders>
              <w:top w:val="single" w:sz="12" w:space="0" w:color="auto"/>
              <w:left w:val="nil"/>
              <w:bottom w:val="single" w:sz="8" w:space="0" w:color="auto"/>
              <w:right w:val="nil"/>
            </w:tcBorders>
            <w:shd w:val="clear" w:color="auto" w:fill="auto"/>
            <w:noWrap/>
            <w:vAlign w:val="center"/>
          </w:tcPr>
          <w:p w14:paraId="3B3F94D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bookmarkStart w:id="107" w:name="OLE_LINK44"/>
            <w:r>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113EBF33"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2F39C3F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17</w:t>
            </w:r>
          </w:p>
        </w:tc>
        <w:tc>
          <w:tcPr>
            <w:tcW w:w="574" w:type="pct"/>
            <w:tcBorders>
              <w:top w:val="single" w:sz="12" w:space="0" w:color="auto"/>
              <w:left w:val="nil"/>
              <w:bottom w:val="single" w:sz="8" w:space="0" w:color="auto"/>
              <w:right w:val="nil"/>
            </w:tcBorders>
            <w:shd w:val="clear" w:color="auto" w:fill="auto"/>
            <w:noWrap/>
            <w:vAlign w:val="center"/>
          </w:tcPr>
          <w:p w14:paraId="5620D78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18</w:t>
            </w:r>
            <w:r>
              <w:rPr>
                <w:rFonts w:ascii="Times New Roman" w:eastAsia="SimSun" w:hAnsi="Times New Roman" w:cs="Times New Roman"/>
                <w:color w:val="000000"/>
                <w:kern w:val="0"/>
                <w:szCs w:val="21"/>
                <w:lang w:bidi="ar"/>
              </w:rPr>
              <w:t>-</w:t>
            </w:r>
          </w:p>
          <w:p w14:paraId="44F8C08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p>
        </w:tc>
        <w:tc>
          <w:tcPr>
            <w:tcW w:w="574" w:type="pct"/>
            <w:tcBorders>
              <w:top w:val="single" w:sz="12" w:space="0" w:color="auto"/>
              <w:left w:val="nil"/>
              <w:bottom w:val="single" w:sz="8" w:space="0" w:color="auto"/>
              <w:right w:val="nil"/>
            </w:tcBorders>
            <w:shd w:val="clear" w:color="auto" w:fill="auto"/>
            <w:noWrap/>
            <w:vAlign w:val="center"/>
          </w:tcPr>
          <w:p w14:paraId="15FF42F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p>
          <w:p w14:paraId="7CB855C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05</w:t>
            </w:r>
          </w:p>
        </w:tc>
        <w:tc>
          <w:tcPr>
            <w:tcW w:w="575" w:type="pct"/>
            <w:tcBorders>
              <w:top w:val="single" w:sz="12" w:space="0" w:color="auto"/>
              <w:left w:val="nil"/>
              <w:bottom w:val="single" w:sz="8" w:space="0" w:color="auto"/>
              <w:right w:val="nil"/>
            </w:tcBorders>
            <w:shd w:val="clear" w:color="auto" w:fill="auto"/>
            <w:noWrap/>
            <w:vAlign w:val="center"/>
          </w:tcPr>
          <w:p w14:paraId="46C02DB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p>
          <w:p w14:paraId="55A62E0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28</w:t>
            </w:r>
          </w:p>
        </w:tc>
        <w:tc>
          <w:tcPr>
            <w:tcW w:w="575" w:type="pct"/>
            <w:tcBorders>
              <w:top w:val="single" w:sz="12" w:space="0" w:color="auto"/>
              <w:left w:val="nil"/>
              <w:bottom w:val="single" w:sz="8" w:space="0" w:color="auto"/>
              <w:right w:val="nil"/>
            </w:tcBorders>
            <w:shd w:val="clear" w:color="auto" w:fill="auto"/>
            <w:noWrap/>
            <w:vAlign w:val="center"/>
          </w:tcPr>
          <w:p w14:paraId="6340A20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29</w:t>
            </w:r>
            <w:r>
              <w:rPr>
                <w:rFonts w:ascii="Times New Roman" w:eastAsia="SimSun" w:hAnsi="Times New Roman" w:cs="Times New Roman"/>
                <w:color w:val="000000"/>
                <w:kern w:val="0"/>
                <w:szCs w:val="21"/>
                <w:lang w:bidi="ar"/>
              </w:rPr>
              <w:t>-</w:t>
            </w:r>
          </w:p>
          <w:p w14:paraId="4193C39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24</w:t>
            </w:r>
          </w:p>
        </w:tc>
        <w:tc>
          <w:tcPr>
            <w:tcW w:w="575" w:type="pct"/>
            <w:tcBorders>
              <w:top w:val="single" w:sz="12" w:space="0" w:color="auto"/>
              <w:left w:val="nil"/>
              <w:bottom w:val="single" w:sz="8" w:space="0" w:color="auto"/>
              <w:right w:val="nil"/>
            </w:tcBorders>
            <w:shd w:val="clear" w:color="auto" w:fill="auto"/>
            <w:noWrap/>
            <w:vAlign w:val="center"/>
          </w:tcPr>
          <w:p w14:paraId="5CC2B59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25</w:t>
            </w:r>
            <w:r>
              <w:rPr>
                <w:rFonts w:ascii="Times New Roman" w:eastAsia="SimSun" w:hAnsi="Times New Roman" w:cs="Times New Roman"/>
                <w:color w:val="000000"/>
                <w:kern w:val="0"/>
                <w:szCs w:val="21"/>
                <w:lang w:bidi="ar"/>
              </w:rPr>
              <w:t>-</w:t>
            </w:r>
          </w:p>
          <w:p w14:paraId="34BE58B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29</w:t>
            </w:r>
          </w:p>
        </w:tc>
      </w:tr>
      <w:tr w:rsidR="0074478A" w14:paraId="4C995035"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5964DB8"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68" w:type="pct"/>
            <w:tcBorders>
              <w:top w:val="single" w:sz="8" w:space="0" w:color="auto"/>
              <w:left w:val="nil"/>
              <w:bottom w:val="nil"/>
              <w:right w:val="nil"/>
            </w:tcBorders>
            <w:shd w:val="clear" w:color="auto" w:fill="auto"/>
            <w:noWrap/>
            <w:vAlign w:val="center"/>
          </w:tcPr>
          <w:p w14:paraId="42303966"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5" w:type="pct"/>
            <w:tcBorders>
              <w:top w:val="single" w:sz="8" w:space="0" w:color="auto"/>
              <w:left w:val="nil"/>
              <w:bottom w:val="nil"/>
              <w:right w:val="nil"/>
            </w:tcBorders>
            <w:shd w:val="clear" w:color="auto" w:fill="auto"/>
            <w:vAlign w:val="bottom"/>
          </w:tcPr>
          <w:p w14:paraId="4F16E8A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26.63%</w:t>
            </w:r>
          </w:p>
        </w:tc>
        <w:tc>
          <w:tcPr>
            <w:tcW w:w="574" w:type="pct"/>
            <w:tcBorders>
              <w:top w:val="single" w:sz="8" w:space="0" w:color="auto"/>
              <w:left w:val="nil"/>
              <w:bottom w:val="nil"/>
              <w:right w:val="nil"/>
            </w:tcBorders>
            <w:shd w:val="clear" w:color="auto" w:fill="auto"/>
            <w:noWrap/>
            <w:vAlign w:val="bottom"/>
          </w:tcPr>
          <w:p w14:paraId="3CE920E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26.63%</w:t>
            </w:r>
          </w:p>
        </w:tc>
        <w:tc>
          <w:tcPr>
            <w:tcW w:w="574" w:type="pct"/>
            <w:tcBorders>
              <w:top w:val="single" w:sz="8" w:space="0" w:color="auto"/>
              <w:left w:val="nil"/>
              <w:bottom w:val="nil"/>
              <w:right w:val="nil"/>
            </w:tcBorders>
            <w:shd w:val="clear" w:color="auto" w:fill="auto"/>
            <w:noWrap/>
            <w:vAlign w:val="bottom"/>
          </w:tcPr>
          <w:p w14:paraId="569FC82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-10.86%</w:t>
            </w:r>
          </w:p>
        </w:tc>
        <w:tc>
          <w:tcPr>
            <w:tcW w:w="575" w:type="pct"/>
            <w:tcBorders>
              <w:top w:val="single" w:sz="8" w:space="0" w:color="auto"/>
              <w:left w:val="nil"/>
              <w:bottom w:val="nil"/>
              <w:right w:val="nil"/>
            </w:tcBorders>
            <w:shd w:val="clear" w:color="auto" w:fill="auto"/>
            <w:noWrap/>
            <w:vAlign w:val="bottom"/>
          </w:tcPr>
          <w:p w14:paraId="4ACF887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-17.51%</w:t>
            </w:r>
          </w:p>
        </w:tc>
        <w:tc>
          <w:tcPr>
            <w:tcW w:w="575" w:type="pct"/>
            <w:tcBorders>
              <w:top w:val="single" w:sz="8" w:space="0" w:color="auto"/>
              <w:left w:val="nil"/>
              <w:bottom w:val="nil"/>
              <w:right w:val="nil"/>
            </w:tcBorders>
            <w:shd w:val="clear" w:color="auto" w:fill="auto"/>
            <w:noWrap/>
            <w:vAlign w:val="bottom"/>
          </w:tcPr>
          <w:p w14:paraId="16B4265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-17.51%</w:t>
            </w:r>
          </w:p>
        </w:tc>
        <w:tc>
          <w:tcPr>
            <w:tcW w:w="575" w:type="pct"/>
            <w:tcBorders>
              <w:top w:val="single" w:sz="8" w:space="0" w:color="auto"/>
              <w:left w:val="nil"/>
              <w:bottom w:val="nil"/>
              <w:right w:val="nil"/>
            </w:tcBorders>
            <w:shd w:val="clear" w:color="auto" w:fill="auto"/>
            <w:noWrap/>
            <w:vAlign w:val="bottom"/>
          </w:tcPr>
          <w:p w14:paraId="182E8B0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-17.51%</w:t>
            </w:r>
          </w:p>
        </w:tc>
      </w:tr>
      <w:tr w:rsidR="0074478A" w14:paraId="4AE216D5" w14:textId="77777777">
        <w:trPr>
          <w:trHeight w:val="278"/>
        </w:trPr>
        <w:tc>
          <w:tcPr>
            <w:tcW w:w="580" w:type="pct"/>
            <w:vMerge/>
            <w:tcBorders>
              <w:top w:val="nil"/>
              <w:left w:val="nil"/>
              <w:bottom w:val="nil"/>
              <w:right w:val="nil"/>
            </w:tcBorders>
            <w:shd w:val="clear" w:color="auto" w:fill="auto"/>
            <w:noWrap/>
            <w:vAlign w:val="center"/>
          </w:tcPr>
          <w:p w14:paraId="30A6DCF8" w14:textId="77777777" w:rsidR="0074478A" w:rsidRDefault="0074478A">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0C77D629"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5" w:type="pct"/>
            <w:tcBorders>
              <w:top w:val="nil"/>
              <w:left w:val="nil"/>
              <w:bottom w:val="nil"/>
              <w:right w:val="nil"/>
            </w:tcBorders>
            <w:shd w:val="clear" w:color="auto" w:fill="auto"/>
            <w:noWrap/>
            <w:vAlign w:val="bottom"/>
          </w:tcPr>
          <w:p w14:paraId="6C5FA1F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79.71%</w:t>
            </w:r>
          </w:p>
        </w:tc>
        <w:tc>
          <w:tcPr>
            <w:tcW w:w="574" w:type="pct"/>
            <w:tcBorders>
              <w:top w:val="nil"/>
              <w:left w:val="nil"/>
              <w:bottom w:val="nil"/>
              <w:right w:val="nil"/>
            </w:tcBorders>
            <w:shd w:val="clear" w:color="auto" w:fill="auto"/>
            <w:noWrap/>
            <w:vAlign w:val="bottom"/>
          </w:tcPr>
          <w:p w14:paraId="2BD6182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79.71%</w:t>
            </w:r>
          </w:p>
        </w:tc>
        <w:tc>
          <w:tcPr>
            <w:tcW w:w="574" w:type="pct"/>
            <w:tcBorders>
              <w:top w:val="nil"/>
              <w:left w:val="nil"/>
              <w:bottom w:val="nil"/>
              <w:right w:val="nil"/>
            </w:tcBorders>
            <w:shd w:val="clear" w:color="auto" w:fill="auto"/>
            <w:noWrap/>
            <w:vAlign w:val="bottom"/>
          </w:tcPr>
          <w:p w14:paraId="4F68DD9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90.00%</w:t>
            </w:r>
          </w:p>
        </w:tc>
        <w:tc>
          <w:tcPr>
            <w:tcW w:w="575" w:type="pct"/>
            <w:tcBorders>
              <w:top w:val="nil"/>
              <w:left w:val="nil"/>
              <w:bottom w:val="nil"/>
              <w:right w:val="nil"/>
            </w:tcBorders>
            <w:shd w:val="clear" w:color="auto" w:fill="auto"/>
            <w:noWrap/>
            <w:vAlign w:val="bottom"/>
          </w:tcPr>
          <w:p w14:paraId="0509D2C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137.85%</w:t>
            </w:r>
          </w:p>
        </w:tc>
        <w:tc>
          <w:tcPr>
            <w:tcW w:w="575" w:type="pct"/>
            <w:tcBorders>
              <w:top w:val="nil"/>
              <w:left w:val="nil"/>
              <w:bottom w:val="nil"/>
              <w:right w:val="nil"/>
            </w:tcBorders>
            <w:shd w:val="clear" w:color="auto" w:fill="auto"/>
            <w:noWrap/>
            <w:vAlign w:val="bottom"/>
          </w:tcPr>
          <w:p w14:paraId="64E71B5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137.85%</w:t>
            </w:r>
          </w:p>
        </w:tc>
        <w:tc>
          <w:tcPr>
            <w:tcW w:w="575" w:type="pct"/>
            <w:tcBorders>
              <w:top w:val="nil"/>
              <w:left w:val="nil"/>
              <w:bottom w:val="nil"/>
              <w:right w:val="nil"/>
            </w:tcBorders>
            <w:shd w:val="clear" w:color="auto" w:fill="auto"/>
            <w:noWrap/>
            <w:vAlign w:val="bottom"/>
          </w:tcPr>
          <w:p w14:paraId="1110C1A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137.85%</w:t>
            </w:r>
          </w:p>
        </w:tc>
      </w:tr>
      <w:tr w:rsidR="0074478A" w14:paraId="3D4645D7" w14:textId="77777777">
        <w:trPr>
          <w:trHeight w:val="278"/>
        </w:trPr>
        <w:tc>
          <w:tcPr>
            <w:tcW w:w="580" w:type="pct"/>
            <w:vMerge/>
            <w:tcBorders>
              <w:top w:val="nil"/>
              <w:left w:val="nil"/>
              <w:bottom w:val="nil"/>
              <w:right w:val="nil"/>
            </w:tcBorders>
            <w:shd w:val="clear" w:color="auto" w:fill="auto"/>
            <w:noWrap/>
            <w:vAlign w:val="center"/>
          </w:tcPr>
          <w:p w14:paraId="5E92CA2F" w14:textId="77777777" w:rsidR="0074478A" w:rsidRDefault="0074478A">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06360FD"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5" w:type="pct"/>
            <w:tcBorders>
              <w:top w:val="nil"/>
              <w:left w:val="nil"/>
              <w:bottom w:val="nil"/>
              <w:right w:val="nil"/>
            </w:tcBorders>
            <w:shd w:val="clear" w:color="auto" w:fill="auto"/>
            <w:noWrap/>
            <w:vAlign w:val="bottom"/>
          </w:tcPr>
          <w:p w14:paraId="3F8CA3A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-0.51%</w:t>
            </w:r>
          </w:p>
        </w:tc>
        <w:tc>
          <w:tcPr>
            <w:tcW w:w="574" w:type="pct"/>
            <w:tcBorders>
              <w:top w:val="nil"/>
              <w:left w:val="nil"/>
              <w:bottom w:val="nil"/>
              <w:right w:val="nil"/>
            </w:tcBorders>
            <w:shd w:val="clear" w:color="auto" w:fill="auto"/>
            <w:noWrap/>
            <w:vAlign w:val="bottom"/>
          </w:tcPr>
          <w:p w14:paraId="116FEE8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-0.51%</w:t>
            </w:r>
          </w:p>
        </w:tc>
        <w:tc>
          <w:tcPr>
            <w:tcW w:w="574" w:type="pct"/>
            <w:tcBorders>
              <w:top w:val="nil"/>
              <w:left w:val="nil"/>
              <w:bottom w:val="nil"/>
              <w:right w:val="nil"/>
            </w:tcBorders>
            <w:shd w:val="clear" w:color="auto" w:fill="auto"/>
            <w:noWrap/>
            <w:vAlign w:val="bottom"/>
          </w:tcPr>
          <w:p w14:paraId="0E1F74B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10.94%</w:t>
            </w:r>
          </w:p>
        </w:tc>
        <w:tc>
          <w:tcPr>
            <w:tcW w:w="575" w:type="pct"/>
            <w:tcBorders>
              <w:top w:val="nil"/>
              <w:left w:val="nil"/>
              <w:bottom w:val="nil"/>
              <w:right w:val="nil"/>
            </w:tcBorders>
            <w:shd w:val="clear" w:color="auto" w:fill="auto"/>
            <w:noWrap/>
            <w:vAlign w:val="bottom"/>
          </w:tcPr>
          <w:p w14:paraId="67CE1E2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-31.98%</w:t>
            </w:r>
          </w:p>
        </w:tc>
        <w:tc>
          <w:tcPr>
            <w:tcW w:w="575" w:type="pct"/>
            <w:tcBorders>
              <w:top w:val="nil"/>
              <w:left w:val="nil"/>
              <w:bottom w:val="nil"/>
              <w:right w:val="nil"/>
            </w:tcBorders>
            <w:shd w:val="clear" w:color="auto" w:fill="auto"/>
            <w:noWrap/>
            <w:vAlign w:val="bottom"/>
          </w:tcPr>
          <w:p w14:paraId="6967671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-31.98%</w:t>
            </w:r>
          </w:p>
        </w:tc>
        <w:tc>
          <w:tcPr>
            <w:tcW w:w="575" w:type="pct"/>
            <w:tcBorders>
              <w:top w:val="nil"/>
              <w:left w:val="nil"/>
              <w:bottom w:val="nil"/>
              <w:right w:val="nil"/>
            </w:tcBorders>
            <w:shd w:val="clear" w:color="auto" w:fill="auto"/>
            <w:noWrap/>
            <w:vAlign w:val="bottom"/>
          </w:tcPr>
          <w:p w14:paraId="3EEA4AD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-31.98%</w:t>
            </w:r>
          </w:p>
        </w:tc>
      </w:tr>
      <w:tr w:rsidR="0074478A" w14:paraId="0E742578" w14:textId="77777777">
        <w:trPr>
          <w:trHeight w:val="278"/>
        </w:trPr>
        <w:tc>
          <w:tcPr>
            <w:tcW w:w="580" w:type="pct"/>
            <w:vMerge/>
            <w:tcBorders>
              <w:top w:val="nil"/>
              <w:left w:val="nil"/>
              <w:bottom w:val="nil"/>
              <w:right w:val="nil"/>
            </w:tcBorders>
            <w:shd w:val="clear" w:color="auto" w:fill="auto"/>
            <w:noWrap/>
            <w:vAlign w:val="center"/>
          </w:tcPr>
          <w:p w14:paraId="4BF22F3B" w14:textId="77777777" w:rsidR="0074478A" w:rsidRDefault="0074478A">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250ADA6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5" w:type="pct"/>
            <w:tcBorders>
              <w:top w:val="nil"/>
              <w:left w:val="nil"/>
              <w:bottom w:val="nil"/>
              <w:right w:val="nil"/>
            </w:tcBorders>
            <w:shd w:val="clear" w:color="auto" w:fill="auto"/>
            <w:vAlign w:val="center"/>
          </w:tcPr>
          <w:p w14:paraId="2C687CF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-5.82%</w:t>
            </w:r>
          </w:p>
        </w:tc>
        <w:tc>
          <w:tcPr>
            <w:tcW w:w="574" w:type="pct"/>
            <w:tcBorders>
              <w:top w:val="nil"/>
              <w:left w:val="nil"/>
              <w:bottom w:val="nil"/>
              <w:right w:val="nil"/>
            </w:tcBorders>
            <w:shd w:val="clear" w:color="auto" w:fill="auto"/>
            <w:noWrap/>
            <w:vAlign w:val="center"/>
          </w:tcPr>
          <w:p w14:paraId="3F8E5B9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-5.82%</w:t>
            </w:r>
          </w:p>
        </w:tc>
        <w:tc>
          <w:tcPr>
            <w:tcW w:w="574" w:type="pct"/>
            <w:tcBorders>
              <w:top w:val="nil"/>
              <w:left w:val="nil"/>
              <w:bottom w:val="nil"/>
              <w:right w:val="nil"/>
            </w:tcBorders>
            <w:shd w:val="clear" w:color="auto" w:fill="auto"/>
            <w:noWrap/>
            <w:vAlign w:val="center"/>
          </w:tcPr>
          <w:p w14:paraId="535C2CC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9.92%</w:t>
            </w:r>
          </w:p>
        </w:tc>
        <w:tc>
          <w:tcPr>
            <w:tcW w:w="575" w:type="pct"/>
            <w:tcBorders>
              <w:top w:val="nil"/>
              <w:left w:val="nil"/>
              <w:bottom w:val="nil"/>
              <w:right w:val="nil"/>
            </w:tcBorders>
            <w:shd w:val="clear" w:color="auto" w:fill="auto"/>
            <w:noWrap/>
            <w:vAlign w:val="center"/>
          </w:tcPr>
          <w:p w14:paraId="122EE3B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11.64%</w:t>
            </w:r>
          </w:p>
        </w:tc>
        <w:tc>
          <w:tcPr>
            <w:tcW w:w="575" w:type="pct"/>
            <w:tcBorders>
              <w:top w:val="nil"/>
              <w:left w:val="nil"/>
              <w:bottom w:val="nil"/>
              <w:right w:val="nil"/>
            </w:tcBorders>
            <w:shd w:val="clear" w:color="auto" w:fill="auto"/>
            <w:noWrap/>
            <w:vAlign w:val="center"/>
          </w:tcPr>
          <w:p w14:paraId="2BE22B3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11.64%</w:t>
            </w:r>
          </w:p>
        </w:tc>
        <w:tc>
          <w:tcPr>
            <w:tcW w:w="575" w:type="pct"/>
            <w:tcBorders>
              <w:top w:val="nil"/>
              <w:left w:val="nil"/>
              <w:bottom w:val="nil"/>
              <w:right w:val="nil"/>
            </w:tcBorders>
            <w:shd w:val="clear" w:color="auto" w:fill="auto"/>
            <w:noWrap/>
            <w:vAlign w:val="center"/>
          </w:tcPr>
          <w:p w14:paraId="1EA080A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11.64%</w:t>
            </w:r>
          </w:p>
        </w:tc>
      </w:tr>
      <w:tr w:rsidR="0074478A" w14:paraId="03EAAD5F" w14:textId="77777777">
        <w:trPr>
          <w:trHeight w:val="278"/>
        </w:trPr>
        <w:tc>
          <w:tcPr>
            <w:tcW w:w="1548" w:type="pct"/>
            <w:gridSpan w:val="2"/>
            <w:tcBorders>
              <w:top w:val="nil"/>
              <w:left w:val="nil"/>
              <w:bottom w:val="nil"/>
              <w:right w:val="nil"/>
            </w:tcBorders>
            <w:shd w:val="clear" w:color="auto" w:fill="auto"/>
            <w:noWrap/>
            <w:vAlign w:val="center"/>
          </w:tcPr>
          <w:p w14:paraId="18CE12CF"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34B45B1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0617CE5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A54781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758ED31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3449B3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7A03EEB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7B23A438" w14:textId="77777777">
        <w:trPr>
          <w:trHeight w:val="278"/>
        </w:trPr>
        <w:tc>
          <w:tcPr>
            <w:tcW w:w="1548" w:type="pct"/>
            <w:gridSpan w:val="2"/>
            <w:tcBorders>
              <w:top w:val="nil"/>
              <w:left w:val="nil"/>
              <w:bottom w:val="nil"/>
              <w:right w:val="nil"/>
            </w:tcBorders>
            <w:shd w:val="clear" w:color="auto" w:fill="auto"/>
            <w:noWrap/>
            <w:vAlign w:val="center"/>
          </w:tcPr>
          <w:p w14:paraId="5D09BE7F"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9DDF5B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3273BD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±13.74%</w:t>
            </w:r>
          </w:p>
        </w:tc>
        <w:tc>
          <w:tcPr>
            <w:tcW w:w="574" w:type="pct"/>
            <w:tcBorders>
              <w:top w:val="nil"/>
              <w:left w:val="nil"/>
              <w:bottom w:val="nil"/>
              <w:right w:val="nil"/>
            </w:tcBorders>
            <w:shd w:val="clear" w:color="auto" w:fill="auto"/>
            <w:noWrap/>
            <w:vAlign w:val="center"/>
          </w:tcPr>
          <w:p w14:paraId="032EF42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±8.40%</w:t>
            </w:r>
          </w:p>
        </w:tc>
        <w:tc>
          <w:tcPr>
            <w:tcW w:w="575" w:type="pct"/>
            <w:tcBorders>
              <w:top w:val="nil"/>
              <w:left w:val="nil"/>
              <w:bottom w:val="nil"/>
              <w:right w:val="nil"/>
            </w:tcBorders>
            <w:shd w:val="clear" w:color="auto" w:fill="auto"/>
            <w:noWrap/>
            <w:vAlign w:val="center"/>
          </w:tcPr>
          <w:p w14:paraId="3B59689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00E3C5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D2D3A5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4FF2F9E6" w14:textId="77777777">
        <w:trPr>
          <w:trHeight w:val="278"/>
        </w:trPr>
        <w:tc>
          <w:tcPr>
            <w:tcW w:w="580" w:type="pct"/>
            <w:vMerge w:val="restart"/>
            <w:tcBorders>
              <w:top w:val="nil"/>
              <w:left w:val="nil"/>
              <w:bottom w:val="nil"/>
              <w:right w:val="nil"/>
            </w:tcBorders>
            <w:shd w:val="clear" w:color="auto" w:fill="auto"/>
            <w:noWrap/>
            <w:vAlign w:val="center"/>
          </w:tcPr>
          <w:p w14:paraId="215FF45A"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68" w:type="pct"/>
            <w:tcBorders>
              <w:top w:val="nil"/>
              <w:left w:val="nil"/>
              <w:bottom w:val="nil"/>
              <w:right w:val="nil"/>
            </w:tcBorders>
            <w:shd w:val="clear" w:color="auto" w:fill="auto"/>
            <w:noWrap/>
            <w:vAlign w:val="center"/>
          </w:tcPr>
          <w:p w14:paraId="792DEBD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1BDC4C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33550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0.037/0.734</w:t>
            </w:r>
          </w:p>
        </w:tc>
        <w:tc>
          <w:tcPr>
            <w:tcW w:w="574" w:type="pct"/>
            <w:tcBorders>
              <w:top w:val="nil"/>
              <w:left w:val="nil"/>
              <w:bottom w:val="nil"/>
              <w:right w:val="nil"/>
            </w:tcBorders>
            <w:shd w:val="clear" w:color="auto" w:fill="auto"/>
            <w:noWrap/>
            <w:vAlign w:val="center"/>
          </w:tcPr>
          <w:p w14:paraId="0451805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0.01/0.889</w:t>
            </w:r>
          </w:p>
        </w:tc>
        <w:tc>
          <w:tcPr>
            <w:tcW w:w="575" w:type="pct"/>
            <w:tcBorders>
              <w:top w:val="nil"/>
              <w:left w:val="nil"/>
              <w:bottom w:val="nil"/>
              <w:right w:val="nil"/>
            </w:tcBorders>
            <w:shd w:val="clear" w:color="auto" w:fill="auto"/>
            <w:noWrap/>
            <w:vAlign w:val="center"/>
          </w:tcPr>
          <w:p w14:paraId="45B5C6E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99B527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6B7B04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4F99B0A3" w14:textId="77777777">
        <w:trPr>
          <w:trHeight w:val="278"/>
        </w:trPr>
        <w:tc>
          <w:tcPr>
            <w:tcW w:w="580" w:type="pct"/>
            <w:vMerge/>
            <w:tcBorders>
              <w:top w:val="nil"/>
              <w:left w:val="nil"/>
              <w:bottom w:val="nil"/>
              <w:right w:val="nil"/>
            </w:tcBorders>
            <w:shd w:val="clear" w:color="auto" w:fill="auto"/>
            <w:noWrap/>
            <w:vAlign w:val="center"/>
          </w:tcPr>
          <w:p w14:paraId="3769BF6D" w14:textId="77777777" w:rsidR="0074478A" w:rsidRDefault="0074478A">
            <w:pPr>
              <w:spacing w:line="240" w:lineRule="atLeast"/>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6EE18E6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E206B5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CC2E0B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/0.995</w:t>
            </w:r>
          </w:p>
        </w:tc>
        <w:tc>
          <w:tcPr>
            <w:tcW w:w="574" w:type="pct"/>
            <w:tcBorders>
              <w:top w:val="nil"/>
              <w:left w:val="nil"/>
              <w:bottom w:val="nil"/>
              <w:right w:val="nil"/>
            </w:tcBorders>
            <w:shd w:val="clear" w:color="auto" w:fill="auto"/>
            <w:noWrap/>
            <w:vAlign w:val="center"/>
          </w:tcPr>
          <w:p w14:paraId="7B33ACD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0</w:t>
            </w:r>
          </w:p>
        </w:tc>
        <w:tc>
          <w:tcPr>
            <w:tcW w:w="575" w:type="pct"/>
            <w:tcBorders>
              <w:top w:val="nil"/>
              <w:left w:val="nil"/>
              <w:bottom w:val="nil"/>
              <w:right w:val="nil"/>
            </w:tcBorders>
            <w:shd w:val="clear" w:color="auto" w:fill="auto"/>
            <w:noWrap/>
            <w:vAlign w:val="center"/>
          </w:tcPr>
          <w:p w14:paraId="087A7E3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E48A9D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4A7ACB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47D1BC11" w14:textId="77777777">
        <w:trPr>
          <w:trHeight w:val="278"/>
        </w:trPr>
        <w:tc>
          <w:tcPr>
            <w:tcW w:w="580" w:type="pct"/>
            <w:vMerge/>
            <w:tcBorders>
              <w:top w:val="nil"/>
              <w:left w:val="nil"/>
              <w:bottom w:val="nil"/>
              <w:right w:val="nil"/>
            </w:tcBorders>
            <w:shd w:val="clear" w:color="auto" w:fill="auto"/>
            <w:noWrap/>
            <w:vAlign w:val="center"/>
          </w:tcPr>
          <w:p w14:paraId="561A33FB" w14:textId="77777777" w:rsidR="0074478A" w:rsidRDefault="0074478A">
            <w:pPr>
              <w:spacing w:line="240" w:lineRule="atLeast"/>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6490B0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B3A275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104669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0DF651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5355DA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B5777A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596DE0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7179E8A7" w14:textId="77777777">
        <w:trPr>
          <w:trHeight w:val="278"/>
        </w:trPr>
        <w:tc>
          <w:tcPr>
            <w:tcW w:w="1548" w:type="pct"/>
            <w:gridSpan w:val="2"/>
            <w:tcBorders>
              <w:top w:val="nil"/>
              <w:left w:val="nil"/>
              <w:bottom w:val="single" w:sz="12" w:space="0" w:color="auto"/>
              <w:right w:val="nil"/>
            </w:tcBorders>
            <w:shd w:val="clear" w:color="auto" w:fill="auto"/>
            <w:noWrap/>
            <w:vAlign w:val="center"/>
          </w:tcPr>
          <w:p w14:paraId="5428B11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381F96A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EE44F5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92.31%</w:t>
            </w:r>
          </w:p>
        </w:tc>
        <w:tc>
          <w:tcPr>
            <w:tcW w:w="574" w:type="pct"/>
            <w:tcBorders>
              <w:top w:val="nil"/>
              <w:left w:val="nil"/>
              <w:bottom w:val="single" w:sz="12" w:space="0" w:color="auto"/>
              <w:right w:val="nil"/>
            </w:tcBorders>
            <w:shd w:val="clear" w:color="auto" w:fill="auto"/>
            <w:noWrap/>
            <w:vAlign w:val="center"/>
          </w:tcPr>
          <w:p w14:paraId="07C4134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88</w:t>
            </w:r>
            <w:r>
              <w:rPr>
                <w:rFonts w:ascii="Times New Roman" w:eastAsia="SimSun" w:hAnsi="Times New Roman" w:cs="Times New Roman" w:hint="eastAsia"/>
                <w:color w:val="000000"/>
                <w:kern w:val="0"/>
                <w:szCs w:val="21"/>
                <w:lang w:bidi="ar"/>
              </w:rPr>
              <w:t>.00%</w:t>
            </w:r>
          </w:p>
        </w:tc>
        <w:tc>
          <w:tcPr>
            <w:tcW w:w="575" w:type="pct"/>
            <w:tcBorders>
              <w:top w:val="nil"/>
              <w:left w:val="nil"/>
              <w:bottom w:val="single" w:sz="12" w:space="0" w:color="auto"/>
              <w:right w:val="nil"/>
            </w:tcBorders>
            <w:shd w:val="clear" w:color="auto" w:fill="auto"/>
            <w:noWrap/>
            <w:vAlign w:val="center"/>
          </w:tcPr>
          <w:p w14:paraId="0823278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7B08FD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5B8AA8C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33400126" w14:textId="77777777">
        <w:trPr>
          <w:gridAfter w:val="3"/>
          <w:wAfter w:w="1726" w:type="pct"/>
          <w:trHeight w:val="278"/>
        </w:trPr>
        <w:tc>
          <w:tcPr>
            <w:tcW w:w="1548" w:type="pct"/>
            <w:gridSpan w:val="2"/>
            <w:tcBorders>
              <w:top w:val="single" w:sz="12" w:space="0" w:color="auto"/>
              <w:left w:val="nil"/>
              <w:bottom w:val="single" w:sz="8" w:space="0" w:color="auto"/>
              <w:right w:val="nil"/>
            </w:tcBorders>
            <w:shd w:val="clear" w:color="auto" w:fill="auto"/>
            <w:noWrap/>
            <w:vAlign w:val="center"/>
          </w:tcPr>
          <w:p w14:paraId="6CDF535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E8E0B0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30</w:t>
            </w:r>
            <w:r>
              <w:rPr>
                <w:rFonts w:ascii="Times New Roman" w:eastAsia="SimSun" w:hAnsi="Times New Roman" w:cs="Times New Roman"/>
                <w:color w:val="000000"/>
                <w:kern w:val="0"/>
                <w:szCs w:val="21"/>
                <w:lang w:bidi="ar"/>
              </w:rPr>
              <w:t>-</w:t>
            </w:r>
          </w:p>
          <w:p w14:paraId="3A48CE5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23</w:t>
            </w:r>
          </w:p>
        </w:tc>
        <w:tc>
          <w:tcPr>
            <w:tcW w:w="574" w:type="pct"/>
            <w:tcBorders>
              <w:top w:val="single" w:sz="12" w:space="0" w:color="auto"/>
              <w:left w:val="nil"/>
              <w:bottom w:val="single" w:sz="8" w:space="0" w:color="auto"/>
              <w:right w:val="nil"/>
            </w:tcBorders>
            <w:shd w:val="clear" w:color="auto" w:fill="auto"/>
            <w:noWrap/>
            <w:vAlign w:val="center"/>
          </w:tcPr>
          <w:p w14:paraId="162113E3"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24</w:t>
            </w:r>
            <w:r>
              <w:rPr>
                <w:rFonts w:ascii="Times New Roman" w:eastAsia="SimSun" w:hAnsi="Times New Roman" w:cs="Times New Roman"/>
                <w:color w:val="000000"/>
                <w:kern w:val="0"/>
                <w:szCs w:val="21"/>
                <w:lang w:bidi="ar"/>
              </w:rPr>
              <w:t>-</w:t>
            </w:r>
          </w:p>
          <w:p w14:paraId="0E049FF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01</w:t>
            </w:r>
          </w:p>
        </w:tc>
        <w:tc>
          <w:tcPr>
            <w:tcW w:w="575" w:type="pct"/>
            <w:tcBorders>
              <w:top w:val="single" w:sz="12" w:space="0" w:color="auto"/>
              <w:left w:val="nil"/>
              <w:bottom w:val="single" w:sz="8" w:space="0" w:color="auto"/>
              <w:right w:val="nil"/>
            </w:tcBorders>
            <w:shd w:val="clear" w:color="auto" w:fill="auto"/>
            <w:noWrap/>
            <w:vAlign w:val="center"/>
          </w:tcPr>
          <w:p w14:paraId="627A936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p w14:paraId="13760F9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74478A" w14:paraId="6CDF3701" w14:textId="77777777">
        <w:trPr>
          <w:gridAfter w:val="3"/>
          <w:wAfter w:w="1726" w:type="pct"/>
          <w:trHeight w:val="278"/>
        </w:trPr>
        <w:tc>
          <w:tcPr>
            <w:tcW w:w="580" w:type="pct"/>
            <w:vMerge w:val="restart"/>
            <w:tcBorders>
              <w:top w:val="single" w:sz="8" w:space="0" w:color="auto"/>
              <w:left w:val="nil"/>
              <w:bottom w:val="nil"/>
              <w:right w:val="nil"/>
            </w:tcBorders>
            <w:shd w:val="clear" w:color="auto" w:fill="auto"/>
            <w:noWrap/>
            <w:vAlign w:val="center"/>
          </w:tcPr>
          <w:p w14:paraId="3978CF9E"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68" w:type="pct"/>
            <w:tcBorders>
              <w:top w:val="single" w:sz="8" w:space="0" w:color="auto"/>
              <w:left w:val="nil"/>
              <w:bottom w:val="nil"/>
              <w:right w:val="nil"/>
            </w:tcBorders>
            <w:shd w:val="clear" w:color="auto" w:fill="auto"/>
            <w:noWrap/>
            <w:vAlign w:val="center"/>
          </w:tcPr>
          <w:p w14:paraId="6AC1BECE"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25C1DFF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-0.06%</w:t>
            </w:r>
          </w:p>
        </w:tc>
        <w:tc>
          <w:tcPr>
            <w:tcW w:w="574" w:type="pct"/>
            <w:tcBorders>
              <w:top w:val="single" w:sz="8" w:space="0" w:color="auto"/>
              <w:left w:val="nil"/>
              <w:bottom w:val="nil"/>
              <w:right w:val="nil"/>
            </w:tcBorders>
            <w:shd w:val="clear" w:color="auto" w:fill="auto"/>
            <w:noWrap/>
            <w:vAlign w:val="bottom"/>
          </w:tcPr>
          <w:p w14:paraId="19B90B1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-0.06%</w:t>
            </w:r>
          </w:p>
        </w:tc>
        <w:tc>
          <w:tcPr>
            <w:tcW w:w="575" w:type="pct"/>
            <w:tcBorders>
              <w:top w:val="single" w:sz="8" w:space="0" w:color="auto"/>
              <w:left w:val="nil"/>
              <w:bottom w:val="nil"/>
              <w:right w:val="nil"/>
            </w:tcBorders>
            <w:shd w:val="clear" w:color="auto" w:fill="auto"/>
            <w:noWrap/>
            <w:vAlign w:val="bottom"/>
          </w:tcPr>
          <w:p w14:paraId="6AEBA32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-16.26%</w:t>
            </w:r>
          </w:p>
        </w:tc>
      </w:tr>
      <w:tr w:rsidR="0074478A" w14:paraId="16F5A19A"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4A4E1CC5" w14:textId="77777777" w:rsidR="0074478A" w:rsidRDefault="0074478A">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31B291B3"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2A8C5B9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95.54%</w:t>
            </w:r>
          </w:p>
        </w:tc>
        <w:tc>
          <w:tcPr>
            <w:tcW w:w="574" w:type="pct"/>
            <w:tcBorders>
              <w:top w:val="nil"/>
              <w:left w:val="nil"/>
              <w:bottom w:val="nil"/>
              <w:right w:val="nil"/>
            </w:tcBorders>
            <w:shd w:val="clear" w:color="auto" w:fill="auto"/>
            <w:noWrap/>
            <w:vAlign w:val="bottom"/>
          </w:tcPr>
          <w:p w14:paraId="65A2885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95.54%</w:t>
            </w:r>
          </w:p>
        </w:tc>
        <w:tc>
          <w:tcPr>
            <w:tcW w:w="575" w:type="pct"/>
            <w:tcBorders>
              <w:top w:val="nil"/>
              <w:left w:val="nil"/>
              <w:bottom w:val="nil"/>
              <w:right w:val="nil"/>
            </w:tcBorders>
            <w:shd w:val="clear" w:color="auto" w:fill="auto"/>
            <w:noWrap/>
            <w:vAlign w:val="bottom"/>
          </w:tcPr>
          <w:p w14:paraId="275585A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111.71%</w:t>
            </w:r>
          </w:p>
        </w:tc>
      </w:tr>
      <w:tr w:rsidR="0074478A" w14:paraId="33CB6502"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6845586D" w14:textId="77777777" w:rsidR="0074478A" w:rsidRDefault="0074478A">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75E3260"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03BF727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-2.63%</w:t>
            </w:r>
          </w:p>
        </w:tc>
        <w:tc>
          <w:tcPr>
            <w:tcW w:w="574" w:type="pct"/>
            <w:tcBorders>
              <w:top w:val="nil"/>
              <w:left w:val="nil"/>
              <w:bottom w:val="nil"/>
              <w:right w:val="nil"/>
            </w:tcBorders>
            <w:shd w:val="clear" w:color="auto" w:fill="auto"/>
            <w:noWrap/>
            <w:vAlign w:val="bottom"/>
          </w:tcPr>
          <w:p w14:paraId="629797D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-2.63%</w:t>
            </w:r>
          </w:p>
        </w:tc>
        <w:tc>
          <w:tcPr>
            <w:tcW w:w="575" w:type="pct"/>
            <w:tcBorders>
              <w:top w:val="nil"/>
              <w:left w:val="nil"/>
              <w:bottom w:val="nil"/>
              <w:right w:val="nil"/>
            </w:tcBorders>
            <w:shd w:val="clear" w:color="auto" w:fill="auto"/>
            <w:noWrap/>
            <w:vAlign w:val="bottom"/>
          </w:tcPr>
          <w:p w14:paraId="6CA93E6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-11.49%</w:t>
            </w:r>
          </w:p>
        </w:tc>
      </w:tr>
      <w:tr w:rsidR="0074478A" w14:paraId="1FDFCDA8"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1CEEE01C" w14:textId="77777777" w:rsidR="0074478A" w:rsidRDefault="0074478A">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1318589C"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280C024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7.15%</w:t>
            </w:r>
          </w:p>
        </w:tc>
        <w:tc>
          <w:tcPr>
            <w:tcW w:w="574" w:type="pct"/>
            <w:tcBorders>
              <w:top w:val="nil"/>
              <w:left w:val="nil"/>
              <w:bottom w:val="nil"/>
              <w:right w:val="nil"/>
            </w:tcBorders>
            <w:shd w:val="clear" w:color="auto" w:fill="auto"/>
            <w:noWrap/>
            <w:vAlign w:val="center"/>
          </w:tcPr>
          <w:p w14:paraId="6FBF708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7.15%</w:t>
            </w:r>
          </w:p>
        </w:tc>
        <w:tc>
          <w:tcPr>
            <w:tcW w:w="575" w:type="pct"/>
            <w:tcBorders>
              <w:top w:val="nil"/>
              <w:left w:val="nil"/>
              <w:bottom w:val="nil"/>
              <w:right w:val="nil"/>
            </w:tcBorders>
            <w:shd w:val="clear" w:color="auto" w:fill="auto"/>
            <w:noWrap/>
            <w:vAlign w:val="center"/>
          </w:tcPr>
          <w:p w14:paraId="1E4D8B2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16.04%</w:t>
            </w:r>
          </w:p>
        </w:tc>
      </w:tr>
      <w:tr w:rsidR="0074478A" w14:paraId="53943DEB" w14:textId="77777777">
        <w:trPr>
          <w:gridAfter w:val="3"/>
          <w:wAfter w:w="1726" w:type="pct"/>
          <w:trHeight w:val="278"/>
        </w:trPr>
        <w:tc>
          <w:tcPr>
            <w:tcW w:w="1548" w:type="pct"/>
            <w:gridSpan w:val="2"/>
            <w:tcBorders>
              <w:top w:val="nil"/>
              <w:left w:val="nil"/>
              <w:bottom w:val="nil"/>
              <w:right w:val="nil"/>
            </w:tcBorders>
            <w:shd w:val="clear" w:color="auto" w:fill="auto"/>
            <w:noWrap/>
            <w:vAlign w:val="center"/>
          </w:tcPr>
          <w:p w14:paraId="67E156E2"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4ACF066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033653C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5638940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1A7DF4B0" w14:textId="77777777">
        <w:trPr>
          <w:gridAfter w:val="3"/>
          <w:wAfter w:w="1726" w:type="pct"/>
          <w:trHeight w:val="278"/>
        </w:trPr>
        <w:tc>
          <w:tcPr>
            <w:tcW w:w="1548" w:type="pct"/>
            <w:gridSpan w:val="2"/>
            <w:tcBorders>
              <w:top w:val="nil"/>
              <w:left w:val="nil"/>
              <w:bottom w:val="nil"/>
              <w:right w:val="nil"/>
            </w:tcBorders>
            <w:shd w:val="clear" w:color="auto" w:fill="auto"/>
            <w:noWrap/>
            <w:vAlign w:val="center"/>
          </w:tcPr>
          <w:p w14:paraId="79183BA1"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1B498D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57FB4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24F626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±5.37%</w:t>
            </w:r>
          </w:p>
        </w:tc>
      </w:tr>
      <w:tr w:rsidR="0074478A" w14:paraId="355D3E1A" w14:textId="77777777">
        <w:trPr>
          <w:gridAfter w:val="3"/>
          <w:wAfter w:w="1726" w:type="pct"/>
          <w:trHeight w:val="278"/>
        </w:trPr>
        <w:tc>
          <w:tcPr>
            <w:tcW w:w="580" w:type="pct"/>
            <w:vMerge w:val="restart"/>
            <w:tcBorders>
              <w:top w:val="nil"/>
              <w:left w:val="nil"/>
              <w:bottom w:val="nil"/>
              <w:right w:val="nil"/>
            </w:tcBorders>
            <w:shd w:val="clear" w:color="auto" w:fill="auto"/>
            <w:noWrap/>
            <w:vAlign w:val="center"/>
          </w:tcPr>
          <w:p w14:paraId="6D20C86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68" w:type="pct"/>
            <w:tcBorders>
              <w:top w:val="nil"/>
              <w:left w:val="nil"/>
              <w:bottom w:val="nil"/>
              <w:right w:val="nil"/>
            </w:tcBorders>
            <w:shd w:val="clear" w:color="auto" w:fill="auto"/>
            <w:noWrap/>
            <w:vAlign w:val="center"/>
          </w:tcPr>
          <w:p w14:paraId="1DB5B1D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E73B65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279E9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2FB14E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0.007/0.887</w:t>
            </w:r>
          </w:p>
        </w:tc>
      </w:tr>
      <w:tr w:rsidR="0074478A" w14:paraId="55A9A50E"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55244C07" w14:textId="77777777" w:rsidR="0074478A" w:rsidRDefault="0074478A">
            <w:pPr>
              <w:spacing w:line="240" w:lineRule="atLeast"/>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6C85878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AE125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602D05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4FFD56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/0.983</w:t>
            </w:r>
          </w:p>
        </w:tc>
      </w:tr>
      <w:tr w:rsidR="0074478A" w14:paraId="3B8CAE41"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682DFA7A" w14:textId="77777777" w:rsidR="0074478A" w:rsidRDefault="0074478A">
            <w:pPr>
              <w:spacing w:line="240" w:lineRule="atLeast"/>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6EF05D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BFFC0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235244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BBCF84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7DE764E4" w14:textId="77777777">
        <w:trPr>
          <w:gridAfter w:val="3"/>
          <w:wAfter w:w="1726" w:type="pct"/>
          <w:trHeight w:val="278"/>
        </w:trPr>
        <w:tc>
          <w:tcPr>
            <w:tcW w:w="1548" w:type="pct"/>
            <w:gridSpan w:val="2"/>
            <w:tcBorders>
              <w:top w:val="nil"/>
              <w:left w:val="nil"/>
              <w:bottom w:val="single" w:sz="12" w:space="0" w:color="auto"/>
              <w:right w:val="nil"/>
            </w:tcBorders>
            <w:shd w:val="clear" w:color="auto" w:fill="auto"/>
            <w:noWrap/>
            <w:vAlign w:val="center"/>
          </w:tcPr>
          <w:p w14:paraId="1F05C8E2"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lastRenderedPageBreak/>
              <w:t>Intensity of out-of-band intervention</w:t>
            </w:r>
          </w:p>
        </w:tc>
        <w:tc>
          <w:tcPr>
            <w:tcW w:w="574" w:type="pct"/>
            <w:tcBorders>
              <w:top w:val="nil"/>
              <w:left w:val="nil"/>
              <w:bottom w:val="single" w:sz="12" w:space="0" w:color="auto"/>
              <w:right w:val="nil"/>
            </w:tcBorders>
            <w:shd w:val="clear" w:color="auto" w:fill="auto"/>
            <w:noWrap/>
            <w:vAlign w:val="center"/>
          </w:tcPr>
          <w:p w14:paraId="3BF854B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0D6459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7739C27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69.49%</w:t>
            </w:r>
          </w:p>
        </w:tc>
      </w:tr>
      <w:bookmarkEnd w:id="107"/>
    </w:tbl>
    <w:p w14:paraId="31166841" w14:textId="77777777" w:rsidR="0074478A" w:rsidRDefault="0074478A">
      <w:pPr>
        <w:rPr>
          <w:rFonts w:ascii="Times New Roman" w:hAnsi="Times New Roman" w:cs="Times New Roman"/>
        </w:rPr>
      </w:pPr>
    </w:p>
    <w:p w14:paraId="43AA4EF8" w14:textId="77777777" w:rsidR="0074478A" w:rsidRDefault="00690393">
      <w:pPr>
        <w:rPr>
          <w:rFonts w:ascii="Times New Roman" w:hAnsi="Times New Roman" w:cs="Times New Roman"/>
        </w:rPr>
      </w:pPr>
      <w:r>
        <w:rPr>
          <w:rFonts w:ascii="Times New Roman" w:hAnsi="Times New Roman" w:cs="Times New Roman" w:hint="eastAsia"/>
        </w:rPr>
        <w:t>Panel I: Iceland</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14:paraId="57404B21"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77A4534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bottom"/>
          </w:tcPr>
          <w:p w14:paraId="761B230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2001/06/26</w:t>
            </w:r>
          </w:p>
        </w:tc>
        <w:tc>
          <w:tcPr>
            <w:tcW w:w="574" w:type="pct"/>
            <w:tcBorders>
              <w:top w:val="single" w:sz="12" w:space="0" w:color="auto"/>
              <w:left w:val="nil"/>
              <w:bottom w:val="single" w:sz="8" w:space="0" w:color="auto"/>
              <w:right w:val="nil"/>
            </w:tcBorders>
            <w:shd w:val="clear" w:color="auto" w:fill="auto"/>
            <w:noWrap/>
            <w:vAlign w:val="bottom"/>
          </w:tcPr>
          <w:p w14:paraId="0A1ACC5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2001/06/27-</w:t>
            </w:r>
            <w:r>
              <w:rPr>
                <w:rFonts w:ascii="Times New Roman" w:eastAsia="SimSun" w:hAnsi="Times New Roman" w:cs="Times New Roman"/>
                <w:color w:val="000000"/>
                <w:kern w:val="0"/>
                <w:szCs w:val="21"/>
                <w:lang w:bidi="ar"/>
              </w:rPr>
              <w:br/>
              <w:t>2005/06/17</w:t>
            </w:r>
          </w:p>
        </w:tc>
        <w:tc>
          <w:tcPr>
            <w:tcW w:w="574" w:type="pct"/>
            <w:tcBorders>
              <w:top w:val="single" w:sz="12" w:space="0" w:color="auto"/>
              <w:left w:val="nil"/>
              <w:bottom w:val="single" w:sz="8" w:space="0" w:color="auto"/>
              <w:right w:val="nil"/>
            </w:tcBorders>
            <w:shd w:val="clear" w:color="auto" w:fill="auto"/>
            <w:noWrap/>
            <w:vAlign w:val="center"/>
          </w:tcPr>
          <w:p w14:paraId="411DB32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2005/06/18-</w:t>
            </w:r>
            <w:r>
              <w:rPr>
                <w:rFonts w:ascii="Times New Roman" w:eastAsia="SimSun" w:hAnsi="Times New Roman" w:cs="Times New Roman"/>
                <w:color w:val="000000"/>
                <w:kern w:val="0"/>
                <w:szCs w:val="21"/>
                <w:lang w:bidi="ar"/>
              </w:rPr>
              <w:br/>
              <w:t>2008/10/07</w:t>
            </w:r>
          </w:p>
        </w:tc>
        <w:tc>
          <w:tcPr>
            <w:tcW w:w="574" w:type="pct"/>
            <w:tcBorders>
              <w:top w:val="single" w:sz="12" w:space="0" w:color="auto"/>
              <w:left w:val="nil"/>
              <w:bottom w:val="single" w:sz="8" w:space="0" w:color="auto"/>
              <w:right w:val="nil"/>
            </w:tcBorders>
            <w:shd w:val="clear" w:color="auto" w:fill="auto"/>
            <w:noWrap/>
            <w:vAlign w:val="center"/>
          </w:tcPr>
          <w:p w14:paraId="2B6F4DB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2008/10/08-</w:t>
            </w:r>
            <w:r>
              <w:rPr>
                <w:rFonts w:ascii="Times New Roman" w:eastAsia="SimSun" w:hAnsi="Times New Roman" w:cs="Times New Roman"/>
                <w:color w:val="000000"/>
                <w:kern w:val="0"/>
                <w:szCs w:val="21"/>
                <w:lang w:bidi="ar"/>
              </w:rPr>
              <w:br/>
              <w:t>2009/06/11</w:t>
            </w:r>
          </w:p>
        </w:tc>
        <w:tc>
          <w:tcPr>
            <w:tcW w:w="574" w:type="pct"/>
            <w:tcBorders>
              <w:top w:val="single" w:sz="12" w:space="0" w:color="auto"/>
              <w:left w:val="nil"/>
              <w:bottom w:val="single" w:sz="8" w:space="0" w:color="auto"/>
              <w:right w:val="nil"/>
            </w:tcBorders>
            <w:shd w:val="clear" w:color="auto" w:fill="auto"/>
            <w:noWrap/>
            <w:vAlign w:val="center"/>
          </w:tcPr>
          <w:p w14:paraId="680632A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2009/06/12-</w:t>
            </w:r>
            <w:r>
              <w:rPr>
                <w:rFonts w:ascii="Times New Roman" w:eastAsia="SimSun" w:hAnsi="Times New Roman" w:cs="Times New Roman"/>
                <w:color w:val="000000"/>
                <w:kern w:val="0"/>
                <w:szCs w:val="21"/>
                <w:lang w:bidi="ar"/>
              </w:rPr>
              <w:br/>
              <w:t>2016/12/07</w:t>
            </w:r>
          </w:p>
        </w:tc>
        <w:tc>
          <w:tcPr>
            <w:tcW w:w="576" w:type="pct"/>
            <w:tcBorders>
              <w:top w:val="single" w:sz="12" w:space="0" w:color="auto"/>
              <w:left w:val="nil"/>
              <w:bottom w:val="single" w:sz="8" w:space="0" w:color="auto"/>
              <w:right w:val="nil"/>
            </w:tcBorders>
            <w:shd w:val="clear" w:color="auto" w:fill="auto"/>
            <w:noWrap/>
            <w:vAlign w:val="center"/>
          </w:tcPr>
          <w:p w14:paraId="50D35A6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2016/12/08-</w:t>
            </w:r>
            <w:r>
              <w:rPr>
                <w:rFonts w:ascii="Times New Roman" w:eastAsia="SimSun" w:hAnsi="Times New Roman" w:cs="Times New Roman"/>
                <w:color w:val="000000"/>
                <w:kern w:val="0"/>
                <w:szCs w:val="21"/>
                <w:lang w:bidi="ar"/>
              </w:rPr>
              <w:br/>
              <w:t>2020/12/31</w:t>
            </w:r>
          </w:p>
        </w:tc>
      </w:tr>
      <w:tr w:rsidR="0074478A" w14:paraId="100FCE57"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588F1AC9"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05037D2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71E4AC0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32.92%</w:t>
            </w:r>
          </w:p>
        </w:tc>
        <w:tc>
          <w:tcPr>
            <w:tcW w:w="574" w:type="pct"/>
            <w:tcBorders>
              <w:top w:val="single" w:sz="8" w:space="0" w:color="auto"/>
              <w:left w:val="nil"/>
              <w:bottom w:val="nil"/>
              <w:right w:val="nil"/>
            </w:tcBorders>
            <w:shd w:val="clear" w:color="auto" w:fill="auto"/>
            <w:noWrap/>
            <w:vAlign w:val="bottom"/>
          </w:tcPr>
          <w:p w14:paraId="6CA8CCE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32.92%</w:t>
            </w:r>
          </w:p>
        </w:tc>
        <w:tc>
          <w:tcPr>
            <w:tcW w:w="574" w:type="pct"/>
            <w:tcBorders>
              <w:top w:val="single" w:sz="8" w:space="0" w:color="auto"/>
              <w:left w:val="nil"/>
              <w:bottom w:val="nil"/>
              <w:right w:val="nil"/>
            </w:tcBorders>
            <w:shd w:val="clear" w:color="auto" w:fill="auto"/>
            <w:noWrap/>
            <w:vAlign w:val="bottom"/>
          </w:tcPr>
          <w:p w14:paraId="22CAA37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24.14%</w:t>
            </w:r>
          </w:p>
        </w:tc>
        <w:tc>
          <w:tcPr>
            <w:tcW w:w="574" w:type="pct"/>
            <w:tcBorders>
              <w:top w:val="single" w:sz="8" w:space="0" w:color="auto"/>
              <w:left w:val="nil"/>
              <w:bottom w:val="nil"/>
              <w:right w:val="nil"/>
            </w:tcBorders>
            <w:shd w:val="clear" w:color="auto" w:fill="auto"/>
            <w:noWrap/>
            <w:vAlign w:val="bottom"/>
          </w:tcPr>
          <w:p w14:paraId="52ED364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9.68%</w:t>
            </w:r>
          </w:p>
        </w:tc>
        <w:tc>
          <w:tcPr>
            <w:tcW w:w="574" w:type="pct"/>
            <w:tcBorders>
              <w:top w:val="single" w:sz="8" w:space="0" w:color="auto"/>
              <w:left w:val="nil"/>
              <w:bottom w:val="nil"/>
              <w:right w:val="nil"/>
            </w:tcBorders>
            <w:shd w:val="clear" w:color="auto" w:fill="auto"/>
            <w:noWrap/>
            <w:vAlign w:val="bottom"/>
          </w:tcPr>
          <w:p w14:paraId="7148819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9.68%</w:t>
            </w:r>
          </w:p>
        </w:tc>
        <w:tc>
          <w:tcPr>
            <w:tcW w:w="576" w:type="pct"/>
            <w:tcBorders>
              <w:top w:val="single" w:sz="8" w:space="0" w:color="auto"/>
              <w:left w:val="nil"/>
              <w:bottom w:val="nil"/>
              <w:right w:val="nil"/>
            </w:tcBorders>
            <w:shd w:val="clear" w:color="auto" w:fill="auto"/>
            <w:noWrap/>
            <w:vAlign w:val="bottom"/>
          </w:tcPr>
          <w:p w14:paraId="05A1178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9.68%</w:t>
            </w:r>
          </w:p>
        </w:tc>
      </w:tr>
      <w:tr w:rsidR="0074478A" w14:paraId="41F17EEF" w14:textId="77777777">
        <w:trPr>
          <w:trHeight w:val="278"/>
        </w:trPr>
        <w:tc>
          <w:tcPr>
            <w:tcW w:w="576" w:type="pct"/>
            <w:vMerge/>
            <w:tcBorders>
              <w:top w:val="nil"/>
              <w:left w:val="nil"/>
              <w:bottom w:val="nil"/>
              <w:right w:val="nil"/>
            </w:tcBorders>
            <w:shd w:val="clear" w:color="auto" w:fill="auto"/>
            <w:noWrap/>
            <w:vAlign w:val="center"/>
          </w:tcPr>
          <w:p w14:paraId="496B999A"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FF0730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067A85D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51.22%</w:t>
            </w:r>
          </w:p>
        </w:tc>
        <w:tc>
          <w:tcPr>
            <w:tcW w:w="574" w:type="pct"/>
            <w:tcBorders>
              <w:top w:val="nil"/>
              <w:left w:val="nil"/>
              <w:bottom w:val="nil"/>
              <w:right w:val="nil"/>
            </w:tcBorders>
            <w:shd w:val="clear" w:color="auto" w:fill="auto"/>
            <w:noWrap/>
            <w:vAlign w:val="bottom"/>
          </w:tcPr>
          <w:p w14:paraId="256DC4A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51.22%</w:t>
            </w:r>
          </w:p>
        </w:tc>
        <w:tc>
          <w:tcPr>
            <w:tcW w:w="574" w:type="pct"/>
            <w:tcBorders>
              <w:top w:val="nil"/>
              <w:left w:val="nil"/>
              <w:bottom w:val="nil"/>
              <w:right w:val="nil"/>
            </w:tcBorders>
            <w:shd w:val="clear" w:color="auto" w:fill="auto"/>
            <w:noWrap/>
            <w:vAlign w:val="bottom"/>
          </w:tcPr>
          <w:p w14:paraId="7F1E06F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110.00%</w:t>
            </w:r>
          </w:p>
        </w:tc>
        <w:tc>
          <w:tcPr>
            <w:tcW w:w="574" w:type="pct"/>
            <w:tcBorders>
              <w:top w:val="nil"/>
              <w:left w:val="nil"/>
              <w:bottom w:val="nil"/>
              <w:right w:val="nil"/>
            </w:tcBorders>
            <w:shd w:val="clear" w:color="auto" w:fill="auto"/>
            <w:noWrap/>
            <w:vAlign w:val="bottom"/>
          </w:tcPr>
          <w:p w14:paraId="3DFD484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71.41%</w:t>
            </w:r>
          </w:p>
        </w:tc>
        <w:tc>
          <w:tcPr>
            <w:tcW w:w="574" w:type="pct"/>
            <w:tcBorders>
              <w:top w:val="nil"/>
              <w:left w:val="nil"/>
              <w:bottom w:val="nil"/>
              <w:right w:val="nil"/>
            </w:tcBorders>
            <w:shd w:val="clear" w:color="auto" w:fill="auto"/>
            <w:noWrap/>
            <w:vAlign w:val="bottom"/>
          </w:tcPr>
          <w:p w14:paraId="38CBC2C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71.41%</w:t>
            </w:r>
          </w:p>
        </w:tc>
        <w:tc>
          <w:tcPr>
            <w:tcW w:w="576" w:type="pct"/>
            <w:tcBorders>
              <w:top w:val="nil"/>
              <w:left w:val="nil"/>
              <w:bottom w:val="nil"/>
              <w:right w:val="nil"/>
            </w:tcBorders>
            <w:shd w:val="clear" w:color="auto" w:fill="auto"/>
            <w:noWrap/>
            <w:vAlign w:val="bottom"/>
          </w:tcPr>
          <w:p w14:paraId="7BFD5D4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71.41%</w:t>
            </w:r>
          </w:p>
        </w:tc>
      </w:tr>
      <w:tr w:rsidR="0074478A" w14:paraId="09CD0517" w14:textId="77777777">
        <w:trPr>
          <w:trHeight w:val="278"/>
        </w:trPr>
        <w:tc>
          <w:tcPr>
            <w:tcW w:w="576" w:type="pct"/>
            <w:vMerge/>
            <w:tcBorders>
              <w:top w:val="nil"/>
              <w:left w:val="nil"/>
              <w:bottom w:val="nil"/>
              <w:right w:val="nil"/>
            </w:tcBorders>
            <w:shd w:val="clear" w:color="auto" w:fill="auto"/>
            <w:noWrap/>
            <w:vAlign w:val="center"/>
          </w:tcPr>
          <w:p w14:paraId="689F6B91"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6EE8439"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475363C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3.77%</w:t>
            </w:r>
          </w:p>
        </w:tc>
        <w:tc>
          <w:tcPr>
            <w:tcW w:w="574" w:type="pct"/>
            <w:tcBorders>
              <w:top w:val="nil"/>
              <w:left w:val="nil"/>
              <w:bottom w:val="nil"/>
              <w:right w:val="nil"/>
            </w:tcBorders>
            <w:shd w:val="clear" w:color="auto" w:fill="auto"/>
            <w:noWrap/>
            <w:vAlign w:val="bottom"/>
          </w:tcPr>
          <w:p w14:paraId="6527F12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3.77%</w:t>
            </w:r>
          </w:p>
        </w:tc>
        <w:tc>
          <w:tcPr>
            <w:tcW w:w="574" w:type="pct"/>
            <w:tcBorders>
              <w:top w:val="nil"/>
              <w:left w:val="nil"/>
              <w:bottom w:val="nil"/>
              <w:right w:val="nil"/>
            </w:tcBorders>
            <w:shd w:val="clear" w:color="auto" w:fill="auto"/>
            <w:noWrap/>
            <w:vAlign w:val="bottom"/>
          </w:tcPr>
          <w:p w14:paraId="485A7A6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-67.36%</w:t>
            </w:r>
          </w:p>
        </w:tc>
        <w:tc>
          <w:tcPr>
            <w:tcW w:w="574" w:type="pct"/>
            <w:tcBorders>
              <w:top w:val="nil"/>
              <w:left w:val="nil"/>
              <w:bottom w:val="nil"/>
              <w:right w:val="nil"/>
            </w:tcBorders>
            <w:shd w:val="clear" w:color="auto" w:fill="auto"/>
            <w:noWrap/>
            <w:vAlign w:val="bottom"/>
          </w:tcPr>
          <w:p w14:paraId="521654C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w:t>
            </w:r>
          </w:p>
        </w:tc>
        <w:tc>
          <w:tcPr>
            <w:tcW w:w="574" w:type="pct"/>
            <w:tcBorders>
              <w:top w:val="nil"/>
              <w:left w:val="nil"/>
              <w:bottom w:val="nil"/>
              <w:right w:val="nil"/>
            </w:tcBorders>
            <w:shd w:val="clear" w:color="auto" w:fill="auto"/>
            <w:noWrap/>
            <w:vAlign w:val="bottom"/>
          </w:tcPr>
          <w:p w14:paraId="3DBE1E5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w:t>
            </w:r>
          </w:p>
        </w:tc>
        <w:tc>
          <w:tcPr>
            <w:tcW w:w="576" w:type="pct"/>
            <w:tcBorders>
              <w:top w:val="nil"/>
              <w:left w:val="nil"/>
              <w:bottom w:val="nil"/>
              <w:right w:val="nil"/>
            </w:tcBorders>
            <w:shd w:val="clear" w:color="auto" w:fill="auto"/>
            <w:noWrap/>
            <w:vAlign w:val="bottom"/>
          </w:tcPr>
          <w:p w14:paraId="419EF29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w:t>
            </w:r>
          </w:p>
        </w:tc>
      </w:tr>
      <w:tr w:rsidR="0074478A" w14:paraId="2AC900F8" w14:textId="77777777">
        <w:trPr>
          <w:trHeight w:val="278"/>
        </w:trPr>
        <w:tc>
          <w:tcPr>
            <w:tcW w:w="576" w:type="pct"/>
            <w:vMerge/>
            <w:tcBorders>
              <w:top w:val="nil"/>
              <w:left w:val="nil"/>
              <w:bottom w:val="nil"/>
              <w:right w:val="nil"/>
            </w:tcBorders>
            <w:shd w:val="clear" w:color="auto" w:fill="auto"/>
            <w:noWrap/>
            <w:vAlign w:val="center"/>
          </w:tcPr>
          <w:p w14:paraId="1948F75C"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F463A26"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643180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12.10%</w:t>
            </w:r>
          </w:p>
        </w:tc>
        <w:tc>
          <w:tcPr>
            <w:tcW w:w="574" w:type="pct"/>
            <w:tcBorders>
              <w:top w:val="nil"/>
              <w:left w:val="nil"/>
              <w:bottom w:val="nil"/>
              <w:right w:val="nil"/>
            </w:tcBorders>
            <w:shd w:val="clear" w:color="auto" w:fill="auto"/>
            <w:noWrap/>
            <w:vAlign w:val="center"/>
          </w:tcPr>
          <w:p w14:paraId="5A15A72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12.10%</w:t>
            </w:r>
          </w:p>
        </w:tc>
        <w:tc>
          <w:tcPr>
            <w:tcW w:w="574" w:type="pct"/>
            <w:tcBorders>
              <w:top w:val="nil"/>
              <w:left w:val="nil"/>
              <w:bottom w:val="nil"/>
              <w:right w:val="nil"/>
            </w:tcBorders>
            <w:shd w:val="clear" w:color="auto" w:fill="auto"/>
            <w:noWrap/>
            <w:vAlign w:val="center"/>
          </w:tcPr>
          <w:p w14:paraId="0BBB692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33.21%</w:t>
            </w:r>
          </w:p>
        </w:tc>
        <w:tc>
          <w:tcPr>
            <w:tcW w:w="574" w:type="pct"/>
            <w:tcBorders>
              <w:top w:val="nil"/>
              <w:left w:val="nil"/>
              <w:bottom w:val="nil"/>
              <w:right w:val="nil"/>
            </w:tcBorders>
            <w:shd w:val="clear" w:color="auto" w:fill="auto"/>
            <w:noWrap/>
            <w:vAlign w:val="center"/>
          </w:tcPr>
          <w:p w14:paraId="2FBEB88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8.32%</w:t>
            </w:r>
          </w:p>
        </w:tc>
        <w:tc>
          <w:tcPr>
            <w:tcW w:w="574" w:type="pct"/>
            <w:tcBorders>
              <w:top w:val="nil"/>
              <w:left w:val="nil"/>
              <w:bottom w:val="nil"/>
              <w:right w:val="nil"/>
            </w:tcBorders>
            <w:shd w:val="clear" w:color="auto" w:fill="auto"/>
            <w:noWrap/>
            <w:vAlign w:val="center"/>
          </w:tcPr>
          <w:p w14:paraId="42BA742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8.32%</w:t>
            </w:r>
          </w:p>
        </w:tc>
        <w:tc>
          <w:tcPr>
            <w:tcW w:w="576" w:type="pct"/>
            <w:tcBorders>
              <w:top w:val="nil"/>
              <w:left w:val="nil"/>
              <w:bottom w:val="nil"/>
              <w:right w:val="nil"/>
            </w:tcBorders>
            <w:shd w:val="clear" w:color="auto" w:fill="auto"/>
            <w:noWrap/>
            <w:vAlign w:val="center"/>
          </w:tcPr>
          <w:p w14:paraId="0605E2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8.32%</w:t>
            </w:r>
          </w:p>
        </w:tc>
      </w:tr>
      <w:tr w:rsidR="0074478A" w14:paraId="4FFA899E" w14:textId="77777777">
        <w:trPr>
          <w:trHeight w:val="278"/>
        </w:trPr>
        <w:tc>
          <w:tcPr>
            <w:tcW w:w="1551" w:type="pct"/>
            <w:gridSpan w:val="2"/>
            <w:tcBorders>
              <w:top w:val="nil"/>
              <w:left w:val="nil"/>
              <w:bottom w:val="nil"/>
              <w:right w:val="nil"/>
            </w:tcBorders>
            <w:shd w:val="clear" w:color="auto" w:fill="auto"/>
            <w:noWrap/>
            <w:vAlign w:val="center"/>
          </w:tcPr>
          <w:p w14:paraId="7C36EA01"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bookmarkStart w:id="108" w:name="OLE_LINK45" w:colFirst="5" w:colLast="5"/>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61BC263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13F85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3B2BA11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13D0982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469AFA3"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2583E52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0B2453E0" w14:textId="77777777">
        <w:trPr>
          <w:trHeight w:val="278"/>
        </w:trPr>
        <w:tc>
          <w:tcPr>
            <w:tcW w:w="1551" w:type="pct"/>
            <w:gridSpan w:val="2"/>
            <w:tcBorders>
              <w:top w:val="nil"/>
              <w:left w:val="nil"/>
              <w:bottom w:val="nil"/>
              <w:right w:val="nil"/>
            </w:tcBorders>
            <w:shd w:val="clear" w:color="auto" w:fill="auto"/>
            <w:noWrap/>
            <w:vAlign w:val="center"/>
          </w:tcPr>
          <w:p w14:paraId="597E4FAF"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C3CBE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±16.20%</w:t>
            </w:r>
          </w:p>
        </w:tc>
        <w:tc>
          <w:tcPr>
            <w:tcW w:w="574" w:type="pct"/>
            <w:tcBorders>
              <w:top w:val="nil"/>
              <w:left w:val="nil"/>
              <w:bottom w:val="nil"/>
              <w:right w:val="nil"/>
            </w:tcBorders>
            <w:shd w:val="clear" w:color="auto" w:fill="auto"/>
            <w:noWrap/>
            <w:vAlign w:val="center"/>
          </w:tcPr>
          <w:p w14:paraId="3B7178B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±18.11%</w:t>
            </w:r>
          </w:p>
        </w:tc>
        <w:tc>
          <w:tcPr>
            <w:tcW w:w="574" w:type="pct"/>
            <w:tcBorders>
              <w:top w:val="nil"/>
              <w:left w:val="nil"/>
              <w:bottom w:val="nil"/>
              <w:right w:val="nil"/>
            </w:tcBorders>
            <w:shd w:val="clear" w:color="auto" w:fill="auto"/>
            <w:noWrap/>
            <w:vAlign w:val="center"/>
          </w:tcPr>
          <w:p w14:paraId="0B31CA1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023CA7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81B5B2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C85914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±24.04%</w:t>
            </w:r>
          </w:p>
        </w:tc>
      </w:tr>
      <w:tr w:rsidR="0074478A" w14:paraId="0B15E7BC" w14:textId="77777777">
        <w:trPr>
          <w:trHeight w:val="278"/>
        </w:trPr>
        <w:tc>
          <w:tcPr>
            <w:tcW w:w="576" w:type="pct"/>
            <w:vMerge w:val="restart"/>
            <w:tcBorders>
              <w:top w:val="nil"/>
              <w:left w:val="nil"/>
              <w:bottom w:val="nil"/>
              <w:right w:val="nil"/>
            </w:tcBorders>
            <w:shd w:val="clear" w:color="auto" w:fill="auto"/>
            <w:noWrap/>
            <w:vAlign w:val="center"/>
          </w:tcPr>
          <w:p w14:paraId="0BB2797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58EB845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E40752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9DAABC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0.014/0.94</w:t>
            </w:r>
            <w:r>
              <w:rPr>
                <w:rFonts w:ascii="Times New Roman" w:eastAsia="SimSun" w:hAnsi="Times New Roman" w:cs="Times New Roman" w:hint="eastAsia"/>
                <w:color w:val="000000"/>
                <w:kern w:val="0"/>
                <w:szCs w:val="21"/>
                <w:lang w:bidi="ar"/>
              </w:rPr>
              <w:t>0</w:t>
            </w:r>
          </w:p>
        </w:tc>
        <w:tc>
          <w:tcPr>
            <w:tcW w:w="574" w:type="pct"/>
            <w:tcBorders>
              <w:top w:val="nil"/>
              <w:left w:val="nil"/>
              <w:bottom w:val="nil"/>
              <w:right w:val="nil"/>
            </w:tcBorders>
            <w:shd w:val="clear" w:color="auto" w:fill="auto"/>
            <w:noWrap/>
            <w:vAlign w:val="center"/>
          </w:tcPr>
          <w:p w14:paraId="04FC2ED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9D76C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8E34CA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3003C4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3E50CBE5" w14:textId="77777777">
        <w:trPr>
          <w:trHeight w:val="278"/>
        </w:trPr>
        <w:tc>
          <w:tcPr>
            <w:tcW w:w="576" w:type="pct"/>
            <w:vMerge/>
            <w:tcBorders>
              <w:top w:val="nil"/>
              <w:left w:val="nil"/>
              <w:bottom w:val="nil"/>
              <w:right w:val="nil"/>
            </w:tcBorders>
            <w:shd w:val="clear" w:color="auto" w:fill="auto"/>
            <w:noWrap/>
            <w:vAlign w:val="center"/>
          </w:tcPr>
          <w:p w14:paraId="6267CCA5"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322BC5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6A1479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/1.009</w:t>
            </w:r>
          </w:p>
        </w:tc>
        <w:tc>
          <w:tcPr>
            <w:tcW w:w="574" w:type="pct"/>
            <w:tcBorders>
              <w:top w:val="nil"/>
              <w:left w:val="nil"/>
              <w:bottom w:val="nil"/>
              <w:right w:val="nil"/>
            </w:tcBorders>
            <w:shd w:val="clear" w:color="auto" w:fill="auto"/>
            <w:noWrap/>
            <w:vAlign w:val="center"/>
          </w:tcPr>
          <w:p w14:paraId="1444B68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/0.997</w:t>
            </w:r>
          </w:p>
        </w:tc>
        <w:tc>
          <w:tcPr>
            <w:tcW w:w="574" w:type="pct"/>
            <w:tcBorders>
              <w:top w:val="nil"/>
              <w:left w:val="nil"/>
              <w:bottom w:val="nil"/>
              <w:right w:val="nil"/>
            </w:tcBorders>
            <w:shd w:val="clear" w:color="auto" w:fill="auto"/>
            <w:noWrap/>
            <w:vAlign w:val="center"/>
          </w:tcPr>
          <w:p w14:paraId="2B1B8C9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EC9EF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29B797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18ECCB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/1.001</w:t>
            </w:r>
          </w:p>
        </w:tc>
      </w:tr>
      <w:tr w:rsidR="0074478A" w14:paraId="65061712" w14:textId="77777777">
        <w:trPr>
          <w:trHeight w:val="278"/>
        </w:trPr>
        <w:tc>
          <w:tcPr>
            <w:tcW w:w="576" w:type="pct"/>
            <w:vMerge/>
            <w:tcBorders>
              <w:top w:val="nil"/>
              <w:left w:val="nil"/>
              <w:bottom w:val="nil"/>
              <w:right w:val="nil"/>
            </w:tcBorders>
            <w:shd w:val="clear" w:color="auto" w:fill="auto"/>
            <w:noWrap/>
            <w:vAlign w:val="center"/>
          </w:tcPr>
          <w:p w14:paraId="3CAADF3E"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243193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32AA4E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-0.108/0.486</w:t>
            </w:r>
          </w:p>
        </w:tc>
        <w:tc>
          <w:tcPr>
            <w:tcW w:w="574" w:type="pct"/>
            <w:tcBorders>
              <w:top w:val="nil"/>
              <w:left w:val="nil"/>
              <w:bottom w:val="nil"/>
              <w:right w:val="nil"/>
            </w:tcBorders>
            <w:shd w:val="clear" w:color="auto" w:fill="auto"/>
            <w:noWrap/>
            <w:vAlign w:val="center"/>
          </w:tcPr>
          <w:p w14:paraId="7604F08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68D891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ED1545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F9D08F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66D95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0.004/1.011</w:t>
            </w:r>
          </w:p>
        </w:tc>
      </w:tr>
      <w:tr w:rsidR="0074478A" w14:paraId="0A4AAD86"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35AFF4D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3A51AEA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52</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5</w:t>
            </w:r>
            <w:r>
              <w:rPr>
                <w:rFonts w:ascii="Times New Roman" w:eastAsia="SimSun" w:hAnsi="Times New Roman" w:cs="Times New Roman" w:hint="eastAsia"/>
                <w:color w:val="000000"/>
                <w:kern w:val="0"/>
                <w:szCs w:val="21"/>
                <w:lang w:bidi="ar"/>
              </w:rPr>
              <w:t>1%</w:t>
            </w:r>
          </w:p>
        </w:tc>
        <w:tc>
          <w:tcPr>
            <w:tcW w:w="574" w:type="pct"/>
            <w:tcBorders>
              <w:top w:val="nil"/>
              <w:left w:val="nil"/>
              <w:bottom w:val="single" w:sz="12" w:space="0" w:color="auto"/>
              <w:right w:val="nil"/>
            </w:tcBorders>
            <w:shd w:val="clear" w:color="auto" w:fill="auto"/>
            <w:noWrap/>
            <w:vAlign w:val="center"/>
          </w:tcPr>
          <w:p w14:paraId="6AA5495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64</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6</w:t>
            </w:r>
            <w:r>
              <w:rPr>
                <w:rFonts w:ascii="Times New Roman" w:eastAsia="SimSun" w:hAnsi="Times New Roman" w:cs="Times New Roman" w:hint="eastAsia"/>
                <w:color w:val="000000"/>
                <w:kern w:val="0"/>
                <w:szCs w:val="21"/>
                <w:lang w:bidi="ar"/>
              </w:rPr>
              <w:t>4%</w:t>
            </w:r>
          </w:p>
        </w:tc>
        <w:tc>
          <w:tcPr>
            <w:tcW w:w="574" w:type="pct"/>
            <w:tcBorders>
              <w:top w:val="nil"/>
              <w:left w:val="nil"/>
              <w:bottom w:val="single" w:sz="12" w:space="0" w:color="auto"/>
              <w:right w:val="nil"/>
            </w:tcBorders>
            <w:shd w:val="clear" w:color="auto" w:fill="auto"/>
            <w:noWrap/>
            <w:vAlign w:val="center"/>
          </w:tcPr>
          <w:p w14:paraId="61FBECF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18BFAA5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BF570F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61FB8C8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79.47%</w:t>
            </w:r>
          </w:p>
        </w:tc>
      </w:tr>
      <w:bookmarkEnd w:id="108"/>
    </w:tbl>
    <w:p w14:paraId="6DEFB409" w14:textId="77777777" w:rsidR="0074478A" w:rsidRDefault="0074478A">
      <w:pPr>
        <w:rPr>
          <w:rFonts w:ascii="Times New Roman" w:hAnsi="Times New Roman" w:cs="Times New Roman"/>
        </w:rPr>
      </w:pPr>
    </w:p>
    <w:p w14:paraId="1FDAAC9E" w14:textId="77777777" w:rsidR="0074478A" w:rsidRDefault="0074478A">
      <w:pPr>
        <w:rPr>
          <w:rFonts w:ascii="Times New Roman" w:hAnsi="Times New Roman" w:cs="Times New Roman"/>
        </w:rPr>
      </w:pPr>
    </w:p>
    <w:p w14:paraId="231CD9E1" w14:textId="77777777" w:rsidR="0074478A" w:rsidRDefault="0074478A">
      <w:pPr>
        <w:rPr>
          <w:rFonts w:ascii="Times New Roman" w:hAnsi="Times New Roman" w:cs="Times New Roman"/>
        </w:rPr>
      </w:pPr>
    </w:p>
    <w:p w14:paraId="24DF5439" w14:textId="77777777" w:rsidR="0074478A" w:rsidRDefault="0074478A">
      <w:pPr>
        <w:rPr>
          <w:rFonts w:ascii="Times New Roman" w:hAnsi="Times New Roman" w:cs="Times New Roman"/>
        </w:rPr>
      </w:pPr>
    </w:p>
    <w:p w14:paraId="26AECD20" w14:textId="77777777" w:rsidR="0074478A" w:rsidRDefault="0074478A">
      <w:pPr>
        <w:rPr>
          <w:rFonts w:ascii="Times New Roman" w:hAnsi="Times New Roman" w:cs="Times New Roman"/>
        </w:rPr>
      </w:pPr>
    </w:p>
    <w:p w14:paraId="1B0003DE" w14:textId="77777777" w:rsidR="0074478A" w:rsidRDefault="0074478A">
      <w:pPr>
        <w:rPr>
          <w:rFonts w:ascii="Times New Roman" w:hAnsi="Times New Roman" w:cs="Times New Roman"/>
        </w:rPr>
      </w:pPr>
    </w:p>
    <w:p w14:paraId="6AA11AD0" w14:textId="77777777" w:rsidR="0074478A" w:rsidRDefault="0074478A">
      <w:pPr>
        <w:rPr>
          <w:rFonts w:ascii="Times New Roman" w:hAnsi="Times New Roman" w:cs="Times New Roman"/>
        </w:rPr>
      </w:pPr>
    </w:p>
    <w:p w14:paraId="418E7C1F" w14:textId="77777777" w:rsidR="0074478A" w:rsidRDefault="0074478A">
      <w:pPr>
        <w:rPr>
          <w:rFonts w:ascii="Times New Roman" w:hAnsi="Times New Roman" w:cs="Times New Roman"/>
        </w:rPr>
      </w:pPr>
    </w:p>
    <w:p w14:paraId="123C93F2" w14:textId="77777777" w:rsidR="0074478A" w:rsidRDefault="0074478A">
      <w:pPr>
        <w:rPr>
          <w:rFonts w:ascii="Times New Roman" w:hAnsi="Times New Roman" w:cs="Times New Roman"/>
        </w:rPr>
      </w:pPr>
    </w:p>
    <w:p w14:paraId="390466DC" w14:textId="77777777" w:rsidR="0074478A" w:rsidRDefault="0074478A">
      <w:pPr>
        <w:rPr>
          <w:rFonts w:ascii="Times New Roman" w:hAnsi="Times New Roman" w:cs="Times New Roman"/>
        </w:rPr>
      </w:pPr>
    </w:p>
    <w:p w14:paraId="78EAC562" w14:textId="77777777" w:rsidR="0074478A" w:rsidRDefault="0074478A">
      <w:pPr>
        <w:rPr>
          <w:rFonts w:ascii="Times New Roman" w:hAnsi="Times New Roman" w:cs="Times New Roman"/>
        </w:rPr>
      </w:pPr>
    </w:p>
    <w:p w14:paraId="61A33B08" w14:textId="77777777" w:rsidR="0074478A" w:rsidRDefault="0074478A">
      <w:pPr>
        <w:rPr>
          <w:rFonts w:ascii="Times New Roman" w:hAnsi="Times New Roman" w:cs="Times New Roman"/>
        </w:rPr>
      </w:pPr>
    </w:p>
    <w:p w14:paraId="4E1C9A9D" w14:textId="77777777" w:rsidR="0074478A" w:rsidRDefault="0074478A">
      <w:pPr>
        <w:rPr>
          <w:rFonts w:ascii="Times New Roman" w:hAnsi="Times New Roman" w:cs="Times New Roman"/>
        </w:rPr>
      </w:pPr>
    </w:p>
    <w:p w14:paraId="3A646AC7" w14:textId="77777777" w:rsidR="0074478A" w:rsidRDefault="00690393">
      <w:pPr>
        <w:rPr>
          <w:rFonts w:ascii="Times New Roman" w:hAnsi="Times New Roman" w:cs="Times New Roman"/>
        </w:rPr>
      </w:pPr>
      <w:r>
        <w:rPr>
          <w:rFonts w:ascii="Times New Roman" w:hAnsi="Times New Roman" w:cs="Times New Roman" w:hint="eastAsia"/>
        </w:rPr>
        <w:t>Panel J: India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14:paraId="18B23CCF"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396123C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5EA6F1D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1999/06/24</w:t>
            </w:r>
          </w:p>
        </w:tc>
        <w:tc>
          <w:tcPr>
            <w:tcW w:w="574" w:type="pct"/>
            <w:tcBorders>
              <w:top w:val="single" w:sz="12" w:space="0" w:color="auto"/>
              <w:left w:val="nil"/>
              <w:bottom w:val="single" w:sz="8" w:space="0" w:color="auto"/>
              <w:right w:val="nil"/>
            </w:tcBorders>
            <w:shd w:val="clear" w:color="auto" w:fill="auto"/>
            <w:noWrap/>
            <w:vAlign w:val="center"/>
          </w:tcPr>
          <w:p w14:paraId="4599CAA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1999/06/25-</w:t>
            </w:r>
            <w:r>
              <w:rPr>
                <w:rFonts w:ascii="Times New Roman" w:eastAsia="SimSun" w:hAnsi="Times New Roman" w:cs="Times New Roman"/>
                <w:color w:val="000000"/>
                <w:kern w:val="0"/>
                <w:szCs w:val="21"/>
                <w:lang w:bidi="ar"/>
              </w:rPr>
              <w:br/>
              <w:t>2001/02/01</w:t>
            </w:r>
          </w:p>
        </w:tc>
        <w:tc>
          <w:tcPr>
            <w:tcW w:w="574" w:type="pct"/>
            <w:tcBorders>
              <w:top w:val="single" w:sz="12" w:space="0" w:color="auto"/>
              <w:left w:val="nil"/>
              <w:bottom w:val="single" w:sz="8" w:space="0" w:color="auto"/>
              <w:right w:val="nil"/>
            </w:tcBorders>
            <w:shd w:val="clear" w:color="auto" w:fill="auto"/>
            <w:noWrap/>
            <w:vAlign w:val="center"/>
          </w:tcPr>
          <w:p w14:paraId="3800764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2001/02/02-</w:t>
            </w:r>
            <w:r>
              <w:rPr>
                <w:rFonts w:ascii="Times New Roman" w:eastAsia="SimSun" w:hAnsi="Times New Roman" w:cs="Times New Roman"/>
                <w:color w:val="000000"/>
                <w:kern w:val="0"/>
                <w:szCs w:val="21"/>
                <w:lang w:bidi="ar"/>
              </w:rPr>
              <w:br/>
              <w:t>2003/09/19</w:t>
            </w:r>
          </w:p>
        </w:tc>
        <w:tc>
          <w:tcPr>
            <w:tcW w:w="574" w:type="pct"/>
            <w:tcBorders>
              <w:top w:val="single" w:sz="12" w:space="0" w:color="auto"/>
              <w:left w:val="nil"/>
              <w:bottom w:val="single" w:sz="8" w:space="0" w:color="auto"/>
              <w:right w:val="nil"/>
            </w:tcBorders>
            <w:shd w:val="clear" w:color="auto" w:fill="auto"/>
            <w:noWrap/>
            <w:vAlign w:val="center"/>
          </w:tcPr>
          <w:p w14:paraId="04C68D8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2003/09/20-</w:t>
            </w:r>
            <w:r>
              <w:rPr>
                <w:rFonts w:ascii="Times New Roman" w:eastAsia="SimSun" w:hAnsi="Times New Roman" w:cs="Times New Roman"/>
                <w:color w:val="000000"/>
                <w:kern w:val="0"/>
                <w:szCs w:val="21"/>
                <w:lang w:bidi="ar"/>
              </w:rPr>
              <w:br/>
              <w:t>2006/05/08</w:t>
            </w:r>
          </w:p>
        </w:tc>
        <w:tc>
          <w:tcPr>
            <w:tcW w:w="574" w:type="pct"/>
            <w:tcBorders>
              <w:top w:val="single" w:sz="12" w:space="0" w:color="auto"/>
              <w:left w:val="nil"/>
              <w:bottom w:val="single" w:sz="8" w:space="0" w:color="auto"/>
              <w:right w:val="nil"/>
            </w:tcBorders>
            <w:shd w:val="clear" w:color="auto" w:fill="auto"/>
            <w:noWrap/>
            <w:vAlign w:val="center"/>
          </w:tcPr>
          <w:p w14:paraId="5030916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2006/05/09-</w:t>
            </w:r>
            <w:r>
              <w:rPr>
                <w:rFonts w:ascii="Times New Roman" w:eastAsia="SimSun" w:hAnsi="Times New Roman" w:cs="Times New Roman"/>
                <w:color w:val="000000"/>
                <w:kern w:val="0"/>
                <w:szCs w:val="21"/>
                <w:lang w:bidi="ar"/>
              </w:rPr>
              <w:br/>
              <w:t>2007/05/23</w:t>
            </w:r>
          </w:p>
        </w:tc>
        <w:tc>
          <w:tcPr>
            <w:tcW w:w="575" w:type="pct"/>
            <w:tcBorders>
              <w:top w:val="single" w:sz="12" w:space="0" w:color="auto"/>
              <w:left w:val="nil"/>
              <w:bottom w:val="single" w:sz="8" w:space="0" w:color="auto"/>
              <w:right w:val="nil"/>
            </w:tcBorders>
            <w:shd w:val="clear" w:color="auto" w:fill="auto"/>
            <w:noWrap/>
            <w:vAlign w:val="center"/>
          </w:tcPr>
          <w:p w14:paraId="7246944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2007/05/24-</w:t>
            </w:r>
            <w:r>
              <w:rPr>
                <w:rFonts w:ascii="Times New Roman" w:eastAsia="SimSun" w:hAnsi="Times New Roman" w:cs="Times New Roman"/>
                <w:color w:val="000000"/>
                <w:kern w:val="0"/>
                <w:szCs w:val="21"/>
                <w:lang w:bidi="ar"/>
              </w:rPr>
              <w:br/>
              <w:t>2011/09/08</w:t>
            </w:r>
          </w:p>
        </w:tc>
      </w:tr>
      <w:tr w:rsidR="0074478A" w14:paraId="630DF978"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08D397DC"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3875916A"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115855B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99.24%</w:t>
            </w:r>
          </w:p>
        </w:tc>
        <w:tc>
          <w:tcPr>
            <w:tcW w:w="574" w:type="pct"/>
            <w:tcBorders>
              <w:top w:val="single" w:sz="8" w:space="0" w:color="auto"/>
              <w:left w:val="nil"/>
              <w:bottom w:val="nil"/>
              <w:right w:val="nil"/>
            </w:tcBorders>
            <w:shd w:val="clear" w:color="auto" w:fill="auto"/>
            <w:noWrap/>
            <w:vAlign w:val="bottom"/>
          </w:tcPr>
          <w:p w14:paraId="04DD2EE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99.24%</w:t>
            </w:r>
          </w:p>
        </w:tc>
        <w:tc>
          <w:tcPr>
            <w:tcW w:w="574" w:type="pct"/>
            <w:tcBorders>
              <w:top w:val="single" w:sz="8" w:space="0" w:color="auto"/>
              <w:left w:val="nil"/>
              <w:bottom w:val="nil"/>
              <w:right w:val="nil"/>
            </w:tcBorders>
            <w:shd w:val="clear" w:color="auto" w:fill="auto"/>
            <w:noWrap/>
            <w:vAlign w:val="bottom"/>
          </w:tcPr>
          <w:p w14:paraId="345C996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99.24%</w:t>
            </w:r>
          </w:p>
        </w:tc>
        <w:tc>
          <w:tcPr>
            <w:tcW w:w="574" w:type="pct"/>
            <w:tcBorders>
              <w:top w:val="single" w:sz="8" w:space="0" w:color="auto"/>
              <w:left w:val="nil"/>
              <w:bottom w:val="nil"/>
              <w:right w:val="nil"/>
            </w:tcBorders>
            <w:shd w:val="clear" w:color="auto" w:fill="auto"/>
            <w:noWrap/>
            <w:vAlign w:val="bottom"/>
          </w:tcPr>
          <w:p w14:paraId="5F75BD3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84.88%</w:t>
            </w:r>
          </w:p>
        </w:tc>
        <w:tc>
          <w:tcPr>
            <w:tcW w:w="574" w:type="pct"/>
            <w:tcBorders>
              <w:top w:val="single" w:sz="8" w:space="0" w:color="auto"/>
              <w:left w:val="nil"/>
              <w:bottom w:val="nil"/>
              <w:right w:val="nil"/>
            </w:tcBorders>
            <w:shd w:val="clear" w:color="auto" w:fill="auto"/>
            <w:noWrap/>
            <w:vAlign w:val="bottom"/>
          </w:tcPr>
          <w:p w14:paraId="42E8B4A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84.88%</w:t>
            </w:r>
          </w:p>
        </w:tc>
        <w:tc>
          <w:tcPr>
            <w:tcW w:w="575" w:type="pct"/>
            <w:tcBorders>
              <w:top w:val="single" w:sz="8" w:space="0" w:color="auto"/>
              <w:left w:val="nil"/>
              <w:bottom w:val="nil"/>
              <w:right w:val="nil"/>
            </w:tcBorders>
            <w:shd w:val="clear" w:color="auto" w:fill="auto"/>
            <w:noWrap/>
            <w:vAlign w:val="bottom"/>
          </w:tcPr>
          <w:p w14:paraId="74685EE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75.04%</w:t>
            </w:r>
          </w:p>
        </w:tc>
      </w:tr>
      <w:tr w:rsidR="0074478A" w14:paraId="7AD86861" w14:textId="77777777">
        <w:trPr>
          <w:trHeight w:val="278"/>
        </w:trPr>
        <w:tc>
          <w:tcPr>
            <w:tcW w:w="580" w:type="pct"/>
            <w:vMerge/>
            <w:tcBorders>
              <w:top w:val="nil"/>
              <w:left w:val="nil"/>
              <w:bottom w:val="nil"/>
              <w:right w:val="nil"/>
            </w:tcBorders>
            <w:shd w:val="clear" w:color="auto" w:fill="auto"/>
            <w:noWrap/>
            <w:vAlign w:val="center"/>
          </w:tcPr>
          <w:p w14:paraId="2A284EEE"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768CE3C"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3ABCC27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4" w:type="pct"/>
            <w:tcBorders>
              <w:top w:val="nil"/>
              <w:left w:val="nil"/>
              <w:bottom w:val="nil"/>
              <w:right w:val="nil"/>
            </w:tcBorders>
            <w:shd w:val="clear" w:color="auto" w:fill="auto"/>
            <w:noWrap/>
            <w:vAlign w:val="bottom"/>
          </w:tcPr>
          <w:p w14:paraId="767D33E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4" w:type="pct"/>
            <w:tcBorders>
              <w:top w:val="nil"/>
              <w:left w:val="nil"/>
              <w:bottom w:val="nil"/>
              <w:right w:val="nil"/>
            </w:tcBorders>
            <w:shd w:val="clear" w:color="auto" w:fill="auto"/>
            <w:noWrap/>
            <w:vAlign w:val="bottom"/>
          </w:tcPr>
          <w:p w14:paraId="3C3E367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4" w:type="pct"/>
            <w:tcBorders>
              <w:top w:val="nil"/>
              <w:left w:val="nil"/>
              <w:bottom w:val="nil"/>
              <w:right w:val="nil"/>
            </w:tcBorders>
            <w:shd w:val="clear" w:color="auto" w:fill="auto"/>
            <w:noWrap/>
            <w:vAlign w:val="bottom"/>
          </w:tcPr>
          <w:p w14:paraId="39BC103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-2.46%</w:t>
            </w:r>
          </w:p>
        </w:tc>
        <w:tc>
          <w:tcPr>
            <w:tcW w:w="574" w:type="pct"/>
            <w:tcBorders>
              <w:top w:val="nil"/>
              <w:left w:val="nil"/>
              <w:bottom w:val="nil"/>
              <w:right w:val="nil"/>
            </w:tcBorders>
            <w:shd w:val="clear" w:color="auto" w:fill="auto"/>
            <w:noWrap/>
            <w:vAlign w:val="bottom"/>
          </w:tcPr>
          <w:p w14:paraId="7EC7663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-2.46%</w:t>
            </w:r>
          </w:p>
        </w:tc>
        <w:tc>
          <w:tcPr>
            <w:tcW w:w="575" w:type="pct"/>
            <w:tcBorders>
              <w:top w:val="nil"/>
              <w:left w:val="nil"/>
              <w:bottom w:val="nil"/>
              <w:right w:val="nil"/>
            </w:tcBorders>
            <w:shd w:val="clear" w:color="auto" w:fill="auto"/>
            <w:noWrap/>
            <w:vAlign w:val="bottom"/>
          </w:tcPr>
          <w:p w14:paraId="42A97AC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26.32%</w:t>
            </w:r>
          </w:p>
        </w:tc>
      </w:tr>
      <w:tr w:rsidR="0074478A" w14:paraId="1EEA3569" w14:textId="77777777">
        <w:trPr>
          <w:trHeight w:val="278"/>
        </w:trPr>
        <w:tc>
          <w:tcPr>
            <w:tcW w:w="580" w:type="pct"/>
            <w:vMerge/>
            <w:tcBorders>
              <w:top w:val="nil"/>
              <w:left w:val="nil"/>
              <w:bottom w:val="nil"/>
              <w:right w:val="nil"/>
            </w:tcBorders>
            <w:shd w:val="clear" w:color="auto" w:fill="auto"/>
            <w:noWrap/>
            <w:vAlign w:val="center"/>
          </w:tcPr>
          <w:p w14:paraId="5B2938A3"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76EB887"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4DAA01C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-0.88%</w:t>
            </w:r>
          </w:p>
        </w:tc>
        <w:tc>
          <w:tcPr>
            <w:tcW w:w="574" w:type="pct"/>
            <w:tcBorders>
              <w:top w:val="nil"/>
              <w:left w:val="nil"/>
              <w:bottom w:val="nil"/>
              <w:right w:val="nil"/>
            </w:tcBorders>
            <w:shd w:val="clear" w:color="auto" w:fill="auto"/>
            <w:noWrap/>
            <w:vAlign w:val="bottom"/>
          </w:tcPr>
          <w:p w14:paraId="0E1367B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-0.88%</w:t>
            </w:r>
          </w:p>
        </w:tc>
        <w:tc>
          <w:tcPr>
            <w:tcW w:w="574" w:type="pct"/>
            <w:tcBorders>
              <w:top w:val="nil"/>
              <w:left w:val="nil"/>
              <w:bottom w:val="nil"/>
              <w:right w:val="nil"/>
            </w:tcBorders>
            <w:shd w:val="clear" w:color="auto" w:fill="auto"/>
            <w:noWrap/>
            <w:vAlign w:val="bottom"/>
          </w:tcPr>
          <w:p w14:paraId="197DCBD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-0.88%</w:t>
            </w:r>
          </w:p>
        </w:tc>
        <w:tc>
          <w:tcPr>
            <w:tcW w:w="574" w:type="pct"/>
            <w:tcBorders>
              <w:top w:val="nil"/>
              <w:left w:val="nil"/>
              <w:bottom w:val="nil"/>
              <w:right w:val="nil"/>
            </w:tcBorders>
            <w:shd w:val="clear" w:color="auto" w:fill="auto"/>
            <w:noWrap/>
            <w:vAlign w:val="bottom"/>
          </w:tcPr>
          <w:p w14:paraId="0A00D49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10.96%</w:t>
            </w:r>
          </w:p>
        </w:tc>
        <w:tc>
          <w:tcPr>
            <w:tcW w:w="574" w:type="pct"/>
            <w:tcBorders>
              <w:top w:val="nil"/>
              <w:left w:val="nil"/>
              <w:bottom w:val="nil"/>
              <w:right w:val="nil"/>
            </w:tcBorders>
            <w:shd w:val="clear" w:color="auto" w:fill="auto"/>
            <w:noWrap/>
            <w:vAlign w:val="bottom"/>
          </w:tcPr>
          <w:p w14:paraId="5CE8592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10.96%</w:t>
            </w:r>
          </w:p>
        </w:tc>
        <w:tc>
          <w:tcPr>
            <w:tcW w:w="575" w:type="pct"/>
            <w:tcBorders>
              <w:top w:val="nil"/>
              <w:left w:val="nil"/>
              <w:bottom w:val="nil"/>
              <w:right w:val="nil"/>
            </w:tcBorders>
            <w:shd w:val="clear" w:color="auto" w:fill="auto"/>
            <w:noWrap/>
            <w:vAlign w:val="bottom"/>
          </w:tcPr>
          <w:p w14:paraId="58B1252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-10.71%</w:t>
            </w:r>
          </w:p>
        </w:tc>
      </w:tr>
      <w:tr w:rsidR="0074478A" w14:paraId="351E1809" w14:textId="77777777">
        <w:trPr>
          <w:trHeight w:val="278"/>
        </w:trPr>
        <w:tc>
          <w:tcPr>
            <w:tcW w:w="580" w:type="pct"/>
            <w:vMerge/>
            <w:tcBorders>
              <w:top w:val="nil"/>
              <w:left w:val="nil"/>
              <w:bottom w:val="nil"/>
              <w:right w:val="nil"/>
            </w:tcBorders>
            <w:shd w:val="clear" w:color="auto" w:fill="auto"/>
            <w:noWrap/>
            <w:vAlign w:val="center"/>
          </w:tcPr>
          <w:p w14:paraId="1A0FCF7E"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B97E026"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3C7F07A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2.30%</w:t>
            </w:r>
          </w:p>
        </w:tc>
        <w:tc>
          <w:tcPr>
            <w:tcW w:w="574" w:type="pct"/>
            <w:tcBorders>
              <w:top w:val="nil"/>
              <w:left w:val="nil"/>
              <w:bottom w:val="nil"/>
              <w:right w:val="nil"/>
            </w:tcBorders>
            <w:shd w:val="clear" w:color="auto" w:fill="auto"/>
            <w:noWrap/>
            <w:vAlign w:val="center"/>
          </w:tcPr>
          <w:p w14:paraId="7055FA5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2.30%</w:t>
            </w:r>
          </w:p>
        </w:tc>
        <w:tc>
          <w:tcPr>
            <w:tcW w:w="574" w:type="pct"/>
            <w:tcBorders>
              <w:top w:val="nil"/>
              <w:left w:val="nil"/>
              <w:bottom w:val="nil"/>
              <w:right w:val="nil"/>
            </w:tcBorders>
            <w:shd w:val="clear" w:color="auto" w:fill="auto"/>
            <w:noWrap/>
            <w:vAlign w:val="center"/>
          </w:tcPr>
          <w:p w14:paraId="2D70F5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2.30%</w:t>
            </w:r>
          </w:p>
        </w:tc>
        <w:tc>
          <w:tcPr>
            <w:tcW w:w="574" w:type="pct"/>
            <w:tcBorders>
              <w:top w:val="nil"/>
              <w:left w:val="nil"/>
              <w:bottom w:val="nil"/>
              <w:right w:val="nil"/>
            </w:tcBorders>
            <w:shd w:val="clear" w:color="auto" w:fill="auto"/>
            <w:noWrap/>
            <w:vAlign w:val="center"/>
          </w:tcPr>
          <w:p w14:paraId="6183538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6.62%</w:t>
            </w:r>
          </w:p>
        </w:tc>
        <w:tc>
          <w:tcPr>
            <w:tcW w:w="574" w:type="pct"/>
            <w:tcBorders>
              <w:top w:val="nil"/>
              <w:left w:val="nil"/>
              <w:bottom w:val="nil"/>
              <w:right w:val="nil"/>
            </w:tcBorders>
            <w:shd w:val="clear" w:color="auto" w:fill="auto"/>
            <w:noWrap/>
            <w:vAlign w:val="center"/>
          </w:tcPr>
          <w:p w14:paraId="0629079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6.62%</w:t>
            </w:r>
          </w:p>
        </w:tc>
        <w:tc>
          <w:tcPr>
            <w:tcW w:w="575" w:type="pct"/>
            <w:tcBorders>
              <w:top w:val="nil"/>
              <w:left w:val="nil"/>
              <w:bottom w:val="nil"/>
              <w:right w:val="nil"/>
            </w:tcBorders>
            <w:shd w:val="clear" w:color="auto" w:fill="auto"/>
            <w:noWrap/>
            <w:vAlign w:val="center"/>
          </w:tcPr>
          <w:p w14:paraId="6F15DF2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9.35%</w:t>
            </w:r>
          </w:p>
        </w:tc>
      </w:tr>
      <w:tr w:rsidR="0074478A" w14:paraId="78D0221E" w14:textId="77777777">
        <w:trPr>
          <w:trHeight w:val="278"/>
        </w:trPr>
        <w:tc>
          <w:tcPr>
            <w:tcW w:w="1552" w:type="pct"/>
            <w:gridSpan w:val="2"/>
            <w:tcBorders>
              <w:top w:val="nil"/>
              <w:left w:val="nil"/>
              <w:bottom w:val="nil"/>
              <w:right w:val="nil"/>
            </w:tcBorders>
            <w:shd w:val="clear" w:color="auto" w:fill="auto"/>
            <w:noWrap/>
            <w:vAlign w:val="center"/>
          </w:tcPr>
          <w:p w14:paraId="5E8CCE5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5AD49481"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851FBD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6C37654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243576D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321DD1E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3D0B628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3D78C460" w14:textId="77777777">
        <w:trPr>
          <w:trHeight w:val="278"/>
        </w:trPr>
        <w:tc>
          <w:tcPr>
            <w:tcW w:w="1552" w:type="pct"/>
            <w:gridSpan w:val="2"/>
            <w:tcBorders>
              <w:top w:val="nil"/>
              <w:left w:val="nil"/>
              <w:bottom w:val="nil"/>
              <w:right w:val="nil"/>
            </w:tcBorders>
            <w:shd w:val="clear" w:color="auto" w:fill="auto"/>
            <w:noWrap/>
            <w:vAlign w:val="center"/>
          </w:tcPr>
          <w:p w14:paraId="63B9DED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CA7E22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F9C0DD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0CCE8E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00E8A2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D6DD8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FD321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3495136C" w14:textId="77777777">
        <w:trPr>
          <w:trHeight w:val="278"/>
        </w:trPr>
        <w:tc>
          <w:tcPr>
            <w:tcW w:w="580" w:type="pct"/>
            <w:vMerge w:val="restart"/>
            <w:tcBorders>
              <w:top w:val="nil"/>
              <w:left w:val="nil"/>
              <w:bottom w:val="nil"/>
              <w:right w:val="nil"/>
            </w:tcBorders>
            <w:shd w:val="clear" w:color="auto" w:fill="auto"/>
            <w:noWrap/>
            <w:vAlign w:val="center"/>
          </w:tcPr>
          <w:p w14:paraId="5D126D0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26EE147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694E2E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D20D3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52BC0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A03E40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24EF28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9BBCC2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74111C3B" w14:textId="77777777">
        <w:trPr>
          <w:trHeight w:val="278"/>
        </w:trPr>
        <w:tc>
          <w:tcPr>
            <w:tcW w:w="580" w:type="pct"/>
            <w:vMerge/>
            <w:tcBorders>
              <w:top w:val="nil"/>
              <w:left w:val="nil"/>
              <w:bottom w:val="nil"/>
              <w:right w:val="nil"/>
            </w:tcBorders>
            <w:shd w:val="clear" w:color="auto" w:fill="auto"/>
            <w:noWrap/>
            <w:vAlign w:val="center"/>
          </w:tcPr>
          <w:p w14:paraId="5616E2E3"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70AF15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9D9460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F60A04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F1E24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2822B2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6BDAEC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E7436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4961673B" w14:textId="77777777">
        <w:trPr>
          <w:trHeight w:val="278"/>
        </w:trPr>
        <w:tc>
          <w:tcPr>
            <w:tcW w:w="580" w:type="pct"/>
            <w:vMerge/>
            <w:tcBorders>
              <w:top w:val="nil"/>
              <w:left w:val="nil"/>
              <w:bottom w:val="nil"/>
              <w:right w:val="nil"/>
            </w:tcBorders>
            <w:shd w:val="clear" w:color="auto" w:fill="auto"/>
            <w:noWrap/>
            <w:vAlign w:val="center"/>
          </w:tcPr>
          <w:p w14:paraId="4F74F985"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595475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DEE79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4685A6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26148F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938BE8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0F27E4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1E4962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26CF36AF"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38C20F1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7C991D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AEDA11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6949554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3D597CE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D198A4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7DA8FE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3E91800C"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671A00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00151F3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2011/09/09-</w:t>
            </w:r>
            <w:r>
              <w:rPr>
                <w:rFonts w:ascii="Times New Roman" w:eastAsia="SimSun" w:hAnsi="Times New Roman" w:cs="Times New Roman"/>
                <w:color w:val="000000"/>
                <w:kern w:val="0"/>
                <w:szCs w:val="21"/>
                <w:lang w:bidi="ar"/>
              </w:rPr>
              <w:br/>
              <w:t>2013/11/05</w:t>
            </w:r>
          </w:p>
        </w:tc>
        <w:tc>
          <w:tcPr>
            <w:tcW w:w="574" w:type="pct"/>
            <w:tcBorders>
              <w:top w:val="single" w:sz="12" w:space="0" w:color="auto"/>
              <w:left w:val="nil"/>
              <w:bottom w:val="single" w:sz="8" w:space="0" w:color="auto"/>
              <w:right w:val="nil"/>
            </w:tcBorders>
            <w:shd w:val="clear" w:color="auto" w:fill="auto"/>
            <w:noWrap/>
            <w:vAlign w:val="center"/>
          </w:tcPr>
          <w:p w14:paraId="455A249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2013/11/06-</w:t>
            </w:r>
            <w:r>
              <w:rPr>
                <w:rFonts w:ascii="Times New Roman" w:eastAsia="SimSun" w:hAnsi="Times New Roman" w:cs="Times New Roman"/>
                <w:color w:val="000000"/>
                <w:kern w:val="0"/>
                <w:szCs w:val="21"/>
                <w:lang w:bidi="ar"/>
              </w:rPr>
              <w:br/>
              <w:t>2017/04/07</w:t>
            </w:r>
          </w:p>
        </w:tc>
        <w:tc>
          <w:tcPr>
            <w:tcW w:w="574" w:type="pct"/>
            <w:tcBorders>
              <w:top w:val="single" w:sz="12" w:space="0" w:color="auto"/>
              <w:left w:val="nil"/>
              <w:bottom w:val="single" w:sz="8" w:space="0" w:color="auto"/>
              <w:right w:val="nil"/>
            </w:tcBorders>
            <w:shd w:val="clear" w:color="auto" w:fill="auto"/>
            <w:noWrap/>
            <w:vAlign w:val="center"/>
          </w:tcPr>
          <w:p w14:paraId="2E3B935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2017/04/08-</w:t>
            </w:r>
            <w:r>
              <w:rPr>
                <w:rFonts w:ascii="Times New Roman" w:eastAsia="SimSun" w:hAnsi="Times New Roman" w:cs="Times New Roman"/>
                <w:color w:val="000000"/>
                <w:kern w:val="0"/>
                <w:szCs w:val="21"/>
                <w:lang w:bidi="ar"/>
              </w:rPr>
              <w:br/>
              <w:t>2020/12/31</w:t>
            </w:r>
          </w:p>
        </w:tc>
      </w:tr>
      <w:tr w:rsidR="0074478A" w14:paraId="27DABBE0"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6EEA32B5"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9A84E9A"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38DC45B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75.04%</w:t>
            </w:r>
          </w:p>
        </w:tc>
        <w:tc>
          <w:tcPr>
            <w:tcW w:w="574" w:type="pct"/>
            <w:tcBorders>
              <w:top w:val="single" w:sz="8" w:space="0" w:color="auto"/>
              <w:left w:val="nil"/>
              <w:bottom w:val="nil"/>
              <w:right w:val="nil"/>
            </w:tcBorders>
            <w:shd w:val="clear" w:color="auto" w:fill="auto"/>
            <w:noWrap/>
            <w:vAlign w:val="bottom"/>
          </w:tcPr>
          <w:p w14:paraId="756C045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85.66%</w:t>
            </w:r>
          </w:p>
        </w:tc>
        <w:tc>
          <w:tcPr>
            <w:tcW w:w="574" w:type="pct"/>
            <w:tcBorders>
              <w:top w:val="single" w:sz="8" w:space="0" w:color="auto"/>
              <w:left w:val="nil"/>
              <w:bottom w:val="nil"/>
              <w:right w:val="nil"/>
            </w:tcBorders>
            <w:shd w:val="clear" w:color="auto" w:fill="auto"/>
            <w:noWrap/>
            <w:vAlign w:val="bottom"/>
          </w:tcPr>
          <w:p w14:paraId="4BEEEBD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85.66%</w:t>
            </w:r>
          </w:p>
        </w:tc>
      </w:tr>
      <w:tr w:rsidR="0074478A" w14:paraId="5AB54A56"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0D664443"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755878C"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173DCB1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26.32%</w:t>
            </w:r>
          </w:p>
        </w:tc>
        <w:tc>
          <w:tcPr>
            <w:tcW w:w="574" w:type="pct"/>
            <w:tcBorders>
              <w:top w:val="nil"/>
              <w:left w:val="nil"/>
              <w:bottom w:val="nil"/>
              <w:right w:val="nil"/>
            </w:tcBorders>
            <w:shd w:val="clear" w:color="auto" w:fill="auto"/>
            <w:noWrap/>
            <w:vAlign w:val="bottom"/>
          </w:tcPr>
          <w:p w14:paraId="38A52B4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-2.87%</w:t>
            </w:r>
          </w:p>
        </w:tc>
        <w:tc>
          <w:tcPr>
            <w:tcW w:w="574" w:type="pct"/>
            <w:tcBorders>
              <w:top w:val="nil"/>
              <w:left w:val="nil"/>
              <w:bottom w:val="nil"/>
              <w:right w:val="nil"/>
            </w:tcBorders>
            <w:shd w:val="clear" w:color="auto" w:fill="auto"/>
            <w:noWrap/>
            <w:vAlign w:val="bottom"/>
          </w:tcPr>
          <w:p w14:paraId="3379977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-2.87%</w:t>
            </w:r>
          </w:p>
        </w:tc>
      </w:tr>
      <w:tr w:rsidR="0074478A" w14:paraId="0047808C"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7F19A5C"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ABBA274"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5B53E65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-10.71%</w:t>
            </w:r>
          </w:p>
        </w:tc>
        <w:tc>
          <w:tcPr>
            <w:tcW w:w="574" w:type="pct"/>
            <w:tcBorders>
              <w:top w:val="nil"/>
              <w:left w:val="nil"/>
              <w:bottom w:val="nil"/>
              <w:right w:val="nil"/>
            </w:tcBorders>
            <w:shd w:val="clear" w:color="auto" w:fill="auto"/>
            <w:noWrap/>
            <w:vAlign w:val="bottom"/>
          </w:tcPr>
          <w:p w14:paraId="3CB7E21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1.19%</w:t>
            </w:r>
          </w:p>
        </w:tc>
        <w:tc>
          <w:tcPr>
            <w:tcW w:w="574" w:type="pct"/>
            <w:tcBorders>
              <w:top w:val="nil"/>
              <w:left w:val="nil"/>
              <w:bottom w:val="nil"/>
              <w:right w:val="nil"/>
            </w:tcBorders>
            <w:shd w:val="clear" w:color="auto" w:fill="auto"/>
            <w:noWrap/>
            <w:vAlign w:val="bottom"/>
          </w:tcPr>
          <w:p w14:paraId="756A0B7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1.19%</w:t>
            </w:r>
          </w:p>
        </w:tc>
      </w:tr>
      <w:tr w:rsidR="0074478A" w14:paraId="55B5AAB2"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21B2EEF"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7E469E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10BEC9E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9.35%</w:t>
            </w:r>
          </w:p>
        </w:tc>
        <w:tc>
          <w:tcPr>
            <w:tcW w:w="574" w:type="pct"/>
            <w:tcBorders>
              <w:top w:val="nil"/>
              <w:left w:val="nil"/>
              <w:bottom w:val="nil"/>
              <w:right w:val="nil"/>
            </w:tcBorders>
            <w:shd w:val="clear" w:color="auto" w:fill="auto"/>
            <w:noWrap/>
            <w:vAlign w:val="center"/>
          </w:tcPr>
          <w:p w14:paraId="0254BC2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16.01%</w:t>
            </w:r>
          </w:p>
        </w:tc>
        <w:tc>
          <w:tcPr>
            <w:tcW w:w="574" w:type="pct"/>
            <w:tcBorders>
              <w:top w:val="nil"/>
              <w:left w:val="nil"/>
              <w:bottom w:val="nil"/>
              <w:right w:val="nil"/>
            </w:tcBorders>
            <w:shd w:val="clear" w:color="auto" w:fill="auto"/>
            <w:noWrap/>
            <w:vAlign w:val="center"/>
          </w:tcPr>
          <w:p w14:paraId="07C2C2B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16.01%</w:t>
            </w:r>
          </w:p>
        </w:tc>
      </w:tr>
      <w:tr w:rsidR="0074478A" w14:paraId="3EFD498D"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35625DE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9BA0D8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11A622B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D8E1661"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74478A" w14:paraId="036933B8"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15FB768C"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AFFA7E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w:t>
            </w:r>
          </w:p>
        </w:tc>
        <w:tc>
          <w:tcPr>
            <w:tcW w:w="574" w:type="pct"/>
            <w:tcBorders>
              <w:top w:val="nil"/>
              <w:left w:val="nil"/>
              <w:bottom w:val="nil"/>
              <w:right w:val="nil"/>
            </w:tcBorders>
            <w:shd w:val="clear" w:color="auto" w:fill="auto"/>
            <w:noWrap/>
            <w:vAlign w:val="center"/>
          </w:tcPr>
          <w:p w14:paraId="6CD9615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±5.48%</w:t>
            </w:r>
          </w:p>
        </w:tc>
        <w:tc>
          <w:tcPr>
            <w:tcW w:w="574" w:type="pct"/>
            <w:tcBorders>
              <w:top w:val="nil"/>
              <w:left w:val="nil"/>
              <w:bottom w:val="nil"/>
              <w:right w:val="nil"/>
            </w:tcBorders>
            <w:shd w:val="clear" w:color="auto" w:fill="auto"/>
            <w:noWrap/>
            <w:vAlign w:val="center"/>
          </w:tcPr>
          <w:p w14:paraId="6A77724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36E143E6"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75F1C659"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753407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FDDD48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C2E0B3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D71193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35988888"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AF69E20"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21D2E1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47DAA3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-0.001/0.994</w:t>
            </w:r>
          </w:p>
        </w:tc>
        <w:tc>
          <w:tcPr>
            <w:tcW w:w="574" w:type="pct"/>
            <w:tcBorders>
              <w:top w:val="nil"/>
              <w:left w:val="nil"/>
              <w:bottom w:val="nil"/>
              <w:right w:val="nil"/>
            </w:tcBorders>
            <w:shd w:val="clear" w:color="auto" w:fill="auto"/>
            <w:noWrap/>
            <w:vAlign w:val="center"/>
          </w:tcPr>
          <w:p w14:paraId="33F861A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574" w:type="pct"/>
            <w:tcBorders>
              <w:top w:val="nil"/>
              <w:left w:val="nil"/>
              <w:bottom w:val="nil"/>
              <w:right w:val="nil"/>
            </w:tcBorders>
            <w:shd w:val="clear" w:color="auto" w:fill="auto"/>
            <w:noWrap/>
            <w:vAlign w:val="center"/>
          </w:tcPr>
          <w:p w14:paraId="5AC7947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6E9D60F5"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7BA8C51"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AA5E12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BAA9C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-0.05</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/0.777</w:t>
            </w:r>
          </w:p>
        </w:tc>
        <w:tc>
          <w:tcPr>
            <w:tcW w:w="574" w:type="pct"/>
            <w:tcBorders>
              <w:top w:val="nil"/>
              <w:left w:val="nil"/>
              <w:bottom w:val="nil"/>
              <w:right w:val="nil"/>
            </w:tcBorders>
            <w:shd w:val="clear" w:color="auto" w:fill="auto"/>
            <w:noWrap/>
            <w:vAlign w:val="center"/>
          </w:tcPr>
          <w:p w14:paraId="4C10C5C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-0.003/0.949</w:t>
            </w:r>
          </w:p>
        </w:tc>
        <w:tc>
          <w:tcPr>
            <w:tcW w:w="574" w:type="pct"/>
            <w:tcBorders>
              <w:top w:val="nil"/>
              <w:left w:val="nil"/>
              <w:bottom w:val="nil"/>
              <w:right w:val="nil"/>
            </w:tcBorders>
            <w:shd w:val="clear" w:color="auto" w:fill="auto"/>
            <w:noWrap/>
            <w:vAlign w:val="center"/>
          </w:tcPr>
          <w:p w14:paraId="3A807F3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7F791000"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269D7A23"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263502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41</w:t>
            </w:r>
            <w:r>
              <w:rPr>
                <w:rFonts w:ascii="Times New Roman" w:eastAsia="SimSun" w:hAnsi="Times New Roman" w:cs="Times New Roman" w:hint="eastAsia"/>
                <w:color w:val="000000"/>
                <w:kern w:val="0"/>
                <w:szCs w:val="21"/>
                <w:lang w:bidi="ar"/>
              </w:rPr>
              <w:t>.39%</w:t>
            </w:r>
          </w:p>
        </w:tc>
        <w:tc>
          <w:tcPr>
            <w:tcW w:w="574" w:type="pct"/>
            <w:tcBorders>
              <w:top w:val="nil"/>
              <w:left w:val="nil"/>
              <w:bottom w:val="single" w:sz="12" w:space="0" w:color="auto"/>
              <w:right w:val="nil"/>
            </w:tcBorders>
            <w:shd w:val="clear" w:color="auto" w:fill="auto"/>
            <w:noWrap/>
            <w:vAlign w:val="center"/>
          </w:tcPr>
          <w:p w14:paraId="3707C8C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71</w:t>
            </w:r>
            <w:r>
              <w:rPr>
                <w:rFonts w:ascii="Times New Roman" w:eastAsia="SimSun" w:hAnsi="Times New Roman" w:cs="Times New Roman" w:hint="eastAsia"/>
                <w:color w:val="000000"/>
                <w:kern w:val="0"/>
                <w:szCs w:val="21"/>
                <w:lang w:bidi="ar"/>
              </w:rPr>
              <w:t>.36%</w:t>
            </w:r>
          </w:p>
        </w:tc>
        <w:tc>
          <w:tcPr>
            <w:tcW w:w="574" w:type="pct"/>
            <w:tcBorders>
              <w:top w:val="nil"/>
              <w:left w:val="nil"/>
              <w:bottom w:val="single" w:sz="12" w:space="0" w:color="auto"/>
              <w:right w:val="nil"/>
            </w:tcBorders>
            <w:shd w:val="clear" w:color="auto" w:fill="auto"/>
            <w:noWrap/>
            <w:vAlign w:val="center"/>
          </w:tcPr>
          <w:p w14:paraId="40AE72D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6267C509" w14:textId="77777777" w:rsidR="0074478A" w:rsidRDefault="00690393">
      <w:pPr>
        <w:rPr>
          <w:rFonts w:ascii="Times New Roman" w:hAnsi="Times New Roman" w:cs="Times New Roman"/>
        </w:rPr>
      </w:pPr>
      <w:r>
        <w:rPr>
          <w:rFonts w:ascii="Times New Roman" w:hAnsi="Times New Roman" w:cs="Times New Roman" w:hint="eastAsia"/>
        </w:rPr>
        <w:t>Panel K: Indonesia</w:t>
      </w:r>
    </w:p>
    <w:tbl>
      <w:tblPr>
        <w:tblW w:w="4998" w:type="pct"/>
        <w:jc w:val="center"/>
        <w:tblLook w:val="04A0" w:firstRow="1" w:lastRow="0" w:firstColumn="1" w:lastColumn="0" w:noHBand="0" w:noVBand="1"/>
      </w:tblPr>
      <w:tblGrid>
        <w:gridCol w:w="2979"/>
        <w:gridCol w:w="5094"/>
        <w:gridCol w:w="2494"/>
        <w:gridCol w:w="3385"/>
      </w:tblGrid>
      <w:tr w:rsidR="0074478A" w14:paraId="67557B93" w14:textId="77777777">
        <w:trPr>
          <w:trHeight w:val="278"/>
          <w:jc w:val="center"/>
        </w:trPr>
        <w:tc>
          <w:tcPr>
            <w:tcW w:w="2648" w:type="pct"/>
            <w:gridSpan w:val="2"/>
            <w:tcBorders>
              <w:top w:val="single" w:sz="12" w:space="0" w:color="auto"/>
              <w:left w:val="nil"/>
              <w:bottom w:val="single" w:sz="8" w:space="0" w:color="auto"/>
              <w:right w:val="nil"/>
            </w:tcBorders>
            <w:shd w:val="clear" w:color="auto" w:fill="auto"/>
            <w:noWrap/>
            <w:vAlign w:val="center"/>
          </w:tcPr>
          <w:p w14:paraId="41FEDFF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818" w:type="pct"/>
            <w:tcBorders>
              <w:top w:val="single" w:sz="12" w:space="0" w:color="auto"/>
              <w:left w:val="nil"/>
              <w:bottom w:val="single" w:sz="8" w:space="0" w:color="auto"/>
              <w:right w:val="nil"/>
            </w:tcBorders>
            <w:shd w:val="clear" w:color="auto" w:fill="auto"/>
            <w:noWrap/>
            <w:vAlign w:val="center"/>
          </w:tcPr>
          <w:p w14:paraId="69E387B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r>
            <w:r>
              <w:rPr>
                <w:rFonts w:ascii="Times New Roman" w:eastAsia="SimSun" w:hAnsi="Times New Roman" w:cs="Times New Roman" w:hint="eastAsia"/>
                <w:color w:val="000000"/>
                <w:kern w:val="0"/>
                <w:szCs w:val="21"/>
                <w:lang w:bidi="ar"/>
              </w:rPr>
              <w:t>2001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p>
        </w:tc>
        <w:tc>
          <w:tcPr>
            <w:tcW w:w="1110" w:type="pct"/>
            <w:tcBorders>
              <w:top w:val="single" w:sz="12" w:space="0" w:color="auto"/>
              <w:left w:val="nil"/>
              <w:bottom w:val="single" w:sz="8" w:space="0" w:color="auto"/>
              <w:right w:val="nil"/>
            </w:tcBorders>
            <w:shd w:val="clear" w:color="auto" w:fill="auto"/>
            <w:noWrap/>
            <w:vAlign w:val="center"/>
          </w:tcPr>
          <w:p w14:paraId="58DB122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2001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color w:val="000000"/>
                <w:kern w:val="0"/>
                <w:szCs w:val="21"/>
                <w:lang w:bidi="ar"/>
              </w:rPr>
              <w:b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1</w:t>
            </w:r>
          </w:p>
        </w:tc>
      </w:tr>
      <w:tr w:rsidR="0074478A" w14:paraId="5D75A6D3" w14:textId="77777777">
        <w:trPr>
          <w:trHeight w:val="278"/>
          <w:jc w:val="center"/>
        </w:trPr>
        <w:tc>
          <w:tcPr>
            <w:tcW w:w="977" w:type="pct"/>
            <w:vMerge w:val="restart"/>
            <w:tcBorders>
              <w:top w:val="single" w:sz="8" w:space="0" w:color="auto"/>
              <w:left w:val="nil"/>
              <w:bottom w:val="nil"/>
              <w:right w:val="nil"/>
            </w:tcBorders>
            <w:shd w:val="clear" w:color="auto" w:fill="auto"/>
            <w:noWrap/>
            <w:vAlign w:val="center"/>
          </w:tcPr>
          <w:p w14:paraId="5572A2D3"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671" w:type="pct"/>
            <w:tcBorders>
              <w:top w:val="single" w:sz="8" w:space="0" w:color="auto"/>
              <w:left w:val="nil"/>
              <w:bottom w:val="nil"/>
              <w:right w:val="nil"/>
            </w:tcBorders>
            <w:shd w:val="clear" w:color="auto" w:fill="auto"/>
            <w:noWrap/>
            <w:vAlign w:val="center"/>
          </w:tcPr>
          <w:p w14:paraId="29DD4C20"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818" w:type="pct"/>
            <w:tcBorders>
              <w:top w:val="single" w:sz="8" w:space="0" w:color="auto"/>
              <w:left w:val="nil"/>
              <w:bottom w:val="nil"/>
              <w:right w:val="nil"/>
            </w:tcBorders>
            <w:shd w:val="clear" w:color="auto" w:fill="auto"/>
            <w:vAlign w:val="bottom"/>
          </w:tcPr>
          <w:p w14:paraId="29BE287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84.55%</w:t>
            </w:r>
          </w:p>
        </w:tc>
        <w:tc>
          <w:tcPr>
            <w:tcW w:w="1110" w:type="pct"/>
            <w:tcBorders>
              <w:top w:val="single" w:sz="8" w:space="0" w:color="auto"/>
              <w:left w:val="nil"/>
              <w:bottom w:val="nil"/>
              <w:right w:val="nil"/>
            </w:tcBorders>
            <w:shd w:val="clear" w:color="auto" w:fill="auto"/>
            <w:noWrap/>
            <w:vAlign w:val="bottom"/>
          </w:tcPr>
          <w:p w14:paraId="7F222F1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84.55%</w:t>
            </w:r>
          </w:p>
        </w:tc>
      </w:tr>
      <w:tr w:rsidR="0074478A" w14:paraId="5F6C8038" w14:textId="77777777">
        <w:trPr>
          <w:trHeight w:val="278"/>
          <w:jc w:val="center"/>
        </w:trPr>
        <w:tc>
          <w:tcPr>
            <w:tcW w:w="977" w:type="pct"/>
            <w:vMerge/>
            <w:tcBorders>
              <w:top w:val="nil"/>
              <w:left w:val="nil"/>
              <w:bottom w:val="nil"/>
              <w:right w:val="nil"/>
            </w:tcBorders>
            <w:shd w:val="clear" w:color="auto" w:fill="auto"/>
            <w:noWrap/>
            <w:vAlign w:val="center"/>
          </w:tcPr>
          <w:p w14:paraId="058DD747" w14:textId="77777777" w:rsidR="0074478A" w:rsidRDefault="0074478A">
            <w:pPr>
              <w:spacing w:line="240" w:lineRule="atLeast"/>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2D88847A"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818" w:type="pct"/>
            <w:tcBorders>
              <w:top w:val="nil"/>
              <w:left w:val="nil"/>
              <w:bottom w:val="nil"/>
              <w:right w:val="nil"/>
            </w:tcBorders>
            <w:shd w:val="clear" w:color="auto" w:fill="auto"/>
            <w:noWrap/>
            <w:vAlign w:val="bottom"/>
          </w:tcPr>
          <w:p w14:paraId="694F134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4.20%</w:t>
            </w:r>
          </w:p>
        </w:tc>
        <w:tc>
          <w:tcPr>
            <w:tcW w:w="1110" w:type="pct"/>
            <w:tcBorders>
              <w:top w:val="nil"/>
              <w:left w:val="nil"/>
              <w:bottom w:val="nil"/>
              <w:right w:val="nil"/>
            </w:tcBorders>
            <w:shd w:val="clear" w:color="auto" w:fill="auto"/>
            <w:noWrap/>
            <w:vAlign w:val="bottom"/>
          </w:tcPr>
          <w:p w14:paraId="19A4B97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4.20%</w:t>
            </w:r>
          </w:p>
        </w:tc>
      </w:tr>
      <w:tr w:rsidR="0074478A" w14:paraId="666FFAB0" w14:textId="77777777">
        <w:trPr>
          <w:trHeight w:val="278"/>
          <w:jc w:val="center"/>
        </w:trPr>
        <w:tc>
          <w:tcPr>
            <w:tcW w:w="977" w:type="pct"/>
            <w:vMerge/>
            <w:tcBorders>
              <w:top w:val="nil"/>
              <w:left w:val="nil"/>
              <w:bottom w:val="nil"/>
              <w:right w:val="nil"/>
            </w:tcBorders>
            <w:shd w:val="clear" w:color="auto" w:fill="auto"/>
            <w:noWrap/>
            <w:vAlign w:val="center"/>
          </w:tcPr>
          <w:p w14:paraId="607FCAB2" w14:textId="77777777" w:rsidR="0074478A" w:rsidRDefault="0074478A">
            <w:pPr>
              <w:spacing w:line="240" w:lineRule="atLeast"/>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218FED27"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818" w:type="pct"/>
            <w:tcBorders>
              <w:top w:val="nil"/>
              <w:left w:val="nil"/>
              <w:bottom w:val="nil"/>
              <w:right w:val="nil"/>
            </w:tcBorders>
            <w:shd w:val="clear" w:color="auto" w:fill="auto"/>
            <w:noWrap/>
            <w:vAlign w:val="bottom"/>
          </w:tcPr>
          <w:p w14:paraId="2989A68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1.15%</w:t>
            </w:r>
          </w:p>
        </w:tc>
        <w:tc>
          <w:tcPr>
            <w:tcW w:w="1110" w:type="pct"/>
            <w:tcBorders>
              <w:top w:val="nil"/>
              <w:left w:val="nil"/>
              <w:bottom w:val="nil"/>
              <w:right w:val="nil"/>
            </w:tcBorders>
            <w:shd w:val="clear" w:color="auto" w:fill="auto"/>
            <w:noWrap/>
            <w:vAlign w:val="bottom"/>
          </w:tcPr>
          <w:p w14:paraId="20C5FC6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1.15%</w:t>
            </w:r>
          </w:p>
        </w:tc>
      </w:tr>
      <w:tr w:rsidR="0074478A" w14:paraId="50145CE3" w14:textId="77777777">
        <w:trPr>
          <w:trHeight w:val="278"/>
          <w:jc w:val="center"/>
        </w:trPr>
        <w:tc>
          <w:tcPr>
            <w:tcW w:w="977" w:type="pct"/>
            <w:vMerge/>
            <w:tcBorders>
              <w:top w:val="nil"/>
              <w:left w:val="nil"/>
              <w:bottom w:val="nil"/>
              <w:right w:val="nil"/>
            </w:tcBorders>
            <w:shd w:val="clear" w:color="auto" w:fill="auto"/>
            <w:noWrap/>
            <w:vAlign w:val="center"/>
          </w:tcPr>
          <w:p w14:paraId="70F12FE4" w14:textId="77777777" w:rsidR="0074478A" w:rsidRDefault="0074478A">
            <w:pPr>
              <w:spacing w:line="240" w:lineRule="atLeast"/>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6FC724A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818" w:type="pct"/>
            <w:tcBorders>
              <w:top w:val="nil"/>
              <w:left w:val="nil"/>
              <w:bottom w:val="nil"/>
              <w:right w:val="nil"/>
            </w:tcBorders>
            <w:shd w:val="clear" w:color="auto" w:fill="auto"/>
            <w:vAlign w:val="center"/>
          </w:tcPr>
          <w:p w14:paraId="45D5166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10.10%</w:t>
            </w:r>
          </w:p>
        </w:tc>
        <w:tc>
          <w:tcPr>
            <w:tcW w:w="1110" w:type="pct"/>
            <w:tcBorders>
              <w:top w:val="nil"/>
              <w:left w:val="nil"/>
              <w:bottom w:val="nil"/>
              <w:right w:val="nil"/>
            </w:tcBorders>
            <w:shd w:val="clear" w:color="auto" w:fill="auto"/>
            <w:noWrap/>
            <w:vAlign w:val="center"/>
          </w:tcPr>
          <w:p w14:paraId="1AC9F04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10.10%</w:t>
            </w:r>
          </w:p>
        </w:tc>
      </w:tr>
      <w:tr w:rsidR="0074478A" w14:paraId="3011021D" w14:textId="77777777">
        <w:trPr>
          <w:trHeight w:val="278"/>
          <w:jc w:val="center"/>
        </w:trPr>
        <w:tc>
          <w:tcPr>
            <w:tcW w:w="2648" w:type="pct"/>
            <w:gridSpan w:val="2"/>
            <w:tcBorders>
              <w:top w:val="nil"/>
              <w:left w:val="nil"/>
              <w:bottom w:val="nil"/>
              <w:right w:val="nil"/>
            </w:tcBorders>
            <w:shd w:val="clear" w:color="auto" w:fill="auto"/>
            <w:noWrap/>
            <w:vAlign w:val="center"/>
          </w:tcPr>
          <w:p w14:paraId="383C6308"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818" w:type="pct"/>
            <w:tcBorders>
              <w:top w:val="nil"/>
              <w:left w:val="nil"/>
              <w:bottom w:val="nil"/>
              <w:right w:val="nil"/>
            </w:tcBorders>
            <w:shd w:val="clear" w:color="auto" w:fill="auto"/>
            <w:noWrap/>
            <w:vAlign w:val="center"/>
          </w:tcPr>
          <w:p w14:paraId="7FAFF95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110" w:type="pct"/>
            <w:tcBorders>
              <w:top w:val="nil"/>
              <w:left w:val="nil"/>
              <w:bottom w:val="nil"/>
              <w:right w:val="nil"/>
            </w:tcBorders>
            <w:shd w:val="clear" w:color="auto" w:fill="auto"/>
            <w:noWrap/>
            <w:vAlign w:val="center"/>
          </w:tcPr>
          <w:p w14:paraId="1CFCFA0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74478A" w14:paraId="7FA617CB" w14:textId="77777777">
        <w:trPr>
          <w:trHeight w:val="278"/>
          <w:jc w:val="center"/>
        </w:trPr>
        <w:tc>
          <w:tcPr>
            <w:tcW w:w="2648" w:type="pct"/>
            <w:gridSpan w:val="2"/>
            <w:tcBorders>
              <w:top w:val="nil"/>
              <w:left w:val="nil"/>
              <w:bottom w:val="nil"/>
              <w:right w:val="nil"/>
            </w:tcBorders>
            <w:shd w:val="clear" w:color="auto" w:fill="auto"/>
            <w:noWrap/>
            <w:vAlign w:val="center"/>
          </w:tcPr>
          <w:p w14:paraId="178ADA05"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44DAB03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±29.97%</w:t>
            </w:r>
          </w:p>
        </w:tc>
        <w:tc>
          <w:tcPr>
            <w:tcW w:w="1110" w:type="pct"/>
            <w:tcBorders>
              <w:top w:val="nil"/>
              <w:left w:val="nil"/>
              <w:bottom w:val="nil"/>
              <w:right w:val="nil"/>
            </w:tcBorders>
            <w:shd w:val="clear" w:color="auto" w:fill="auto"/>
            <w:noWrap/>
            <w:vAlign w:val="center"/>
          </w:tcPr>
          <w:p w14:paraId="14A7AD0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76F0E07A" w14:textId="77777777">
        <w:trPr>
          <w:trHeight w:val="278"/>
          <w:jc w:val="center"/>
        </w:trPr>
        <w:tc>
          <w:tcPr>
            <w:tcW w:w="977" w:type="pct"/>
            <w:vMerge w:val="restart"/>
            <w:tcBorders>
              <w:top w:val="nil"/>
              <w:left w:val="nil"/>
              <w:bottom w:val="nil"/>
              <w:right w:val="nil"/>
            </w:tcBorders>
            <w:shd w:val="clear" w:color="auto" w:fill="auto"/>
            <w:noWrap/>
            <w:vAlign w:val="center"/>
          </w:tcPr>
          <w:p w14:paraId="21EBCBAC"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671" w:type="pct"/>
            <w:tcBorders>
              <w:top w:val="nil"/>
              <w:left w:val="nil"/>
              <w:bottom w:val="nil"/>
              <w:right w:val="nil"/>
            </w:tcBorders>
            <w:shd w:val="clear" w:color="auto" w:fill="auto"/>
            <w:noWrap/>
            <w:vAlign w:val="center"/>
          </w:tcPr>
          <w:p w14:paraId="6DF141F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5B7BF78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1110" w:type="pct"/>
            <w:tcBorders>
              <w:top w:val="nil"/>
              <w:left w:val="nil"/>
              <w:bottom w:val="nil"/>
              <w:right w:val="nil"/>
            </w:tcBorders>
            <w:shd w:val="clear" w:color="auto" w:fill="auto"/>
            <w:noWrap/>
            <w:vAlign w:val="center"/>
          </w:tcPr>
          <w:p w14:paraId="3DD3870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1756AF64" w14:textId="77777777">
        <w:trPr>
          <w:trHeight w:val="278"/>
          <w:jc w:val="center"/>
        </w:trPr>
        <w:tc>
          <w:tcPr>
            <w:tcW w:w="977" w:type="pct"/>
            <w:vMerge/>
            <w:tcBorders>
              <w:top w:val="nil"/>
              <w:left w:val="nil"/>
              <w:bottom w:val="nil"/>
              <w:right w:val="nil"/>
            </w:tcBorders>
            <w:shd w:val="clear" w:color="auto" w:fill="auto"/>
            <w:noWrap/>
            <w:vAlign w:val="center"/>
          </w:tcPr>
          <w:p w14:paraId="11E09199" w14:textId="77777777" w:rsidR="0074478A" w:rsidRDefault="0074478A">
            <w:pPr>
              <w:spacing w:line="240" w:lineRule="atLeast"/>
              <w:jc w:val="center"/>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6F3E55F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4576196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-0.001/0.989</w:t>
            </w:r>
          </w:p>
        </w:tc>
        <w:tc>
          <w:tcPr>
            <w:tcW w:w="1110" w:type="pct"/>
            <w:tcBorders>
              <w:top w:val="nil"/>
              <w:left w:val="nil"/>
              <w:bottom w:val="nil"/>
              <w:right w:val="nil"/>
            </w:tcBorders>
            <w:shd w:val="clear" w:color="auto" w:fill="auto"/>
            <w:noWrap/>
            <w:vAlign w:val="center"/>
          </w:tcPr>
          <w:p w14:paraId="5EB9C20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00C78A4D" w14:textId="77777777">
        <w:trPr>
          <w:trHeight w:val="278"/>
          <w:jc w:val="center"/>
        </w:trPr>
        <w:tc>
          <w:tcPr>
            <w:tcW w:w="977" w:type="pct"/>
            <w:vMerge/>
            <w:tcBorders>
              <w:top w:val="nil"/>
              <w:left w:val="nil"/>
              <w:bottom w:val="nil"/>
              <w:right w:val="nil"/>
            </w:tcBorders>
            <w:shd w:val="clear" w:color="auto" w:fill="auto"/>
            <w:noWrap/>
            <w:vAlign w:val="center"/>
          </w:tcPr>
          <w:p w14:paraId="73933F0E" w14:textId="77777777" w:rsidR="0074478A" w:rsidRDefault="0074478A">
            <w:pPr>
              <w:spacing w:line="240" w:lineRule="atLeast"/>
              <w:jc w:val="center"/>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72E6F0F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20B7681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/0.895</w:t>
            </w:r>
          </w:p>
        </w:tc>
        <w:tc>
          <w:tcPr>
            <w:tcW w:w="1110" w:type="pct"/>
            <w:tcBorders>
              <w:top w:val="nil"/>
              <w:left w:val="nil"/>
              <w:bottom w:val="nil"/>
              <w:right w:val="nil"/>
            </w:tcBorders>
            <w:shd w:val="clear" w:color="auto" w:fill="auto"/>
            <w:noWrap/>
            <w:vAlign w:val="center"/>
          </w:tcPr>
          <w:p w14:paraId="3720CF9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74478A" w14:paraId="119E1E2E" w14:textId="77777777">
        <w:trPr>
          <w:trHeight w:val="278"/>
          <w:jc w:val="center"/>
        </w:trPr>
        <w:tc>
          <w:tcPr>
            <w:tcW w:w="2648" w:type="pct"/>
            <w:gridSpan w:val="2"/>
            <w:tcBorders>
              <w:top w:val="nil"/>
              <w:left w:val="nil"/>
              <w:bottom w:val="single" w:sz="12" w:space="0" w:color="auto"/>
              <w:right w:val="nil"/>
            </w:tcBorders>
            <w:shd w:val="clear" w:color="auto" w:fill="auto"/>
            <w:noWrap/>
            <w:vAlign w:val="center"/>
          </w:tcPr>
          <w:p w14:paraId="02116E4A"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818" w:type="pct"/>
            <w:tcBorders>
              <w:top w:val="nil"/>
              <w:left w:val="nil"/>
              <w:bottom w:val="single" w:sz="12" w:space="0" w:color="auto"/>
              <w:right w:val="nil"/>
            </w:tcBorders>
            <w:shd w:val="clear" w:color="auto" w:fill="auto"/>
            <w:noWrap/>
            <w:vAlign w:val="center"/>
          </w:tcPr>
          <w:p w14:paraId="71C0B6D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82.32%</w:t>
            </w:r>
          </w:p>
        </w:tc>
        <w:tc>
          <w:tcPr>
            <w:tcW w:w="1110" w:type="pct"/>
            <w:tcBorders>
              <w:top w:val="nil"/>
              <w:left w:val="nil"/>
              <w:bottom w:val="single" w:sz="12" w:space="0" w:color="auto"/>
              <w:right w:val="nil"/>
            </w:tcBorders>
            <w:shd w:val="clear" w:color="auto" w:fill="auto"/>
            <w:noWrap/>
            <w:vAlign w:val="center"/>
          </w:tcPr>
          <w:p w14:paraId="0933570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79F8897F" w14:textId="77777777" w:rsidR="0074478A" w:rsidRDefault="0074478A">
      <w:pPr>
        <w:rPr>
          <w:rFonts w:ascii="Times New Roman" w:hAnsi="Times New Roman" w:cs="Times New Roman"/>
        </w:rPr>
      </w:pPr>
    </w:p>
    <w:p w14:paraId="4EBFD595" w14:textId="77777777" w:rsidR="0074478A" w:rsidRDefault="0074478A">
      <w:pPr>
        <w:rPr>
          <w:rFonts w:ascii="Times New Roman" w:hAnsi="Times New Roman" w:cs="Times New Roman"/>
        </w:rPr>
      </w:pPr>
    </w:p>
    <w:p w14:paraId="30718621" w14:textId="77777777" w:rsidR="0074478A" w:rsidRDefault="0074478A">
      <w:pPr>
        <w:rPr>
          <w:rFonts w:ascii="Times New Roman" w:hAnsi="Times New Roman" w:cs="Times New Roman"/>
        </w:rPr>
      </w:pPr>
    </w:p>
    <w:p w14:paraId="0E336108" w14:textId="77777777" w:rsidR="0074478A" w:rsidRDefault="0074478A">
      <w:pPr>
        <w:rPr>
          <w:rFonts w:ascii="Times New Roman" w:hAnsi="Times New Roman" w:cs="Times New Roman"/>
        </w:rPr>
      </w:pPr>
    </w:p>
    <w:p w14:paraId="641E167E" w14:textId="77777777" w:rsidR="0074478A" w:rsidRDefault="0074478A">
      <w:pPr>
        <w:rPr>
          <w:rFonts w:ascii="Times New Roman" w:hAnsi="Times New Roman" w:cs="Times New Roman"/>
        </w:rPr>
      </w:pPr>
    </w:p>
    <w:p w14:paraId="7151CE84" w14:textId="77777777" w:rsidR="0074478A" w:rsidRDefault="0074478A">
      <w:pPr>
        <w:rPr>
          <w:rFonts w:ascii="Times New Roman" w:hAnsi="Times New Roman" w:cs="Times New Roman"/>
        </w:rPr>
      </w:pPr>
    </w:p>
    <w:p w14:paraId="6A6C899F" w14:textId="77777777" w:rsidR="0074478A" w:rsidRDefault="0074478A">
      <w:pPr>
        <w:rPr>
          <w:rFonts w:ascii="Times New Roman" w:hAnsi="Times New Roman" w:cs="Times New Roman"/>
        </w:rPr>
      </w:pPr>
    </w:p>
    <w:p w14:paraId="60E899B6" w14:textId="77777777" w:rsidR="0074478A" w:rsidRDefault="0074478A">
      <w:pPr>
        <w:rPr>
          <w:rFonts w:ascii="Times New Roman" w:hAnsi="Times New Roman" w:cs="Times New Roman"/>
        </w:rPr>
      </w:pPr>
    </w:p>
    <w:p w14:paraId="565DCC1C" w14:textId="77777777" w:rsidR="0074478A" w:rsidRDefault="0074478A">
      <w:pPr>
        <w:rPr>
          <w:rFonts w:ascii="Times New Roman" w:hAnsi="Times New Roman" w:cs="Times New Roman"/>
        </w:rPr>
      </w:pPr>
    </w:p>
    <w:p w14:paraId="676C24B6" w14:textId="77777777" w:rsidR="0074478A" w:rsidRDefault="0074478A">
      <w:pPr>
        <w:rPr>
          <w:rFonts w:ascii="Times New Roman" w:hAnsi="Times New Roman" w:cs="Times New Roman"/>
        </w:rPr>
      </w:pPr>
    </w:p>
    <w:p w14:paraId="3AC95274" w14:textId="77777777" w:rsidR="0074478A" w:rsidRDefault="0074478A">
      <w:pPr>
        <w:rPr>
          <w:rFonts w:ascii="Times New Roman" w:hAnsi="Times New Roman" w:cs="Times New Roman"/>
        </w:rPr>
      </w:pPr>
    </w:p>
    <w:p w14:paraId="586CFB0A" w14:textId="77777777" w:rsidR="0074478A" w:rsidRDefault="0074478A">
      <w:pPr>
        <w:rPr>
          <w:rFonts w:ascii="Times New Roman" w:hAnsi="Times New Roman" w:cs="Times New Roman"/>
        </w:rPr>
      </w:pPr>
    </w:p>
    <w:p w14:paraId="67E792BC" w14:textId="77777777" w:rsidR="0074478A" w:rsidRDefault="0074478A">
      <w:pPr>
        <w:rPr>
          <w:rFonts w:ascii="Times New Roman" w:hAnsi="Times New Roman" w:cs="Times New Roman"/>
        </w:rPr>
      </w:pPr>
    </w:p>
    <w:p w14:paraId="39F529E9" w14:textId="77777777" w:rsidR="0074478A" w:rsidRDefault="00690393">
      <w:pPr>
        <w:rPr>
          <w:rFonts w:ascii="Times New Roman" w:hAnsi="Times New Roman" w:cs="Times New Roman"/>
        </w:rPr>
      </w:pPr>
      <w:r>
        <w:rPr>
          <w:rFonts w:ascii="Times New Roman" w:hAnsi="Times New Roman" w:cs="Times New Roman" w:hint="eastAsia"/>
        </w:rPr>
        <w:t>Panel L: Mexico</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14:paraId="3CC73CE4"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0D55B3E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bottom"/>
          </w:tcPr>
          <w:p w14:paraId="2BE359B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2004/01/23</w:t>
            </w:r>
          </w:p>
        </w:tc>
        <w:tc>
          <w:tcPr>
            <w:tcW w:w="574" w:type="pct"/>
            <w:tcBorders>
              <w:top w:val="single" w:sz="12" w:space="0" w:color="auto"/>
              <w:left w:val="nil"/>
              <w:bottom w:val="single" w:sz="8" w:space="0" w:color="auto"/>
              <w:right w:val="nil"/>
            </w:tcBorders>
            <w:shd w:val="clear" w:color="auto" w:fill="auto"/>
            <w:noWrap/>
            <w:vAlign w:val="bottom"/>
          </w:tcPr>
          <w:p w14:paraId="4BF6AA0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2004/01/24-</w:t>
            </w:r>
            <w:r>
              <w:rPr>
                <w:rFonts w:ascii="Times New Roman" w:eastAsia="SimSun" w:hAnsi="Times New Roman" w:cs="Times New Roman"/>
                <w:color w:val="000000"/>
                <w:kern w:val="0"/>
                <w:szCs w:val="21"/>
                <w:lang w:bidi="ar"/>
              </w:rPr>
              <w:br/>
              <w:t>2008/08/06</w:t>
            </w:r>
          </w:p>
        </w:tc>
        <w:tc>
          <w:tcPr>
            <w:tcW w:w="574" w:type="pct"/>
            <w:tcBorders>
              <w:top w:val="single" w:sz="12" w:space="0" w:color="auto"/>
              <w:left w:val="nil"/>
              <w:bottom w:val="single" w:sz="8" w:space="0" w:color="auto"/>
              <w:right w:val="nil"/>
            </w:tcBorders>
            <w:shd w:val="clear" w:color="auto" w:fill="auto"/>
            <w:noWrap/>
            <w:vAlign w:val="bottom"/>
          </w:tcPr>
          <w:p w14:paraId="50E5F73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2008/08/07-</w:t>
            </w:r>
            <w:r>
              <w:rPr>
                <w:rFonts w:ascii="Times New Roman" w:eastAsia="SimSun" w:hAnsi="Times New Roman" w:cs="Times New Roman"/>
                <w:color w:val="000000"/>
                <w:kern w:val="0"/>
                <w:szCs w:val="21"/>
                <w:lang w:bidi="ar"/>
              </w:rPr>
              <w:br/>
              <w:t>2009/05/04</w:t>
            </w:r>
          </w:p>
        </w:tc>
        <w:tc>
          <w:tcPr>
            <w:tcW w:w="574" w:type="pct"/>
            <w:tcBorders>
              <w:top w:val="single" w:sz="12" w:space="0" w:color="auto"/>
              <w:left w:val="nil"/>
              <w:bottom w:val="single" w:sz="8" w:space="0" w:color="auto"/>
              <w:right w:val="nil"/>
            </w:tcBorders>
            <w:shd w:val="clear" w:color="auto" w:fill="auto"/>
            <w:noWrap/>
            <w:vAlign w:val="bottom"/>
          </w:tcPr>
          <w:p w14:paraId="2149813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2009/05/05-</w:t>
            </w:r>
            <w:r>
              <w:rPr>
                <w:rFonts w:ascii="Times New Roman" w:eastAsia="SimSun" w:hAnsi="Times New Roman" w:cs="Times New Roman"/>
                <w:color w:val="000000"/>
                <w:kern w:val="0"/>
                <w:szCs w:val="21"/>
                <w:lang w:bidi="ar"/>
              </w:rPr>
              <w:br/>
              <w:t>2012/11/09</w:t>
            </w:r>
          </w:p>
        </w:tc>
        <w:tc>
          <w:tcPr>
            <w:tcW w:w="574" w:type="pct"/>
            <w:tcBorders>
              <w:top w:val="single" w:sz="12" w:space="0" w:color="auto"/>
              <w:left w:val="nil"/>
              <w:bottom w:val="single" w:sz="8" w:space="0" w:color="auto"/>
              <w:right w:val="nil"/>
            </w:tcBorders>
            <w:shd w:val="clear" w:color="auto" w:fill="auto"/>
            <w:noWrap/>
            <w:vAlign w:val="bottom"/>
          </w:tcPr>
          <w:p w14:paraId="1BEF40C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2012/11/10-</w:t>
            </w:r>
            <w:r>
              <w:rPr>
                <w:rFonts w:ascii="Times New Roman" w:eastAsia="SimSun" w:hAnsi="Times New Roman" w:cs="Times New Roman"/>
                <w:color w:val="000000"/>
                <w:kern w:val="0"/>
                <w:szCs w:val="21"/>
                <w:lang w:bidi="ar"/>
              </w:rPr>
              <w:br/>
              <w:t>2017/09/13</w:t>
            </w:r>
          </w:p>
        </w:tc>
        <w:tc>
          <w:tcPr>
            <w:tcW w:w="576" w:type="pct"/>
            <w:tcBorders>
              <w:top w:val="single" w:sz="12" w:space="0" w:color="auto"/>
              <w:left w:val="nil"/>
              <w:bottom w:val="single" w:sz="8" w:space="0" w:color="auto"/>
              <w:right w:val="nil"/>
            </w:tcBorders>
            <w:shd w:val="clear" w:color="auto" w:fill="auto"/>
            <w:noWrap/>
            <w:vAlign w:val="bottom"/>
          </w:tcPr>
          <w:p w14:paraId="4495AAD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2017/09/14-</w:t>
            </w:r>
            <w:r>
              <w:rPr>
                <w:rFonts w:ascii="Times New Roman" w:eastAsia="SimSun" w:hAnsi="Times New Roman" w:cs="Times New Roman"/>
                <w:color w:val="000000"/>
                <w:kern w:val="0"/>
                <w:szCs w:val="21"/>
                <w:lang w:bidi="ar"/>
              </w:rPr>
              <w:br/>
              <w:t>2020/12/31</w:t>
            </w:r>
          </w:p>
        </w:tc>
      </w:tr>
      <w:tr w:rsidR="0074478A" w14:paraId="1184436A"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4277C14F"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073FBC4F"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3327D68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122.87%</w:t>
            </w:r>
          </w:p>
        </w:tc>
        <w:tc>
          <w:tcPr>
            <w:tcW w:w="574" w:type="pct"/>
            <w:tcBorders>
              <w:top w:val="single" w:sz="8" w:space="0" w:color="auto"/>
              <w:left w:val="nil"/>
              <w:bottom w:val="nil"/>
              <w:right w:val="nil"/>
            </w:tcBorders>
            <w:shd w:val="clear" w:color="auto" w:fill="auto"/>
            <w:noWrap/>
            <w:vAlign w:val="bottom"/>
          </w:tcPr>
          <w:p w14:paraId="1A5EAD6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86.36%</w:t>
            </w:r>
          </w:p>
        </w:tc>
        <w:tc>
          <w:tcPr>
            <w:tcW w:w="574" w:type="pct"/>
            <w:tcBorders>
              <w:top w:val="single" w:sz="8" w:space="0" w:color="auto"/>
              <w:left w:val="nil"/>
              <w:bottom w:val="nil"/>
              <w:right w:val="nil"/>
            </w:tcBorders>
            <w:shd w:val="clear" w:color="auto" w:fill="auto"/>
            <w:noWrap/>
            <w:vAlign w:val="bottom"/>
          </w:tcPr>
          <w:p w14:paraId="3D2E00A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68.06%</w:t>
            </w:r>
          </w:p>
        </w:tc>
        <w:tc>
          <w:tcPr>
            <w:tcW w:w="574" w:type="pct"/>
            <w:tcBorders>
              <w:top w:val="single" w:sz="8" w:space="0" w:color="auto"/>
              <w:left w:val="nil"/>
              <w:bottom w:val="nil"/>
              <w:right w:val="nil"/>
            </w:tcBorders>
            <w:shd w:val="clear" w:color="auto" w:fill="auto"/>
            <w:noWrap/>
            <w:vAlign w:val="bottom"/>
          </w:tcPr>
          <w:p w14:paraId="28DC237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68.06%</w:t>
            </w:r>
          </w:p>
        </w:tc>
        <w:tc>
          <w:tcPr>
            <w:tcW w:w="574" w:type="pct"/>
            <w:tcBorders>
              <w:top w:val="single" w:sz="8" w:space="0" w:color="auto"/>
              <w:left w:val="nil"/>
              <w:bottom w:val="nil"/>
              <w:right w:val="nil"/>
            </w:tcBorders>
            <w:shd w:val="clear" w:color="auto" w:fill="auto"/>
            <w:noWrap/>
            <w:vAlign w:val="bottom"/>
          </w:tcPr>
          <w:p w14:paraId="204A794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62.07%</w:t>
            </w:r>
          </w:p>
        </w:tc>
        <w:tc>
          <w:tcPr>
            <w:tcW w:w="576" w:type="pct"/>
            <w:tcBorders>
              <w:top w:val="single" w:sz="8" w:space="0" w:color="auto"/>
              <w:left w:val="nil"/>
              <w:bottom w:val="nil"/>
              <w:right w:val="nil"/>
            </w:tcBorders>
            <w:shd w:val="clear" w:color="auto" w:fill="auto"/>
            <w:noWrap/>
            <w:vAlign w:val="bottom"/>
          </w:tcPr>
          <w:p w14:paraId="641B973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55.76%</w:t>
            </w:r>
          </w:p>
        </w:tc>
      </w:tr>
      <w:tr w:rsidR="0074478A" w14:paraId="11C6C06F" w14:textId="77777777">
        <w:trPr>
          <w:trHeight w:val="278"/>
        </w:trPr>
        <w:tc>
          <w:tcPr>
            <w:tcW w:w="576" w:type="pct"/>
            <w:vMerge/>
            <w:tcBorders>
              <w:top w:val="nil"/>
              <w:left w:val="nil"/>
              <w:bottom w:val="nil"/>
              <w:right w:val="nil"/>
            </w:tcBorders>
            <w:shd w:val="clear" w:color="auto" w:fill="auto"/>
            <w:noWrap/>
            <w:vAlign w:val="center"/>
          </w:tcPr>
          <w:p w14:paraId="1A1B02B7"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943EBB8"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5DB69F0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-12.65%</w:t>
            </w:r>
          </w:p>
        </w:tc>
        <w:tc>
          <w:tcPr>
            <w:tcW w:w="574" w:type="pct"/>
            <w:tcBorders>
              <w:top w:val="nil"/>
              <w:left w:val="nil"/>
              <w:bottom w:val="nil"/>
              <w:right w:val="nil"/>
            </w:tcBorders>
            <w:shd w:val="clear" w:color="auto" w:fill="auto"/>
            <w:noWrap/>
            <w:vAlign w:val="bottom"/>
          </w:tcPr>
          <w:p w14:paraId="41FF975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10.73%</w:t>
            </w:r>
          </w:p>
        </w:tc>
        <w:tc>
          <w:tcPr>
            <w:tcW w:w="574" w:type="pct"/>
            <w:tcBorders>
              <w:top w:val="nil"/>
              <w:left w:val="nil"/>
              <w:bottom w:val="nil"/>
              <w:right w:val="nil"/>
            </w:tcBorders>
            <w:shd w:val="clear" w:color="auto" w:fill="auto"/>
            <w:noWrap/>
            <w:vAlign w:val="bottom"/>
          </w:tcPr>
          <w:p w14:paraId="055D257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41.70%</w:t>
            </w:r>
          </w:p>
        </w:tc>
        <w:tc>
          <w:tcPr>
            <w:tcW w:w="574" w:type="pct"/>
            <w:tcBorders>
              <w:top w:val="nil"/>
              <w:left w:val="nil"/>
              <w:bottom w:val="nil"/>
              <w:right w:val="nil"/>
            </w:tcBorders>
            <w:shd w:val="clear" w:color="auto" w:fill="auto"/>
            <w:noWrap/>
            <w:vAlign w:val="bottom"/>
          </w:tcPr>
          <w:p w14:paraId="6172352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41.70%</w:t>
            </w:r>
          </w:p>
        </w:tc>
        <w:tc>
          <w:tcPr>
            <w:tcW w:w="574" w:type="pct"/>
            <w:tcBorders>
              <w:top w:val="nil"/>
              <w:left w:val="nil"/>
              <w:bottom w:val="nil"/>
              <w:right w:val="nil"/>
            </w:tcBorders>
            <w:shd w:val="clear" w:color="auto" w:fill="auto"/>
            <w:noWrap/>
            <w:vAlign w:val="bottom"/>
          </w:tcPr>
          <w:p w14:paraId="756E99A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21.16%</w:t>
            </w:r>
          </w:p>
        </w:tc>
        <w:tc>
          <w:tcPr>
            <w:tcW w:w="576" w:type="pct"/>
            <w:tcBorders>
              <w:top w:val="nil"/>
              <w:left w:val="nil"/>
              <w:bottom w:val="nil"/>
              <w:right w:val="nil"/>
            </w:tcBorders>
            <w:shd w:val="clear" w:color="auto" w:fill="auto"/>
            <w:noWrap/>
            <w:vAlign w:val="bottom"/>
          </w:tcPr>
          <w:p w14:paraId="2F0945C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41.23%</w:t>
            </w:r>
          </w:p>
        </w:tc>
      </w:tr>
      <w:tr w:rsidR="0074478A" w14:paraId="18D2DA91" w14:textId="77777777">
        <w:trPr>
          <w:trHeight w:val="278"/>
        </w:trPr>
        <w:tc>
          <w:tcPr>
            <w:tcW w:w="576" w:type="pct"/>
            <w:vMerge/>
            <w:tcBorders>
              <w:top w:val="nil"/>
              <w:left w:val="nil"/>
              <w:bottom w:val="nil"/>
              <w:right w:val="nil"/>
            </w:tcBorders>
            <w:shd w:val="clear" w:color="auto" w:fill="auto"/>
            <w:noWrap/>
            <w:vAlign w:val="center"/>
          </w:tcPr>
          <w:p w14:paraId="10D10D56"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EF959C2"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7EF5462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-6.80%</w:t>
            </w:r>
          </w:p>
        </w:tc>
        <w:tc>
          <w:tcPr>
            <w:tcW w:w="574" w:type="pct"/>
            <w:tcBorders>
              <w:top w:val="nil"/>
              <w:left w:val="nil"/>
              <w:bottom w:val="nil"/>
              <w:right w:val="nil"/>
            </w:tcBorders>
            <w:shd w:val="clear" w:color="auto" w:fill="auto"/>
            <w:noWrap/>
            <w:vAlign w:val="bottom"/>
          </w:tcPr>
          <w:p w14:paraId="229269B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-8.07%</w:t>
            </w:r>
          </w:p>
        </w:tc>
        <w:tc>
          <w:tcPr>
            <w:tcW w:w="574" w:type="pct"/>
            <w:tcBorders>
              <w:top w:val="nil"/>
              <w:left w:val="nil"/>
              <w:bottom w:val="nil"/>
              <w:right w:val="nil"/>
            </w:tcBorders>
            <w:shd w:val="clear" w:color="auto" w:fill="auto"/>
            <w:noWrap/>
            <w:vAlign w:val="bottom"/>
          </w:tcPr>
          <w:p w14:paraId="65ED857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-34.76%</w:t>
            </w:r>
          </w:p>
        </w:tc>
        <w:tc>
          <w:tcPr>
            <w:tcW w:w="574" w:type="pct"/>
            <w:tcBorders>
              <w:top w:val="nil"/>
              <w:left w:val="nil"/>
              <w:bottom w:val="nil"/>
              <w:right w:val="nil"/>
            </w:tcBorders>
            <w:shd w:val="clear" w:color="auto" w:fill="auto"/>
            <w:noWrap/>
            <w:vAlign w:val="bottom"/>
          </w:tcPr>
          <w:p w14:paraId="6425073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-34.76%</w:t>
            </w:r>
          </w:p>
        </w:tc>
        <w:tc>
          <w:tcPr>
            <w:tcW w:w="574" w:type="pct"/>
            <w:tcBorders>
              <w:top w:val="nil"/>
              <w:left w:val="nil"/>
              <w:bottom w:val="nil"/>
              <w:right w:val="nil"/>
            </w:tcBorders>
            <w:shd w:val="clear" w:color="auto" w:fill="auto"/>
            <w:noWrap/>
            <w:vAlign w:val="bottom"/>
          </w:tcPr>
          <w:p w14:paraId="7B9351B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-8.59%</w:t>
            </w:r>
          </w:p>
        </w:tc>
        <w:tc>
          <w:tcPr>
            <w:tcW w:w="576" w:type="pct"/>
            <w:tcBorders>
              <w:top w:val="nil"/>
              <w:left w:val="nil"/>
              <w:bottom w:val="nil"/>
              <w:right w:val="nil"/>
            </w:tcBorders>
            <w:shd w:val="clear" w:color="auto" w:fill="auto"/>
            <w:noWrap/>
            <w:vAlign w:val="bottom"/>
          </w:tcPr>
          <w:p w14:paraId="5DB2361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-39.74%</w:t>
            </w:r>
          </w:p>
        </w:tc>
      </w:tr>
      <w:tr w:rsidR="0074478A" w14:paraId="200CC491" w14:textId="77777777">
        <w:trPr>
          <w:trHeight w:val="278"/>
        </w:trPr>
        <w:tc>
          <w:tcPr>
            <w:tcW w:w="576" w:type="pct"/>
            <w:vMerge/>
            <w:tcBorders>
              <w:top w:val="nil"/>
              <w:left w:val="nil"/>
              <w:bottom w:val="nil"/>
              <w:right w:val="nil"/>
            </w:tcBorders>
            <w:shd w:val="clear" w:color="auto" w:fill="auto"/>
            <w:noWrap/>
            <w:vAlign w:val="center"/>
          </w:tcPr>
          <w:p w14:paraId="6C17B2F5"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439496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04C0E92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-3.42%</w:t>
            </w:r>
          </w:p>
        </w:tc>
        <w:tc>
          <w:tcPr>
            <w:tcW w:w="574" w:type="pct"/>
            <w:tcBorders>
              <w:top w:val="nil"/>
              <w:left w:val="nil"/>
              <w:bottom w:val="nil"/>
              <w:right w:val="nil"/>
            </w:tcBorders>
            <w:shd w:val="clear" w:color="auto" w:fill="auto"/>
            <w:noWrap/>
            <w:vAlign w:val="center"/>
          </w:tcPr>
          <w:p w14:paraId="77BC572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10.98%</w:t>
            </w:r>
          </w:p>
        </w:tc>
        <w:tc>
          <w:tcPr>
            <w:tcW w:w="574" w:type="pct"/>
            <w:tcBorders>
              <w:top w:val="nil"/>
              <w:left w:val="nil"/>
              <w:bottom w:val="nil"/>
              <w:right w:val="nil"/>
            </w:tcBorders>
            <w:shd w:val="clear" w:color="auto" w:fill="auto"/>
            <w:noWrap/>
            <w:vAlign w:val="center"/>
          </w:tcPr>
          <w:p w14:paraId="0F67530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24.99%</w:t>
            </w:r>
          </w:p>
        </w:tc>
        <w:tc>
          <w:tcPr>
            <w:tcW w:w="574" w:type="pct"/>
            <w:tcBorders>
              <w:top w:val="nil"/>
              <w:left w:val="nil"/>
              <w:bottom w:val="nil"/>
              <w:right w:val="nil"/>
            </w:tcBorders>
            <w:shd w:val="clear" w:color="auto" w:fill="auto"/>
            <w:noWrap/>
            <w:vAlign w:val="center"/>
          </w:tcPr>
          <w:p w14:paraId="09E9C6E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24.99%</w:t>
            </w:r>
          </w:p>
        </w:tc>
        <w:tc>
          <w:tcPr>
            <w:tcW w:w="574" w:type="pct"/>
            <w:tcBorders>
              <w:top w:val="nil"/>
              <w:left w:val="nil"/>
              <w:bottom w:val="nil"/>
              <w:right w:val="nil"/>
            </w:tcBorders>
            <w:shd w:val="clear" w:color="auto" w:fill="auto"/>
            <w:noWrap/>
            <w:vAlign w:val="center"/>
          </w:tcPr>
          <w:p w14:paraId="68807A0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25.36%</w:t>
            </w:r>
          </w:p>
        </w:tc>
        <w:tc>
          <w:tcPr>
            <w:tcW w:w="576" w:type="pct"/>
            <w:tcBorders>
              <w:top w:val="nil"/>
              <w:left w:val="nil"/>
              <w:bottom w:val="nil"/>
              <w:right w:val="nil"/>
            </w:tcBorders>
            <w:shd w:val="clear" w:color="auto" w:fill="auto"/>
            <w:noWrap/>
            <w:vAlign w:val="center"/>
          </w:tcPr>
          <w:p w14:paraId="23D7921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42.75%</w:t>
            </w:r>
          </w:p>
        </w:tc>
      </w:tr>
      <w:tr w:rsidR="0074478A" w14:paraId="20B8AFD6" w14:textId="77777777">
        <w:trPr>
          <w:trHeight w:val="278"/>
        </w:trPr>
        <w:tc>
          <w:tcPr>
            <w:tcW w:w="1551" w:type="pct"/>
            <w:gridSpan w:val="2"/>
            <w:tcBorders>
              <w:top w:val="nil"/>
              <w:left w:val="nil"/>
              <w:bottom w:val="nil"/>
              <w:right w:val="nil"/>
            </w:tcBorders>
            <w:shd w:val="clear" w:color="auto" w:fill="auto"/>
            <w:noWrap/>
            <w:vAlign w:val="center"/>
          </w:tcPr>
          <w:p w14:paraId="24DDAF5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679C6D1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7711754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3CC020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477727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56FB6B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6" w:type="pct"/>
            <w:tcBorders>
              <w:top w:val="nil"/>
              <w:left w:val="nil"/>
              <w:bottom w:val="nil"/>
              <w:right w:val="nil"/>
            </w:tcBorders>
            <w:shd w:val="clear" w:color="auto" w:fill="auto"/>
            <w:noWrap/>
            <w:vAlign w:val="center"/>
          </w:tcPr>
          <w:p w14:paraId="49C1892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3E8FFA9E" w14:textId="77777777">
        <w:trPr>
          <w:trHeight w:val="278"/>
        </w:trPr>
        <w:tc>
          <w:tcPr>
            <w:tcW w:w="1551" w:type="pct"/>
            <w:gridSpan w:val="2"/>
            <w:tcBorders>
              <w:top w:val="nil"/>
              <w:left w:val="nil"/>
              <w:bottom w:val="nil"/>
              <w:right w:val="nil"/>
            </w:tcBorders>
            <w:shd w:val="clear" w:color="auto" w:fill="auto"/>
            <w:noWrap/>
            <w:vAlign w:val="center"/>
          </w:tcPr>
          <w:p w14:paraId="683E5D7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B9464F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6F21D3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±8.07%</w:t>
            </w:r>
          </w:p>
        </w:tc>
        <w:tc>
          <w:tcPr>
            <w:tcW w:w="574" w:type="pct"/>
            <w:tcBorders>
              <w:top w:val="nil"/>
              <w:left w:val="nil"/>
              <w:bottom w:val="nil"/>
              <w:right w:val="nil"/>
            </w:tcBorders>
            <w:shd w:val="clear" w:color="auto" w:fill="auto"/>
            <w:noWrap/>
            <w:vAlign w:val="center"/>
          </w:tcPr>
          <w:p w14:paraId="5156A2E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±18.14%</w:t>
            </w:r>
          </w:p>
        </w:tc>
        <w:tc>
          <w:tcPr>
            <w:tcW w:w="574" w:type="pct"/>
            <w:tcBorders>
              <w:top w:val="nil"/>
              <w:left w:val="nil"/>
              <w:bottom w:val="nil"/>
              <w:right w:val="nil"/>
            </w:tcBorders>
            <w:shd w:val="clear" w:color="auto" w:fill="auto"/>
            <w:noWrap/>
            <w:vAlign w:val="center"/>
          </w:tcPr>
          <w:p w14:paraId="03B3C04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±8.44%</w:t>
            </w:r>
          </w:p>
        </w:tc>
        <w:tc>
          <w:tcPr>
            <w:tcW w:w="574" w:type="pct"/>
            <w:tcBorders>
              <w:top w:val="nil"/>
              <w:left w:val="nil"/>
              <w:bottom w:val="nil"/>
              <w:right w:val="nil"/>
            </w:tcBorders>
            <w:shd w:val="clear" w:color="auto" w:fill="auto"/>
            <w:noWrap/>
            <w:vAlign w:val="center"/>
          </w:tcPr>
          <w:p w14:paraId="21E30C4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1E5BB08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±12.28%</w:t>
            </w:r>
          </w:p>
        </w:tc>
      </w:tr>
      <w:tr w:rsidR="0074478A" w14:paraId="4CE764BF" w14:textId="77777777">
        <w:trPr>
          <w:trHeight w:val="278"/>
        </w:trPr>
        <w:tc>
          <w:tcPr>
            <w:tcW w:w="576" w:type="pct"/>
            <w:vMerge w:val="restart"/>
            <w:tcBorders>
              <w:top w:val="nil"/>
              <w:left w:val="nil"/>
              <w:bottom w:val="nil"/>
              <w:right w:val="nil"/>
            </w:tcBorders>
            <w:shd w:val="clear" w:color="auto" w:fill="auto"/>
            <w:noWrap/>
            <w:vAlign w:val="center"/>
          </w:tcPr>
          <w:p w14:paraId="348E557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5372914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D3CF8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70BF7A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128A43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F300CE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0.001/0.994</w:t>
            </w:r>
          </w:p>
        </w:tc>
        <w:tc>
          <w:tcPr>
            <w:tcW w:w="574" w:type="pct"/>
            <w:tcBorders>
              <w:top w:val="nil"/>
              <w:left w:val="nil"/>
              <w:bottom w:val="nil"/>
              <w:right w:val="nil"/>
            </w:tcBorders>
            <w:shd w:val="clear" w:color="auto" w:fill="auto"/>
            <w:noWrap/>
            <w:vAlign w:val="center"/>
          </w:tcPr>
          <w:p w14:paraId="416B9B4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5830382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339BEE48" w14:textId="77777777">
        <w:trPr>
          <w:trHeight w:val="278"/>
        </w:trPr>
        <w:tc>
          <w:tcPr>
            <w:tcW w:w="576" w:type="pct"/>
            <w:vMerge/>
            <w:tcBorders>
              <w:top w:val="nil"/>
              <w:left w:val="nil"/>
              <w:bottom w:val="nil"/>
              <w:right w:val="nil"/>
            </w:tcBorders>
            <w:shd w:val="clear" w:color="auto" w:fill="auto"/>
            <w:noWrap/>
            <w:vAlign w:val="center"/>
          </w:tcPr>
          <w:p w14:paraId="6410C3C8"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7233CC0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827633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A15144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0</w:t>
            </w:r>
          </w:p>
        </w:tc>
        <w:tc>
          <w:tcPr>
            <w:tcW w:w="574" w:type="pct"/>
            <w:tcBorders>
              <w:top w:val="nil"/>
              <w:left w:val="nil"/>
              <w:bottom w:val="nil"/>
              <w:right w:val="nil"/>
            </w:tcBorders>
            <w:shd w:val="clear" w:color="auto" w:fill="auto"/>
            <w:noWrap/>
            <w:vAlign w:val="center"/>
          </w:tcPr>
          <w:p w14:paraId="05B7106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-0.004/0.957</w:t>
            </w:r>
          </w:p>
        </w:tc>
        <w:tc>
          <w:tcPr>
            <w:tcW w:w="574" w:type="pct"/>
            <w:tcBorders>
              <w:top w:val="nil"/>
              <w:left w:val="nil"/>
              <w:bottom w:val="nil"/>
              <w:right w:val="nil"/>
            </w:tcBorders>
            <w:shd w:val="clear" w:color="auto" w:fill="auto"/>
            <w:noWrap/>
            <w:vAlign w:val="center"/>
          </w:tcPr>
          <w:p w14:paraId="5AFE076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0.001/1.007</w:t>
            </w:r>
          </w:p>
        </w:tc>
        <w:tc>
          <w:tcPr>
            <w:tcW w:w="574" w:type="pct"/>
            <w:tcBorders>
              <w:top w:val="nil"/>
              <w:left w:val="nil"/>
              <w:bottom w:val="nil"/>
              <w:right w:val="nil"/>
            </w:tcBorders>
            <w:shd w:val="clear" w:color="auto" w:fill="auto"/>
            <w:noWrap/>
            <w:vAlign w:val="center"/>
          </w:tcPr>
          <w:p w14:paraId="5E6DEFA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3A8FA43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/0.995</w:t>
            </w:r>
          </w:p>
        </w:tc>
      </w:tr>
      <w:tr w:rsidR="0074478A" w14:paraId="7983AEF7" w14:textId="77777777">
        <w:trPr>
          <w:trHeight w:val="278"/>
        </w:trPr>
        <w:tc>
          <w:tcPr>
            <w:tcW w:w="576" w:type="pct"/>
            <w:vMerge/>
            <w:tcBorders>
              <w:top w:val="nil"/>
              <w:left w:val="nil"/>
              <w:bottom w:val="nil"/>
              <w:right w:val="nil"/>
            </w:tcBorders>
            <w:shd w:val="clear" w:color="auto" w:fill="auto"/>
            <w:noWrap/>
            <w:vAlign w:val="center"/>
          </w:tcPr>
          <w:p w14:paraId="00111641"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A8F63C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F38A8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F17591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-0.023/0.718</w:t>
            </w:r>
          </w:p>
        </w:tc>
        <w:tc>
          <w:tcPr>
            <w:tcW w:w="574" w:type="pct"/>
            <w:tcBorders>
              <w:top w:val="nil"/>
              <w:left w:val="nil"/>
              <w:bottom w:val="nil"/>
              <w:right w:val="nil"/>
            </w:tcBorders>
            <w:shd w:val="clear" w:color="auto" w:fill="auto"/>
            <w:noWrap/>
            <w:vAlign w:val="center"/>
          </w:tcPr>
          <w:p w14:paraId="6DC138E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0.022/1.095</w:t>
            </w:r>
          </w:p>
        </w:tc>
        <w:tc>
          <w:tcPr>
            <w:tcW w:w="574" w:type="pct"/>
            <w:tcBorders>
              <w:top w:val="nil"/>
              <w:left w:val="nil"/>
              <w:bottom w:val="nil"/>
              <w:right w:val="nil"/>
            </w:tcBorders>
            <w:shd w:val="clear" w:color="auto" w:fill="auto"/>
            <w:noWrap/>
            <w:vAlign w:val="center"/>
          </w:tcPr>
          <w:p w14:paraId="28B080E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64F1F4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746FA11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-0.05</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/0.637</w:t>
            </w:r>
          </w:p>
        </w:tc>
      </w:tr>
      <w:tr w:rsidR="0074478A" w14:paraId="0332BCB6"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4BDC422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5BE3895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318DC5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87.43%</w:t>
            </w:r>
          </w:p>
        </w:tc>
        <w:tc>
          <w:tcPr>
            <w:tcW w:w="574" w:type="pct"/>
            <w:tcBorders>
              <w:top w:val="nil"/>
              <w:left w:val="nil"/>
              <w:bottom w:val="single" w:sz="12" w:space="0" w:color="auto"/>
              <w:right w:val="nil"/>
            </w:tcBorders>
            <w:shd w:val="clear" w:color="auto" w:fill="auto"/>
            <w:noWrap/>
            <w:vAlign w:val="center"/>
          </w:tcPr>
          <w:p w14:paraId="2BCAF57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72.41%</w:t>
            </w:r>
          </w:p>
        </w:tc>
        <w:tc>
          <w:tcPr>
            <w:tcW w:w="574" w:type="pct"/>
            <w:tcBorders>
              <w:top w:val="nil"/>
              <w:left w:val="nil"/>
              <w:bottom w:val="single" w:sz="12" w:space="0" w:color="auto"/>
              <w:right w:val="nil"/>
            </w:tcBorders>
            <w:shd w:val="clear" w:color="auto" w:fill="auto"/>
            <w:noWrap/>
            <w:vAlign w:val="center"/>
          </w:tcPr>
          <w:p w14:paraId="24379E9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42.99%</w:t>
            </w:r>
          </w:p>
        </w:tc>
        <w:tc>
          <w:tcPr>
            <w:tcW w:w="574" w:type="pct"/>
            <w:tcBorders>
              <w:top w:val="nil"/>
              <w:left w:val="nil"/>
              <w:bottom w:val="single" w:sz="12" w:space="0" w:color="auto"/>
              <w:right w:val="nil"/>
            </w:tcBorders>
            <w:shd w:val="clear" w:color="auto" w:fill="auto"/>
            <w:noWrap/>
            <w:vAlign w:val="center"/>
          </w:tcPr>
          <w:p w14:paraId="04CCB25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3BE2B47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71.12%</w:t>
            </w:r>
          </w:p>
        </w:tc>
      </w:tr>
    </w:tbl>
    <w:p w14:paraId="4C7E466B" w14:textId="77777777" w:rsidR="0074478A" w:rsidRDefault="0074478A">
      <w:pPr>
        <w:rPr>
          <w:rFonts w:ascii="Times New Roman" w:hAnsi="Times New Roman" w:cs="Times New Roman"/>
        </w:rPr>
      </w:pPr>
    </w:p>
    <w:p w14:paraId="23604879" w14:textId="77777777" w:rsidR="0074478A" w:rsidRDefault="0074478A">
      <w:pPr>
        <w:rPr>
          <w:rFonts w:ascii="Times New Roman" w:hAnsi="Times New Roman" w:cs="Times New Roman"/>
        </w:rPr>
      </w:pPr>
    </w:p>
    <w:p w14:paraId="3FC90D05" w14:textId="77777777" w:rsidR="0074478A" w:rsidRDefault="0074478A">
      <w:pPr>
        <w:rPr>
          <w:rFonts w:ascii="Times New Roman" w:hAnsi="Times New Roman" w:cs="Times New Roman"/>
        </w:rPr>
      </w:pPr>
    </w:p>
    <w:p w14:paraId="1F054219" w14:textId="77777777" w:rsidR="0074478A" w:rsidRDefault="0074478A">
      <w:pPr>
        <w:rPr>
          <w:rFonts w:ascii="Times New Roman" w:hAnsi="Times New Roman" w:cs="Times New Roman"/>
        </w:rPr>
      </w:pPr>
    </w:p>
    <w:p w14:paraId="27C58549" w14:textId="77777777" w:rsidR="0074478A" w:rsidRDefault="0074478A">
      <w:pPr>
        <w:rPr>
          <w:rFonts w:ascii="Times New Roman" w:hAnsi="Times New Roman" w:cs="Times New Roman"/>
        </w:rPr>
      </w:pPr>
    </w:p>
    <w:p w14:paraId="5F9710F1" w14:textId="77777777" w:rsidR="0074478A" w:rsidRDefault="0074478A">
      <w:pPr>
        <w:rPr>
          <w:rFonts w:ascii="Times New Roman" w:hAnsi="Times New Roman" w:cs="Times New Roman"/>
        </w:rPr>
      </w:pPr>
    </w:p>
    <w:p w14:paraId="4171DC12" w14:textId="77777777" w:rsidR="0074478A" w:rsidRDefault="0074478A">
      <w:pPr>
        <w:rPr>
          <w:rFonts w:ascii="Times New Roman" w:hAnsi="Times New Roman" w:cs="Times New Roman"/>
        </w:rPr>
      </w:pPr>
    </w:p>
    <w:p w14:paraId="4814754E" w14:textId="77777777" w:rsidR="0074478A" w:rsidRDefault="0074478A">
      <w:pPr>
        <w:rPr>
          <w:rFonts w:ascii="Times New Roman" w:hAnsi="Times New Roman" w:cs="Times New Roman"/>
        </w:rPr>
      </w:pPr>
    </w:p>
    <w:p w14:paraId="53E51836" w14:textId="77777777" w:rsidR="0074478A" w:rsidRDefault="0074478A">
      <w:pPr>
        <w:rPr>
          <w:rFonts w:ascii="Times New Roman" w:hAnsi="Times New Roman" w:cs="Times New Roman"/>
        </w:rPr>
      </w:pPr>
    </w:p>
    <w:p w14:paraId="16DEB885" w14:textId="77777777" w:rsidR="0074478A" w:rsidRDefault="0074478A">
      <w:pPr>
        <w:rPr>
          <w:rFonts w:ascii="Times New Roman" w:hAnsi="Times New Roman" w:cs="Times New Roman"/>
        </w:rPr>
      </w:pPr>
    </w:p>
    <w:p w14:paraId="7959852E" w14:textId="77777777" w:rsidR="0074478A" w:rsidRDefault="0074478A">
      <w:pPr>
        <w:rPr>
          <w:rFonts w:ascii="Times New Roman" w:hAnsi="Times New Roman" w:cs="Times New Roman"/>
        </w:rPr>
      </w:pPr>
    </w:p>
    <w:p w14:paraId="7A571EC2" w14:textId="77777777" w:rsidR="0074478A" w:rsidRDefault="0074478A">
      <w:pPr>
        <w:rPr>
          <w:rFonts w:ascii="Times New Roman" w:hAnsi="Times New Roman" w:cs="Times New Roman"/>
        </w:rPr>
      </w:pPr>
    </w:p>
    <w:p w14:paraId="7B43EBCA" w14:textId="77777777" w:rsidR="0074478A" w:rsidRDefault="00690393">
      <w:pPr>
        <w:rPr>
          <w:rFonts w:ascii="Times New Roman" w:hAnsi="Times New Roman" w:cs="Times New Roman"/>
        </w:rPr>
      </w:pPr>
      <w:bookmarkStart w:id="109" w:name="OLE_LINK46"/>
      <w:r>
        <w:rPr>
          <w:rFonts w:ascii="Times New Roman" w:hAnsi="Times New Roman" w:cs="Times New Roman" w:hint="eastAsia"/>
        </w:rPr>
        <w:t>Panel M: New Zealand</w:t>
      </w:r>
    </w:p>
    <w:tbl>
      <w:tblPr>
        <w:tblW w:w="4997" w:type="pct"/>
        <w:tblLayout w:type="fixed"/>
        <w:tblLook w:val="04A0" w:firstRow="1" w:lastRow="0" w:firstColumn="1" w:lastColumn="0" w:noHBand="0" w:noVBand="1"/>
      </w:tblPr>
      <w:tblGrid>
        <w:gridCol w:w="1806"/>
        <w:gridCol w:w="3098"/>
        <w:gridCol w:w="1809"/>
        <w:gridCol w:w="1809"/>
        <w:gridCol w:w="1809"/>
        <w:gridCol w:w="1808"/>
        <w:gridCol w:w="1811"/>
      </w:tblGrid>
      <w:tr w:rsidR="0074478A" w14:paraId="00D4F157" w14:textId="77777777">
        <w:trPr>
          <w:trHeight w:val="278"/>
        </w:trPr>
        <w:tc>
          <w:tcPr>
            <w:tcW w:w="1757" w:type="pct"/>
            <w:gridSpan w:val="2"/>
            <w:tcBorders>
              <w:top w:val="single" w:sz="12" w:space="0" w:color="auto"/>
              <w:left w:val="nil"/>
              <w:bottom w:val="single" w:sz="8" w:space="0" w:color="auto"/>
              <w:right w:val="nil"/>
            </w:tcBorders>
            <w:shd w:val="clear" w:color="auto" w:fill="auto"/>
            <w:noWrap/>
            <w:vAlign w:val="center"/>
          </w:tcPr>
          <w:p w14:paraId="77B9933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648" w:type="pct"/>
            <w:tcBorders>
              <w:top w:val="single" w:sz="12" w:space="0" w:color="auto"/>
              <w:left w:val="nil"/>
              <w:bottom w:val="single" w:sz="8" w:space="0" w:color="auto"/>
              <w:right w:val="nil"/>
            </w:tcBorders>
            <w:shd w:val="clear" w:color="auto" w:fill="auto"/>
            <w:noWrap/>
            <w:vAlign w:val="center"/>
          </w:tcPr>
          <w:p w14:paraId="2550FE3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2003/12/18</w:t>
            </w:r>
          </w:p>
        </w:tc>
        <w:tc>
          <w:tcPr>
            <w:tcW w:w="648" w:type="pct"/>
            <w:tcBorders>
              <w:top w:val="single" w:sz="12" w:space="0" w:color="auto"/>
              <w:left w:val="nil"/>
              <w:bottom w:val="single" w:sz="8" w:space="0" w:color="auto"/>
              <w:right w:val="nil"/>
            </w:tcBorders>
            <w:shd w:val="clear" w:color="auto" w:fill="auto"/>
            <w:noWrap/>
            <w:vAlign w:val="center"/>
          </w:tcPr>
          <w:p w14:paraId="2F366DF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2003/12/19-</w:t>
            </w:r>
            <w:r>
              <w:rPr>
                <w:rFonts w:ascii="Times New Roman" w:eastAsia="SimSun" w:hAnsi="Times New Roman" w:cs="Times New Roman"/>
                <w:color w:val="000000"/>
                <w:kern w:val="0"/>
                <w:szCs w:val="21"/>
                <w:lang w:bidi="ar"/>
              </w:rPr>
              <w:br/>
              <w:t>2007/05/08</w:t>
            </w:r>
          </w:p>
        </w:tc>
        <w:tc>
          <w:tcPr>
            <w:tcW w:w="648" w:type="pct"/>
            <w:tcBorders>
              <w:top w:val="single" w:sz="12" w:space="0" w:color="auto"/>
              <w:left w:val="nil"/>
              <w:bottom w:val="single" w:sz="8" w:space="0" w:color="auto"/>
              <w:right w:val="nil"/>
            </w:tcBorders>
            <w:shd w:val="clear" w:color="auto" w:fill="auto"/>
            <w:noWrap/>
            <w:vAlign w:val="center"/>
          </w:tcPr>
          <w:p w14:paraId="56253D4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2007/05/09-</w:t>
            </w:r>
            <w:r>
              <w:rPr>
                <w:rFonts w:ascii="Times New Roman" w:eastAsia="SimSun" w:hAnsi="Times New Roman" w:cs="Times New Roman"/>
                <w:color w:val="000000"/>
                <w:kern w:val="0"/>
                <w:szCs w:val="21"/>
                <w:lang w:bidi="ar"/>
              </w:rPr>
              <w:br/>
              <w:t>2010/09/03</w:t>
            </w:r>
          </w:p>
        </w:tc>
        <w:tc>
          <w:tcPr>
            <w:tcW w:w="648" w:type="pct"/>
            <w:tcBorders>
              <w:top w:val="single" w:sz="12" w:space="0" w:color="auto"/>
              <w:left w:val="nil"/>
              <w:bottom w:val="single" w:sz="8" w:space="0" w:color="auto"/>
              <w:right w:val="nil"/>
            </w:tcBorders>
            <w:shd w:val="clear" w:color="auto" w:fill="auto"/>
            <w:noWrap/>
            <w:vAlign w:val="center"/>
          </w:tcPr>
          <w:p w14:paraId="6DAB93A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2010/09/04-</w:t>
            </w:r>
            <w:r>
              <w:rPr>
                <w:rFonts w:ascii="Times New Roman" w:eastAsia="SimSun" w:hAnsi="Times New Roman" w:cs="Times New Roman"/>
                <w:color w:val="000000"/>
                <w:kern w:val="0"/>
                <w:szCs w:val="21"/>
                <w:lang w:bidi="ar"/>
              </w:rPr>
              <w:br/>
              <w:t>2016/05/06</w:t>
            </w:r>
          </w:p>
        </w:tc>
        <w:tc>
          <w:tcPr>
            <w:tcW w:w="649" w:type="pct"/>
            <w:tcBorders>
              <w:top w:val="single" w:sz="12" w:space="0" w:color="auto"/>
              <w:left w:val="nil"/>
              <w:bottom w:val="single" w:sz="8" w:space="0" w:color="auto"/>
              <w:right w:val="nil"/>
            </w:tcBorders>
            <w:shd w:val="clear" w:color="auto" w:fill="auto"/>
            <w:noWrap/>
            <w:vAlign w:val="center"/>
          </w:tcPr>
          <w:p w14:paraId="6A4C012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2016/05/07-</w:t>
            </w:r>
            <w:r>
              <w:rPr>
                <w:rFonts w:ascii="Times New Roman" w:eastAsia="SimSun" w:hAnsi="Times New Roman" w:cs="Times New Roman"/>
                <w:color w:val="000000"/>
                <w:kern w:val="0"/>
                <w:szCs w:val="21"/>
                <w:lang w:bidi="ar"/>
              </w:rPr>
              <w:br/>
              <w:t>2020/12/31</w:t>
            </w:r>
          </w:p>
        </w:tc>
      </w:tr>
      <w:tr w:rsidR="0074478A" w14:paraId="058E6A01" w14:textId="77777777">
        <w:trPr>
          <w:trHeight w:val="278"/>
        </w:trPr>
        <w:tc>
          <w:tcPr>
            <w:tcW w:w="647" w:type="pct"/>
            <w:vMerge w:val="restart"/>
            <w:tcBorders>
              <w:top w:val="single" w:sz="8" w:space="0" w:color="auto"/>
              <w:left w:val="nil"/>
              <w:bottom w:val="nil"/>
              <w:right w:val="nil"/>
            </w:tcBorders>
            <w:shd w:val="clear" w:color="auto" w:fill="auto"/>
            <w:noWrap/>
            <w:vAlign w:val="center"/>
          </w:tcPr>
          <w:p w14:paraId="043B449E"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109" w:type="pct"/>
            <w:tcBorders>
              <w:top w:val="single" w:sz="8" w:space="0" w:color="auto"/>
              <w:left w:val="nil"/>
              <w:bottom w:val="nil"/>
              <w:right w:val="nil"/>
            </w:tcBorders>
            <w:shd w:val="clear" w:color="auto" w:fill="auto"/>
            <w:noWrap/>
            <w:vAlign w:val="center"/>
          </w:tcPr>
          <w:p w14:paraId="70C402B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648" w:type="pct"/>
            <w:tcBorders>
              <w:top w:val="single" w:sz="8" w:space="0" w:color="auto"/>
              <w:left w:val="nil"/>
              <w:bottom w:val="nil"/>
              <w:right w:val="nil"/>
            </w:tcBorders>
            <w:shd w:val="clear" w:color="auto" w:fill="auto"/>
            <w:vAlign w:val="bottom"/>
          </w:tcPr>
          <w:p w14:paraId="2AAA11D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52.29%</w:t>
            </w:r>
          </w:p>
        </w:tc>
        <w:tc>
          <w:tcPr>
            <w:tcW w:w="648" w:type="pct"/>
            <w:tcBorders>
              <w:top w:val="single" w:sz="8" w:space="0" w:color="auto"/>
              <w:left w:val="nil"/>
              <w:bottom w:val="nil"/>
              <w:right w:val="nil"/>
            </w:tcBorders>
            <w:shd w:val="clear" w:color="auto" w:fill="auto"/>
            <w:noWrap/>
            <w:vAlign w:val="bottom"/>
          </w:tcPr>
          <w:p w14:paraId="597B456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0.39%</w:t>
            </w:r>
          </w:p>
        </w:tc>
        <w:tc>
          <w:tcPr>
            <w:tcW w:w="648" w:type="pct"/>
            <w:tcBorders>
              <w:top w:val="single" w:sz="8" w:space="0" w:color="auto"/>
              <w:left w:val="nil"/>
              <w:bottom w:val="nil"/>
              <w:right w:val="nil"/>
            </w:tcBorders>
            <w:shd w:val="clear" w:color="auto" w:fill="auto"/>
            <w:noWrap/>
            <w:vAlign w:val="bottom"/>
          </w:tcPr>
          <w:p w14:paraId="6921D07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25.97%</w:t>
            </w:r>
          </w:p>
        </w:tc>
        <w:tc>
          <w:tcPr>
            <w:tcW w:w="648" w:type="pct"/>
            <w:tcBorders>
              <w:top w:val="single" w:sz="8" w:space="0" w:color="auto"/>
              <w:left w:val="nil"/>
              <w:bottom w:val="nil"/>
              <w:right w:val="nil"/>
            </w:tcBorders>
            <w:shd w:val="clear" w:color="auto" w:fill="auto"/>
            <w:noWrap/>
            <w:vAlign w:val="bottom"/>
          </w:tcPr>
          <w:p w14:paraId="5147357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4.63%</w:t>
            </w:r>
          </w:p>
        </w:tc>
        <w:tc>
          <w:tcPr>
            <w:tcW w:w="649" w:type="pct"/>
            <w:tcBorders>
              <w:top w:val="single" w:sz="8" w:space="0" w:color="auto"/>
              <w:left w:val="nil"/>
              <w:bottom w:val="nil"/>
              <w:right w:val="nil"/>
            </w:tcBorders>
            <w:shd w:val="clear" w:color="auto" w:fill="auto"/>
            <w:noWrap/>
            <w:vAlign w:val="bottom"/>
          </w:tcPr>
          <w:p w14:paraId="33DB77C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8.76%</w:t>
            </w:r>
          </w:p>
        </w:tc>
      </w:tr>
      <w:tr w:rsidR="0074478A" w14:paraId="17FF6D2D" w14:textId="77777777">
        <w:trPr>
          <w:trHeight w:val="278"/>
        </w:trPr>
        <w:tc>
          <w:tcPr>
            <w:tcW w:w="647" w:type="pct"/>
            <w:vMerge/>
            <w:tcBorders>
              <w:top w:val="nil"/>
              <w:left w:val="nil"/>
              <w:bottom w:val="nil"/>
              <w:right w:val="nil"/>
            </w:tcBorders>
            <w:shd w:val="clear" w:color="auto" w:fill="auto"/>
            <w:noWrap/>
            <w:vAlign w:val="center"/>
          </w:tcPr>
          <w:p w14:paraId="43856CFF" w14:textId="77777777" w:rsidR="0074478A" w:rsidRDefault="0074478A">
            <w:pPr>
              <w:spacing w:line="240" w:lineRule="atLeast"/>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70B35B29"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648" w:type="pct"/>
            <w:tcBorders>
              <w:top w:val="nil"/>
              <w:left w:val="nil"/>
              <w:bottom w:val="nil"/>
              <w:right w:val="nil"/>
            </w:tcBorders>
            <w:shd w:val="clear" w:color="auto" w:fill="auto"/>
            <w:noWrap/>
            <w:vAlign w:val="bottom"/>
          </w:tcPr>
          <w:p w14:paraId="2BBD1CA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36.04%</w:t>
            </w:r>
          </w:p>
        </w:tc>
        <w:tc>
          <w:tcPr>
            <w:tcW w:w="648" w:type="pct"/>
            <w:tcBorders>
              <w:top w:val="nil"/>
              <w:left w:val="nil"/>
              <w:bottom w:val="nil"/>
              <w:right w:val="nil"/>
            </w:tcBorders>
            <w:shd w:val="clear" w:color="auto" w:fill="auto"/>
            <w:noWrap/>
            <w:vAlign w:val="bottom"/>
          </w:tcPr>
          <w:p w14:paraId="1100BD6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30.63%</w:t>
            </w:r>
          </w:p>
        </w:tc>
        <w:tc>
          <w:tcPr>
            <w:tcW w:w="648" w:type="pct"/>
            <w:tcBorders>
              <w:top w:val="nil"/>
              <w:left w:val="nil"/>
              <w:bottom w:val="nil"/>
              <w:right w:val="nil"/>
            </w:tcBorders>
            <w:shd w:val="clear" w:color="auto" w:fill="auto"/>
            <w:noWrap/>
            <w:vAlign w:val="bottom"/>
          </w:tcPr>
          <w:p w14:paraId="646E317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80.48%</w:t>
            </w:r>
          </w:p>
        </w:tc>
        <w:tc>
          <w:tcPr>
            <w:tcW w:w="648" w:type="pct"/>
            <w:tcBorders>
              <w:top w:val="nil"/>
              <w:left w:val="nil"/>
              <w:bottom w:val="nil"/>
              <w:right w:val="nil"/>
            </w:tcBorders>
            <w:shd w:val="clear" w:color="auto" w:fill="auto"/>
            <w:noWrap/>
            <w:vAlign w:val="bottom"/>
          </w:tcPr>
          <w:p w14:paraId="726C8C6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37.02%</w:t>
            </w:r>
          </w:p>
        </w:tc>
        <w:tc>
          <w:tcPr>
            <w:tcW w:w="649" w:type="pct"/>
            <w:tcBorders>
              <w:top w:val="nil"/>
              <w:left w:val="nil"/>
              <w:bottom w:val="nil"/>
              <w:right w:val="nil"/>
            </w:tcBorders>
            <w:shd w:val="clear" w:color="auto" w:fill="auto"/>
            <w:noWrap/>
            <w:vAlign w:val="bottom"/>
          </w:tcPr>
          <w:p w14:paraId="4953340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48.51%</w:t>
            </w:r>
          </w:p>
        </w:tc>
      </w:tr>
      <w:tr w:rsidR="0074478A" w14:paraId="2F510F8F" w14:textId="77777777">
        <w:trPr>
          <w:trHeight w:val="278"/>
        </w:trPr>
        <w:tc>
          <w:tcPr>
            <w:tcW w:w="647" w:type="pct"/>
            <w:vMerge/>
            <w:tcBorders>
              <w:top w:val="nil"/>
              <w:left w:val="nil"/>
              <w:bottom w:val="nil"/>
              <w:right w:val="nil"/>
            </w:tcBorders>
            <w:shd w:val="clear" w:color="auto" w:fill="auto"/>
            <w:noWrap/>
            <w:vAlign w:val="center"/>
          </w:tcPr>
          <w:p w14:paraId="3D0C0428" w14:textId="77777777" w:rsidR="0074478A" w:rsidRDefault="0074478A">
            <w:pPr>
              <w:spacing w:line="240" w:lineRule="atLeast"/>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11083DD6"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648" w:type="pct"/>
            <w:tcBorders>
              <w:top w:val="nil"/>
              <w:left w:val="nil"/>
              <w:bottom w:val="nil"/>
              <w:right w:val="nil"/>
            </w:tcBorders>
            <w:shd w:val="clear" w:color="auto" w:fill="auto"/>
            <w:noWrap/>
            <w:vAlign w:val="bottom"/>
          </w:tcPr>
          <w:p w14:paraId="0439034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7.64%</w:t>
            </w:r>
          </w:p>
        </w:tc>
        <w:tc>
          <w:tcPr>
            <w:tcW w:w="648" w:type="pct"/>
            <w:tcBorders>
              <w:top w:val="nil"/>
              <w:left w:val="nil"/>
              <w:bottom w:val="nil"/>
              <w:right w:val="nil"/>
            </w:tcBorders>
            <w:shd w:val="clear" w:color="auto" w:fill="auto"/>
            <w:noWrap/>
            <w:vAlign w:val="bottom"/>
          </w:tcPr>
          <w:p w14:paraId="1A3F67A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11.47%</w:t>
            </w:r>
          </w:p>
        </w:tc>
        <w:tc>
          <w:tcPr>
            <w:tcW w:w="648" w:type="pct"/>
            <w:tcBorders>
              <w:top w:val="nil"/>
              <w:left w:val="nil"/>
              <w:bottom w:val="nil"/>
              <w:right w:val="nil"/>
            </w:tcBorders>
            <w:shd w:val="clear" w:color="auto" w:fill="auto"/>
            <w:noWrap/>
            <w:vAlign w:val="bottom"/>
          </w:tcPr>
          <w:p w14:paraId="0D792A1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-44.34%</w:t>
            </w:r>
          </w:p>
        </w:tc>
        <w:tc>
          <w:tcPr>
            <w:tcW w:w="648" w:type="pct"/>
            <w:tcBorders>
              <w:top w:val="nil"/>
              <w:left w:val="nil"/>
              <w:bottom w:val="nil"/>
              <w:right w:val="nil"/>
            </w:tcBorders>
            <w:shd w:val="clear" w:color="auto" w:fill="auto"/>
            <w:noWrap/>
            <w:vAlign w:val="bottom"/>
          </w:tcPr>
          <w:p w14:paraId="7C51ABA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10.77%</w:t>
            </w:r>
          </w:p>
        </w:tc>
        <w:tc>
          <w:tcPr>
            <w:tcW w:w="649" w:type="pct"/>
            <w:tcBorders>
              <w:top w:val="nil"/>
              <w:left w:val="nil"/>
              <w:bottom w:val="nil"/>
              <w:right w:val="nil"/>
            </w:tcBorders>
            <w:shd w:val="clear" w:color="auto" w:fill="auto"/>
            <w:noWrap/>
            <w:vAlign w:val="bottom"/>
          </w:tcPr>
          <w:p w14:paraId="6433B91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17.95%</w:t>
            </w:r>
          </w:p>
        </w:tc>
      </w:tr>
      <w:tr w:rsidR="0074478A" w14:paraId="69D60CF2" w14:textId="77777777">
        <w:trPr>
          <w:trHeight w:val="278"/>
        </w:trPr>
        <w:tc>
          <w:tcPr>
            <w:tcW w:w="647" w:type="pct"/>
            <w:vMerge/>
            <w:tcBorders>
              <w:top w:val="nil"/>
              <w:left w:val="nil"/>
              <w:bottom w:val="nil"/>
              <w:right w:val="nil"/>
            </w:tcBorders>
            <w:shd w:val="clear" w:color="auto" w:fill="auto"/>
            <w:noWrap/>
            <w:vAlign w:val="center"/>
          </w:tcPr>
          <w:p w14:paraId="53CEB71E" w14:textId="77777777" w:rsidR="0074478A" w:rsidRDefault="0074478A">
            <w:pPr>
              <w:spacing w:line="240" w:lineRule="atLeast"/>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3C53CF64"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648" w:type="pct"/>
            <w:tcBorders>
              <w:top w:val="nil"/>
              <w:left w:val="nil"/>
              <w:bottom w:val="nil"/>
              <w:right w:val="nil"/>
            </w:tcBorders>
            <w:shd w:val="clear" w:color="auto" w:fill="auto"/>
            <w:vAlign w:val="center"/>
          </w:tcPr>
          <w:p w14:paraId="764812D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4.02%</w:t>
            </w:r>
          </w:p>
        </w:tc>
        <w:tc>
          <w:tcPr>
            <w:tcW w:w="648" w:type="pct"/>
            <w:tcBorders>
              <w:top w:val="nil"/>
              <w:left w:val="nil"/>
              <w:bottom w:val="nil"/>
              <w:right w:val="nil"/>
            </w:tcBorders>
            <w:shd w:val="clear" w:color="auto" w:fill="auto"/>
            <w:noWrap/>
            <w:vAlign w:val="center"/>
          </w:tcPr>
          <w:p w14:paraId="4607579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57.52%</w:t>
            </w:r>
          </w:p>
        </w:tc>
        <w:tc>
          <w:tcPr>
            <w:tcW w:w="648" w:type="pct"/>
            <w:tcBorders>
              <w:top w:val="nil"/>
              <w:left w:val="nil"/>
              <w:bottom w:val="nil"/>
              <w:right w:val="nil"/>
            </w:tcBorders>
            <w:shd w:val="clear" w:color="auto" w:fill="auto"/>
            <w:noWrap/>
            <w:vAlign w:val="center"/>
          </w:tcPr>
          <w:p w14:paraId="22B8DA9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37.89%</w:t>
            </w:r>
          </w:p>
        </w:tc>
        <w:tc>
          <w:tcPr>
            <w:tcW w:w="648" w:type="pct"/>
            <w:tcBorders>
              <w:top w:val="nil"/>
              <w:left w:val="nil"/>
              <w:bottom w:val="nil"/>
              <w:right w:val="nil"/>
            </w:tcBorders>
            <w:shd w:val="clear" w:color="auto" w:fill="auto"/>
            <w:noWrap/>
            <w:vAlign w:val="center"/>
          </w:tcPr>
          <w:p w14:paraId="28A74B7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47.59%</w:t>
            </w:r>
          </w:p>
        </w:tc>
        <w:tc>
          <w:tcPr>
            <w:tcW w:w="649" w:type="pct"/>
            <w:tcBorders>
              <w:top w:val="nil"/>
              <w:left w:val="nil"/>
              <w:bottom w:val="nil"/>
              <w:right w:val="nil"/>
            </w:tcBorders>
            <w:shd w:val="clear" w:color="auto" w:fill="auto"/>
            <w:noWrap/>
            <w:vAlign w:val="center"/>
          </w:tcPr>
          <w:p w14:paraId="3507084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24.78%</w:t>
            </w:r>
          </w:p>
        </w:tc>
      </w:tr>
      <w:tr w:rsidR="0074478A" w14:paraId="6189DAFC" w14:textId="77777777">
        <w:trPr>
          <w:trHeight w:val="278"/>
        </w:trPr>
        <w:tc>
          <w:tcPr>
            <w:tcW w:w="1757" w:type="pct"/>
            <w:gridSpan w:val="2"/>
            <w:tcBorders>
              <w:top w:val="nil"/>
              <w:left w:val="nil"/>
              <w:bottom w:val="nil"/>
              <w:right w:val="nil"/>
            </w:tcBorders>
            <w:shd w:val="clear" w:color="auto" w:fill="auto"/>
            <w:noWrap/>
            <w:vAlign w:val="center"/>
          </w:tcPr>
          <w:p w14:paraId="53BB88B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5C7998E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3FEC5C8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69A70CE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48A79E1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649" w:type="pct"/>
            <w:tcBorders>
              <w:top w:val="nil"/>
              <w:left w:val="nil"/>
              <w:bottom w:val="nil"/>
              <w:right w:val="nil"/>
            </w:tcBorders>
            <w:shd w:val="clear" w:color="auto" w:fill="auto"/>
            <w:noWrap/>
            <w:vAlign w:val="center"/>
          </w:tcPr>
          <w:p w14:paraId="6167ADF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74478A" w14:paraId="3749CDA6" w14:textId="77777777">
        <w:trPr>
          <w:trHeight w:val="278"/>
        </w:trPr>
        <w:tc>
          <w:tcPr>
            <w:tcW w:w="1757" w:type="pct"/>
            <w:gridSpan w:val="2"/>
            <w:tcBorders>
              <w:top w:val="nil"/>
              <w:left w:val="nil"/>
              <w:bottom w:val="nil"/>
              <w:right w:val="nil"/>
            </w:tcBorders>
            <w:shd w:val="clear" w:color="auto" w:fill="auto"/>
            <w:noWrap/>
            <w:vAlign w:val="center"/>
          </w:tcPr>
          <w:p w14:paraId="00A2D1D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0159B66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B61EF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AD002B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055BE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±9.42%</w:t>
            </w:r>
          </w:p>
        </w:tc>
        <w:tc>
          <w:tcPr>
            <w:tcW w:w="649" w:type="pct"/>
            <w:tcBorders>
              <w:top w:val="nil"/>
              <w:left w:val="nil"/>
              <w:bottom w:val="nil"/>
              <w:right w:val="nil"/>
            </w:tcBorders>
            <w:shd w:val="clear" w:color="auto" w:fill="auto"/>
            <w:noWrap/>
            <w:vAlign w:val="center"/>
          </w:tcPr>
          <w:p w14:paraId="0DA2BD6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1CC91FFA" w14:textId="77777777">
        <w:trPr>
          <w:trHeight w:val="278"/>
        </w:trPr>
        <w:tc>
          <w:tcPr>
            <w:tcW w:w="647" w:type="pct"/>
            <w:vMerge w:val="restart"/>
            <w:tcBorders>
              <w:top w:val="nil"/>
              <w:left w:val="nil"/>
              <w:bottom w:val="nil"/>
              <w:right w:val="nil"/>
            </w:tcBorders>
            <w:shd w:val="clear" w:color="auto" w:fill="auto"/>
            <w:noWrap/>
            <w:vAlign w:val="center"/>
          </w:tcPr>
          <w:p w14:paraId="256324FC"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678E9C8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6518D89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539ED0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A45F22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86814F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/0.996</w:t>
            </w:r>
          </w:p>
        </w:tc>
        <w:tc>
          <w:tcPr>
            <w:tcW w:w="649" w:type="pct"/>
            <w:tcBorders>
              <w:top w:val="nil"/>
              <w:left w:val="nil"/>
              <w:bottom w:val="nil"/>
              <w:right w:val="nil"/>
            </w:tcBorders>
            <w:shd w:val="clear" w:color="auto" w:fill="auto"/>
            <w:noWrap/>
            <w:vAlign w:val="center"/>
          </w:tcPr>
          <w:p w14:paraId="1BF839A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2589AF7B" w14:textId="77777777">
        <w:trPr>
          <w:trHeight w:val="278"/>
        </w:trPr>
        <w:tc>
          <w:tcPr>
            <w:tcW w:w="647" w:type="pct"/>
            <w:vMerge/>
            <w:tcBorders>
              <w:top w:val="nil"/>
              <w:left w:val="nil"/>
              <w:bottom w:val="nil"/>
              <w:right w:val="nil"/>
            </w:tcBorders>
            <w:shd w:val="clear" w:color="auto" w:fill="auto"/>
            <w:noWrap/>
            <w:vAlign w:val="center"/>
          </w:tcPr>
          <w:p w14:paraId="6ADC7EE7" w14:textId="77777777" w:rsidR="0074478A" w:rsidRDefault="0074478A">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27FD4FE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BEEADE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4E933D9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1AF3B5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A84AF9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/0.996</w:t>
            </w:r>
          </w:p>
        </w:tc>
        <w:tc>
          <w:tcPr>
            <w:tcW w:w="649" w:type="pct"/>
            <w:tcBorders>
              <w:top w:val="nil"/>
              <w:left w:val="nil"/>
              <w:bottom w:val="nil"/>
              <w:right w:val="nil"/>
            </w:tcBorders>
            <w:shd w:val="clear" w:color="auto" w:fill="auto"/>
            <w:noWrap/>
            <w:vAlign w:val="center"/>
          </w:tcPr>
          <w:p w14:paraId="0F50B05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76941029" w14:textId="77777777">
        <w:trPr>
          <w:trHeight w:val="278"/>
        </w:trPr>
        <w:tc>
          <w:tcPr>
            <w:tcW w:w="647" w:type="pct"/>
            <w:vMerge/>
            <w:tcBorders>
              <w:top w:val="nil"/>
              <w:left w:val="nil"/>
              <w:bottom w:val="nil"/>
              <w:right w:val="nil"/>
            </w:tcBorders>
            <w:shd w:val="clear" w:color="auto" w:fill="auto"/>
            <w:noWrap/>
            <w:vAlign w:val="center"/>
          </w:tcPr>
          <w:p w14:paraId="2E1DCC2A" w14:textId="77777777" w:rsidR="0074478A" w:rsidRDefault="0074478A">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482E2FD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2EEF0B8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398FBA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EFAFA7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D67043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649" w:type="pct"/>
            <w:tcBorders>
              <w:top w:val="nil"/>
              <w:left w:val="nil"/>
              <w:bottom w:val="nil"/>
              <w:right w:val="nil"/>
            </w:tcBorders>
            <w:shd w:val="clear" w:color="auto" w:fill="auto"/>
            <w:noWrap/>
            <w:vAlign w:val="center"/>
          </w:tcPr>
          <w:p w14:paraId="341A78A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2DF4E03F" w14:textId="77777777">
        <w:trPr>
          <w:trHeight w:val="278"/>
        </w:trPr>
        <w:tc>
          <w:tcPr>
            <w:tcW w:w="1757" w:type="pct"/>
            <w:gridSpan w:val="2"/>
            <w:tcBorders>
              <w:top w:val="nil"/>
              <w:left w:val="nil"/>
              <w:bottom w:val="single" w:sz="12" w:space="0" w:color="auto"/>
              <w:right w:val="nil"/>
            </w:tcBorders>
            <w:shd w:val="clear" w:color="auto" w:fill="auto"/>
            <w:noWrap/>
            <w:vAlign w:val="center"/>
          </w:tcPr>
          <w:p w14:paraId="293CDF25"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648" w:type="pct"/>
            <w:tcBorders>
              <w:top w:val="nil"/>
              <w:left w:val="nil"/>
              <w:bottom w:val="single" w:sz="12" w:space="0" w:color="auto"/>
              <w:right w:val="nil"/>
            </w:tcBorders>
            <w:shd w:val="clear" w:color="auto" w:fill="auto"/>
            <w:noWrap/>
            <w:vAlign w:val="center"/>
          </w:tcPr>
          <w:p w14:paraId="1F4957C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5BBA004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09A9957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49D7986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59.56%</w:t>
            </w:r>
          </w:p>
        </w:tc>
        <w:tc>
          <w:tcPr>
            <w:tcW w:w="649" w:type="pct"/>
            <w:tcBorders>
              <w:top w:val="nil"/>
              <w:left w:val="nil"/>
              <w:bottom w:val="single" w:sz="12" w:space="0" w:color="auto"/>
              <w:right w:val="nil"/>
            </w:tcBorders>
            <w:shd w:val="clear" w:color="auto" w:fill="auto"/>
            <w:noWrap/>
            <w:vAlign w:val="center"/>
          </w:tcPr>
          <w:p w14:paraId="6EFE544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264B9573" w14:textId="77777777" w:rsidR="0074478A" w:rsidRDefault="0074478A">
      <w:pPr>
        <w:rPr>
          <w:rFonts w:ascii="Times New Roman" w:hAnsi="Times New Roman" w:cs="Times New Roman"/>
        </w:rPr>
      </w:pPr>
    </w:p>
    <w:p w14:paraId="3CB117F9" w14:textId="77777777" w:rsidR="0074478A" w:rsidRDefault="0074478A">
      <w:pPr>
        <w:rPr>
          <w:rFonts w:ascii="Times New Roman" w:hAnsi="Times New Roman" w:cs="Times New Roman"/>
        </w:rPr>
      </w:pPr>
    </w:p>
    <w:p w14:paraId="70F171F6" w14:textId="77777777" w:rsidR="0074478A" w:rsidRDefault="0074478A">
      <w:pPr>
        <w:rPr>
          <w:rFonts w:ascii="Times New Roman" w:hAnsi="Times New Roman" w:cs="Times New Roman"/>
        </w:rPr>
      </w:pPr>
    </w:p>
    <w:p w14:paraId="79ADE7A5" w14:textId="77777777" w:rsidR="0074478A" w:rsidRDefault="0074478A">
      <w:pPr>
        <w:rPr>
          <w:rFonts w:ascii="Times New Roman" w:hAnsi="Times New Roman" w:cs="Times New Roman"/>
        </w:rPr>
      </w:pPr>
    </w:p>
    <w:p w14:paraId="1F9C99C2" w14:textId="77777777" w:rsidR="0074478A" w:rsidRDefault="0074478A">
      <w:pPr>
        <w:rPr>
          <w:rFonts w:ascii="Times New Roman" w:hAnsi="Times New Roman" w:cs="Times New Roman"/>
        </w:rPr>
      </w:pPr>
    </w:p>
    <w:p w14:paraId="55C361D8" w14:textId="77777777" w:rsidR="0074478A" w:rsidRDefault="0074478A">
      <w:pPr>
        <w:rPr>
          <w:rFonts w:ascii="Times New Roman" w:hAnsi="Times New Roman" w:cs="Times New Roman"/>
        </w:rPr>
      </w:pPr>
    </w:p>
    <w:p w14:paraId="438D886A" w14:textId="77777777" w:rsidR="0074478A" w:rsidRDefault="0074478A">
      <w:pPr>
        <w:rPr>
          <w:rFonts w:ascii="Times New Roman" w:hAnsi="Times New Roman" w:cs="Times New Roman"/>
        </w:rPr>
      </w:pPr>
    </w:p>
    <w:p w14:paraId="27B72865" w14:textId="77777777" w:rsidR="0074478A" w:rsidRDefault="0074478A">
      <w:pPr>
        <w:rPr>
          <w:rFonts w:ascii="Times New Roman" w:hAnsi="Times New Roman" w:cs="Times New Roman"/>
        </w:rPr>
      </w:pPr>
    </w:p>
    <w:p w14:paraId="38957505" w14:textId="77777777" w:rsidR="0074478A" w:rsidRDefault="0074478A">
      <w:pPr>
        <w:rPr>
          <w:rFonts w:ascii="Times New Roman" w:hAnsi="Times New Roman" w:cs="Times New Roman"/>
        </w:rPr>
      </w:pPr>
    </w:p>
    <w:p w14:paraId="58B721D9" w14:textId="77777777" w:rsidR="0074478A" w:rsidRDefault="0074478A">
      <w:pPr>
        <w:rPr>
          <w:rFonts w:ascii="Times New Roman" w:hAnsi="Times New Roman" w:cs="Times New Roman"/>
        </w:rPr>
      </w:pPr>
    </w:p>
    <w:p w14:paraId="049A644B" w14:textId="77777777" w:rsidR="0074478A" w:rsidRDefault="0074478A">
      <w:pPr>
        <w:rPr>
          <w:rFonts w:ascii="Times New Roman" w:hAnsi="Times New Roman" w:cs="Times New Roman"/>
        </w:rPr>
      </w:pPr>
    </w:p>
    <w:p w14:paraId="32063849" w14:textId="77777777" w:rsidR="0074478A" w:rsidRDefault="0074478A">
      <w:pPr>
        <w:rPr>
          <w:rFonts w:ascii="Times New Roman" w:hAnsi="Times New Roman" w:cs="Times New Roman"/>
        </w:rPr>
      </w:pPr>
    </w:p>
    <w:p w14:paraId="33AA1459" w14:textId="77777777" w:rsidR="0074478A" w:rsidRDefault="0074478A">
      <w:pPr>
        <w:rPr>
          <w:rFonts w:ascii="Times New Roman" w:hAnsi="Times New Roman" w:cs="Times New Roman"/>
        </w:rPr>
      </w:pPr>
    </w:p>
    <w:bookmarkEnd w:id="109"/>
    <w:p w14:paraId="1EDB6D48" w14:textId="77777777" w:rsidR="0074478A" w:rsidRDefault="00690393">
      <w:pPr>
        <w:rPr>
          <w:rFonts w:ascii="Times New Roman" w:hAnsi="Times New Roman" w:cs="Times New Roman"/>
        </w:rPr>
      </w:pPr>
      <w:r>
        <w:rPr>
          <w:rFonts w:ascii="Times New Roman" w:hAnsi="Times New Roman" w:cs="Times New Roman" w:hint="eastAsia"/>
        </w:rPr>
        <w:t>Panel N: Norway</w:t>
      </w:r>
    </w:p>
    <w:tbl>
      <w:tblPr>
        <w:tblW w:w="4997" w:type="pct"/>
        <w:tblLayout w:type="fixed"/>
        <w:tblLook w:val="04A0" w:firstRow="1" w:lastRow="0" w:firstColumn="1" w:lastColumn="0" w:noHBand="0" w:noVBand="1"/>
      </w:tblPr>
      <w:tblGrid>
        <w:gridCol w:w="1809"/>
        <w:gridCol w:w="3098"/>
        <w:gridCol w:w="1809"/>
        <w:gridCol w:w="1809"/>
        <w:gridCol w:w="1809"/>
        <w:gridCol w:w="1808"/>
        <w:gridCol w:w="1808"/>
      </w:tblGrid>
      <w:tr w:rsidR="0074478A" w14:paraId="432DE3D5"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62FC198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648" w:type="pct"/>
            <w:tcBorders>
              <w:top w:val="single" w:sz="12" w:space="0" w:color="auto"/>
              <w:left w:val="nil"/>
              <w:bottom w:val="single" w:sz="8" w:space="0" w:color="auto"/>
              <w:right w:val="nil"/>
            </w:tcBorders>
            <w:shd w:val="clear" w:color="auto" w:fill="auto"/>
            <w:noWrap/>
            <w:vAlign w:val="center"/>
          </w:tcPr>
          <w:p w14:paraId="7C6D317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2004/07/05</w:t>
            </w:r>
          </w:p>
        </w:tc>
        <w:tc>
          <w:tcPr>
            <w:tcW w:w="648" w:type="pct"/>
            <w:tcBorders>
              <w:top w:val="single" w:sz="12" w:space="0" w:color="auto"/>
              <w:left w:val="nil"/>
              <w:bottom w:val="single" w:sz="8" w:space="0" w:color="auto"/>
              <w:right w:val="nil"/>
            </w:tcBorders>
            <w:shd w:val="clear" w:color="auto" w:fill="auto"/>
            <w:noWrap/>
            <w:vAlign w:val="center"/>
          </w:tcPr>
          <w:p w14:paraId="04100DC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2004/07/06-</w:t>
            </w:r>
            <w:r>
              <w:rPr>
                <w:rFonts w:ascii="Times New Roman" w:eastAsia="SimSun" w:hAnsi="Times New Roman" w:cs="Times New Roman"/>
                <w:color w:val="000000"/>
                <w:kern w:val="0"/>
                <w:szCs w:val="21"/>
                <w:lang w:bidi="ar"/>
              </w:rPr>
              <w:br/>
              <w:t>2010/03/23</w:t>
            </w:r>
          </w:p>
        </w:tc>
        <w:tc>
          <w:tcPr>
            <w:tcW w:w="648" w:type="pct"/>
            <w:tcBorders>
              <w:top w:val="single" w:sz="12" w:space="0" w:color="auto"/>
              <w:left w:val="nil"/>
              <w:bottom w:val="single" w:sz="8" w:space="0" w:color="auto"/>
              <w:right w:val="nil"/>
            </w:tcBorders>
            <w:shd w:val="clear" w:color="auto" w:fill="auto"/>
            <w:noWrap/>
            <w:vAlign w:val="center"/>
          </w:tcPr>
          <w:p w14:paraId="76EE74A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2010/03/24-</w:t>
            </w:r>
            <w:r>
              <w:rPr>
                <w:rFonts w:ascii="Times New Roman" w:eastAsia="SimSun" w:hAnsi="Times New Roman" w:cs="Times New Roman"/>
                <w:color w:val="000000"/>
                <w:kern w:val="0"/>
                <w:szCs w:val="21"/>
                <w:lang w:bidi="ar"/>
              </w:rPr>
              <w:br/>
              <w:t>2014/05/06</w:t>
            </w:r>
          </w:p>
        </w:tc>
        <w:tc>
          <w:tcPr>
            <w:tcW w:w="648" w:type="pct"/>
            <w:tcBorders>
              <w:top w:val="single" w:sz="12" w:space="0" w:color="auto"/>
              <w:left w:val="nil"/>
              <w:bottom w:val="single" w:sz="8" w:space="0" w:color="auto"/>
              <w:right w:val="nil"/>
            </w:tcBorders>
            <w:shd w:val="clear" w:color="auto" w:fill="auto"/>
            <w:noWrap/>
            <w:vAlign w:val="center"/>
          </w:tcPr>
          <w:p w14:paraId="34FEC65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2014/05/07-</w:t>
            </w:r>
            <w:r>
              <w:rPr>
                <w:rFonts w:ascii="Times New Roman" w:eastAsia="SimSun" w:hAnsi="Times New Roman" w:cs="Times New Roman"/>
                <w:color w:val="000000"/>
                <w:kern w:val="0"/>
                <w:szCs w:val="21"/>
                <w:lang w:bidi="ar"/>
              </w:rPr>
              <w:br/>
              <w:t>2017/09/12</w:t>
            </w:r>
          </w:p>
        </w:tc>
        <w:tc>
          <w:tcPr>
            <w:tcW w:w="648" w:type="pct"/>
            <w:tcBorders>
              <w:top w:val="single" w:sz="12" w:space="0" w:color="auto"/>
              <w:left w:val="nil"/>
              <w:bottom w:val="single" w:sz="8" w:space="0" w:color="auto"/>
              <w:right w:val="nil"/>
            </w:tcBorders>
            <w:shd w:val="clear" w:color="auto" w:fill="auto"/>
            <w:noWrap/>
            <w:vAlign w:val="center"/>
          </w:tcPr>
          <w:p w14:paraId="2D0C127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2017/09/13-</w:t>
            </w:r>
            <w:r>
              <w:rPr>
                <w:rFonts w:ascii="Times New Roman" w:eastAsia="SimSun" w:hAnsi="Times New Roman" w:cs="Times New Roman"/>
                <w:color w:val="000000"/>
                <w:kern w:val="0"/>
                <w:szCs w:val="21"/>
                <w:lang w:bidi="ar"/>
              </w:rPr>
              <w:br/>
              <w:t>2020/12/31</w:t>
            </w:r>
          </w:p>
        </w:tc>
      </w:tr>
      <w:tr w:rsidR="0074478A" w14:paraId="3DE695FF"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528A327A"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110" w:type="pct"/>
            <w:tcBorders>
              <w:top w:val="single" w:sz="8" w:space="0" w:color="auto"/>
              <w:left w:val="nil"/>
              <w:bottom w:val="nil"/>
              <w:right w:val="nil"/>
            </w:tcBorders>
            <w:shd w:val="clear" w:color="auto" w:fill="auto"/>
            <w:noWrap/>
            <w:vAlign w:val="center"/>
          </w:tcPr>
          <w:p w14:paraId="1ABF52D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648" w:type="pct"/>
            <w:tcBorders>
              <w:top w:val="single" w:sz="8" w:space="0" w:color="auto"/>
              <w:left w:val="nil"/>
              <w:bottom w:val="nil"/>
              <w:right w:val="nil"/>
            </w:tcBorders>
            <w:shd w:val="clear" w:color="auto" w:fill="auto"/>
            <w:vAlign w:val="bottom"/>
          </w:tcPr>
          <w:p w14:paraId="38D9670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13.15%</w:t>
            </w:r>
          </w:p>
        </w:tc>
        <w:tc>
          <w:tcPr>
            <w:tcW w:w="648" w:type="pct"/>
            <w:tcBorders>
              <w:top w:val="single" w:sz="8" w:space="0" w:color="auto"/>
              <w:left w:val="nil"/>
              <w:bottom w:val="nil"/>
              <w:right w:val="nil"/>
            </w:tcBorders>
            <w:shd w:val="clear" w:color="auto" w:fill="auto"/>
            <w:noWrap/>
            <w:vAlign w:val="bottom"/>
          </w:tcPr>
          <w:p w14:paraId="07536E5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-9.48%</w:t>
            </w:r>
          </w:p>
        </w:tc>
        <w:tc>
          <w:tcPr>
            <w:tcW w:w="648" w:type="pct"/>
            <w:tcBorders>
              <w:top w:val="single" w:sz="8" w:space="0" w:color="auto"/>
              <w:left w:val="nil"/>
              <w:bottom w:val="nil"/>
              <w:right w:val="nil"/>
            </w:tcBorders>
            <w:shd w:val="clear" w:color="auto" w:fill="auto"/>
            <w:noWrap/>
            <w:vAlign w:val="bottom"/>
          </w:tcPr>
          <w:p w14:paraId="26BCA27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-11.41%</w:t>
            </w:r>
          </w:p>
        </w:tc>
        <w:tc>
          <w:tcPr>
            <w:tcW w:w="648" w:type="pct"/>
            <w:tcBorders>
              <w:top w:val="single" w:sz="8" w:space="0" w:color="auto"/>
              <w:left w:val="nil"/>
              <w:bottom w:val="nil"/>
              <w:right w:val="nil"/>
            </w:tcBorders>
            <w:shd w:val="clear" w:color="auto" w:fill="auto"/>
            <w:noWrap/>
            <w:vAlign w:val="bottom"/>
          </w:tcPr>
          <w:p w14:paraId="2DB0DB0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11.03%</w:t>
            </w:r>
          </w:p>
        </w:tc>
        <w:tc>
          <w:tcPr>
            <w:tcW w:w="648" w:type="pct"/>
            <w:tcBorders>
              <w:top w:val="single" w:sz="8" w:space="0" w:color="auto"/>
              <w:left w:val="nil"/>
              <w:bottom w:val="nil"/>
              <w:right w:val="nil"/>
            </w:tcBorders>
            <w:shd w:val="clear" w:color="auto" w:fill="auto"/>
            <w:noWrap/>
            <w:vAlign w:val="bottom"/>
          </w:tcPr>
          <w:p w14:paraId="74CED5A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-4.48%</w:t>
            </w:r>
          </w:p>
        </w:tc>
      </w:tr>
      <w:tr w:rsidR="0074478A" w14:paraId="3F6F49CD" w14:textId="77777777">
        <w:trPr>
          <w:trHeight w:val="278"/>
        </w:trPr>
        <w:tc>
          <w:tcPr>
            <w:tcW w:w="648" w:type="pct"/>
            <w:vMerge/>
            <w:tcBorders>
              <w:top w:val="nil"/>
              <w:left w:val="nil"/>
              <w:bottom w:val="nil"/>
              <w:right w:val="nil"/>
            </w:tcBorders>
            <w:shd w:val="clear" w:color="auto" w:fill="auto"/>
            <w:noWrap/>
            <w:vAlign w:val="center"/>
          </w:tcPr>
          <w:p w14:paraId="52153213" w14:textId="77777777" w:rsidR="0074478A" w:rsidRDefault="0074478A">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122EE5F6"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648" w:type="pct"/>
            <w:tcBorders>
              <w:top w:val="nil"/>
              <w:left w:val="nil"/>
              <w:bottom w:val="nil"/>
              <w:right w:val="nil"/>
            </w:tcBorders>
            <w:shd w:val="clear" w:color="auto" w:fill="auto"/>
            <w:noWrap/>
            <w:vAlign w:val="bottom"/>
          </w:tcPr>
          <w:p w14:paraId="2C38C6C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73.82%</w:t>
            </w:r>
          </w:p>
        </w:tc>
        <w:tc>
          <w:tcPr>
            <w:tcW w:w="648" w:type="pct"/>
            <w:tcBorders>
              <w:top w:val="nil"/>
              <w:left w:val="nil"/>
              <w:bottom w:val="nil"/>
              <w:right w:val="nil"/>
            </w:tcBorders>
            <w:shd w:val="clear" w:color="auto" w:fill="auto"/>
            <w:noWrap/>
            <w:vAlign w:val="bottom"/>
          </w:tcPr>
          <w:p w14:paraId="192F049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108.87%</w:t>
            </w:r>
          </w:p>
        </w:tc>
        <w:tc>
          <w:tcPr>
            <w:tcW w:w="648" w:type="pct"/>
            <w:tcBorders>
              <w:top w:val="nil"/>
              <w:left w:val="nil"/>
              <w:bottom w:val="nil"/>
              <w:right w:val="nil"/>
            </w:tcBorders>
            <w:shd w:val="clear" w:color="auto" w:fill="auto"/>
            <w:noWrap/>
            <w:vAlign w:val="bottom"/>
          </w:tcPr>
          <w:p w14:paraId="3BD0844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85.64%</w:t>
            </w:r>
          </w:p>
        </w:tc>
        <w:tc>
          <w:tcPr>
            <w:tcW w:w="648" w:type="pct"/>
            <w:tcBorders>
              <w:top w:val="nil"/>
              <w:left w:val="nil"/>
              <w:bottom w:val="nil"/>
              <w:right w:val="nil"/>
            </w:tcBorders>
            <w:shd w:val="clear" w:color="auto" w:fill="auto"/>
            <w:noWrap/>
            <w:vAlign w:val="bottom"/>
          </w:tcPr>
          <w:p w14:paraId="496E723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66.96%</w:t>
            </w:r>
          </w:p>
        </w:tc>
        <w:tc>
          <w:tcPr>
            <w:tcW w:w="648" w:type="pct"/>
            <w:tcBorders>
              <w:top w:val="nil"/>
              <w:left w:val="nil"/>
              <w:bottom w:val="nil"/>
              <w:right w:val="nil"/>
            </w:tcBorders>
            <w:shd w:val="clear" w:color="auto" w:fill="auto"/>
            <w:noWrap/>
            <w:vAlign w:val="bottom"/>
          </w:tcPr>
          <w:p w14:paraId="2D1FFE6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92.93%</w:t>
            </w:r>
          </w:p>
        </w:tc>
      </w:tr>
      <w:tr w:rsidR="0074478A" w14:paraId="07A72E17" w14:textId="77777777">
        <w:trPr>
          <w:trHeight w:val="278"/>
        </w:trPr>
        <w:tc>
          <w:tcPr>
            <w:tcW w:w="648" w:type="pct"/>
            <w:vMerge/>
            <w:tcBorders>
              <w:top w:val="nil"/>
              <w:left w:val="nil"/>
              <w:bottom w:val="nil"/>
              <w:right w:val="nil"/>
            </w:tcBorders>
            <w:shd w:val="clear" w:color="auto" w:fill="auto"/>
            <w:noWrap/>
            <w:vAlign w:val="center"/>
          </w:tcPr>
          <w:p w14:paraId="2B6F0089" w14:textId="77777777" w:rsidR="0074478A" w:rsidRDefault="0074478A">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5C74510C"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648" w:type="pct"/>
            <w:tcBorders>
              <w:top w:val="nil"/>
              <w:left w:val="nil"/>
              <w:bottom w:val="nil"/>
              <w:right w:val="nil"/>
            </w:tcBorders>
            <w:shd w:val="clear" w:color="auto" w:fill="auto"/>
            <w:noWrap/>
            <w:vAlign w:val="bottom"/>
          </w:tcPr>
          <w:p w14:paraId="75562BE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4.18%</w:t>
            </w:r>
          </w:p>
        </w:tc>
        <w:tc>
          <w:tcPr>
            <w:tcW w:w="648" w:type="pct"/>
            <w:tcBorders>
              <w:top w:val="nil"/>
              <w:left w:val="nil"/>
              <w:bottom w:val="nil"/>
              <w:right w:val="nil"/>
            </w:tcBorders>
            <w:shd w:val="clear" w:color="auto" w:fill="auto"/>
            <w:noWrap/>
            <w:vAlign w:val="bottom"/>
          </w:tcPr>
          <w:p w14:paraId="05DFF28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-11.54%</w:t>
            </w:r>
          </w:p>
        </w:tc>
        <w:tc>
          <w:tcPr>
            <w:tcW w:w="648" w:type="pct"/>
            <w:tcBorders>
              <w:top w:val="nil"/>
              <w:left w:val="nil"/>
              <w:bottom w:val="nil"/>
              <w:right w:val="nil"/>
            </w:tcBorders>
            <w:shd w:val="clear" w:color="auto" w:fill="auto"/>
            <w:noWrap/>
            <w:vAlign w:val="bottom"/>
          </w:tcPr>
          <w:p w14:paraId="7B67C6D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0.37%</w:t>
            </w:r>
          </w:p>
        </w:tc>
        <w:tc>
          <w:tcPr>
            <w:tcW w:w="648" w:type="pct"/>
            <w:tcBorders>
              <w:top w:val="nil"/>
              <w:left w:val="nil"/>
              <w:bottom w:val="nil"/>
              <w:right w:val="nil"/>
            </w:tcBorders>
            <w:shd w:val="clear" w:color="auto" w:fill="auto"/>
            <w:noWrap/>
            <w:vAlign w:val="bottom"/>
          </w:tcPr>
          <w:p w14:paraId="5743D68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-4.62%</w:t>
            </w:r>
          </w:p>
        </w:tc>
        <w:tc>
          <w:tcPr>
            <w:tcW w:w="648" w:type="pct"/>
            <w:tcBorders>
              <w:top w:val="nil"/>
              <w:left w:val="nil"/>
              <w:bottom w:val="nil"/>
              <w:right w:val="nil"/>
            </w:tcBorders>
            <w:shd w:val="clear" w:color="auto" w:fill="auto"/>
            <w:noWrap/>
            <w:vAlign w:val="bottom"/>
          </w:tcPr>
          <w:p w14:paraId="6089204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-24.02%</w:t>
            </w:r>
          </w:p>
        </w:tc>
      </w:tr>
      <w:tr w:rsidR="0074478A" w14:paraId="313CB98A" w14:textId="77777777">
        <w:trPr>
          <w:trHeight w:val="278"/>
        </w:trPr>
        <w:tc>
          <w:tcPr>
            <w:tcW w:w="648" w:type="pct"/>
            <w:vMerge/>
            <w:tcBorders>
              <w:top w:val="nil"/>
              <w:left w:val="nil"/>
              <w:bottom w:val="nil"/>
              <w:right w:val="nil"/>
            </w:tcBorders>
            <w:shd w:val="clear" w:color="auto" w:fill="auto"/>
            <w:noWrap/>
            <w:vAlign w:val="center"/>
          </w:tcPr>
          <w:p w14:paraId="339FDEFB" w14:textId="77777777" w:rsidR="0074478A" w:rsidRDefault="0074478A">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173A069F"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648" w:type="pct"/>
            <w:tcBorders>
              <w:top w:val="nil"/>
              <w:left w:val="nil"/>
              <w:bottom w:val="nil"/>
              <w:right w:val="nil"/>
            </w:tcBorders>
            <w:shd w:val="clear" w:color="auto" w:fill="auto"/>
            <w:vAlign w:val="center"/>
          </w:tcPr>
          <w:p w14:paraId="281CC78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8.85%</w:t>
            </w:r>
          </w:p>
        </w:tc>
        <w:tc>
          <w:tcPr>
            <w:tcW w:w="648" w:type="pct"/>
            <w:tcBorders>
              <w:top w:val="nil"/>
              <w:left w:val="nil"/>
              <w:bottom w:val="nil"/>
              <w:right w:val="nil"/>
            </w:tcBorders>
            <w:shd w:val="clear" w:color="auto" w:fill="auto"/>
            <w:noWrap/>
            <w:vAlign w:val="center"/>
          </w:tcPr>
          <w:p w14:paraId="731F174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12.15%</w:t>
            </w:r>
          </w:p>
        </w:tc>
        <w:tc>
          <w:tcPr>
            <w:tcW w:w="648" w:type="pct"/>
            <w:tcBorders>
              <w:top w:val="nil"/>
              <w:left w:val="nil"/>
              <w:bottom w:val="nil"/>
              <w:right w:val="nil"/>
            </w:tcBorders>
            <w:shd w:val="clear" w:color="auto" w:fill="auto"/>
            <w:noWrap/>
            <w:vAlign w:val="center"/>
          </w:tcPr>
          <w:p w14:paraId="0ACCD01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25.39%</w:t>
            </w:r>
          </w:p>
        </w:tc>
        <w:tc>
          <w:tcPr>
            <w:tcW w:w="648" w:type="pct"/>
            <w:tcBorders>
              <w:top w:val="nil"/>
              <w:left w:val="nil"/>
              <w:bottom w:val="nil"/>
              <w:right w:val="nil"/>
            </w:tcBorders>
            <w:shd w:val="clear" w:color="auto" w:fill="auto"/>
            <w:noWrap/>
            <w:vAlign w:val="center"/>
          </w:tcPr>
          <w:p w14:paraId="6E57DF5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26.63%</w:t>
            </w:r>
          </w:p>
        </w:tc>
        <w:tc>
          <w:tcPr>
            <w:tcW w:w="648" w:type="pct"/>
            <w:tcBorders>
              <w:top w:val="nil"/>
              <w:left w:val="nil"/>
              <w:bottom w:val="nil"/>
              <w:right w:val="nil"/>
            </w:tcBorders>
            <w:shd w:val="clear" w:color="auto" w:fill="auto"/>
            <w:noWrap/>
            <w:vAlign w:val="center"/>
          </w:tcPr>
          <w:p w14:paraId="3C1FF6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35.57%</w:t>
            </w:r>
          </w:p>
        </w:tc>
      </w:tr>
      <w:tr w:rsidR="0074478A" w14:paraId="5560545B" w14:textId="77777777">
        <w:trPr>
          <w:trHeight w:val="278"/>
        </w:trPr>
        <w:tc>
          <w:tcPr>
            <w:tcW w:w="1758" w:type="pct"/>
            <w:gridSpan w:val="2"/>
            <w:tcBorders>
              <w:top w:val="nil"/>
              <w:left w:val="nil"/>
              <w:bottom w:val="nil"/>
              <w:right w:val="nil"/>
            </w:tcBorders>
            <w:shd w:val="clear" w:color="auto" w:fill="auto"/>
            <w:noWrap/>
            <w:vAlign w:val="center"/>
          </w:tcPr>
          <w:p w14:paraId="01A6C119"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754A870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472A815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648" w:type="pct"/>
            <w:tcBorders>
              <w:top w:val="nil"/>
              <w:left w:val="nil"/>
              <w:bottom w:val="nil"/>
              <w:right w:val="nil"/>
            </w:tcBorders>
            <w:shd w:val="clear" w:color="auto" w:fill="auto"/>
            <w:noWrap/>
            <w:vAlign w:val="center"/>
          </w:tcPr>
          <w:p w14:paraId="44B1BB2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7165B65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6611D68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40504A70" w14:textId="77777777">
        <w:trPr>
          <w:trHeight w:val="278"/>
        </w:trPr>
        <w:tc>
          <w:tcPr>
            <w:tcW w:w="1758" w:type="pct"/>
            <w:gridSpan w:val="2"/>
            <w:tcBorders>
              <w:top w:val="nil"/>
              <w:left w:val="nil"/>
              <w:bottom w:val="nil"/>
              <w:right w:val="nil"/>
            </w:tcBorders>
            <w:shd w:val="clear" w:color="auto" w:fill="auto"/>
            <w:noWrap/>
            <w:vAlign w:val="center"/>
          </w:tcPr>
          <w:p w14:paraId="6B911A4C"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8AABD6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930487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±10.44%</w:t>
            </w:r>
          </w:p>
        </w:tc>
        <w:tc>
          <w:tcPr>
            <w:tcW w:w="648" w:type="pct"/>
            <w:tcBorders>
              <w:top w:val="nil"/>
              <w:left w:val="nil"/>
              <w:bottom w:val="nil"/>
              <w:right w:val="nil"/>
            </w:tcBorders>
            <w:shd w:val="clear" w:color="auto" w:fill="auto"/>
            <w:noWrap/>
            <w:vAlign w:val="center"/>
          </w:tcPr>
          <w:p w14:paraId="1C5904B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E16307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544D9B6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47BE215F" w14:textId="77777777">
        <w:trPr>
          <w:trHeight w:val="278"/>
        </w:trPr>
        <w:tc>
          <w:tcPr>
            <w:tcW w:w="648" w:type="pct"/>
            <w:vMerge w:val="restart"/>
            <w:tcBorders>
              <w:top w:val="nil"/>
              <w:left w:val="nil"/>
              <w:bottom w:val="nil"/>
              <w:right w:val="nil"/>
            </w:tcBorders>
            <w:shd w:val="clear" w:color="auto" w:fill="auto"/>
            <w:noWrap/>
            <w:vAlign w:val="center"/>
          </w:tcPr>
          <w:p w14:paraId="63447A1C"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10" w:type="pct"/>
            <w:tcBorders>
              <w:top w:val="nil"/>
              <w:left w:val="nil"/>
              <w:bottom w:val="nil"/>
              <w:right w:val="nil"/>
            </w:tcBorders>
            <w:shd w:val="clear" w:color="auto" w:fill="auto"/>
            <w:noWrap/>
            <w:vAlign w:val="center"/>
          </w:tcPr>
          <w:p w14:paraId="550D72B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7FF5C71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2E2BE0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1FA1E1B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05C55D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156BDD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4AECB94E" w14:textId="77777777">
        <w:trPr>
          <w:trHeight w:val="278"/>
        </w:trPr>
        <w:tc>
          <w:tcPr>
            <w:tcW w:w="648" w:type="pct"/>
            <w:vMerge/>
            <w:tcBorders>
              <w:top w:val="nil"/>
              <w:left w:val="nil"/>
              <w:bottom w:val="nil"/>
              <w:right w:val="nil"/>
            </w:tcBorders>
            <w:shd w:val="clear" w:color="auto" w:fill="auto"/>
            <w:noWrap/>
            <w:vAlign w:val="center"/>
          </w:tcPr>
          <w:p w14:paraId="641316CC" w14:textId="77777777" w:rsidR="0074478A" w:rsidRDefault="0074478A">
            <w:pPr>
              <w:spacing w:line="240" w:lineRule="atLeast"/>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4B5E6F6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00E5378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748F55A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648" w:type="pct"/>
            <w:tcBorders>
              <w:top w:val="nil"/>
              <w:left w:val="nil"/>
              <w:bottom w:val="nil"/>
              <w:right w:val="nil"/>
            </w:tcBorders>
            <w:shd w:val="clear" w:color="auto" w:fill="auto"/>
            <w:noWrap/>
            <w:vAlign w:val="center"/>
          </w:tcPr>
          <w:p w14:paraId="39D7042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8C708A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56A31F1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405BC028" w14:textId="77777777">
        <w:trPr>
          <w:trHeight w:val="278"/>
        </w:trPr>
        <w:tc>
          <w:tcPr>
            <w:tcW w:w="648" w:type="pct"/>
            <w:vMerge/>
            <w:tcBorders>
              <w:top w:val="nil"/>
              <w:left w:val="nil"/>
              <w:bottom w:val="nil"/>
              <w:right w:val="nil"/>
            </w:tcBorders>
            <w:shd w:val="clear" w:color="auto" w:fill="auto"/>
            <w:noWrap/>
            <w:vAlign w:val="center"/>
          </w:tcPr>
          <w:p w14:paraId="768DBA27" w14:textId="77777777" w:rsidR="0074478A" w:rsidRDefault="0074478A">
            <w:pPr>
              <w:spacing w:line="240" w:lineRule="atLeast"/>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362B5BA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869299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56E01C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/0.987</w:t>
            </w:r>
          </w:p>
        </w:tc>
        <w:tc>
          <w:tcPr>
            <w:tcW w:w="648" w:type="pct"/>
            <w:tcBorders>
              <w:top w:val="nil"/>
              <w:left w:val="nil"/>
              <w:bottom w:val="nil"/>
              <w:right w:val="nil"/>
            </w:tcBorders>
            <w:shd w:val="clear" w:color="auto" w:fill="auto"/>
            <w:noWrap/>
            <w:vAlign w:val="center"/>
          </w:tcPr>
          <w:p w14:paraId="5846899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519CB2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92D0A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1A426F34"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1AE7936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648" w:type="pct"/>
            <w:tcBorders>
              <w:top w:val="nil"/>
              <w:left w:val="nil"/>
              <w:bottom w:val="single" w:sz="12" w:space="0" w:color="auto"/>
              <w:right w:val="nil"/>
            </w:tcBorders>
            <w:shd w:val="clear" w:color="auto" w:fill="auto"/>
            <w:noWrap/>
            <w:vAlign w:val="center"/>
          </w:tcPr>
          <w:p w14:paraId="410F8EB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0CE305A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42.41%</w:t>
            </w:r>
          </w:p>
        </w:tc>
        <w:tc>
          <w:tcPr>
            <w:tcW w:w="648" w:type="pct"/>
            <w:tcBorders>
              <w:top w:val="nil"/>
              <w:left w:val="nil"/>
              <w:bottom w:val="single" w:sz="12" w:space="0" w:color="auto"/>
              <w:right w:val="nil"/>
            </w:tcBorders>
            <w:shd w:val="clear" w:color="auto" w:fill="auto"/>
            <w:noWrap/>
            <w:vAlign w:val="center"/>
          </w:tcPr>
          <w:p w14:paraId="7C5DC01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339E66E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5EDE893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01B0D32B" w14:textId="77777777" w:rsidR="0074478A" w:rsidRDefault="0074478A">
      <w:pPr>
        <w:rPr>
          <w:rFonts w:ascii="Times New Roman" w:hAnsi="Times New Roman" w:cs="Times New Roman"/>
        </w:rPr>
      </w:pPr>
    </w:p>
    <w:p w14:paraId="77A1D1B7" w14:textId="77777777" w:rsidR="0074478A" w:rsidRDefault="0074478A">
      <w:pPr>
        <w:rPr>
          <w:rFonts w:ascii="Times New Roman" w:hAnsi="Times New Roman" w:cs="Times New Roman"/>
        </w:rPr>
      </w:pPr>
    </w:p>
    <w:p w14:paraId="15F7430F" w14:textId="77777777" w:rsidR="0074478A" w:rsidRDefault="0074478A">
      <w:pPr>
        <w:rPr>
          <w:rFonts w:ascii="Times New Roman" w:hAnsi="Times New Roman" w:cs="Times New Roman"/>
        </w:rPr>
      </w:pPr>
    </w:p>
    <w:p w14:paraId="49D45E4E" w14:textId="77777777" w:rsidR="0074478A" w:rsidRDefault="0074478A">
      <w:pPr>
        <w:rPr>
          <w:rFonts w:ascii="Times New Roman" w:hAnsi="Times New Roman" w:cs="Times New Roman"/>
        </w:rPr>
      </w:pPr>
    </w:p>
    <w:p w14:paraId="7332B797" w14:textId="77777777" w:rsidR="0074478A" w:rsidRDefault="0074478A">
      <w:pPr>
        <w:rPr>
          <w:rFonts w:ascii="Times New Roman" w:hAnsi="Times New Roman" w:cs="Times New Roman"/>
        </w:rPr>
      </w:pPr>
    </w:p>
    <w:p w14:paraId="7BBA1337" w14:textId="77777777" w:rsidR="0074478A" w:rsidRDefault="0074478A">
      <w:pPr>
        <w:rPr>
          <w:rFonts w:ascii="Times New Roman" w:hAnsi="Times New Roman" w:cs="Times New Roman"/>
        </w:rPr>
      </w:pPr>
    </w:p>
    <w:p w14:paraId="2C800C75" w14:textId="77777777" w:rsidR="0074478A" w:rsidRDefault="0074478A">
      <w:pPr>
        <w:rPr>
          <w:rFonts w:ascii="Times New Roman" w:hAnsi="Times New Roman" w:cs="Times New Roman"/>
        </w:rPr>
      </w:pPr>
    </w:p>
    <w:p w14:paraId="476AB880" w14:textId="77777777" w:rsidR="0074478A" w:rsidRDefault="0074478A">
      <w:pPr>
        <w:rPr>
          <w:rFonts w:ascii="Times New Roman" w:hAnsi="Times New Roman" w:cs="Times New Roman"/>
        </w:rPr>
      </w:pPr>
    </w:p>
    <w:p w14:paraId="6434D1BA" w14:textId="77777777" w:rsidR="0074478A" w:rsidRDefault="0074478A">
      <w:pPr>
        <w:rPr>
          <w:rFonts w:ascii="Times New Roman" w:hAnsi="Times New Roman" w:cs="Times New Roman"/>
        </w:rPr>
      </w:pPr>
    </w:p>
    <w:p w14:paraId="595EB47F" w14:textId="77777777" w:rsidR="0074478A" w:rsidRDefault="0074478A">
      <w:pPr>
        <w:rPr>
          <w:rFonts w:ascii="Times New Roman" w:hAnsi="Times New Roman" w:cs="Times New Roman"/>
        </w:rPr>
      </w:pPr>
    </w:p>
    <w:p w14:paraId="213F4381" w14:textId="77777777" w:rsidR="0074478A" w:rsidRDefault="0074478A">
      <w:pPr>
        <w:rPr>
          <w:rFonts w:ascii="Times New Roman" w:hAnsi="Times New Roman" w:cs="Times New Roman"/>
        </w:rPr>
      </w:pPr>
    </w:p>
    <w:p w14:paraId="130D7DC3" w14:textId="77777777" w:rsidR="0074478A" w:rsidRDefault="0074478A">
      <w:pPr>
        <w:rPr>
          <w:rFonts w:ascii="Times New Roman" w:hAnsi="Times New Roman" w:cs="Times New Roman"/>
        </w:rPr>
      </w:pPr>
    </w:p>
    <w:p w14:paraId="079E69C6" w14:textId="77777777" w:rsidR="0074478A" w:rsidRDefault="0074478A">
      <w:pPr>
        <w:rPr>
          <w:rFonts w:ascii="Times New Roman" w:hAnsi="Times New Roman" w:cs="Times New Roman"/>
        </w:rPr>
      </w:pPr>
    </w:p>
    <w:p w14:paraId="634C92CA" w14:textId="77777777" w:rsidR="0074478A" w:rsidRDefault="00690393">
      <w:pPr>
        <w:rPr>
          <w:rFonts w:ascii="Times New Roman" w:hAnsi="Times New Roman" w:cs="Times New Roman"/>
        </w:rPr>
      </w:pPr>
      <w:r>
        <w:rPr>
          <w:rFonts w:ascii="Times New Roman" w:hAnsi="Times New Roman" w:cs="Times New Roman" w:hint="eastAsia"/>
        </w:rPr>
        <w:t>Panel O: Peru</w:t>
      </w:r>
    </w:p>
    <w:tbl>
      <w:tblPr>
        <w:tblW w:w="5000" w:type="pct"/>
        <w:tblLayout w:type="fixed"/>
        <w:tblLook w:val="04A0" w:firstRow="1" w:lastRow="0" w:firstColumn="1" w:lastColumn="0" w:noHBand="0" w:noVBand="1"/>
      </w:tblPr>
      <w:tblGrid>
        <w:gridCol w:w="1449"/>
        <w:gridCol w:w="2607"/>
        <w:gridCol w:w="1413"/>
        <w:gridCol w:w="1413"/>
        <w:gridCol w:w="1416"/>
        <w:gridCol w:w="1416"/>
        <w:gridCol w:w="1416"/>
        <w:gridCol w:w="1413"/>
        <w:gridCol w:w="1415"/>
      </w:tblGrid>
      <w:tr w:rsidR="0074478A" w14:paraId="2B02B725"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0BA842A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5110B58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2003/01/13</w:t>
            </w:r>
          </w:p>
        </w:tc>
        <w:tc>
          <w:tcPr>
            <w:tcW w:w="1436" w:type="dxa"/>
            <w:tcBorders>
              <w:top w:val="single" w:sz="12" w:space="0" w:color="auto"/>
              <w:left w:val="nil"/>
              <w:bottom w:val="single" w:sz="8" w:space="0" w:color="auto"/>
              <w:right w:val="nil"/>
            </w:tcBorders>
            <w:shd w:val="clear" w:color="auto" w:fill="auto"/>
            <w:noWrap/>
            <w:vAlign w:val="center"/>
          </w:tcPr>
          <w:p w14:paraId="0911389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2003/01/14-</w:t>
            </w:r>
            <w:r>
              <w:rPr>
                <w:rFonts w:ascii="Times New Roman" w:eastAsia="SimSun" w:hAnsi="Times New Roman" w:cs="Times New Roman"/>
                <w:color w:val="000000"/>
                <w:kern w:val="0"/>
                <w:szCs w:val="21"/>
                <w:lang w:bidi="ar"/>
              </w:rPr>
              <w:br/>
              <w:t>2005/02/22</w:t>
            </w:r>
          </w:p>
        </w:tc>
        <w:tc>
          <w:tcPr>
            <w:tcW w:w="1436" w:type="dxa"/>
            <w:tcBorders>
              <w:top w:val="single" w:sz="12" w:space="0" w:color="auto"/>
              <w:left w:val="nil"/>
              <w:bottom w:val="single" w:sz="8" w:space="0" w:color="auto"/>
              <w:right w:val="nil"/>
            </w:tcBorders>
            <w:shd w:val="clear" w:color="auto" w:fill="auto"/>
            <w:noWrap/>
            <w:vAlign w:val="center"/>
          </w:tcPr>
          <w:p w14:paraId="74B3C67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2005/02/23-</w:t>
            </w:r>
            <w:r>
              <w:rPr>
                <w:rFonts w:ascii="Times New Roman" w:eastAsia="SimSun" w:hAnsi="Times New Roman" w:cs="Times New Roman"/>
                <w:color w:val="000000"/>
                <w:kern w:val="0"/>
                <w:szCs w:val="21"/>
                <w:lang w:bidi="ar"/>
              </w:rPr>
              <w:br/>
              <w:t>2006/06/13</w:t>
            </w:r>
          </w:p>
        </w:tc>
        <w:tc>
          <w:tcPr>
            <w:tcW w:w="1436" w:type="dxa"/>
            <w:tcBorders>
              <w:top w:val="single" w:sz="12" w:space="0" w:color="auto"/>
              <w:left w:val="nil"/>
              <w:bottom w:val="single" w:sz="8" w:space="0" w:color="auto"/>
              <w:right w:val="nil"/>
            </w:tcBorders>
            <w:shd w:val="clear" w:color="auto" w:fill="auto"/>
            <w:noWrap/>
            <w:vAlign w:val="center"/>
          </w:tcPr>
          <w:p w14:paraId="2FD1175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2006/06/14-</w:t>
            </w:r>
            <w:r>
              <w:rPr>
                <w:rFonts w:ascii="Times New Roman" w:eastAsia="SimSun" w:hAnsi="Times New Roman" w:cs="Times New Roman"/>
                <w:color w:val="000000"/>
                <w:kern w:val="0"/>
                <w:szCs w:val="21"/>
                <w:lang w:bidi="ar"/>
              </w:rPr>
              <w:br/>
              <w:t>2008/08/05</w:t>
            </w:r>
          </w:p>
        </w:tc>
        <w:tc>
          <w:tcPr>
            <w:tcW w:w="1436" w:type="dxa"/>
            <w:tcBorders>
              <w:top w:val="single" w:sz="12" w:space="0" w:color="auto"/>
              <w:left w:val="nil"/>
              <w:bottom w:val="single" w:sz="8" w:space="0" w:color="auto"/>
              <w:right w:val="nil"/>
            </w:tcBorders>
            <w:shd w:val="clear" w:color="auto" w:fill="auto"/>
            <w:noWrap/>
            <w:vAlign w:val="center"/>
          </w:tcPr>
          <w:p w14:paraId="0378943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2008/08/06-</w:t>
            </w:r>
            <w:r>
              <w:rPr>
                <w:rFonts w:ascii="Times New Roman" w:eastAsia="SimSun" w:hAnsi="Times New Roman" w:cs="Times New Roman"/>
                <w:color w:val="000000"/>
                <w:kern w:val="0"/>
                <w:szCs w:val="21"/>
                <w:lang w:bidi="ar"/>
              </w:rPr>
              <w:br/>
              <w:t>2011/02/18</w:t>
            </w:r>
          </w:p>
        </w:tc>
        <w:tc>
          <w:tcPr>
            <w:tcW w:w="1436" w:type="dxa"/>
            <w:tcBorders>
              <w:top w:val="single" w:sz="12" w:space="0" w:color="auto"/>
              <w:left w:val="nil"/>
              <w:bottom w:val="single" w:sz="8" w:space="0" w:color="auto"/>
              <w:right w:val="nil"/>
            </w:tcBorders>
            <w:shd w:val="clear" w:color="auto" w:fill="auto"/>
            <w:noWrap/>
            <w:vAlign w:val="center"/>
          </w:tcPr>
          <w:p w14:paraId="43DA92E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2011/02/19-</w:t>
            </w:r>
            <w:r>
              <w:rPr>
                <w:rFonts w:ascii="Times New Roman" w:eastAsia="SimSun" w:hAnsi="Times New Roman" w:cs="Times New Roman"/>
                <w:color w:val="000000"/>
                <w:kern w:val="0"/>
                <w:szCs w:val="21"/>
                <w:lang w:bidi="ar"/>
              </w:rPr>
              <w:br/>
              <w:t>2012/04/30</w:t>
            </w:r>
          </w:p>
        </w:tc>
        <w:tc>
          <w:tcPr>
            <w:tcW w:w="1439" w:type="dxa"/>
            <w:tcBorders>
              <w:top w:val="single" w:sz="12" w:space="0" w:color="auto"/>
              <w:left w:val="nil"/>
              <w:bottom w:val="single" w:sz="8" w:space="0" w:color="auto"/>
              <w:right w:val="nil"/>
            </w:tcBorders>
            <w:shd w:val="clear" w:color="auto" w:fill="auto"/>
            <w:noWrap/>
            <w:vAlign w:val="center"/>
          </w:tcPr>
          <w:p w14:paraId="3342F6C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2012/05/01-</w:t>
            </w:r>
            <w:r>
              <w:rPr>
                <w:rFonts w:ascii="Times New Roman" w:eastAsia="SimSun" w:hAnsi="Times New Roman" w:cs="Times New Roman"/>
                <w:color w:val="000000"/>
                <w:kern w:val="0"/>
                <w:szCs w:val="21"/>
                <w:lang w:bidi="ar"/>
              </w:rPr>
              <w:br/>
              <w:t>2020/12/31</w:t>
            </w:r>
          </w:p>
        </w:tc>
      </w:tr>
      <w:tr w:rsidR="0074478A" w14:paraId="062DD0CA"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2238C16A"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7660B11B"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436" w:type="dxa"/>
            <w:tcBorders>
              <w:top w:val="single" w:sz="8" w:space="0" w:color="auto"/>
              <w:left w:val="nil"/>
              <w:bottom w:val="nil"/>
              <w:right w:val="nil"/>
            </w:tcBorders>
            <w:shd w:val="clear" w:color="auto" w:fill="auto"/>
            <w:vAlign w:val="bottom"/>
          </w:tcPr>
          <w:p w14:paraId="7677627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102.41%</w:t>
            </w:r>
          </w:p>
        </w:tc>
        <w:tc>
          <w:tcPr>
            <w:tcW w:w="1436" w:type="dxa"/>
            <w:tcBorders>
              <w:top w:val="single" w:sz="8" w:space="0" w:color="auto"/>
              <w:left w:val="nil"/>
              <w:bottom w:val="nil"/>
              <w:right w:val="nil"/>
            </w:tcBorders>
            <w:shd w:val="clear" w:color="auto" w:fill="auto"/>
            <w:noWrap/>
            <w:vAlign w:val="bottom"/>
          </w:tcPr>
          <w:p w14:paraId="5D08C98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102.41%</w:t>
            </w:r>
          </w:p>
        </w:tc>
        <w:tc>
          <w:tcPr>
            <w:tcW w:w="1436" w:type="dxa"/>
            <w:tcBorders>
              <w:top w:val="single" w:sz="8" w:space="0" w:color="auto"/>
              <w:left w:val="nil"/>
              <w:bottom w:val="nil"/>
              <w:right w:val="nil"/>
            </w:tcBorders>
            <w:shd w:val="clear" w:color="auto" w:fill="auto"/>
            <w:noWrap/>
            <w:vAlign w:val="bottom"/>
          </w:tcPr>
          <w:p w14:paraId="3528A56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102.41%</w:t>
            </w:r>
          </w:p>
        </w:tc>
        <w:tc>
          <w:tcPr>
            <w:tcW w:w="1436" w:type="dxa"/>
            <w:tcBorders>
              <w:top w:val="single" w:sz="8" w:space="0" w:color="auto"/>
              <w:left w:val="nil"/>
              <w:bottom w:val="nil"/>
              <w:right w:val="nil"/>
            </w:tcBorders>
            <w:shd w:val="clear" w:color="auto" w:fill="auto"/>
            <w:noWrap/>
            <w:vAlign w:val="bottom"/>
          </w:tcPr>
          <w:p w14:paraId="735E13F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102.41%</w:t>
            </w:r>
          </w:p>
        </w:tc>
        <w:tc>
          <w:tcPr>
            <w:tcW w:w="1436" w:type="dxa"/>
            <w:tcBorders>
              <w:top w:val="single" w:sz="8" w:space="0" w:color="auto"/>
              <w:left w:val="nil"/>
              <w:bottom w:val="nil"/>
              <w:right w:val="nil"/>
            </w:tcBorders>
            <w:shd w:val="clear" w:color="auto" w:fill="auto"/>
            <w:noWrap/>
            <w:vAlign w:val="bottom"/>
          </w:tcPr>
          <w:p w14:paraId="7B30E9B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87.97%</w:t>
            </w:r>
          </w:p>
        </w:tc>
        <w:tc>
          <w:tcPr>
            <w:tcW w:w="1436" w:type="dxa"/>
            <w:tcBorders>
              <w:top w:val="single" w:sz="8" w:space="0" w:color="auto"/>
              <w:left w:val="nil"/>
              <w:bottom w:val="nil"/>
              <w:right w:val="nil"/>
            </w:tcBorders>
            <w:shd w:val="clear" w:color="auto" w:fill="auto"/>
            <w:noWrap/>
            <w:vAlign w:val="bottom"/>
          </w:tcPr>
          <w:p w14:paraId="1E83A6A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87.97%</w:t>
            </w:r>
          </w:p>
        </w:tc>
        <w:tc>
          <w:tcPr>
            <w:tcW w:w="1439" w:type="dxa"/>
            <w:tcBorders>
              <w:top w:val="single" w:sz="8" w:space="0" w:color="auto"/>
              <w:left w:val="nil"/>
              <w:bottom w:val="nil"/>
              <w:right w:val="nil"/>
            </w:tcBorders>
            <w:shd w:val="clear" w:color="auto" w:fill="auto"/>
            <w:noWrap/>
            <w:vAlign w:val="bottom"/>
          </w:tcPr>
          <w:p w14:paraId="3B9CB739"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87.97%</w:t>
            </w:r>
          </w:p>
        </w:tc>
      </w:tr>
      <w:tr w:rsidR="0074478A" w14:paraId="154820DE" w14:textId="77777777">
        <w:trPr>
          <w:trHeight w:val="278"/>
        </w:trPr>
        <w:tc>
          <w:tcPr>
            <w:tcW w:w="519" w:type="pct"/>
            <w:vMerge/>
            <w:tcBorders>
              <w:top w:val="nil"/>
              <w:left w:val="nil"/>
              <w:bottom w:val="nil"/>
              <w:right w:val="nil"/>
            </w:tcBorders>
            <w:shd w:val="clear" w:color="auto" w:fill="auto"/>
            <w:noWrap/>
            <w:vAlign w:val="center"/>
          </w:tcPr>
          <w:p w14:paraId="26AF8903"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727F156"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436" w:type="dxa"/>
            <w:tcBorders>
              <w:top w:val="nil"/>
              <w:left w:val="nil"/>
              <w:bottom w:val="nil"/>
              <w:right w:val="nil"/>
            </w:tcBorders>
            <w:shd w:val="clear" w:color="auto" w:fill="auto"/>
            <w:noWrap/>
            <w:vAlign w:val="bottom"/>
          </w:tcPr>
          <w:p w14:paraId="1262416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0.30%</w:t>
            </w:r>
          </w:p>
        </w:tc>
        <w:tc>
          <w:tcPr>
            <w:tcW w:w="1436" w:type="dxa"/>
            <w:tcBorders>
              <w:top w:val="nil"/>
              <w:left w:val="nil"/>
              <w:bottom w:val="nil"/>
              <w:right w:val="nil"/>
            </w:tcBorders>
            <w:shd w:val="clear" w:color="auto" w:fill="auto"/>
            <w:noWrap/>
            <w:vAlign w:val="bottom"/>
          </w:tcPr>
          <w:p w14:paraId="5E73684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0.30%</w:t>
            </w:r>
          </w:p>
        </w:tc>
        <w:tc>
          <w:tcPr>
            <w:tcW w:w="1436" w:type="dxa"/>
            <w:tcBorders>
              <w:top w:val="nil"/>
              <w:left w:val="nil"/>
              <w:bottom w:val="nil"/>
              <w:right w:val="nil"/>
            </w:tcBorders>
            <w:shd w:val="clear" w:color="auto" w:fill="auto"/>
            <w:noWrap/>
            <w:vAlign w:val="bottom"/>
          </w:tcPr>
          <w:p w14:paraId="0C753D0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0.30%</w:t>
            </w:r>
          </w:p>
        </w:tc>
        <w:tc>
          <w:tcPr>
            <w:tcW w:w="1436" w:type="dxa"/>
            <w:tcBorders>
              <w:top w:val="nil"/>
              <w:left w:val="nil"/>
              <w:bottom w:val="nil"/>
              <w:right w:val="nil"/>
            </w:tcBorders>
            <w:shd w:val="clear" w:color="auto" w:fill="auto"/>
            <w:noWrap/>
            <w:vAlign w:val="bottom"/>
          </w:tcPr>
          <w:p w14:paraId="08B3BE7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0.30%</w:t>
            </w:r>
          </w:p>
        </w:tc>
        <w:tc>
          <w:tcPr>
            <w:tcW w:w="1436" w:type="dxa"/>
            <w:tcBorders>
              <w:top w:val="nil"/>
              <w:left w:val="nil"/>
              <w:bottom w:val="nil"/>
              <w:right w:val="nil"/>
            </w:tcBorders>
            <w:shd w:val="clear" w:color="auto" w:fill="auto"/>
            <w:noWrap/>
            <w:vAlign w:val="bottom"/>
          </w:tcPr>
          <w:p w14:paraId="729FA60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8.37%</w:t>
            </w:r>
          </w:p>
        </w:tc>
        <w:tc>
          <w:tcPr>
            <w:tcW w:w="1436" w:type="dxa"/>
            <w:tcBorders>
              <w:top w:val="nil"/>
              <w:left w:val="nil"/>
              <w:bottom w:val="nil"/>
              <w:right w:val="nil"/>
            </w:tcBorders>
            <w:shd w:val="clear" w:color="auto" w:fill="auto"/>
            <w:noWrap/>
            <w:vAlign w:val="bottom"/>
          </w:tcPr>
          <w:p w14:paraId="71B1A54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8.37%</w:t>
            </w:r>
          </w:p>
        </w:tc>
        <w:tc>
          <w:tcPr>
            <w:tcW w:w="1439" w:type="dxa"/>
            <w:tcBorders>
              <w:top w:val="nil"/>
              <w:left w:val="nil"/>
              <w:bottom w:val="nil"/>
              <w:right w:val="nil"/>
            </w:tcBorders>
            <w:shd w:val="clear" w:color="auto" w:fill="auto"/>
            <w:noWrap/>
            <w:vAlign w:val="bottom"/>
          </w:tcPr>
          <w:p w14:paraId="471F4287"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8.37%</w:t>
            </w:r>
          </w:p>
        </w:tc>
      </w:tr>
      <w:tr w:rsidR="0074478A" w14:paraId="5B70F275" w14:textId="77777777">
        <w:trPr>
          <w:trHeight w:val="278"/>
        </w:trPr>
        <w:tc>
          <w:tcPr>
            <w:tcW w:w="519" w:type="pct"/>
            <w:vMerge/>
            <w:tcBorders>
              <w:top w:val="nil"/>
              <w:left w:val="nil"/>
              <w:bottom w:val="nil"/>
              <w:right w:val="nil"/>
            </w:tcBorders>
            <w:shd w:val="clear" w:color="auto" w:fill="auto"/>
            <w:noWrap/>
            <w:vAlign w:val="center"/>
          </w:tcPr>
          <w:p w14:paraId="0B21A6BD"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25065C15"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436" w:type="dxa"/>
            <w:tcBorders>
              <w:top w:val="nil"/>
              <w:left w:val="nil"/>
              <w:bottom w:val="nil"/>
              <w:right w:val="nil"/>
            </w:tcBorders>
            <w:shd w:val="clear" w:color="auto" w:fill="auto"/>
            <w:noWrap/>
            <w:vAlign w:val="bottom"/>
          </w:tcPr>
          <w:p w14:paraId="000746A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-0.22%</w:t>
            </w:r>
          </w:p>
        </w:tc>
        <w:tc>
          <w:tcPr>
            <w:tcW w:w="1436" w:type="dxa"/>
            <w:tcBorders>
              <w:top w:val="nil"/>
              <w:left w:val="nil"/>
              <w:bottom w:val="nil"/>
              <w:right w:val="nil"/>
            </w:tcBorders>
            <w:shd w:val="clear" w:color="auto" w:fill="auto"/>
            <w:noWrap/>
            <w:vAlign w:val="bottom"/>
          </w:tcPr>
          <w:p w14:paraId="322F4BC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-0.22%</w:t>
            </w:r>
          </w:p>
        </w:tc>
        <w:tc>
          <w:tcPr>
            <w:tcW w:w="1436" w:type="dxa"/>
            <w:tcBorders>
              <w:top w:val="nil"/>
              <w:left w:val="nil"/>
              <w:bottom w:val="nil"/>
              <w:right w:val="nil"/>
            </w:tcBorders>
            <w:shd w:val="clear" w:color="auto" w:fill="auto"/>
            <w:noWrap/>
            <w:vAlign w:val="bottom"/>
          </w:tcPr>
          <w:p w14:paraId="5B7A6DC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-0.22%</w:t>
            </w:r>
          </w:p>
        </w:tc>
        <w:tc>
          <w:tcPr>
            <w:tcW w:w="1436" w:type="dxa"/>
            <w:tcBorders>
              <w:top w:val="nil"/>
              <w:left w:val="nil"/>
              <w:bottom w:val="nil"/>
              <w:right w:val="nil"/>
            </w:tcBorders>
            <w:shd w:val="clear" w:color="auto" w:fill="auto"/>
            <w:noWrap/>
            <w:vAlign w:val="bottom"/>
          </w:tcPr>
          <w:p w14:paraId="02D24F0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-0.22%</w:t>
            </w:r>
          </w:p>
        </w:tc>
        <w:tc>
          <w:tcPr>
            <w:tcW w:w="1436" w:type="dxa"/>
            <w:tcBorders>
              <w:top w:val="nil"/>
              <w:left w:val="nil"/>
              <w:bottom w:val="nil"/>
              <w:right w:val="nil"/>
            </w:tcBorders>
            <w:shd w:val="clear" w:color="auto" w:fill="auto"/>
            <w:noWrap/>
            <w:vAlign w:val="bottom"/>
          </w:tcPr>
          <w:p w14:paraId="592E69F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-4.32%</w:t>
            </w:r>
          </w:p>
        </w:tc>
        <w:tc>
          <w:tcPr>
            <w:tcW w:w="1436" w:type="dxa"/>
            <w:tcBorders>
              <w:top w:val="nil"/>
              <w:left w:val="nil"/>
              <w:bottom w:val="nil"/>
              <w:right w:val="nil"/>
            </w:tcBorders>
            <w:shd w:val="clear" w:color="auto" w:fill="auto"/>
            <w:noWrap/>
            <w:vAlign w:val="bottom"/>
          </w:tcPr>
          <w:p w14:paraId="64A3882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-4.32%</w:t>
            </w:r>
          </w:p>
        </w:tc>
        <w:tc>
          <w:tcPr>
            <w:tcW w:w="1439" w:type="dxa"/>
            <w:tcBorders>
              <w:top w:val="nil"/>
              <w:left w:val="nil"/>
              <w:bottom w:val="nil"/>
              <w:right w:val="nil"/>
            </w:tcBorders>
            <w:shd w:val="clear" w:color="auto" w:fill="auto"/>
            <w:noWrap/>
            <w:vAlign w:val="bottom"/>
          </w:tcPr>
          <w:p w14:paraId="70AA9708"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-4.32%</w:t>
            </w:r>
          </w:p>
        </w:tc>
      </w:tr>
      <w:tr w:rsidR="0074478A" w14:paraId="60539669" w14:textId="77777777">
        <w:trPr>
          <w:trHeight w:val="278"/>
        </w:trPr>
        <w:tc>
          <w:tcPr>
            <w:tcW w:w="519" w:type="pct"/>
            <w:vMerge/>
            <w:tcBorders>
              <w:top w:val="nil"/>
              <w:left w:val="nil"/>
              <w:bottom w:val="nil"/>
              <w:right w:val="nil"/>
            </w:tcBorders>
            <w:shd w:val="clear" w:color="auto" w:fill="auto"/>
            <w:noWrap/>
            <w:vAlign w:val="center"/>
          </w:tcPr>
          <w:p w14:paraId="171269B8"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86E6AF2"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436" w:type="dxa"/>
            <w:tcBorders>
              <w:top w:val="nil"/>
              <w:left w:val="nil"/>
              <w:bottom w:val="nil"/>
              <w:right w:val="nil"/>
            </w:tcBorders>
            <w:shd w:val="clear" w:color="auto" w:fill="auto"/>
            <w:vAlign w:val="center"/>
          </w:tcPr>
          <w:p w14:paraId="7F099B1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w:t>
            </w:r>
          </w:p>
        </w:tc>
        <w:tc>
          <w:tcPr>
            <w:tcW w:w="1436" w:type="dxa"/>
            <w:tcBorders>
              <w:top w:val="nil"/>
              <w:left w:val="nil"/>
              <w:bottom w:val="nil"/>
              <w:right w:val="nil"/>
            </w:tcBorders>
            <w:shd w:val="clear" w:color="auto" w:fill="auto"/>
            <w:noWrap/>
            <w:vAlign w:val="center"/>
          </w:tcPr>
          <w:p w14:paraId="2E9048C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w:t>
            </w:r>
          </w:p>
        </w:tc>
        <w:tc>
          <w:tcPr>
            <w:tcW w:w="1436" w:type="dxa"/>
            <w:tcBorders>
              <w:top w:val="nil"/>
              <w:left w:val="nil"/>
              <w:bottom w:val="nil"/>
              <w:right w:val="nil"/>
            </w:tcBorders>
            <w:shd w:val="clear" w:color="auto" w:fill="auto"/>
            <w:noWrap/>
            <w:vAlign w:val="center"/>
          </w:tcPr>
          <w:p w14:paraId="7045D32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w:t>
            </w:r>
          </w:p>
        </w:tc>
        <w:tc>
          <w:tcPr>
            <w:tcW w:w="1436" w:type="dxa"/>
            <w:tcBorders>
              <w:top w:val="nil"/>
              <w:left w:val="nil"/>
              <w:bottom w:val="nil"/>
              <w:right w:val="nil"/>
            </w:tcBorders>
            <w:shd w:val="clear" w:color="auto" w:fill="auto"/>
            <w:noWrap/>
            <w:vAlign w:val="center"/>
          </w:tcPr>
          <w:p w14:paraId="41C3B5C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w:t>
            </w:r>
          </w:p>
        </w:tc>
        <w:tc>
          <w:tcPr>
            <w:tcW w:w="1436" w:type="dxa"/>
            <w:tcBorders>
              <w:top w:val="nil"/>
              <w:left w:val="nil"/>
              <w:bottom w:val="nil"/>
              <w:right w:val="nil"/>
            </w:tcBorders>
            <w:shd w:val="clear" w:color="auto" w:fill="auto"/>
            <w:noWrap/>
            <w:vAlign w:val="center"/>
          </w:tcPr>
          <w:p w14:paraId="0C22398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7.98%</w:t>
            </w:r>
          </w:p>
        </w:tc>
        <w:tc>
          <w:tcPr>
            <w:tcW w:w="1436" w:type="dxa"/>
            <w:tcBorders>
              <w:top w:val="nil"/>
              <w:left w:val="nil"/>
              <w:bottom w:val="nil"/>
              <w:right w:val="nil"/>
            </w:tcBorders>
            <w:shd w:val="clear" w:color="auto" w:fill="auto"/>
            <w:noWrap/>
            <w:vAlign w:val="center"/>
          </w:tcPr>
          <w:p w14:paraId="1806223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7.98%</w:t>
            </w:r>
          </w:p>
        </w:tc>
        <w:tc>
          <w:tcPr>
            <w:tcW w:w="1439" w:type="dxa"/>
            <w:tcBorders>
              <w:top w:val="nil"/>
              <w:left w:val="nil"/>
              <w:bottom w:val="nil"/>
              <w:right w:val="nil"/>
            </w:tcBorders>
            <w:shd w:val="clear" w:color="auto" w:fill="auto"/>
            <w:noWrap/>
            <w:vAlign w:val="center"/>
          </w:tcPr>
          <w:p w14:paraId="3E5BBC4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7.98%</w:t>
            </w:r>
          </w:p>
        </w:tc>
      </w:tr>
      <w:tr w:rsidR="0074478A" w14:paraId="662A6E1C" w14:textId="77777777">
        <w:trPr>
          <w:trHeight w:val="278"/>
        </w:trPr>
        <w:tc>
          <w:tcPr>
            <w:tcW w:w="1453" w:type="pct"/>
            <w:gridSpan w:val="2"/>
            <w:tcBorders>
              <w:top w:val="nil"/>
              <w:left w:val="nil"/>
              <w:bottom w:val="nil"/>
              <w:right w:val="nil"/>
            </w:tcBorders>
            <w:shd w:val="clear" w:color="auto" w:fill="auto"/>
            <w:noWrap/>
            <w:vAlign w:val="center"/>
          </w:tcPr>
          <w:p w14:paraId="01BE1C14"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06" w:type="pct"/>
            <w:tcBorders>
              <w:top w:val="nil"/>
              <w:left w:val="nil"/>
              <w:bottom w:val="nil"/>
              <w:right w:val="nil"/>
            </w:tcBorders>
            <w:shd w:val="clear" w:color="auto" w:fill="auto"/>
            <w:noWrap/>
            <w:vAlign w:val="center"/>
          </w:tcPr>
          <w:p w14:paraId="7547EE4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06" w:type="pct"/>
            <w:tcBorders>
              <w:top w:val="nil"/>
              <w:left w:val="nil"/>
              <w:bottom w:val="nil"/>
              <w:right w:val="nil"/>
            </w:tcBorders>
            <w:shd w:val="clear" w:color="auto" w:fill="auto"/>
            <w:noWrap/>
            <w:vAlign w:val="center"/>
          </w:tcPr>
          <w:p w14:paraId="638BF5ED"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B666C6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735A579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6BDEBBA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06" w:type="pct"/>
            <w:tcBorders>
              <w:top w:val="nil"/>
              <w:left w:val="nil"/>
              <w:bottom w:val="nil"/>
              <w:right w:val="nil"/>
            </w:tcBorders>
            <w:shd w:val="clear" w:color="auto" w:fill="auto"/>
            <w:noWrap/>
            <w:vAlign w:val="center"/>
          </w:tcPr>
          <w:p w14:paraId="5AD0FADC"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07" w:type="pct"/>
            <w:tcBorders>
              <w:top w:val="nil"/>
              <w:left w:val="nil"/>
              <w:bottom w:val="nil"/>
              <w:right w:val="nil"/>
            </w:tcBorders>
            <w:shd w:val="clear" w:color="auto" w:fill="auto"/>
            <w:noWrap/>
            <w:vAlign w:val="center"/>
          </w:tcPr>
          <w:p w14:paraId="1E34AF01"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2D178985" w14:textId="77777777">
        <w:trPr>
          <w:trHeight w:val="278"/>
        </w:trPr>
        <w:tc>
          <w:tcPr>
            <w:tcW w:w="1453" w:type="pct"/>
            <w:gridSpan w:val="2"/>
            <w:tcBorders>
              <w:top w:val="nil"/>
              <w:left w:val="nil"/>
              <w:bottom w:val="nil"/>
              <w:right w:val="nil"/>
            </w:tcBorders>
            <w:shd w:val="clear" w:color="auto" w:fill="auto"/>
            <w:noWrap/>
            <w:vAlign w:val="center"/>
          </w:tcPr>
          <w:p w14:paraId="04CF2395"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994C4D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±15.40%</w:t>
            </w:r>
          </w:p>
        </w:tc>
        <w:tc>
          <w:tcPr>
            <w:tcW w:w="1436" w:type="dxa"/>
            <w:tcBorders>
              <w:top w:val="nil"/>
              <w:left w:val="nil"/>
              <w:bottom w:val="nil"/>
              <w:right w:val="nil"/>
            </w:tcBorders>
            <w:shd w:val="clear" w:color="auto" w:fill="auto"/>
            <w:noWrap/>
            <w:vAlign w:val="center"/>
          </w:tcPr>
          <w:p w14:paraId="7B4FA73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±3.66%</w:t>
            </w:r>
          </w:p>
        </w:tc>
        <w:tc>
          <w:tcPr>
            <w:tcW w:w="1436" w:type="dxa"/>
            <w:tcBorders>
              <w:top w:val="nil"/>
              <w:left w:val="nil"/>
              <w:bottom w:val="nil"/>
              <w:right w:val="nil"/>
            </w:tcBorders>
            <w:shd w:val="clear" w:color="auto" w:fill="auto"/>
            <w:noWrap/>
            <w:vAlign w:val="center"/>
          </w:tcPr>
          <w:p w14:paraId="39CFF88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A7D0D7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A7A1BD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98BEFE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±5.02%</w:t>
            </w:r>
          </w:p>
        </w:tc>
        <w:tc>
          <w:tcPr>
            <w:tcW w:w="1439" w:type="dxa"/>
            <w:tcBorders>
              <w:top w:val="nil"/>
              <w:left w:val="nil"/>
              <w:bottom w:val="nil"/>
              <w:right w:val="nil"/>
            </w:tcBorders>
            <w:shd w:val="clear" w:color="auto" w:fill="auto"/>
            <w:noWrap/>
            <w:vAlign w:val="center"/>
          </w:tcPr>
          <w:p w14:paraId="787EA1F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±11.71%</w:t>
            </w:r>
          </w:p>
        </w:tc>
      </w:tr>
      <w:tr w:rsidR="0074478A" w14:paraId="0888CC10" w14:textId="77777777">
        <w:trPr>
          <w:trHeight w:val="278"/>
        </w:trPr>
        <w:tc>
          <w:tcPr>
            <w:tcW w:w="519" w:type="pct"/>
            <w:vMerge w:val="restart"/>
            <w:tcBorders>
              <w:top w:val="nil"/>
              <w:left w:val="nil"/>
              <w:bottom w:val="nil"/>
              <w:right w:val="nil"/>
            </w:tcBorders>
            <w:shd w:val="clear" w:color="auto" w:fill="auto"/>
            <w:noWrap/>
            <w:vAlign w:val="center"/>
          </w:tcPr>
          <w:p w14:paraId="7B038D9A"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525C486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395364A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F481E9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0.015/0.653</w:t>
            </w:r>
          </w:p>
        </w:tc>
        <w:tc>
          <w:tcPr>
            <w:tcW w:w="1436" w:type="dxa"/>
            <w:tcBorders>
              <w:top w:val="nil"/>
              <w:left w:val="nil"/>
              <w:bottom w:val="nil"/>
              <w:right w:val="nil"/>
            </w:tcBorders>
            <w:shd w:val="clear" w:color="auto" w:fill="auto"/>
            <w:noWrap/>
            <w:vAlign w:val="center"/>
          </w:tcPr>
          <w:p w14:paraId="1CCAB09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6E4947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A20D21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828273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-0.001/1.016</w:t>
            </w:r>
          </w:p>
        </w:tc>
        <w:tc>
          <w:tcPr>
            <w:tcW w:w="1439" w:type="dxa"/>
            <w:tcBorders>
              <w:top w:val="nil"/>
              <w:left w:val="nil"/>
              <w:bottom w:val="nil"/>
              <w:right w:val="nil"/>
            </w:tcBorders>
            <w:shd w:val="clear" w:color="auto" w:fill="auto"/>
            <w:noWrap/>
            <w:vAlign w:val="center"/>
          </w:tcPr>
          <w:p w14:paraId="4775AD5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p>
        </w:tc>
      </w:tr>
      <w:tr w:rsidR="0074478A" w14:paraId="45D99247" w14:textId="77777777">
        <w:trPr>
          <w:trHeight w:val="278"/>
        </w:trPr>
        <w:tc>
          <w:tcPr>
            <w:tcW w:w="519" w:type="pct"/>
            <w:vMerge/>
            <w:tcBorders>
              <w:top w:val="nil"/>
              <w:left w:val="nil"/>
              <w:bottom w:val="nil"/>
              <w:right w:val="nil"/>
            </w:tcBorders>
            <w:shd w:val="clear" w:color="auto" w:fill="auto"/>
            <w:noWrap/>
            <w:vAlign w:val="center"/>
          </w:tcPr>
          <w:p w14:paraId="03093E49" w14:textId="77777777" w:rsidR="0074478A" w:rsidRDefault="0074478A">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4A71A0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699EA8D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-0.002/0.982</w:t>
            </w:r>
          </w:p>
        </w:tc>
        <w:tc>
          <w:tcPr>
            <w:tcW w:w="1436" w:type="dxa"/>
            <w:tcBorders>
              <w:top w:val="nil"/>
              <w:left w:val="nil"/>
              <w:bottom w:val="nil"/>
              <w:right w:val="nil"/>
            </w:tcBorders>
            <w:shd w:val="clear" w:color="auto" w:fill="auto"/>
            <w:noWrap/>
            <w:vAlign w:val="center"/>
          </w:tcPr>
          <w:p w14:paraId="06C0C56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/1.007</w:t>
            </w:r>
          </w:p>
        </w:tc>
        <w:tc>
          <w:tcPr>
            <w:tcW w:w="1436" w:type="dxa"/>
            <w:tcBorders>
              <w:top w:val="nil"/>
              <w:left w:val="nil"/>
              <w:bottom w:val="nil"/>
              <w:right w:val="nil"/>
            </w:tcBorders>
            <w:shd w:val="clear" w:color="auto" w:fill="auto"/>
            <w:noWrap/>
            <w:vAlign w:val="center"/>
          </w:tcPr>
          <w:p w14:paraId="2C6102B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0B0FBB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0B59D4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25EB78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.000</w:t>
            </w:r>
          </w:p>
        </w:tc>
        <w:tc>
          <w:tcPr>
            <w:tcW w:w="1439" w:type="dxa"/>
            <w:tcBorders>
              <w:top w:val="nil"/>
              <w:left w:val="nil"/>
              <w:bottom w:val="nil"/>
              <w:right w:val="nil"/>
            </w:tcBorders>
            <w:shd w:val="clear" w:color="auto" w:fill="auto"/>
            <w:noWrap/>
            <w:vAlign w:val="center"/>
          </w:tcPr>
          <w:p w14:paraId="56B3ABF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r>
      <w:tr w:rsidR="0074478A" w14:paraId="7881AFA8" w14:textId="77777777">
        <w:trPr>
          <w:trHeight w:val="278"/>
        </w:trPr>
        <w:tc>
          <w:tcPr>
            <w:tcW w:w="519" w:type="pct"/>
            <w:vMerge/>
            <w:tcBorders>
              <w:top w:val="nil"/>
              <w:left w:val="nil"/>
              <w:bottom w:val="nil"/>
              <w:right w:val="nil"/>
            </w:tcBorders>
            <w:shd w:val="clear" w:color="auto" w:fill="auto"/>
            <w:noWrap/>
            <w:vAlign w:val="center"/>
          </w:tcPr>
          <w:p w14:paraId="46CD7C51" w14:textId="77777777" w:rsidR="0074478A" w:rsidRDefault="0074478A">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427170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AAC2F9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-0.004/0.974</w:t>
            </w:r>
          </w:p>
        </w:tc>
        <w:tc>
          <w:tcPr>
            <w:tcW w:w="1436" w:type="dxa"/>
            <w:tcBorders>
              <w:top w:val="nil"/>
              <w:left w:val="nil"/>
              <w:bottom w:val="nil"/>
              <w:right w:val="nil"/>
            </w:tcBorders>
            <w:shd w:val="clear" w:color="auto" w:fill="auto"/>
            <w:noWrap/>
            <w:vAlign w:val="center"/>
          </w:tcPr>
          <w:p w14:paraId="3AAA232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C132F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70AE6F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84BF9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5B49C9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4CE7ED2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-0.002/0.988</w:t>
            </w:r>
          </w:p>
        </w:tc>
      </w:tr>
      <w:tr w:rsidR="0074478A" w14:paraId="2D4AC80D"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223CAC9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0CB6716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60.35%</w:t>
            </w:r>
          </w:p>
        </w:tc>
        <w:tc>
          <w:tcPr>
            <w:tcW w:w="1436" w:type="dxa"/>
            <w:tcBorders>
              <w:top w:val="nil"/>
              <w:left w:val="nil"/>
              <w:bottom w:val="single" w:sz="12" w:space="0" w:color="auto"/>
              <w:right w:val="nil"/>
            </w:tcBorders>
            <w:shd w:val="clear" w:color="auto" w:fill="auto"/>
            <w:noWrap/>
            <w:vAlign w:val="center"/>
          </w:tcPr>
          <w:p w14:paraId="4E2A488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87.04%</w:t>
            </w:r>
          </w:p>
        </w:tc>
        <w:tc>
          <w:tcPr>
            <w:tcW w:w="1436" w:type="dxa"/>
            <w:tcBorders>
              <w:top w:val="nil"/>
              <w:left w:val="nil"/>
              <w:bottom w:val="single" w:sz="12" w:space="0" w:color="auto"/>
              <w:right w:val="nil"/>
            </w:tcBorders>
            <w:shd w:val="clear" w:color="auto" w:fill="auto"/>
            <w:noWrap/>
            <w:vAlign w:val="center"/>
          </w:tcPr>
          <w:p w14:paraId="472C318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0575493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F865A6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6048288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73.74%</w:t>
            </w:r>
          </w:p>
        </w:tc>
        <w:tc>
          <w:tcPr>
            <w:tcW w:w="1439" w:type="dxa"/>
            <w:tcBorders>
              <w:top w:val="nil"/>
              <w:left w:val="nil"/>
              <w:bottom w:val="single" w:sz="12" w:space="0" w:color="auto"/>
              <w:right w:val="nil"/>
            </w:tcBorders>
            <w:shd w:val="clear" w:color="auto" w:fill="auto"/>
            <w:noWrap/>
            <w:vAlign w:val="center"/>
          </w:tcPr>
          <w:p w14:paraId="4B483CA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55.00%</w:t>
            </w:r>
          </w:p>
        </w:tc>
      </w:tr>
    </w:tbl>
    <w:p w14:paraId="28E97337" w14:textId="77777777" w:rsidR="0074478A" w:rsidRDefault="0074478A">
      <w:pPr>
        <w:rPr>
          <w:rFonts w:ascii="Times New Roman" w:hAnsi="Times New Roman" w:cs="Times New Roman"/>
        </w:rPr>
      </w:pPr>
    </w:p>
    <w:p w14:paraId="1EF5CC51" w14:textId="77777777" w:rsidR="0074478A" w:rsidRDefault="0074478A">
      <w:pPr>
        <w:rPr>
          <w:rFonts w:ascii="Times New Roman" w:hAnsi="Times New Roman" w:cs="Times New Roman"/>
        </w:rPr>
      </w:pPr>
    </w:p>
    <w:p w14:paraId="56ABEFE7" w14:textId="77777777" w:rsidR="0074478A" w:rsidRDefault="0074478A">
      <w:pPr>
        <w:rPr>
          <w:rFonts w:ascii="Times New Roman" w:hAnsi="Times New Roman" w:cs="Times New Roman"/>
        </w:rPr>
      </w:pPr>
    </w:p>
    <w:p w14:paraId="1D1F5EC4" w14:textId="77777777" w:rsidR="0074478A" w:rsidRDefault="0074478A">
      <w:pPr>
        <w:rPr>
          <w:rFonts w:ascii="Times New Roman" w:hAnsi="Times New Roman" w:cs="Times New Roman"/>
        </w:rPr>
      </w:pPr>
    </w:p>
    <w:p w14:paraId="5783439E" w14:textId="77777777" w:rsidR="0074478A" w:rsidRDefault="0074478A">
      <w:pPr>
        <w:rPr>
          <w:rFonts w:ascii="Times New Roman" w:hAnsi="Times New Roman" w:cs="Times New Roman"/>
        </w:rPr>
      </w:pPr>
    </w:p>
    <w:p w14:paraId="61C5EA00" w14:textId="77777777" w:rsidR="0074478A" w:rsidRDefault="0074478A">
      <w:pPr>
        <w:rPr>
          <w:rFonts w:ascii="Times New Roman" w:hAnsi="Times New Roman" w:cs="Times New Roman"/>
        </w:rPr>
      </w:pPr>
    </w:p>
    <w:p w14:paraId="00AEE788" w14:textId="77777777" w:rsidR="0074478A" w:rsidRDefault="0074478A">
      <w:pPr>
        <w:rPr>
          <w:rFonts w:ascii="Times New Roman" w:hAnsi="Times New Roman" w:cs="Times New Roman"/>
        </w:rPr>
      </w:pPr>
    </w:p>
    <w:p w14:paraId="50F5049A" w14:textId="77777777" w:rsidR="0074478A" w:rsidRDefault="0074478A">
      <w:pPr>
        <w:rPr>
          <w:rFonts w:ascii="Times New Roman" w:hAnsi="Times New Roman" w:cs="Times New Roman"/>
        </w:rPr>
      </w:pPr>
    </w:p>
    <w:p w14:paraId="62BE6AA0" w14:textId="77777777" w:rsidR="0074478A" w:rsidRDefault="0074478A">
      <w:pPr>
        <w:rPr>
          <w:rFonts w:ascii="Times New Roman" w:hAnsi="Times New Roman" w:cs="Times New Roman"/>
        </w:rPr>
      </w:pPr>
    </w:p>
    <w:p w14:paraId="3E0D69E5" w14:textId="77777777" w:rsidR="0074478A" w:rsidRDefault="0074478A">
      <w:pPr>
        <w:rPr>
          <w:rFonts w:ascii="Times New Roman" w:hAnsi="Times New Roman" w:cs="Times New Roman"/>
        </w:rPr>
      </w:pPr>
    </w:p>
    <w:p w14:paraId="23A45401" w14:textId="77777777" w:rsidR="0074478A" w:rsidRDefault="0074478A">
      <w:pPr>
        <w:rPr>
          <w:rFonts w:ascii="Times New Roman" w:hAnsi="Times New Roman" w:cs="Times New Roman"/>
        </w:rPr>
      </w:pPr>
    </w:p>
    <w:p w14:paraId="72376DB9" w14:textId="77777777" w:rsidR="0074478A" w:rsidRDefault="0074478A">
      <w:pPr>
        <w:rPr>
          <w:rFonts w:ascii="Times New Roman" w:hAnsi="Times New Roman" w:cs="Times New Roman"/>
        </w:rPr>
      </w:pPr>
    </w:p>
    <w:p w14:paraId="5379375C" w14:textId="77777777" w:rsidR="0074478A" w:rsidRDefault="00690393">
      <w:pPr>
        <w:rPr>
          <w:rFonts w:ascii="Times New Roman" w:hAnsi="Times New Roman" w:cs="Times New Roman"/>
        </w:rPr>
      </w:pPr>
      <w:r>
        <w:rPr>
          <w:rFonts w:ascii="Times New Roman" w:hAnsi="Times New Roman" w:cs="Times New Roman" w:hint="eastAsia"/>
        </w:rPr>
        <w:t>Panel P: Philippines</w:t>
      </w:r>
    </w:p>
    <w:tbl>
      <w:tblPr>
        <w:tblW w:w="4997" w:type="pct"/>
        <w:tblLayout w:type="fixed"/>
        <w:tblLook w:val="04A0" w:firstRow="1" w:lastRow="0" w:firstColumn="1" w:lastColumn="0" w:noHBand="0" w:noVBand="1"/>
      </w:tblPr>
      <w:tblGrid>
        <w:gridCol w:w="1809"/>
        <w:gridCol w:w="3097"/>
        <w:gridCol w:w="1808"/>
        <w:gridCol w:w="1810"/>
        <w:gridCol w:w="1808"/>
        <w:gridCol w:w="1808"/>
        <w:gridCol w:w="1810"/>
      </w:tblGrid>
      <w:tr w:rsidR="0074478A" w14:paraId="566EFD07"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6C4DA6A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836" w:type="dxa"/>
            <w:tcBorders>
              <w:top w:val="single" w:sz="12" w:space="0" w:color="auto"/>
              <w:left w:val="nil"/>
              <w:bottom w:val="single" w:sz="8" w:space="0" w:color="auto"/>
              <w:right w:val="nil"/>
            </w:tcBorders>
            <w:shd w:val="clear" w:color="auto" w:fill="auto"/>
            <w:noWrap/>
            <w:vAlign w:val="center"/>
          </w:tcPr>
          <w:p w14:paraId="79FF338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2001/08/22</w:t>
            </w:r>
          </w:p>
        </w:tc>
        <w:tc>
          <w:tcPr>
            <w:tcW w:w="1837" w:type="dxa"/>
            <w:tcBorders>
              <w:top w:val="single" w:sz="12" w:space="0" w:color="auto"/>
              <w:left w:val="nil"/>
              <w:bottom w:val="single" w:sz="8" w:space="0" w:color="auto"/>
              <w:right w:val="nil"/>
            </w:tcBorders>
            <w:shd w:val="clear" w:color="auto" w:fill="auto"/>
            <w:noWrap/>
            <w:vAlign w:val="center"/>
          </w:tcPr>
          <w:p w14:paraId="4E689A6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2001/08/23-</w:t>
            </w:r>
            <w:r>
              <w:rPr>
                <w:rFonts w:ascii="Times New Roman" w:eastAsia="SimSun" w:hAnsi="Times New Roman" w:cs="Times New Roman"/>
                <w:color w:val="000000"/>
                <w:kern w:val="0"/>
                <w:szCs w:val="21"/>
                <w:lang w:bidi="ar"/>
              </w:rPr>
              <w:br/>
              <w:t>2005/09/20</w:t>
            </w:r>
          </w:p>
        </w:tc>
        <w:tc>
          <w:tcPr>
            <w:tcW w:w="1837" w:type="dxa"/>
            <w:tcBorders>
              <w:top w:val="single" w:sz="12" w:space="0" w:color="auto"/>
              <w:left w:val="nil"/>
              <w:bottom w:val="single" w:sz="8" w:space="0" w:color="auto"/>
              <w:right w:val="nil"/>
            </w:tcBorders>
            <w:shd w:val="clear" w:color="auto" w:fill="auto"/>
            <w:noWrap/>
            <w:vAlign w:val="center"/>
          </w:tcPr>
          <w:p w14:paraId="1DF781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2005/09/21-</w:t>
            </w:r>
            <w:r>
              <w:rPr>
                <w:rFonts w:ascii="Times New Roman" w:eastAsia="SimSun" w:hAnsi="Times New Roman" w:cs="Times New Roman"/>
                <w:color w:val="000000"/>
                <w:kern w:val="0"/>
                <w:szCs w:val="21"/>
                <w:lang w:bidi="ar"/>
              </w:rPr>
              <w:br/>
              <w:t>2007/05/15</w:t>
            </w:r>
          </w:p>
        </w:tc>
        <w:tc>
          <w:tcPr>
            <w:tcW w:w="1837" w:type="dxa"/>
            <w:tcBorders>
              <w:top w:val="single" w:sz="12" w:space="0" w:color="auto"/>
              <w:left w:val="nil"/>
              <w:bottom w:val="single" w:sz="8" w:space="0" w:color="auto"/>
              <w:right w:val="nil"/>
            </w:tcBorders>
            <w:shd w:val="clear" w:color="auto" w:fill="auto"/>
            <w:noWrap/>
            <w:vAlign w:val="center"/>
          </w:tcPr>
          <w:p w14:paraId="3B2D656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2007/05/16-</w:t>
            </w:r>
            <w:r>
              <w:rPr>
                <w:rFonts w:ascii="Times New Roman" w:eastAsia="SimSun" w:hAnsi="Times New Roman" w:cs="Times New Roman"/>
                <w:color w:val="000000"/>
                <w:kern w:val="0"/>
                <w:szCs w:val="21"/>
                <w:lang w:bidi="ar"/>
              </w:rPr>
              <w:br/>
              <w:t>2010/07/29</w:t>
            </w:r>
          </w:p>
        </w:tc>
        <w:tc>
          <w:tcPr>
            <w:tcW w:w="1837" w:type="dxa"/>
            <w:tcBorders>
              <w:top w:val="single" w:sz="12" w:space="0" w:color="auto"/>
              <w:left w:val="nil"/>
              <w:bottom w:val="single" w:sz="8" w:space="0" w:color="auto"/>
              <w:right w:val="nil"/>
            </w:tcBorders>
            <w:shd w:val="clear" w:color="auto" w:fill="auto"/>
            <w:noWrap/>
            <w:vAlign w:val="center"/>
          </w:tcPr>
          <w:p w14:paraId="5796FCD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2010/07/30-</w:t>
            </w:r>
            <w:r>
              <w:rPr>
                <w:rFonts w:ascii="Times New Roman" w:eastAsia="SimSun" w:hAnsi="Times New Roman" w:cs="Times New Roman"/>
                <w:color w:val="000000"/>
                <w:kern w:val="0"/>
                <w:szCs w:val="21"/>
                <w:lang w:bidi="ar"/>
              </w:rPr>
              <w:br/>
              <w:t>2020/12/31</w:t>
            </w:r>
          </w:p>
        </w:tc>
      </w:tr>
      <w:tr w:rsidR="0074478A" w14:paraId="199456C5"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7AEDDA78"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110" w:type="pct"/>
            <w:tcBorders>
              <w:top w:val="single" w:sz="8" w:space="0" w:color="auto"/>
              <w:left w:val="nil"/>
              <w:bottom w:val="nil"/>
              <w:right w:val="nil"/>
            </w:tcBorders>
            <w:shd w:val="clear" w:color="auto" w:fill="auto"/>
            <w:noWrap/>
            <w:vAlign w:val="center"/>
          </w:tcPr>
          <w:p w14:paraId="11E32123"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836" w:type="dxa"/>
            <w:tcBorders>
              <w:top w:val="single" w:sz="8" w:space="0" w:color="auto"/>
              <w:left w:val="nil"/>
              <w:bottom w:val="nil"/>
              <w:right w:val="nil"/>
            </w:tcBorders>
            <w:shd w:val="clear" w:color="auto" w:fill="auto"/>
            <w:vAlign w:val="bottom"/>
          </w:tcPr>
          <w:p w14:paraId="517AF2C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94.95%</w:t>
            </w:r>
          </w:p>
        </w:tc>
        <w:tc>
          <w:tcPr>
            <w:tcW w:w="1837" w:type="dxa"/>
            <w:tcBorders>
              <w:top w:val="single" w:sz="8" w:space="0" w:color="auto"/>
              <w:left w:val="nil"/>
              <w:bottom w:val="nil"/>
              <w:right w:val="nil"/>
            </w:tcBorders>
            <w:shd w:val="clear" w:color="auto" w:fill="auto"/>
            <w:noWrap/>
            <w:vAlign w:val="bottom"/>
          </w:tcPr>
          <w:p w14:paraId="74C0F64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94.95%</w:t>
            </w:r>
          </w:p>
        </w:tc>
        <w:tc>
          <w:tcPr>
            <w:tcW w:w="1837" w:type="dxa"/>
            <w:tcBorders>
              <w:top w:val="single" w:sz="8" w:space="0" w:color="auto"/>
              <w:left w:val="nil"/>
              <w:bottom w:val="nil"/>
              <w:right w:val="nil"/>
            </w:tcBorders>
            <w:shd w:val="clear" w:color="auto" w:fill="auto"/>
            <w:noWrap/>
            <w:vAlign w:val="bottom"/>
          </w:tcPr>
          <w:p w14:paraId="29B4621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90.54%</w:t>
            </w:r>
          </w:p>
        </w:tc>
        <w:tc>
          <w:tcPr>
            <w:tcW w:w="1837" w:type="dxa"/>
            <w:tcBorders>
              <w:top w:val="single" w:sz="8" w:space="0" w:color="auto"/>
              <w:left w:val="nil"/>
              <w:bottom w:val="nil"/>
              <w:right w:val="nil"/>
            </w:tcBorders>
            <w:shd w:val="clear" w:color="auto" w:fill="auto"/>
            <w:noWrap/>
            <w:vAlign w:val="bottom"/>
          </w:tcPr>
          <w:p w14:paraId="0824395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90.54%</w:t>
            </w:r>
          </w:p>
        </w:tc>
        <w:tc>
          <w:tcPr>
            <w:tcW w:w="1837" w:type="dxa"/>
            <w:tcBorders>
              <w:top w:val="single" w:sz="8" w:space="0" w:color="auto"/>
              <w:left w:val="nil"/>
              <w:bottom w:val="nil"/>
              <w:right w:val="nil"/>
            </w:tcBorders>
            <w:shd w:val="clear" w:color="auto" w:fill="auto"/>
            <w:noWrap/>
            <w:vAlign w:val="bottom"/>
          </w:tcPr>
          <w:p w14:paraId="70B98E4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77.39%</w:t>
            </w:r>
          </w:p>
        </w:tc>
      </w:tr>
      <w:tr w:rsidR="0074478A" w14:paraId="070E4AE7" w14:textId="77777777">
        <w:trPr>
          <w:trHeight w:val="278"/>
        </w:trPr>
        <w:tc>
          <w:tcPr>
            <w:tcW w:w="648" w:type="pct"/>
            <w:vMerge/>
            <w:tcBorders>
              <w:top w:val="nil"/>
              <w:left w:val="nil"/>
              <w:bottom w:val="nil"/>
              <w:right w:val="nil"/>
            </w:tcBorders>
            <w:shd w:val="clear" w:color="auto" w:fill="auto"/>
            <w:noWrap/>
            <w:vAlign w:val="center"/>
          </w:tcPr>
          <w:p w14:paraId="6AD18BB8" w14:textId="77777777" w:rsidR="0074478A" w:rsidRDefault="0074478A">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3EA0EFA"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836" w:type="dxa"/>
            <w:tcBorders>
              <w:top w:val="nil"/>
              <w:left w:val="nil"/>
              <w:bottom w:val="nil"/>
              <w:right w:val="nil"/>
            </w:tcBorders>
            <w:shd w:val="clear" w:color="auto" w:fill="auto"/>
            <w:noWrap/>
            <w:vAlign w:val="bottom"/>
          </w:tcPr>
          <w:p w14:paraId="454D4D7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2.78%</w:t>
            </w:r>
          </w:p>
        </w:tc>
        <w:tc>
          <w:tcPr>
            <w:tcW w:w="1837" w:type="dxa"/>
            <w:tcBorders>
              <w:top w:val="nil"/>
              <w:left w:val="nil"/>
              <w:bottom w:val="nil"/>
              <w:right w:val="nil"/>
            </w:tcBorders>
            <w:shd w:val="clear" w:color="auto" w:fill="auto"/>
            <w:noWrap/>
            <w:vAlign w:val="bottom"/>
          </w:tcPr>
          <w:p w14:paraId="41A25E8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2.78%</w:t>
            </w:r>
          </w:p>
        </w:tc>
        <w:tc>
          <w:tcPr>
            <w:tcW w:w="1837" w:type="dxa"/>
            <w:tcBorders>
              <w:top w:val="nil"/>
              <w:left w:val="nil"/>
              <w:bottom w:val="nil"/>
              <w:right w:val="nil"/>
            </w:tcBorders>
            <w:shd w:val="clear" w:color="auto" w:fill="auto"/>
            <w:noWrap/>
            <w:vAlign w:val="bottom"/>
          </w:tcPr>
          <w:p w14:paraId="0D10F14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15.22%</w:t>
            </w:r>
          </w:p>
        </w:tc>
        <w:tc>
          <w:tcPr>
            <w:tcW w:w="1837" w:type="dxa"/>
            <w:tcBorders>
              <w:top w:val="nil"/>
              <w:left w:val="nil"/>
              <w:bottom w:val="nil"/>
              <w:right w:val="nil"/>
            </w:tcBorders>
            <w:shd w:val="clear" w:color="auto" w:fill="auto"/>
            <w:noWrap/>
            <w:vAlign w:val="bottom"/>
          </w:tcPr>
          <w:p w14:paraId="5E0600C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15.22%</w:t>
            </w:r>
          </w:p>
        </w:tc>
        <w:tc>
          <w:tcPr>
            <w:tcW w:w="1837" w:type="dxa"/>
            <w:tcBorders>
              <w:top w:val="nil"/>
              <w:left w:val="nil"/>
              <w:bottom w:val="nil"/>
              <w:right w:val="nil"/>
            </w:tcBorders>
            <w:shd w:val="clear" w:color="auto" w:fill="auto"/>
            <w:noWrap/>
            <w:vAlign w:val="bottom"/>
          </w:tcPr>
          <w:p w14:paraId="275871B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12.30%</w:t>
            </w:r>
          </w:p>
        </w:tc>
      </w:tr>
      <w:tr w:rsidR="0074478A" w14:paraId="7CF7635A" w14:textId="77777777">
        <w:trPr>
          <w:trHeight w:val="278"/>
        </w:trPr>
        <w:tc>
          <w:tcPr>
            <w:tcW w:w="648" w:type="pct"/>
            <w:vMerge/>
            <w:tcBorders>
              <w:top w:val="nil"/>
              <w:left w:val="nil"/>
              <w:bottom w:val="nil"/>
              <w:right w:val="nil"/>
            </w:tcBorders>
            <w:shd w:val="clear" w:color="auto" w:fill="auto"/>
            <w:noWrap/>
            <w:vAlign w:val="center"/>
          </w:tcPr>
          <w:p w14:paraId="4A5C2ADA" w14:textId="77777777" w:rsidR="0074478A" w:rsidRDefault="0074478A">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4CE4CA1B"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836" w:type="dxa"/>
            <w:tcBorders>
              <w:top w:val="nil"/>
              <w:left w:val="nil"/>
              <w:bottom w:val="nil"/>
              <w:right w:val="nil"/>
            </w:tcBorders>
            <w:shd w:val="clear" w:color="auto" w:fill="auto"/>
            <w:noWrap/>
            <w:vAlign w:val="bottom"/>
          </w:tcPr>
          <w:p w14:paraId="002A50A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10.06%</w:t>
            </w:r>
          </w:p>
        </w:tc>
        <w:tc>
          <w:tcPr>
            <w:tcW w:w="1837" w:type="dxa"/>
            <w:tcBorders>
              <w:top w:val="nil"/>
              <w:left w:val="nil"/>
              <w:bottom w:val="nil"/>
              <w:right w:val="nil"/>
            </w:tcBorders>
            <w:shd w:val="clear" w:color="auto" w:fill="auto"/>
            <w:noWrap/>
            <w:vAlign w:val="bottom"/>
          </w:tcPr>
          <w:p w14:paraId="72646D7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10.06%</w:t>
            </w:r>
          </w:p>
        </w:tc>
        <w:tc>
          <w:tcPr>
            <w:tcW w:w="1837" w:type="dxa"/>
            <w:tcBorders>
              <w:top w:val="nil"/>
              <w:left w:val="nil"/>
              <w:bottom w:val="nil"/>
              <w:right w:val="nil"/>
            </w:tcBorders>
            <w:shd w:val="clear" w:color="auto" w:fill="auto"/>
            <w:noWrap/>
            <w:vAlign w:val="bottom"/>
          </w:tcPr>
          <w:p w14:paraId="11C7FF1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-10.02%</w:t>
            </w:r>
          </w:p>
        </w:tc>
        <w:tc>
          <w:tcPr>
            <w:tcW w:w="1837" w:type="dxa"/>
            <w:tcBorders>
              <w:top w:val="nil"/>
              <w:left w:val="nil"/>
              <w:bottom w:val="nil"/>
              <w:right w:val="nil"/>
            </w:tcBorders>
            <w:shd w:val="clear" w:color="auto" w:fill="auto"/>
            <w:noWrap/>
            <w:vAlign w:val="bottom"/>
          </w:tcPr>
          <w:p w14:paraId="4091F8A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-10.02%</w:t>
            </w:r>
          </w:p>
        </w:tc>
        <w:tc>
          <w:tcPr>
            <w:tcW w:w="1837" w:type="dxa"/>
            <w:tcBorders>
              <w:top w:val="nil"/>
              <w:left w:val="nil"/>
              <w:bottom w:val="nil"/>
              <w:right w:val="nil"/>
            </w:tcBorders>
            <w:shd w:val="clear" w:color="auto" w:fill="auto"/>
            <w:noWrap/>
            <w:vAlign w:val="bottom"/>
          </w:tcPr>
          <w:p w14:paraId="3AFC528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-0.27%</w:t>
            </w:r>
          </w:p>
        </w:tc>
      </w:tr>
      <w:tr w:rsidR="0074478A" w14:paraId="5C461A86" w14:textId="77777777">
        <w:trPr>
          <w:trHeight w:val="278"/>
        </w:trPr>
        <w:tc>
          <w:tcPr>
            <w:tcW w:w="648" w:type="pct"/>
            <w:vMerge/>
            <w:tcBorders>
              <w:top w:val="nil"/>
              <w:left w:val="nil"/>
              <w:bottom w:val="nil"/>
              <w:right w:val="nil"/>
            </w:tcBorders>
            <w:shd w:val="clear" w:color="auto" w:fill="auto"/>
            <w:noWrap/>
            <w:vAlign w:val="center"/>
          </w:tcPr>
          <w:p w14:paraId="39AB7120" w14:textId="77777777" w:rsidR="0074478A" w:rsidRDefault="0074478A">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11FB52A"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836" w:type="dxa"/>
            <w:tcBorders>
              <w:top w:val="nil"/>
              <w:left w:val="nil"/>
              <w:bottom w:val="nil"/>
              <w:right w:val="nil"/>
            </w:tcBorders>
            <w:shd w:val="clear" w:color="auto" w:fill="auto"/>
            <w:vAlign w:val="center"/>
          </w:tcPr>
          <w:p w14:paraId="3875CC3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-7.79%</w:t>
            </w:r>
          </w:p>
        </w:tc>
        <w:tc>
          <w:tcPr>
            <w:tcW w:w="1837" w:type="dxa"/>
            <w:tcBorders>
              <w:top w:val="nil"/>
              <w:left w:val="nil"/>
              <w:bottom w:val="nil"/>
              <w:right w:val="nil"/>
            </w:tcBorders>
            <w:shd w:val="clear" w:color="auto" w:fill="auto"/>
            <w:noWrap/>
            <w:vAlign w:val="center"/>
          </w:tcPr>
          <w:p w14:paraId="1A296B6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-7.79%</w:t>
            </w:r>
          </w:p>
        </w:tc>
        <w:tc>
          <w:tcPr>
            <w:tcW w:w="1837" w:type="dxa"/>
            <w:tcBorders>
              <w:top w:val="nil"/>
              <w:left w:val="nil"/>
              <w:bottom w:val="nil"/>
              <w:right w:val="nil"/>
            </w:tcBorders>
            <w:shd w:val="clear" w:color="auto" w:fill="auto"/>
            <w:noWrap/>
            <w:vAlign w:val="center"/>
          </w:tcPr>
          <w:p w14:paraId="420902B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4.26%</w:t>
            </w:r>
          </w:p>
        </w:tc>
        <w:tc>
          <w:tcPr>
            <w:tcW w:w="1837" w:type="dxa"/>
            <w:tcBorders>
              <w:top w:val="nil"/>
              <w:left w:val="nil"/>
              <w:bottom w:val="nil"/>
              <w:right w:val="nil"/>
            </w:tcBorders>
            <w:shd w:val="clear" w:color="auto" w:fill="auto"/>
            <w:noWrap/>
            <w:vAlign w:val="center"/>
          </w:tcPr>
          <w:p w14:paraId="6EB8F8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4.26%</w:t>
            </w:r>
          </w:p>
        </w:tc>
        <w:tc>
          <w:tcPr>
            <w:tcW w:w="1837" w:type="dxa"/>
            <w:tcBorders>
              <w:top w:val="nil"/>
              <w:left w:val="nil"/>
              <w:bottom w:val="nil"/>
              <w:right w:val="nil"/>
            </w:tcBorders>
            <w:shd w:val="clear" w:color="auto" w:fill="auto"/>
            <w:noWrap/>
            <w:vAlign w:val="center"/>
          </w:tcPr>
          <w:p w14:paraId="491C431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10.59%</w:t>
            </w:r>
          </w:p>
        </w:tc>
      </w:tr>
      <w:tr w:rsidR="0074478A" w14:paraId="0367EAD9" w14:textId="77777777">
        <w:trPr>
          <w:trHeight w:val="278"/>
        </w:trPr>
        <w:tc>
          <w:tcPr>
            <w:tcW w:w="1758" w:type="pct"/>
            <w:gridSpan w:val="2"/>
            <w:tcBorders>
              <w:top w:val="nil"/>
              <w:left w:val="nil"/>
              <w:bottom w:val="nil"/>
              <w:right w:val="nil"/>
            </w:tcBorders>
            <w:shd w:val="clear" w:color="auto" w:fill="auto"/>
            <w:noWrap/>
            <w:vAlign w:val="center"/>
          </w:tcPr>
          <w:p w14:paraId="087472B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7662208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837" w:type="dxa"/>
            <w:tcBorders>
              <w:top w:val="nil"/>
              <w:left w:val="nil"/>
              <w:bottom w:val="nil"/>
              <w:right w:val="nil"/>
            </w:tcBorders>
            <w:shd w:val="clear" w:color="auto" w:fill="auto"/>
            <w:noWrap/>
            <w:vAlign w:val="center"/>
          </w:tcPr>
          <w:p w14:paraId="2D8809B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56EA277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648" w:type="pct"/>
            <w:tcBorders>
              <w:top w:val="nil"/>
              <w:left w:val="nil"/>
              <w:bottom w:val="nil"/>
              <w:right w:val="nil"/>
            </w:tcBorders>
            <w:shd w:val="clear" w:color="auto" w:fill="auto"/>
            <w:noWrap/>
            <w:vAlign w:val="center"/>
          </w:tcPr>
          <w:p w14:paraId="6FF90CF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837" w:type="dxa"/>
            <w:tcBorders>
              <w:top w:val="nil"/>
              <w:left w:val="nil"/>
              <w:bottom w:val="nil"/>
              <w:right w:val="nil"/>
            </w:tcBorders>
            <w:shd w:val="clear" w:color="auto" w:fill="auto"/>
            <w:noWrap/>
            <w:vAlign w:val="center"/>
          </w:tcPr>
          <w:p w14:paraId="40727E6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716C8330" w14:textId="77777777">
        <w:trPr>
          <w:trHeight w:val="278"/>
        </w:trPr>
        <w:tc>
          <w:tcPr>
            <w:tcW w:w="1758" w:type="pct"/>
            <w:gridSpan w:val="2"/>
            <w:tcBorders>
              <w:top w:val="nil"/>
              <w:left w:val="nil"/>
              <w:bottom w:val="nil"/>
              <w:right w:val="nil"/>
            </w:tcBorders>
            <w:shd w:val="clear" w:color="auto" w:fill="auto"/>
            <w:noWrap/>
            <w:vAlign w:val="center"/>
          </w:tcPr>
          <w:p w14:paraId="44A9278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285D3AD5" w14:textId="77777777" w:rsidR="0074478A" w:rsidRDefault="00690393">
            <w:pPr>
              <w:widowControl/>
              <w:jc w:val="center"/>
              <w:textAlignment w:val="center"/>
              <w:rPr>
                <w:rFonts w:ascii="Times New Roman" w:eastAsia="SimSun" w:hAnsi="Times New Roman" w:cs="Times New Roman"/>
                <w:color w:val="000000"/>
                <w:szCs w:val="21"/>
              </w:rPr>
            </w:pPr>
            <w:bookmarkStart w:id="110" w:name="OLE_LINK47"/>
            <w:r>
              <w:rPr>
                <w:rFonts w:ascii="Times New Roman" w:eastAsia="SimSun" w:hAnsi="Times New Roman" w:cs="Times New Roman"/>
                <w:color w:val="000000"/>
                <w:kern w:val="0"/>
                <w:szCs w:val="21"/>
                <w:lang w:bidi="ar"/>
              </w:rPr>
              <w:t>±</w:t>
            </w:r>
            <w:bookmarkEnd w:id="110"/>
            <w:r>
              <w:rPr>
                <w:rFonts w:ascii="Times New Roman" w:eastAsia="SimSun" w:hAnsi="Times New Roman" w:cs="Times New Roman"/>
                <w:color w:val="000000"/>
                <w:kern w:val="0"/>
                <w:szCs w:val="21"/>
                <w:lang w:bidi="ar"/>
              </w:rPr>
              <w:t>17.74%</w:t>
            </w:r>
          </w:p>
        </w:tc>
        <w:tc>
          <w:tcPr>
            <w:tcW w:w="1837" w:type="dxa"/>
            <w:tcBorders>
              <w:top w:val="nil"/>
              <w:left w:val="nil"/>
              <w:bottom w:val="nil"/>
              <w:right w:val="nil"/>
            </w:tcBorders>
            <w:shd w:val="clear" w:color="auto" w:fill="auto"/>
            <w:noWrap/>
            <w:vAlign w:val="center"/>
          </w:tcPr>
          <w:p w14:paraId="1BA6D55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6A53743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±6.81%</w:t>
            </w:r>
          </w:p>
        </w:tc>
        <w:tc>
          <w:tcPr>
            <w:tcW w:w="1837" w:type="dxa"/>
            <w:tcBorders>
              <w:top w:val="nil"/>
              <w:left w:val="nil"/>
              <w:bottom w:val="nil"/>
              <w:right w:val="nil"/>
            </w:tcBorders>
            <w:shd w:val="clear" w:color="auto" w:fill="auto"/>
            <w:noWrap/>
            <w:vAlign w:val="center"/>
          </w:tcPr>
          <w:p w14:paraId="1E9F889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±11.71%</w:t>
            </w:r>
          </w:p>
        </w:tc>
        <w:tc>
          <w:tcPr>
            <w:tcW w:w="1837" w:type="dxa"/>
            <w:tcBorders>
              <w:top w:val="nil"/>
              <w:left w:val="nil"/>
              <w:bottom w:val="nil"/>
              <w:right w:val="nil"/>
            </w:tcBorders>
            <w:shd w:val="clear" w:color="auto" w:fill="auto"/>
            <w:noWrap/>
            <w:vAlign w:val="center"/>
          </w:tcPr>
          <w:p w14:paraId="69475A9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0E40394F" w14:textId="77777777">
        <w:trPr>
          <w:trHeight w:val="278"/>
        </w:trPr>
        <w:tc>
          <w:tcPr>
            <w:tcW w:w="648" w:type="pct"/>
            <w:vMerge w:val="restart"/>
            <w:tcBorders>
              <w:top w:val="nil"/>
              <w:left w:val="nil"/>
              <w:bottom w:val="nil"/>
              <w:right w:val="nil"/>
            </w:tcBorders>
            <w:shd w:val="clear" w:color="auto" w:fill="auto"/>
            <w:noWrap/>
            <w:vAlign w:val="center"/>
          </w:tcPr>
          <w:p w14:paraId="6AF1CB2F"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10" w:type="pct"/>
            <w:tcBorders>
              <w:top w:val="nil"/>
              <w:left w:val="nil"/>
              <w:bottom w:val="nil"/>
              <w:right w:val="nil"/>
            </w:tcBorders>
            <w:shd w:val="clear" w:color="auto" w:fill="auto"/>
            <w:noWrap/>
            <w:vAlign w:val="center"/>
          </w:tcPr>
          <w:p w14:paraId="590CC8E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5A8519D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3F3E377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50E26D3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-0.017/1.204</w:t>
            </w:r>
          </w:p>
        </w:tc>
        <w:tc>
          <w:tcPr>
            <w:tcW w:w="1837" w:type="dxa"/>
            <w:tcBorders>
              <w:top w:val="nil"/>
              <w:left w:val="nil"/>
              <w:bottom w:val="nil"/>
              <w:right w:val="nil"/>
            </w:tcBorders>
            <w:shd w:val="clear" w:color="auto" w:fill="auto"/>
            <w:noWrap/>
            <w:vAlign w:val="center"/>
          </w:tcPr>
          <w:p w14:paraId="19852F3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0.018/0.837</w:t>
            </w:r>
          </w:p>
        </w:tc>
        <w:tc>
          <w:tcPr>
            <w:tcW w:w="1837" w:type="dxa"/>
            <w:tcBorders>
              <w:top w:val="nil"/>
              <w:left w:val="nil"/>
              <w:bottom w:val="nil"/>
              <w:right w:val="nil"/>
            </w:tcBorders>
            <w:shd w:val="clear" w:color="auto" w:fill="auto"/>
            <w:noWrap/>
            <w:vAlign w:val="center"/>
          </w:tcPr>
          <w:p w14:paraId="25717FC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35F6B055" w14:textId="77777777">
        <w:trPr>
          <w:trHeight w:val="278"/>
        </w:trPr>
        <w:tc>
          <w:tcPr>
            <w:tcW w:w="648" w:type="pct"/>
            <w:vMerge/>
            <w:tcBorders>
              <w:top w:val="nil"/>
              <w:left w:val="nil"/>
              <w:bottom w:val="nil"/>
              <w:right w:val="nil"/>
            </w:tcBorders>
            <w:shd w:val="clear" w:color="auto" w:fill="auto"/>
            <w:noWrap/>
            <w:vAlign w:val="center"/>
          </w:tcPr>
          <w:p w14:paraId="50E345C5" w14:textId="77777777" w:rsidR="0074478A" w:rsidRDefault="0074478A">
            <w:pPr>
              <w:spacing w:line="240" w:lineRule="atLeast"/>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39F867A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09ACC69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c>
          <w:tcPr>
            <w:tcW w:w="1837" w:type="dxa"/>
            <w:tcBorders>
              <w:top w:val="nil"/>
              <w:left w:val="nil"/>
              <w:bottom w:val="nil"/>
              <w:right w:val="nil"/>
            </w:tcBorders>
            <w:shd w:val="clear" w:color="auto" w:fill="auto"/>
            <w:noWrap/>
            <w:vAlign w:val="center"/>
          </w:tcPr>
          <w:p w14:paraId="444B315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13B005E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0.001/0.987</w:t>
            </w:r>
          </w:p>
        </w:tc>
        <w:tc>
          <w:tcPr>
            <w:tcW w:w="1837" w:type="dxa"/>
            <w:tcBorders>
              <w:top w:val="nil"/>
              <w:left w:val="nil"/>
              <w:bottom w:val="nil"/>
              <w:right w:val="nil"/>
            </w:tcBorders>
            <w:shd w:val="clear" w:color="auto" w:fill="auto"/>
            <w:noWrap/>
            <w:vAlign w:val="center"/>
          </w:tcPr>
          <w:p w14:paraId="62DF7D6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1837" w:type="dxa"/>
            <w:tcBorders>
              <w:top w:val="nil"/>
              <w:left w:val="nil"/>
              <w:bottom w:val="nil"/>
              <w:right w:val="nil"/>
            </w:tcBorders>
            <w:shd w:val="clear" w:color="auto" w:fill="auto"/>
            <w:noWrap/>
            <w:vAlign w:val="center"/>
          </w:tcPr>
          <w:p w14:paraId="32DBD1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637F7377" w14:textId="77777777">
        <w:trPr>
          <w:trHeight w:val="278"/>
        </w:trPr>
        <w:tc>
          <w:tcPr>
            <w:tcW w:w="648" w:type="pct"/>
            <w:vMerge/>
            <w:tcBorders>
              <w:top w:val="nil"/>
              <w:left w:val="nil"/>
              <w:bottom w:val="nil"/>
              <w:right w:val="nil"/>
            </w:tcBorders>
            <w:shd w:val="clear" w:color="auto" w:fill="auto"/>
            <w:noWrap/>
            <w:vAlign w:val="center"/>
          </w:tcPr>
          <w:p w14:paraId="53D775EF" w14:textId="77777777" w:rsidR="0074478A" w:rsidRDefault="0074478A">
            <w:pPr>
              <w:spacing w:line="240" w:lineRule="atLeast"/>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BD42F7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662E83D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-0.087/0.497</w:t>
            </w:r>
          </w:p>
        </w:tc>
        <w:tc>
          <w:tcPr>
            <w:tcW w:w="1837" w:type="dxa"/>
            <w:tcBorders>
              <w:top w:val="nil"/>
              <w:left w:val="nil"/>
              <w:bottom w:val="nil"/>
              <w:right w:val="nil"/>
            </w:tcBorders>
            <w:shd w:val="clear" w:color="auto" w:fill="auto"/>
            <w:noWrap/>
            <w:vAlign w:val="center"/>
          </w:tcPr>
          <w:p w14:paraId="21846FC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70C0E04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837" w:type="dxa"/>
            <w:tcBorders>
              <w:top w:val="nil"/>
              <w:left w:val="nil"/>
              <w:bottom w:val="nil"/>
              <w:right w:val="nil"/>
            </w:tcBorders>
            <w:shd w:val="clear" w:color="auto" w:fill="auto"/>
            <w:noWrap/>
            <w:vAlign w:val="center"/>
          </w:tcPr>
          <w:p w14:paraId="3268424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837" w:type="dxa"/>
            <w:tcBorders>
              <w:top w:val="nil"/>
              <w:left w:val="nil"/>
              <w:bottom w:val="nil"/>
              <w:right w:val="nil"/>
            </w:tcBorders>
            <w:shd w:val="clear" w:color="auto" w:fill="auto"/>
            <w:noWrap/>
            <w:vAlign w:val="center"/>
          </w:tcPr>
          <w:p w14:paraId="64C48DC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3242A2B8"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2B7D7F3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836" w:type="dxa"/>
            <w:tcBorders>
              <w:top w:val="nil"/>
              <w:left w:val="nil"/>
              <w:bottom w:val="single" w:sz="12" w:space="0" w:color="auto"/>
              <w:right w:val="nil"/>
            </w:tcBorders>
            <w:shd w:val="clear" w:color="auto" w:fill="auto"/>
            <w:noWrap/>
            <w:vAlign w:val="center"/>
          </w:tcPr>
          <w:p w14:paraId="088612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72.52%</w:t>
            </w:r>
          </w:p>
        </w:tc>
        <w:tc>
          <w:tcPr>
            <w:tcW w:w="1837" w:type="dxa"/>
            <w:tcBorders>
              <w:top w:val="nil"/>
              <w:left w:val="nil"/>
              <w:bottom w:val="single" w:sz="12" w:space="0" w:color="auto"/>
              <w:right w:val="nil"/>
            </w:tcBorders>
            <w:shd w:val="clear" w:color="auto" w:fill="auto"/>
            <w:noWrap/>
            <w:vAlign w:val="center"/>
          </w:tcPr>
          <w:p w14:paraId="1A7E01A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837" w:type="dxa"/>
            <w:tcBorders>
              <w:top w:val="nil"/>
              <w:left w:val="nil"/>
              <w:bottom w:val="single" w:sz="12" w:space="0" w:color="auto"/>
              <w:right w:val="nil"/>
            </w:tcBorders>
            <w:shd w:val="clear" w:color="auto" w:fill="auto"/>
            <w:noWrap/>
            <w:vAlign w:val="center"/>
          </w:tcPr>
          <w:p w14:paraId="6F12D2B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88.52%</w:t>
            </w:r>
          </w:p>
        </w:tc>
        <w:tc>
          <w:tcPr>
            <w:tcW w:w="1837" w:type="dxa"/>
            <w:tcBorders>
              <w:top w:val="nil"/>
              <w:left w:val="nil"/>
              <w:bottom w:val="single" w:sz="12" w:space="0" w:color="auto"/>
              <w:right w:val="nil"/>
            </w:tcBorders>
            <w:shd w:val="clear" w:color="auto" w:fill="auto"/>
            <w:noWrap/>
            <w:vAlign w:val="center"/>
          </w:tcPr>
          <w:p w14:paraId="4029946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95.71%</w:t>
            </w:r>
          </w:p>
        </w:tc>
        <w:tc>
          <w:tcPr>
            <w:tcW w:w="1837" w:type="dxa"/>
            <w:tcBorders>
              <w:top w:val="nil"/>
              <w:left w:val="nil"/>
              <w:bottom w:val="single" w:sz="12" w:space="0" w:color="auto"/>
              <w:right w:val="nil"/>
            </w:tcBorders>
            <w:shd w:val="clear" w:color="auto" w:fill="auto"/>
            <w:noWrap/>
            <w:vAlign w:val="center"/>
          </w:tcPr>
          <w:p w14:paraId="162F5E5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41693D64" w14:textId="77777777" w:rsidR="0074478A" w:rsidRDefault="0074478A">
      <w:pPr>
        <w:rPr>
          <w:rFonts w:ascii="Times New Roman" w:hAnsi="Times New Roman" w:cs="Times New Roman"/>
        </w:rPr>
      </w:pPr>
    </w:p>
    <w:p w14:paraId="7D650947" w14:textId="77777777" w:rsidR="0074478A" w:rsidRDefault="0074478A">
      <w:pPr>
        <w:rPr>
          <w:rFonts w:ascii="Times New Roman" w:hAnsi="Times New Roman" w:cs="Times New Roman"/>
        </w:rPr>
      </w:pPr>
    </w:p>
    <w:p w14:paraId="2821F4D6" w14:textId="77777777" w:rsidR="0074478A" w:rsidRDefault="0074478A">
      <w:pPr>
        <w:rPr>
          <w:rFonts w:ascii="Times New Roman" w:hAnsi="Times New Roman" w:cs="Times New Roman"/>
        </w:rPr>
      </w:pPr>
    </w:p>
    <w:p w14:paraId="39BA7BF3" w14:textId="77777777" w:rsidR="0074478A" w:rsidRDefault="0074478A">
      <w:pPr>
        <w:rPr>
          <w:rFonts w:ascii="Times New Roman" w:hAnsi="Times New Roman" w:cs="Times New Roman"/>
        </w:rPr>
      </w:pPr>
    </w:p>
    <w:p w14:paraId="4231FAAF" w14:textId="77777777" w:rsidR="0074478A" w:rsidRDefault="0074478A">
      <w:pPr>
        <w:rPr>
          <w:rFonts w:ascii="Times New Roman" w:hAnsi="Times New Roman" w:cs="Times New Roman"/>
        </w:rPr>
      </w:pPr>
    </w:p>
    <w:p w14:paraId="126AEA83" w14:textId="77777777" w:rsidR="0074478A" w:rsidRDefault="0074478A">
      <w:pPr>
        <w:rPr>
          <w:rFonts w:ascii="Times New Roman" w:hAnsi="Times New Roman" w:cs="Times New Roman"/>
        </w:rPr>
      </w:pPr>
    </w:p>
    <w:p w14:paraId="2AB35C63" w14:textId="77777777" w:rsidR="0074478A" w:rsidRDefault="0074478A">
      <w:pPr>
        <w:rPr>
          <w:rFonts w:ascii="Times New Roman" w:hAnsi="Times New Roman" w:cs="Times New Roman"/>
        </w:rPr>
      </w:pPr>
    </w:p>
    <w:p w14:paraId="3DEC0FAA" w14:textId="77777777" w:rsidR="0074478A" w:rsidRDefault="0074478A">
      <w:pPr>
        <w:rPr>
          <w:rFonts w:ascii="Times New Roman" w:hAnsi="Times New Roman" w:cs="Times New Roman"/>
        </w:rPr>
      </w:pPr>
    </w:p>
    <w:p w14:paraId="2421D476" w14:textId="77777777" w:rsidR="0074478A" w:rsidRDefault="0074478A">
      <w:pPr>
        <w:rPr>
          <w:rFonts w:ascii="Times New Roman" w:hAnsi="Times New Roman" w:cs="Times New Roman"/>
        </w:rPr>
      </w:pPr>
    </w:p>
    <w:p w14:paraId="40E07554" w14:textId="77777777" w:rsidR="0074478A" w:rsidRDefault="0074478A">
      <w:pPr>
        <w:rPr>
          <w:rFonts w:ascii="Times New Roman" w:hAnsi="Times New Roman" w:cs="Times New Roman"/>
        </w:rPr>
      </w:pPr>
    </w:p>
    <w:p w14:paraId="7E01F5C6" w14:textId="77777777" w:rsidR="0074478A" w:rsidRDefault="0074478A">
      <w:pPr>
        <w:rPr>
          <w:rFonts w:ascii="Times New Roman" w:hAnsi="Times New Roman" w:cs="Times New Roman"/>
        </w:rPr>
      </w:pPr>
    </w:p>
    <w:p w14:paraId="2C3E9A1A" w14:textId="77777777" w:rsidR="0074478A" w:rsidRDefault="0074478A">
      <w:pPr>
        <w:rPr>
          <w:rFonts w:ascii="Times New Roman" w:hAnsi="Times New Roman" w:cs="Times New Roman"/>
        </w:rPr>
      </w:pPr>
    </w:p>
    <w:p w14:paraId="78AAA3F2" w14:textId="77777777" w:rsidR="0074478A" w:rsidRDefault="0074478A">
      <w:pPr>
        <w:rPr>
          <w:rFonts w:ascii="Times New Roman" w:hAnsi="Times New Roman" w:cs="Times New Roman"/>
        </w:rPr>
      </w:pPr>
    </w:p>
    <w:p w14:paraId="45606636" w14:textId="77777777" w:rsidR="0074478A" w:rsidRDefault="00690393">
      <w:pPr>
        <w:rPr>
          <w:rFonts w:ascii="Times New Roman" w:hAnsi="Times New Roman" w:cs="Times New Roman"/>
        </w:rPr>
      </w:pPr>
      <w:r>
        <w:rPr>
          <w:rFonts w:ascii="Times New Roman" w:hAnsi="Times New Roman" w:cs="Times New Roman" w:hint="eastAsia"/>
        </w:rPr>
        <w:t>Panel Q: Poland</w:t>
      </w:r>
    </w:p>
    <w:tbl>
      <w:tblPr>
        <w:tblW w:w="5000" w:type="pct"/>
        <w:tblLayout w:type="fixed"/>
        <w:tblLook w:val="04A0" w:firstRow="1" w:lastRow="0" w:firstColumn="1" w:lastColumn="0" w:noHBand="0" w:noVBand="1"/>
      </w:tblPr>
      <w:tblGrid>
        <w:gridCol w:w="1449"/>
        <w:gridCol w:w="2607"/>
        <w:gridCol w:w="1413"/>
        <w:gridCol w:w="1413"/>
        <w:gridCol w:w="1415"/>
        <w:gridCol w:w="1415"/>
        <w:gridCol w:w="1415"/>
        <w:gridCol w:w="1413"/>
        <w:gridCol w:w="1418"/>
      </w:tblGrid>
      <w:tr w:rsidR="0074478A" w14:paraId="119269B0"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1E3E03A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4C1EF5E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1999/05/13</w:t>
            </w:r>
          </w:p>
        </w:tc>
        <w:tc>
          <w:tcPr>
            <w:tcW w:w="1436" w:type="dxa"/>
            <w:tcBorders>
              <w:top w:val="single" w:sz="12" w:space="0" w:color="auto"/>
              <w:left w:val="nil"/>
              <w:bottom w:val="single" w:sz="8" w:space="0" w:color="auto"/>
              <w:right w:val="nil"/>
            </w:tcBorders>
            <w:shd w:val="clear" w:color="auto" w:fill="auto"/>
            <w:noWrap/>
            <w:vAlign w:val="center"/>
          </w:tcPr>
          <w:p w14:paraId="5ACDAA9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1999/05/14-</w:t>
            </w:r>
            <w:r>
              <w:rPr>
                <w:rFonts w:ascii="Times New Roman" w:eastAsia="SimSun" w:hAnsi="Times New Roman" w:cs="Times New Roman"/>
                <w:color w:val="000000"/>
                <w:kern w:val="0"/>
                <w:szCs w:val="21"/>
                <w:lang w:bidi="ar"/>
              </w:rPr>
              <w:br/>
              <w:t>2003/06/12</w:t>
            </w:r>
          </w:p>
        </w:tc>
        <w:tc>
          <w:tcPr>
            <w:tcW w:w="1436" w:type="dxa"/>
            <w:tcBorders>
              <w:top w:val="single" w:sz="12" w:space="0" w:color="auto"/>
              <w:left w:val="nil"/>
              <w:bottom w:val="single" w:sz="8" w:space="0" w:color="auto"/>
              <w:right w:val="nil"/>
            </w:tcBorders>
            <w:shd w:val="clear" w:color="auto" w:fill="auto"/>
            <w:noWrap/>
            <w:vAlign w:val="center"/>
          </w:tcPr>
          <w:p w14:paraId="1F172C3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2003/06/13-</w:t>
            </w:r>
            <w:r>
              <w:rPr>
                <w:rFonts w:ascii="Times New Roman" w:eastAsia="SimSun" w:hAnsi="Times New Roman" w:cs="Times New Roman"/>
                <w:color w:val="000000"/>
                <w:kern w:val="0"/>
                <w:szCs w:val="21"/>
                <w:lang w:bidi="ar"/>
              </w:rPr>
              <w:br/>
              <w:t>2006/08/24</w:t>
            </w:r>
          </w:p>
        </w:tc>
        <w:tc>
          <w:tcPr>
            <w:tcW w:w="1436" w:type="dxa"/>
            <w:tcBorders>
              <w:top w:val="single" w:sz="12" w:space="0" w:color="auto"/>
              <w:left w:val="nil"/>
              <w:bottom w:val="single" w:sz="8" w:space="0" w:color="auto"/>
              <w:right w:val="nil"/>
            </w:tcBorders>
            <w:shd w:val="clear" w:color="auto" w:fill="auto"/>
            <w:noWrap/>
            <w:vAlign w:val="center"/>
          </w:tcPr>
          <w:p w14:paraId="57090CE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2006/08/25-</w:t>
            </w:r>
            <w:r>
              <w:rPr>
                <w:rFonts w:ascii="Times New Roman" w:eastAsia="SimSun" w:hAnsi="Times New Roman" w:cs="Times New Roman"/>
                <w:color w:val="000000"/>
                <w:kern w:val="0"/>
                <w:szCs w:val="21"/>
                <w:lang w:bidi="ar"/>
              </w:rPr>
              <w:br/>
              <w:t>2008/09/04</w:t>
            </w:r>
          </w:p>
        </w:tc>
        <w:tc>
          <w:tcPr>
            <w:tcW w:w="1436" w:type="dxa"/>
            <w:tcBorders>
              <w:top w:val="single" w:sz="12" w:space="0" w:color="auto"/>
              <w:left w:val="nil"/>
              <w:bottom w:val="single" w:sz="8" w:space="0" w:color="auto"/>
              <w:right w:val="nil"/>
            </w:tcBorders>
            <w:shd w:val="clear" w:color="auto" w:fill="auto"/>
            <w:noWrap/>
            <w:vAlign w:val="center"/>
          </w:tcPr>
          <w:p w14:paraId="1140031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2008/09/05-</w:t>
            </w:r>
            <w:r>
              <w:rPr>
                <w:rFonts w:ascii="Times New Roman" w:eastAsia="SimSun" w:hAnsi="Times New Roman" w:cs="Times New Roman"/>
                <w:color w:val="000000"/>
                <w:kern w:val="0"/>
                <w:szCs w:val="21"/>
                <w:lang w:bidi="ar"/>
              </w:rPr>
              <w:br/>
              <w:t>2009/06/01</w:t>
            </w:r>
          </w:p>
        </w:tc>
        <w:tc>
          <w:tcPr>
            <w:tcW w:w="1436" w:type="dxa"/>
            <w:tcBorders>
              <w:top w:val="single" w:sz="12" w:space="0" w:color="auto"/>
              <w:left w:val="nil"/>
              <w:bottom w:val="single" w:sz="8" w:space="0" w:color="auto"/>
              <w:right w:val="nil"/>
            </w:tcBorders>
            <w:shd w:val="clear" w:color="auto" w:fill="auto"/>
            <w:noWrap/>
            <w:vAlign w:val="center"/>
          </w:tcPr>
          <w:p w14:paraId="5FC3135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2009/06/02-</w:t>
            </w:r>
            <w:r>
              <w:rPr>
                <w:rFonts w:ascii="Times New Roman" w:eastAsia="SimSun" w:hAnsi="Times New Roman" w:cs="Times New Roman"/>
                <w:color w:val="000000"/>
                <w:kern w:val="0"/>
                <w:szCs w:val="21"/>
                <w:lang w:bidi="ar"/>
              </w:rPr>
              <w:br/>
              <w:t>2012/10/01</w:t>
            </w:r>
          </w:p>
        </w:tc>
        <w:tc>
          <w:tcPr>
            <w:tcW w:w="1439" w:type="dxa"/>
            <w:tcBorders>
              <w:top w:val="single" w:sz="12" w:space="0" w:color="auto"/>
              <w:left w:val="nil"/>
              <w:bottom w:val="single" w:sz="8" w:space="0" w:color="auto"/>
              <w:right w:val="nil"/>
            </w:tcBorders>
            <w:shd w:val="clear" w:color="auto" w:fill="auto"/>
            <w:noWrap/>
            <w:vAlign w:val="center"/>
          </w:tcPr>
          <w:p w14:paraId="59C910B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2012/10/02-</w:t>
            </w:r>
            <w:r>
              <w:rPr>
                <w:rFonts w:ascii="Times New Roman" w:eastAsia="SimSun" w:hAnsi="Times New Roman" w:cs="Times New Roman"/>
                <w:color w:val="000000"/>
                <w:kern w:val="0"/>
                <w:szCs w:val="21"/>
                <w:lang w:bidi="ar"/>
              </w:rPr>
              <w:br/>
              <w:t>2020/12/31</w:t>
            </w:r>
          </w:p>
        </w:tc>
      </w:tr>
      <w:tr w:rsidR="0074478A" w14:paraId="2A07586C"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8ED436E"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0140992C"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436" w:type="dxa"/>
            <w:tcBorders>
              <w:top w:val="single" w:sz="8" w:space="0" w:color="auto"/>
              <w:left w:val="nil"/>
              <w:bottom w:val="nil"/>
              <w:right w:val="nil"/>
            </w:tcBorders>
            <w:shd w:val="clear" w:color="auto" w:fill="auto"/>
            <w:vAlign w:val="bottom"/>
          </w:tcPr>
          <w:p w14:paraId="2640E80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66.40%</w:t>
            </w:r>
          </w:p>
        </w:tc>
        <w:tc>
          <w:tcPr>
            <w:tcW w:w="1436" w:type="dxa"/>
            <w:tcBorders>
              <w:top w:val="single" w:sz="8" w:space="0" w:color="auto"/>
              <w:left w:val="nil"/>
              <w:bottom w:val="nil"/>
              <w:right w:val="nil"/>
            </w:tcBorders>
            <w:shd w:val="clear" w:color="auto" w:fill="auto"/>
            <w:noWrap/>
            <w:vAlign w:val="bottom"/>
          </w:tcPr>
          <w:p w14:paraId="2312337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66.40%</w:t>
            </w:r>
          </w:p>
        </w:tc>
        <w:tc>
          <w:tcPr>
            <w:tcW w:w="1436" w:type="dxa"/>
            <w:tcBorders>
              <w:top w:val="single" w:sz="8" w:space="0" w:color="auto"/>
              <w:left w:val="nil"/>
              <w:bottom w:val="nil"/>
              <w:right w:val="nil"/>
            </w:tcBorders>
            <w:shd w:val="clear" w:color="auto" w:fill="auto"/>
            <w:noWrap/>
            <w:vAlign w:val="bottom"/>
          </w:tcPr>
          <w:p w14:paraId="0C4DB9F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1.25%</w:t>
            </w:r>
          </w:p>
        </w:tc>
        <w:tc>
          <w:tcPr>
            <w:tcW w:w="1436" w:type="dxa"/>
            <w:tcBorders>
              <w:top w:val="single" w:sz="8" w:space="0" w:color="auto"/>
              <w:left w:val="nil"/>
              <w:bottom w:val="nil"/>
              <w:right w:val="nil"/>
            </w:tcBorders>
            <w:shd w:val="clear" w:color="auto" w:fill="auto"/>
            <w:noWrap/>
            <w:vAlign w:val="bottom"/>
          </w:tcPr>
          <w:p w14:paraId="1CE4AE8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1.25%</w:t>
            </w:r>
          </w:p>
        </w:tc>
        <w:tc>
          <w:tcPr>
            <w:tcW w:w="1436" w:type="dxa"/>
            <w:tcBorders>
              <w:top w:val="single" w:sz="8" w:space="0" w:color="auto"/>
              <w:left w:val="nil"/>
              <w:bottom w:val="nil"/>
              <w:right w:val="nil"/>
            </w:tcBorders>
            <w:shd w:val="clear" w:color="auto" w:fill="auto"/>
            <w:noWrap/>
            <w:vAlign w:val="bottom"/>
          </w:tcPr>
          <w:p w14:paraId="0C087F8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1.25%</w:t>
            </w:r>
          </w:p>
        </w:tc>
        <w:tc>
          <w:tcPr>
            <w:tcW w:w="1436" w:type="dxa"/>
            <w:tcBorders>
              <w:top w:val="single" w:sz="8" w:space="0" w:color="auto"/>
              <w:left w:val="nil"/>
              <w:bottom w:val="nil"/>
              <w:right w:val="nil"/>
            </w:tcBorders>
            <w:shd w:val="clear" w:color="auto" w:fill="auto"/>
            <w:noWrap/>
            <w:vAlign w:val="bottom"/>
          </w:tcPr>
          <w:p w14:paraId="3D10E6E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1.25%</w:t>
            </w:r>
          </w:p>
        </w:tc>
        <w:tc>
          <w:tcPr>
            <w:tcW w:w="1439" w:type="dxa"/>
            <w:tcBorders>
              <w:top w:val="single" w:sz="8" w:space="0" w:color="auto"/>
              <w:left w:val="nil"/>
              <w:bottom w:val="nil"/>
              <w:right w:val="nil"/>
            </w:tcBorders>
            <w:shd w:val="clear" w:color="auto" w:fill="auto"/>
            <w:noWrap/>
            <w:vAlign w:val="bottom"/>
          </w:tcPr>
          <w:p w14:paraId="4C77C682"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-5.27%</w:t>
            </w:r>
          </w:p>
        </w:tc>
      </w:tr>
      <w:tr w:rsidR="0074478A" w14:paraId="31A86068" w14:textId="77777777">
        <w:trPr>
          <w:trHeight w:val="278"/>
        </w:trPr>
        <w:tc>
          <w:tcPr>
            <w:tcW w:w="519" w:type="pct"/>
            <w:vMerge/>
            <w:tcBorders>
              <w:top w:val="nil"/>
              <w:left w:val="nil"/>
              <w:bottom w:val="nil"/>
              <w:right w:val="nil"/>
            </w:tcBorders>
            <w:shd w:val="clear" w:color="auto" w:fill="auto"/>
            <w:noWrap/>
            <w:vAlign w:val="center"/>
          </w:tcPr>
          <w:p w14:paraId="76D7EFFD"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51EA50F"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436" w:type="dxa"/>
            <w:tcBorders>
              <w:top w:val="nil"/>
              <w:left w:val="nil"/>
              <w:bottom w:val="nil"/>
              <w:right w:val="nil"/>
            </w:tcBorders>
            <w:shd w:val="clear" w:color="auto" w:fill="auto"/>
            <w:noWrap/>
            <w:vAlign w:val="bottom"/>
          </w:tcPr>
          <w:p w14:paraId="13AF1CE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28.75%</w:t>
            </w:r>
          </w:p>
        </w:tc>
        <w:tc>
          <w:tcPr>
            <w:tcW w:w="1436" w:type="dxa"/>
            <w:tcBorders>
              <w:top w:val="nil"/>
              <w:left w:val="nil"/>
              <w:bottom w:val="nil"/>
              <w:right w:val="nil"/>
            </w:tcBorders>
            <w:shd w:val="clear" w:color="auto" w:fill="auto"/>
            <w:noWrap/>
            <w:vAlign w:val="bottom"/>
          </w:tcPr>
          <w:p w14:paraId="3FF36A7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28.75%</w:t>
            </w:r>
          </w:p>
        </w:tc>
        <w:tc>
          <w:tcPr>
            <w:tcW w:w="1436" w:type="dxa"/>
            <w:tcBorders>
              <w:top w:val="nil"/>
              <w:left w:val="nil"/>
              <w:bottom w:val="nil"/>
              <w:right w:val="nil"/>
            </w:tcBorders>
            <w:shd w:val="clear" w:color="auto" w:fill="auto"/>
            <w:noWrap/>
            <w:vAlign w:val="bottom"/>
          </w:tcPr>
          <w:p w14:paraId="7848D7D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84.86%</w:t>
            </w:r>
          </w:p>
        </w:tc>
        <w:tc>
          <w:tcPr>
            <w:tcW w:w="1436" w:type="dxa"/>
            <w:tcBorders>
              <w:top w:val="nil"/>
              <w:left w:val="nil"/>
              <w:bottom w:val="nil"/>
              <w:right w:val="nil"/>
            </w:tcBorders>
            <w:shd w:val="clear" w:color="auto" w:fill="auto"/>
            <w:noWrap/>
            <w:vAlign w:val="bottom"/>
          </w:tcPr>
          <w:p w14:paraId="1D8DF15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84.86%</w:t>
            </w:r>
          </w:p>
        </w:tc>
        <w:tc>
          <w:tcPr>
            <w:tcW w:w="1436" w:type="dxa"/>
            <w:tcBorders>
              <w:top w:val="nil"/>
              <w:left w:val="nil"/>
              <w:bottom w:val="nil"/>
              <w:right w:val="nil"/>
            </w:tcBorders>
            <w:shd w:val="clear" w:color="auto" w:fill="auto"/>
            <w:noWrap/>
            <w:vAlign w:val="bottom"/>
          </w:tcPr>
          <w:p w14:paraId="69701E9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84.86%</w:t>
            </w:r>
          </w:p>
        </w:tc>
        <w:tc>
          <w:tcPr>
            <w:tcW w:w="1436" w:type="dxa"/>
            <w:tcBorders>
              <w:top w:val="nil"/>
              <w:left w:val="nil"/>
              <w:bottom w:val="nil"/>
              <w:right w:val="nil"/>
            </w:tcBorders>
            <w:shd w:val="clear" w:color="auto" w:fill="auto"/>
            <w:noWrap/>
            <w:vAlign w:val="bottom"/>
          </w:tcPr>
          <w:p w14:paraId="0D53A45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84.86%</w:t>
            </w:r>
          </w:p>
        </w:tc>
        <w:tc>
          <w:tcPr>
            <w:tcW w:w="1439" w:type="dxa"/>
            <w:tcBorders>
              <w:top w:val="nil"/>
              <w:left w:val="nil"/>
              <w:bottom w:val="nil"/>
              <w:right w:val="nil"/>
            </w:tcBorders>
            <w:shd w:val="clear" w:color="auto" w:fill="auto"/>
            <w:noWrap/>
            <w:vAlign w:val="bottom"/>
          </w:tcPr>
          <w:p w14:paraId="5CD34FC7"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95.91%</w:t>
            </w:r>
          </w:p>
        </w:tc>
      </w:tr>
      <w:tr w:rsidR="0074478A" w14:paraId="78395641" w14:textId="77777777">
        <w:trPr>
          <w:trHeight w:val="278"/>
        </w:trPr>
        <w:tc>
          <w:tcPr>
            <w:tcW w:w="519" w:type="pct"/>
            <w:vMerge/>
            <w:tcBorders>
              <w:top w:val="nil"/>
              <w:left w:val="nil"/>
              <w:bottom w:val="nil"/>
              <w:right w:val="nil"/>
            </w:tcBorders>
            <w:shd w:val="clear" w:color="auto" w:fill="auto"/>
            <w:noWrap/>
            <w:vAlign w:val="center"/>
          </w:tcPr>
          <w:p w14:paraId="23874AD4"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84E60B7"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436" w:type="dxa"/>
            <w:tcBorders>
              <w:top w:val="nil"/>
              <w:left w:val="nil"/>
              <w:bottom w:val="nil"/>
              <w:right w:val="nil"/>
            </w:tcBorders>
            <w:shd w:val="clear" w:color="auto" w:fill="auto"/>
            <w:noWrap/>
            <w:vAlign w:val="bottom"/>
          </w:tcPr>
          <w:p w14:paraId="11E0FAB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0.94%</w:t>
            </w:r>
          </w:p>
        </w:tc>
        <w:tc>
          <w:tcPr>
            <w:tcW w:w="1436" w:type="dxa"/>
            <w:tcBorders>
              <w:top w:val="nil"/>
              <w:left w:val="nil"/>
              <w:bottom w:val="nil"/>
              <w:right w:val="nil"/>
            </w:tcBorders>
            <w:shd w:val="clear" w:color="auto" w:fill="auto"/>
            <w:noWrap/>
            <w:vAlign w:val="bottom"/>
          </w:tcPr>
          <w:p w14:paraId="7EFEF4B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0.94%</w:t>
            </w:r>
          </w:p>
        </w:tc>
        <w:tc>
          <w:tcPr>
            <w:tcW w:w="1436" w:type="dxa"/>
            <w:tcBorders>
              <w:top w:val="nil"/>
              <w:left w:val="nil"/>
              <w:bottom w:val="nil"/>
              <w:right w:val="nil"/>
            </w:tcBorders>
            <w:shd w:val="clear" w:color="auto" w:fill="auto"/>
            <w:noWrap/>
            <w:vAlign w:val="bottom"/>
          </w:tcPr>
          <w:p w14:paraId="15FF70E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w:t>
            </w:r>
          </w:p>
        </w:tc>
        <w:tc>
          <w:tcPr>
            <w:tcW w:w="1436" w:type="dxa"/>
            <w:tcBorders>
              <w:top w:val="nil"/>
              <w:left w:val="nil"/>
              <w:bottom w:val="nil"/>
              <w:right w:val="nil"/>
            </w:tcBorders>
            <w:shd w:val="clear" w:color="auto" w:fill="auto"/>
            <w:noWrap/>
            <w:vAlign w:val="bottom"/>
          </w:tcPr>
          <w:p w14:paraId="039AB54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w:t>
            </w:r>
          </w:p>
        </w:tc>
        <w:tc>
          <w:tcPr>
            <w:tcW w:w="1436" w:type="dxa"/>
            <w:tcBorders>
              <w:top w:val="nil"/>
              <w:left w:val="nil"/>
              <w:bottom w:val="nil"/>
              <w:right w:val="nil"/>
            </w:tcBorders>
            <w:shd w:val="clear" w:color="auto" w:fill="auto"/>
            <w:noWrap/>
            <w:vAlign w:val="bottom"/>
          </w:tcPr>
          <w:p w14:paraId="6128D4C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w:t>
            </w:r>
          </w:p>
        </w:tc>
        <w:tc>
          <w:tcPr>
            <w:tcW w:w="1436" w:type="dxa"/>
            <w:tcBorders>
              <w:top w:val="nil"/>
              <w:left w:val="nil"/>
              <w:bottom w:val="nil"/>
              <w:right w:val="nil"/>
            </w:tcBorders>
            <w:shd w:val="clear" w:color="auto" w:fill="auto"/>
            <w:noWrap/>
            <w:vAlign w:val="bottom"/>
          </w:tcPr>
          <w:p w14:paraId="7676F54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w:t>
            </w:r>
          </w:p>
        </w:tc>
        <w:tc>
          <w:tcPr>
            <w:tcW w:w="1439" w:type="dxa"/>
            <w:tcBorders>
              <w:top w:val="nil"/>
              <w:left w:val="nil"/>
              <w:bottom w:val="nil"/>
              <w:right w:val="nil"/>
            </w:tcBorders>
            <w:shd w:val="clear" w:color="auto" w:fill="auto"/>
            <w:noWrap/>
            <w:vAlign w:val="bottom"/>
          </w:tcPr>
          <w:p w14:paraId="4CABDC90"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-5.43%</w:t>
            </w:r>
          </w:p>
        </w:tc>
      </w:tr>
      <w:tr w:rsidR="0074478A" w14:paraId="75DF8DC6" w14:textId="77777777">
        <w:trPr>
          <w:trHeight w:val="278"/>
        </w:trPr>
        <w:tc>
          <w:tcPr>
            <w:tcW w:w="519" w:type="pct"/>
            <w:vMerge/>
            <w:tcBorders>
              <w:top w:val="nil"/>
              <w:left w:val="nil"/>
              <w:bottom w:val="nil"/>
              <w:right w:val="nil"/>
            </w:tcBorders>
            <w:shd w:val="clear" w:color="auto" w:fill="auto"/>
            <w:noWrap/>
            <w:vAlign w:val="center"/>
          </w:tcPr>
          <w:p w14:paraId="4AAEE290"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2369E5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436" w:type="dxa"/>
            <w:tcBorders>
              <w:top w:val="nil"/>
              <w:left w:val="nil"/>
              <w:bottom w:val="nil"/>
              <w:right w:val="nil"/>
            </w:tcBorders>
            <w:shd w:val="clear" w:color="auto" w:fill="auto"/>
            <w:vAlign w:val="center"/>
          </w:tcPr>
          <w:p w14:paraId="7464EB8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3.91%</w:t>
            </w:r>
          </w:p>
        </w:tc>
        <w:tc>
          <w:tcPr>
            <w:tcW w:w="1436" w:type="dxa"/>
            <w:tcBorders>
              <w:top w:val="nil"/>
              <w:left w:val="nil"/>
              <w:bottom w:val="nil"/>
              <w:right w:val="nil"/>
            </w:tcBorders>
            <w:shd w:val="clear" w:color="auto" w:fill="auto"/>
            <w:noWrap/>
            <w:vAlign w:val="center"/>
          </w:tcPr>
          <w:p w14:paraId="5EADAE2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3.91%</w:t>
            </w:r>
          </w:p>
        </w:tc>
        <w:tc>
          <w:tcPr>
            <w:tcW w:w="1436" w:type="dxa"/>
            <w:tcBorders>
              <w:top w:val="nil"/>
              <w:left w:val="nil"/>
              <w:bottom w:val="nil"/>
              <w:right w:val="nil"/>
            </w:tcBorders>
            <w:shd w:val="clear" w:color="auto" w:fill="auto"/>
            <w:noWrap/>
            <w:vAlign w:val="center"/>
          </w:tcPr>
          <w:p w14:paraId="47FE187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12.83%</w:t>
            </w:r>
          </w:p>
        </w:tc>
        <w:tc>
          <w:tcPr>
            <w:tcW w:w="1436" w:type="dxa"/>
            <w:tcBorders>
              <w:top w:val="nil"/>
              <w:left w:val="nil"/>
              <w:bottom w:val="nil"/>
              <w:right w:val="nil"/>
            </w:tcBorders>
            <w:shd w:val="clear" w:color="auto" w:fill="auto"/>
            <w:noWrap/>
            <w:vAlign w:val="center"/>
          </w:tcPr>
          <w:p w14:paraId="79FD0C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12.83%</w:t>
            </w:r>
          </w:p>
        </w:tc>
        <w:tc>
          <w:tcPr>
            <w:tcW w:w="1436" w:type="dxa"/>
            <w:tcBorders>
              <w:top w:val="nil"/>
              <w:left w:val="nil"/>
              <w:bottom w:val="nil"/>
              <w:right w:val="nil"/>
            </w:tcBorders>
            <w:shd w:val="clear" w:color="auto" w:fill="auto"/>
            <w:noWrap/>
            <w:vAlign w:val="center"/>
          </w:tcPr>
          <w:p w14:paraId="7BDA6B4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12.83%</w:t>
            </w:r>
          </w:p>
        </w:tc>
        <w:tc>
          <w:tcPr>
            <w:tcW w:w="1436" w:type="dxa"/>
            <w:tcBorders>
              <w:top w:val="nil"/>
              <w:left w:val="nil"/>
              <w:bottom w:val="nil"/>
              <w:right w:val="nil"/>
            </w:tcBorders>
            <w:shd w:val="clear" w:color="auto" w:fill="auto"/>
            <w:noWrap/>
            <w:vAlign w:val="center"/>
          </w:tcPr>
          <w:p w14:paraId="0553820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12.83%</w:t>
            </w:r>
          </w:p>
        </w:tc>
        <w:tc>
          <w:tcPr>
            <w:tcW w:w="1439" w:type="dxa"/>
            <w:tcBorders>
              <w:top w:val="nil"/>
              <w:left w:val="nil"/>
              <w:bottom w:val="nil"/>
              <w:right w:val="nil"/>
            </w:tcBorders>
            <w:shd w:val="clear" w:color="auto" w:fill="auto"/>
            <w:noWrap/>
            <w:vAlign w:val="center"/>
          </w:tcPr>
          <w:p w14:paraId="6FB10A2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14.80%</w:t>
            </w:r>
          </w:p>
        </w:tc>
      </w:tr>
      <w:tr w:rsidR="0074478A" w14:paraId="6063D4B6" w14:textId="77777777">
        <w:trPr>
          <w:trHeight w:val="278"/>
        </w:trPr>
        <w:tc>
          <w:tcPr>
            <w:tcW w:w="1453" w:type="pct"/>
            <w:gridSpan w:val="2"/>
            <w:tcBorders>
              <w:top w:val="nil"/>
              <w:left w:val="nil"/>
              <w:bottom w:val="nil"/>
              <w:right w:val="nil"/>
            </w:tcBorders>
            <w:shd w:val="clear" w:color="auto" w:fill="auto"/>
            <w:noWrap/>
            <w:vAlign w:val="center"/>
          </w:tcPr>
          <w:p w14:paraId="1C4EDED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06" w:type="pct"/>
            <w:tcBorders>
              <w:top w:val="nil"/>
              <w:left w:val="nil"/>
              <w:bottom w:val="nil"/>
              <w:right w:val="nil"/>
            </w:tcBorders>
            <w:shd w:val="clear" w:color="auto" w:fill="auto"/>
            <w:noWrap/>
            <w:vAlign w:val="center"/>
          </w:tcPr>
          <w:p w14:paraId="18C7A5F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06" w:type="pct"/>
            <w:tcBorders>
              <w:top w:val="nil"/>
              <w:left w:val="nil"/>
              <w:bottom w:val="nil"/>
              <w:right w:val="nil"/>
            </w:tcBorders>
            <w:shd w:val="clear" w:color="auto" w:fill="auto"/>
            <w:noWrap/>
            <w:vAlign w:val="center"/>
          </w:tcPr>
          <w:p w14:paraId="3E36AFA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52FC5E1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36B3B2A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26D9F0B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06" w:type="pct"/>
            <w:tcBorders>
              <w:top w:val="nil"/>
              <w:left w:val="nil"/>
              <w:bottom w:val="nil"/>
              <w:right w:val="nil"/>
            </w:tcBorders>
            <w:shd w:val="clear" w:color="auto" w:fill="auto"/>
            <w:noWrap/>
            <w:vAlign w:val="center"/>
          </w:tcPr>
          <w:p w14:paraId="11F43E8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9" w:type="dxa"/>
            <w:tcBorders>
              <w:top w:val="nil"/>
              <w:left w:val="nil"/>
              <w:bottom w:val="nil"/>
              <w:right w:val="nil"/>
            </w:tcBorders>
            <w:shd w:val="clear" w:color="auto" w:fill="auto"/>
            <w:noWrap/>
            <w:vAlign w:val="center"/>
          </w:tcPr>
          <w:p w14:paraId="620E79C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74478A" w14:paraId="52412AF1" w14:textId="77777777">
        <w:trPr>
          <w:trHeight w:val="278"/>
        </w:trPr>
        <w:tc>
          <w:tcPr>
            <w:tcW w:w="1453" w:type="pct"/>
            <w:gridSpan w:val="2"/>
            <w:tcBorders>
              <w:top w:val="nil"/>
              <w:left w:val="nil"/>
              <w:bottom w:val="nil"/>
              <w:right w:val="nil"/>
            </w:tcBorders>
            <w:shd w:val="clear" w:color="auto" w:fill="auto"/>
            <w:noWrap/>
            <w:vAlign w:val="center"/>
          </w:tcPr>
          <w:p w14:paraId="70E43423"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DB123B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±8.11%</w:t>
            </w:r>
          </w:p>
        </w:tc>
        <w:tc>
          <w:tcPr>
            <w:tcW w:w="1436" w:type="dxa"/>
            <w:tcBorders>
              <w:top w:val="nil"/>
              <w:left w:val="nil"/>
              <w:bottom w:val="nil"/>
              <w:right w:val="nil"/>
            </w:tcBorders>
            <w:shd w:val="clear" w:color="auto" w:fill="auto"/>
            <w:noWrap/>
            <w:vAlign w:val="center"/>
          </w:tcPr>
          <w:p w14:paraId="0FB501C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±9.00%</w:t>
            </w:r>
          </w:p>
        </w:tc>
        <w:tc>
          <w:tcPr>
            <w:tcW w:w="1436" w:type="dxa"/>
            <w:tcBorders>
              <w:top w:val="nil"/>
              <w:left w:val="nil"/>
              <w:bottom w:val="nil"/>
              <w:right w:val="nil"/>
            </w:tcBorders>
            <w:shd w:val="clear" w:color="auto" w:fill="auto"/>
            <w:noWrap/>
            <w:vAlign w:val="center"/>
          </w:tcPr>
          <w:p w14:paraId="2E11C30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A72A81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±8.53%</w:t>
            </w:r>
          </w:p>
        </w:tc>
        <w:tc>
          <w:tcPr>
            <w:tcW w:w="1436" w:type="dxa"/>
            <w:tcBorders>
              <w:top w:val="nil"/>
              <w:left w:val="nil"/>
              <w:bottom w:val="nil"/>
              <w:right w:val="nil"/>
            </w:tcBorders>
            <w:shd w:val="clear" w:color="auto" w:fill="auto"/>
            <w:noWrap/>
            <w:vAlign w:val="center"/>
          </w:tcPr>
          <w:p w14:paraId="1BA6A8E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3AABB8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±23.72%</w:t>
            </w:r>
          </w:p>
        </w:tc>
        <w:tc>
          <w:tcPr>
            <w:tcW w:w="1439" w:type="dxa"/>
            <w:tcBorders>
              <w:top w:val="nil"/>
              <w:left w:val="nil"/>
              <w:bottom w:val="nil"/>
              <w:right w:val="nil"/>
            </w:tcBorders>
            <w:shd w:val="clear" w:color="auto" w:fill="auto"/>
            <w:noWrap/>
            <w:vAlign w:val="center"/>
          </w:tcPr>
          <w:p w14:paraId="27E9DFF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285035D5" w14:textId="77777777">
        <w:trPr>
          <w:trHeight w:val="278"/>
        </w:trPr>
        <w:tc>
          <w:tcPr>
            <w:tcW w:w="519" w:type="pct"/>
            <w:vMerge w:val="restart"/>
            <w:tcBorders>
              <w:top w:val="nil"/>
              <w:left w:val="nil"/>
              <w:bottom w:val="nil"/>
              <w:right w:val="nil"/>
            </w:tcBorders>
            <w:shd w:val="clear" w:color="auto" w:fill="auto"/>
            <w:noWrap/>
            <w:vAlign w:val="center"/>
          </w:tcPr>
          <w:p w14:paraId="29194C33"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4A8D028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EA742F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1C01D7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-0.009/1.08</w:t>
            </w:r>
            <w:r>
              <w:rPr>
                <w:rFonts w:ascii="Times New Roman" w:eastAsia="SimSun" w:hAnsi="Times New Roman" w:cs="Times New Roman" w:hint="eastAsia"/>
                <w:color w:val="000000"/>
                <w:kern w:val="0"/>
                <w:szCs w:val="21"/>
                <w:lang w:bidi="ar"/>
              </w:rPr>
              <w:t>0</w:t>
            </w:r>
          </w:p>
        </w:tc>
        <w:tc>
          <w:tcPr>
            <w:tcW w:w="1436" w:type="dxa"/>
            <w:tcBorders>
              <w:top w:val="nil"/>
              <w:left w:val="nil"/>
              <w:bottom w:val="nil"/>
              <w:right w:val="nil"/>
            </w:tcBorders>
            <w:shd w:val="clear" w:color="auto" w:fill="auto"/>
            <w:noWrap/>
            <w:vAlign w:val="center"/>
          </w:tcPr>
          <w:p w14:paraId="12368EF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217201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0.003/0.967</w:t>
            </w:r>
          </w:p>
        </w:tc>
        <w:tc>
          <w:tcPr>
            <w:tcW w:w="1436" w:type="dxa"/>
            <w:tcBorders>
              <w:top w:val="nil"/>
              <w:left w:val="nil"/>
              <w:bottom w:val="nil"/>
              <w:right w:val="nil"/>
            </w:tcBorders>
            <w:shd w:val="clear" w:color="auto" w:fill="auto"/>
            <w:noWrap/>
            <w:vAlign w:val="center"/>
          </w:tcPr>
          <w:p w14:paraId="5C3749C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0164A4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0.165/0.318</w:t>
            </w:r>
          </w:p>
        </w:tc>
        <w:tc>
          <w:tcPr>
            <w:tcW w:w="1439" w:type="dxa"/>
            <w:tcBorders>
              <w:top w:val="nil"/>
              <w:left w:val="nil"/>
              <w:bottom w:val="nil"/>
              <w:right w:val="nil"/>
            </w:tcBorders>
            <w:shd w:val="clear" w:color="auto" w:fill="auto"/>
            <w:noWrap/>
            <w:vAlign w:val="center"/>
          </w:tcPr>
          <w:p w14:paraId="022D8B9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3A474018" w14:textId="77777777">
        <w:trPr>
          <w:trHeight w:val="278"/>
        </w:trPr>
        <w:tc>
          <w:tcPr>
            <w:tcW w:w="519" w:type="pct"/>
            <w:vMerge/>
            <w:tcBorders>
              <w:top w:val="nil"/>
              <w:left w:val="nil"/>
              <w:bottom w:val="nil"/>
              <w:right w:val="nil"/>
            </w:tcBorders>
            <w:shd w:val="clear" w:color="auto" w:fill="auto"/>
            <w:noWrap/>
            <w:vAlign w:val="center"/>
          </w:tcPr>
          <w:p w14:paraId="282E0566" w14:textId="77777777" w:rsidR="0074478A" w:rsidRDefault="0074478A">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891DC7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EC2B25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-0.007/0.883</w:t>
            </w:r>
          </w:p>
        </w:tc>
        <w:tc>
          <w:tcPr>
            <w:tcW w:w="1436" w:type="dxa"/>
            <w:tcBorders>
              <w:top w:val="nil"/>
              <w:left w:val="nil"/>
              <w:bottom w:val="nil"/>
              <w:right w:val="nil"/>
            </w:tcBorders>
            <w:shd w:val="clear" w:color="auto" w:fill="auto"/>
            <w:noWrap/>
            <w:vAlign w:val="center"/>
          </w:tcPr>
          <w:p w14:paraId="6E40A4E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/0.996</w:t>
            </w:r>
          </w:p>
        </w:tc>
        <w:tc>
          <w:tcPr>
            <w:tcW w:w="1436" w:type="dxa"/>
            <w:tcBorders>
              <w:top w:val="nil"/>
              <w:left w:val="nil"/>
              <w:bottom w:val="nil"/>
              <w:right w:val="nil"/>
            </w:tcBorders>
            <w:shd w:val="clear" w:color="auto" w:fill="auto"/>
            <w:noWrap/>
            <w:vAlign w:val="center"/>
          </w:tcPr>
          <w:p w14:paraId="4102D79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5163D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/0.994</w:t>
            </w:r>
          </w:p>
        </w:tc>
        <w:tc>
          <w:tcPr>
            <w:tcW w:w="1436" w:type="dxa"/>
            <w:tcBorders>
              <w:top w:val="nil"/>
              <w:left w:val="nil"/>
              <w:bottom w:val="nil"/>
              <w:right w:val="nil"/>
            </w:tcBorders>
            <w:shd w:val="clear" w:color="auto" w:fill="auto"/>
            <w:noWrap/>
            <w:vAlign w:val="center"/>
          </w:tcPr>
          <w:p w14:paraId="6137FE2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C1E632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0.002/0.99</w:t>
            </w:r>
            <w:r>
              <w:rPr>
                <w:rFonts w:ascii="Times New Roman" w:eastAsia="SimSun" w:hAnsi="Times New Roman" w:cs="Times New Roman" w:hint="eastAsia"/>
                <w:color w:val="000000"/>
                <w:kern w:val="0"/>
                <w:szCs w:val="21"/>
                <w:lang w:bidi="ar"/>
              </w:rPr>
              <w:t>0</w:t>
            </w:r>
          </w:p>
        </w:tc>
        <w:tc>
          <w:tcPr>
            <w:tcW w:w="1439" w:type="dxa"/>
            <w:tcBorders>
              <w:top w:val="nil"/>
              <w:left w:val="nil"/>
              <w:bottom w:val="nil"/>
              <w:right w:val="nil"/>
            </w:tcBorders>
            <w:shd w:val="clear" w:color="auto" w:fill="auto"/>
            <w:noWrap/>
            <w:vAlign w:val="center"/>
          </w:tcPr>
          <w:p w14:paraId="74CEBD7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0C570DDE" w14:textId="77777777">
        <w:trPr>
          <w:trHeight w:val="278"/>
        </w:trPr>
        <w:tc>
          <w:tcPr>
            <w:tcW w:w="519" w:type="pct"/>
            <w:vMerge/>
            <w:tcBorders>
              <w:top w:val="nil"/>
              <w:left w:val="nil"/>
              <w:bottom w:val="nil"/>
              <w:right w:val="nil"/>
            </w:tcBorders>
            <w:shd w:val="clear" w:color="auto" w:fill="auto"/>
            <w:noWrap/>
            <w:vAlign w:val="center"/>
          </w:tcPr>
          <w:p w14:paraId="5A72A5AB" w14:textId="77777777" w:rsidR="0074478A" w:rsidRDefault="0074478A">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7B4A7FDD"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4182CF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-0.031/0.604</w:t>
            </w:r>
          </w:p>
        </w:tc>
        <w:tc>
          <w:tcPr>
            <w:tcW w:w="1436" w:type="dxa"/>
            <w:tcBorders>
              <w:top w:val="nil"/>
              <w:left w:val="nil"/>
              <w:bottom w:val="nil"/>
              <w:right w:val="nil"/>
            </w:tcBorders>
            <w:shd w:val="clear" w:color="auto" w:fill="auto"/>
            <w:noWrap/>
            <w:vAlign w:val="center"/>
          </w:tcPr>
          <w:p w14:paraId="5E818D9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B21CAE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A729D3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A0747B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457ECE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6C296D6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5E8DB4E8"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02BBC47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786C88E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85</w:t>
            </w:r>
            <w:r>
              <w:rPr>
                <w:rFonts w:ascii="Times New Roman" w:eastAsia="SimSun" w:hAnsi="Times New Roman" w:cs="Times New Roman" w:hint="eastAsia"/>
                <w:color w:val="000000"/>
                <w:kern w:val="0"/>
                <w:szCs w:val="21"/>
                <w:lang w:bidi="ar"/>
              </w:rPr>
              <w:t>.37%</w:t>
            </w:r>
          </w:p>
        </w:tc>
        <w:tc>
          <w:tcPr>
            <w:tcW w:w="1436" w:type="dxa"/>
            <w:tcBorders>
              <w:top w:val="nil"/>
              <w:left w:val="nil"/>
              <w:bottom w:val="single" w:sz="12" w:space="0" w:color="auto"/>
              <w:right w:val="nil"/>
            </w:tcBorders>
            <w:shd w:val="clear" w:color="auto" w:fill="auto"/>
            <w:noWrap/>
            <w:vAlign w:val="center"/>
          </w:tcPr>
          <w:p w14:paraId="76CDF6C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55.96%</w:t>
            </w:r>
          </w:p>
        </w:tc>
        <w:tc>
          <w:tcPr>
            <w:tcW w:w="1436" w:type="dxa"/>
            <w:tcBorders>
              <w:top w:val="nil"/>
              <w:left w:val="nil"/>
              <w:bottom w:val="single" w:sz="12" w:space="0" w:color="auto"/>
              <w:right w:val="nil"/>
            </w:tcBorders>
            <w:shd w:val="clear" w:color="auto" w:fill="auto"/>
            <w:noWrap/>
            <w:vAlign w:val="center"/>
          </w:tcPr>
          <w:p w14:paraId="56819C8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455F4F6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52.68%</w:t>
            </w:r>
          </w:p>
        </w:tc>
        <w:tc>
          <w:tcPr>
            <w:tcW w:w="1436" w:type="dxa"/>
            <w:tcBorders>
              <w:top w:val="nil"/>
              <w:left w:val="nil"/>
              <w:bottom w:val="single" w:sz="12" w:space="0" w:color="auto"/>
              <w:right w:val="nil"/>
            </w:tcBorders>
            <w:shd w:val="clear" w:color="auto" w:fill="auto"/>
            <w:noWrap/>
            <w:vAlign w:val="center"/>
          </w:tcPr>
          <w:p w14:paraId="7475B9C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6365945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93.86%</w:t>
            </w:r>
          </w:p>
        </w:tc>
        <w:tc>
          <w:tcPr>
            <w:tcW w:w="1439" w:type="dxa"/>
            <w:tcBorders>
              <w:top w:val="nil"/>
              <w:left w:val="nil"/>
              <w:bottom w:val="single" w:sz="12" w:space="0" w:color="auto"/>
              <w:right w:val="nil"/>
            </w:tcBorders>
            <w:shd w:val="clear" w:color="auto" w:fill="auto"/>
            <w:noWrap/>
            <w:vAlign w:val="center"/>
          </w:tcPr>
          <w:p w14:paraId="4AF971C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7D62002B" w14:textId="77777777" w:rsidR="0074478A" w:rsidRDefault="0074478A">
      <w:pPr>
        <w:rPr>
          <w:rFonts w:ascii="Times New Roman" w:hAnsi="Times New Roman" w:cs="Times New Roman"/>
        </w:rPr>
      </w:pPr>
    </w:p>
    <w:p w14:paraId="33AD744C" w14:textId="77777777" w:rsidR="0074478A" w:rsidRDefault="0074478A">
      <w:pPr>
        <w:rPr>
          <w:rFonts w:ascii="Times New Roman" w:hAnsi="Times New Roman" w:cs="Times New Roman"/>
        </w:rPr>
      </w:pPr>
    </w:p>
    <w:p w14:paraId="2053590F" w14:textId="77777777" w:rsidR="0074478A" w:rsidRDefault="0074478A">
      <w:pPr>
        <w:rPr>
          <w:rFonts w:ascii="Times New Roman" w:hAnsi="Times New Roman" w:cs="Times New Roman"/>
        </w:rPr>
      </w:pPr>
    </w:p>
    <w:p w14:paraId="388C58EF" w14:textId="77777777" w:rsidR="0074478A" w:rsidRDefault="0074478A">
      <w:pPr>
        <w:rPr>
          <w:rFonts w:ascii="Times New Roman" w:hAnsi="Times New Roman" w:cs="Times New Roman"/>
        </w:rPr>
      </w:pPr>
    </w:p>
    <w:p w14:paraId="7B3CA369" w14:textId="77777777" w:rsidR="0074478A" w:rsidRDefault="0074478A">
      <w:pPr>
        <w:rPr>
          <w:rFonts w:ascii="Times New Roman" w:hAnsi="Times New Roman" w:cs="Times New Roman"/>
        </w:rPr>
      </w:pPr>
    </w:p>
    <w:p w14:paraId="6055E422" w14:textId="77777777" w:rsidR="0074478A" w:rsidRDefault="0074478A">
      <w:pPr>
        <w:rPr>
          <w:rFonts w:ascii="Times New Roman" w:hAnsi="Times New Roman" w:cs="Times New Roman"/>
        </w:rPr>
      </w:pPr>
    </w:p>
    <w:p w14:paraId="5A1DE941" w14:textId="77777777" w:rsidR="0074478A" w:rsidRDefault="0074478A">
      <w:pPr>
        <w:rPr>
          <w:rFonts w:ascii="Times New Roman" w:hAnsi="Times New Roman" w:cs="Times New Roman"/>
        </w:rPr>
      </w:pPr>
    </w:p>
    <w:p w14:paraId="488A5AF3" w14:textId="77777777" w:rsidR="0074478A" w:rsidRDefault="0074478A">
      <w:pPr>
        <w:rPr>
          <w:rFonts w:ascii="Times New Roman" w:hAnsi="Times New Roman" w:cs="Times New Roman"/>
        </w:rPr>
      </w:pPr>
    </w:p>
    <w:p w14:paraId="7ECFEB2C" w14:textId="77777777" w:rsidR="0074478A" w:rsidRDefault="0074478A">
      <w:pPr>
        <w:rPr>
          <w:rFonts w:ascii="Times New Roman" w:hAnsi="Times New Roman" w:cs="Times New Roman"/>
        </w:rPr>
      </w:pPr>
    </w:p>
    <w:p w14:paraId="097E0175" w14:textId="77777777" w:rsidR="0074478A" w:rsidRDefault="0074478A">
      <w:pPr>
        <w:rPr>
          <w:rFonts w:ascii="Times New Roman" w:hAnsi="Times New Roman" w:cs="Times New Roman"/>
        </w:rPr>
      </w:pPr>
    </w:p>
    <w:p w14:paraId="420A8C64" w14:textId="77777777" w:rsidR="0074478A" w:rsidRDefault="0074478A">
      <w:pPr>
        <w:rPr>
          <w:rFonts w:ascii="Times New Roman" w:hAnsi="Times New Roman" w:cs="Times New Roman"/>
        </w:rPr>
      </w:pPr>
    </w:p>
    <w:p w14:paraId="29B8BC95" w14:textId="77777777" w:rsidR="0074478A" w:rsidRDefault="0074478A">
      <w:pPr>
        <w:rPr>
          <w:rFonts w:ascii="Times New Roman" w:hAnsi="Times New Roman" w:cs="Times New Roman"/>
        </w:rPr>
      </w:pPr>
    </w:p>
    <w:p w14:paraId="2F277B51" w14:textId="77777777" w:rsidR="0074478A" w:rsidRDefault="00690393">
      <w:pPr>
        <w:rPr>
          <w:rFonts w:ascii="Times New Roman" w:hAnsi="Times New Roman" w:cs="Times New Roman"/>
        </w:rPr>
      </w:pPr>
      <w:r>
        <w:rPr>
          <w:rFonts w:ascii="Times New Roman" w:hAnsi="Times New Roman" w:cs="Times New Roman" w:hint="eastAsia"/>
        </w:rPr>
        <w:t>Panel R: Romania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14:paraId="7C1D7BCA"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8B2AE7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19DADA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1999/04/19</w:t>
            </w:r>
          </w:p>
        </w:tc>
        <w:tc>
          <w:tcPr>
            <w:tcW w:w="574" w:type="pct"/>
            <w:tcBorders>
              <w:top w:val="single" w:sz="12" w:space="0" w:color="auto"/>
              <w:left w:val="nil"/>
              <w:bottom w:val="single" w:sz="8" w:space="0" w:color="auto"/>
              <w:right w:val="nil"/>
            </w:tcBorders>
            <w:shd w:val="clear" w:color="auto" w:fill="auto"/>
            <w:noWrap/>
            <w:vAlign w:val="center"/>
          </w:tcPr>
          <w:p w14:paraId="7C02011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1999/04/20-</w:t>
            </w:r>
            <w:r>
              <w:rPr>
                <w:rFonts w:ascii="Times New Roman" w:eastAsia="SimSun" w:hAnsi="Times New Roman" w:cs="Times New Roman"/>
                <w:color w:val="000000"/>
                <w:kern w:val="0"/>
                <w:szCs w:val="21"/>
                <w:lang w:bidi="ar"/>
              </w:rPr>
              <w:br/>
              <w:t>2002/04/09</w:t>
            </w:r>
          </w:p>
        </w:tc>
        <w:tc>
          <w:tcPr>
            <w:tcW w:w="574" w:type="pct"/>
            <w:tcBorders>
              <w:top w:val="single" w:sz="12" w:space="0" w:color="auto"/>
              <w:left w:val="nil"/>
              <w:bottom w:val="single" w:sz="8" w:space="0" w:color="auto"/>
              <w:right w:val="nil"/>
            </w:tcBorders>
            <w:shd w:val="clear" w:color="auto" w:fill="auto"/>
            <w:noWrap/>
            <w:vAlign w:val="center"/>
          </w:tcPr>
          <w:p w14:paraId="73F0CEC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2002/04/10-</w:t>
            </w:r>
            <w:r>
              <w:rPr>
                <w:rFonts w:ascii="Times New Roman" w:eastAsia="SimSun" w:hAnsi="Times New Roman" w:cs="Times New Roman"/>
                <w:color w:val="000000"/>
                <w:kern w:val="0"/>
                <w:szCs w:val="21"/>
                <w:lang w:bidi="ar"/>
              </w:rPr>
              <w:br/>
              <w:t>2004/10/19</w:t>
            </w:r>
          </w:p>
        </w:tc>
        <w:tc>
          <w:tcPr>
            <w:tcW w:w="574" w:type="pct"/>
            <w:tcBorders>
              <w:top w:val="single" w:sz="12" w:space="0" w:color="auto"/>
              <w:left w:val="nil"/>
              <w:bottom w:val="single" w:sz="8" w:space="0" w:color="auto"/>
              <w:right w:val="nil"/>
            </w:tcBorders>
            <w:shd w:val="clear" w:color="auto" w:fill="auto"/>
            <w:noWrap/>
            <w:vAlign w:val="center"/>
          </w:tcPr>
          <w:p w14:paraId="783AB3F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2004/10/20-</w:t>
            </w:r>
            <w:r>
              <w:rPr>
                <w:rFonts w:ascii="Times New Roman" w:eastAsia="SimSun" w:hAnsi="Times New Roman" w:cs="Times New Roman"/>
                <w:color w:val="000000"/>
                <w:kern w:val="0"/>
                <w:szCs w:val="21"/>
                <w:lang w:bidi="ar"/>
              </w:rPr>
              <w:br/>
              <w:t>2005/03/28</w:t>
            </w:r>
          </w:p>
        </w:tc>
        <w:tc>
          <w:tcPr>
            <w:tcW w:w="574" w:type="pct"/>
            <w:tcBorders>
              <w:top w:val="single" w:sz="12" w:space="0" w:color="auto"/>
              <w:left w:val="nil"/>
              <w:bottom w:val="single" w:sz="8" w:space="0" w:color="auto"/>
              <w:right w:val="nil"/>
            </w:tcBorders>
            <w:shd w:val="clear" w:color="auto" w:fill="auto"/>
            <w:noWrap/>
            <w:vAlign w:val="center"/>
          </w:tcPr>
          <w:p w14:paraId="7F17D43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2005/03/29-</w:t>
            </w:r>
            <w:r>
              <w:rPr>
                <w:rFonts w:ascii="Times New Roman" w:eastAsia="SimSun" w:hAnsi="Times New Roman" w:cs="Times New Roman"/>
                <w:color w:val="000000"/>
                <w:kern w:val="0"/>
                <w:szCs w:val="21"/>
                <w:lang w:bidi="ar"/>
              </w:rPr>
              <w:br/>
              <w:t>2007/02/21</w:t>
            </w:r>
          </w:p>
        </w:tc>
        <w:tc>
          <w:tcPr>
            <w:tcW w:w="575" w:type="pct"/>
            <w:tcBorders>
              <w:top w:val="single" w:sz="12" w:space="0" w:color="auto"/>
              <w:left w:val="nil"/>
              <w:bottom w:val="single" w:sz="8" w:space="0" w:color="auto"/>
              <w:right w:val="nil"/>
            </w:tcBorders>
            <w:shd w:val="clear" w:color="auto" w:fill="auto"/>
            <w:noWrap/>
            <w:vAlign w:val="center"/>
          </w:tcPr>
          <w:p w14:paraId="5034293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2007/02/22-</w:t>
            </w:r>
            <w:r>
              <w:rPr>
                <w:rFonts w:ascii="Times New Roman" w:eastAsia="SimSun" w:hAnsi="Times New Roman" w:cs="Times New Roman"/>
                <w:color w:val="000000"/>
                <w:kern w:val="0"/>
                <w:szCs w:val="21"/>
                <w:lang w:bidi="ar"/>
              </w:rPr>
              <w:br/>
              <w:t>2009/05/25</w:t>
            </w:r>
          </w:p>
        </w:tc>
      </w:tr>
      <w:tr w:rsidR="0074478A" w14:paraId="0D315666"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222F4AA"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6210D008"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3A09BE8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95.79%</w:t>
            </w:r>
          </w:p>
        </w:tc>
        <w:tc>
          <w:tcPr>
            <w:tcW w:w="574" w:type="pct"/>
            <w:tcBorders>
              <w:top w:val="single" w:sz="8" w:space="0" w:color="auto"/>
              <w:left w:val="nil"/>
              <w:bottom w:val="nil"/>
              <w:right w:val="nil"/>
            </w:tcBorders>
            <w:shd w:val="clear" w:color="auto" w:fill="auto"/>
            <w:noWrap/>
            <w:vAlign w:val="bottom"/>
          </w:tcPr>
          <w:p w14:paraId="22DF82B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95.79%</w:t>
            </w:r>
          </w:p>
        </w:tc>
        <w:tc>
          <w:tcPr>
            <w:tcW w:w="574" w:type="pct"/>
            <w:tcBorders>
              <w:top w:val="single" w:sz="8" w:space="0" w:color="auto"/>
              <w:left w:val="nil"/>
              <w:bottom w:val="nil"/>
              <w:right w:val="nil"/>
            </w:tcBorders>
            <w:shd w:val="clear" w:color="auto" w:fill="auto"/>
            <w:noWrap/>
            <w:vAlign w:val="bottom"/>
          </w:tcPr>
          <w:p w14:paraId="73A72E8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95.79%</w:t>
            </w:r>
          </w:p>
        </w:tc>
        <w:tc>
          <w:tcPr>
            <w:tcW w:w="574" w:type="pct"/>
            <w:tcBorders>
              <w:top w:val="single" w:sz="8" w:space="0" w:color="auto"/>
              <w:left w:val="nil"/>
              <w:bottom w:val="nil"/>
              <w:right w:val="nil"/>
            </w:tcBorders>
            <w:shd w:val="clear" w:color="auto" w:fill="auto"/>
            <w:noWrap/>
            <w:vAlign w:val="bottom"/>
          </w:tcPr>
          <w:p w14:paraId="6FB0CEC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29.81%</w:t>
            </w:r>
          </w:p>
        </w:tc>
        <w:tc>
          <w:tcPr>
            <w:tcW w:w="574" w:type="pct"/>
            <w:tcBorders>
              <w:top w:val="single" w:sz="8" w:space="0" w:color="auto"/>
              <w:left w:val="nil"/>
              <w:bottom w:val="nil"/>
              <w:right w:val="nil"/>
            </w:tcBorders>
            <w:shd w:val="clear" w:color="auto" w:fill="auto"/>
            <w:noWrap/>
            <w:vAlign w:val="bottom"/>
          </w:tcPr>
          <w:p w14:paraId="6CF98B1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29.81%</w:t>
            </w:r>
          </w:p>
        </w:tc>
        <w:tc>
          <w:tcPr>
            <w:tcW w:w="575" w:type="pct"/>
            <w:tcBorders>
              <w:top w:val="single" w:sz="8" w:space="0" w:color="auto"/>
              <w:left w:val="nil"/>
              <w:bottom w:val="nil"/>
              <w:right w:val="nil"/>
            </w:tcBorders>
            <w:shd w:val="clear" w:color="auto" w:fill="auto"/>
            <w:noWrap/>
            <w:vAlign w:val="bottom"/>
          </w:tcPr>
          <w:p w14:paraId="3C5B149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29.81%</w:t>
            </w:r>
          </w:p>
        </w:tc>
      </w:tr>
      <w:tr w:rsidR="0074478A" w14:paraId="06A04BE6" w14:textId="77777777">
        <w:trPr>
          <w:trHeight w:val="278"/>
        </w:trPr>
        <w:tc>
          <w:tcPr>
            <w:tcW w:w="580" w:type="pct"/>
            <w:vMerge/>
            <w:tcBorders>
              <w:top w:val="nil"/>
              <w:left w:val="nil"/>
              <w:bottom w:val="nil"/>
              <w:right w:val="nil"/>
            </w:tcBorders>
            <w:shd w:val="clear" w:color="auto" w:fill="auto"/>
            <w:noWrap/>
            <w:vAlign w:val="center"/>
          </w:tcPr>
          <w:p w14:paraId="38CC385C"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D9AE8D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0AE2EAD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9.40%</w:t>
            </w:r>
          </w:p>
        </w:tc>
        <w:tc>
          <w:tcPr>
            <w:tcW w:w="574" w:type="pct"/>
            <w:tcBorders>
              <w:top w:val="nil"/>
              <w:left w:val="nil"/>
              <w:bottom w:val="nil"/>
              <w:right w:val="nil"/>
            </w:tcBorders>
            <w:shd w:val="clear" w:color="auto" w:fill="auto"/>
            <w:noWrap/>
            <w:vAlign w:val="bottom"/>
          </w:tcPr>
          <w:p w14:paraId="3E578A6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9.40%</w:t>
            </w:r>
          </w:p>
        </w:tc>
        <w:tc>
          <w:tcPr>
            <w:tcW w:w="574" w:type="pct"/>
            <w:tcBorders>
              <w:top w:val="nil"/>
              <w:left w:val="nil"/>
              <w:bottom w:val="nil"/>
              <w:right w:val="nil"/>
            </w:tcBorders>
            <w:shd w:val="clear" w:color="auto" w:fill="auto"/>
            <w:noWrap/>
            <w:vAlign w:val="bottom"/>
          </w:tcPr>
          <w:p w14:paraId="3F646A0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9.40%</w:t>
            </w:r>
          </w:p>
        </w:tc>
        <w:tc>
          <w:tcPr>
            <w:tcW w:w="574" w:type="pct"/>
            <w:tcBorders>
              <w:top w:val="nil"/>
              <w:left w:val="nil"/>
              <w:bottom w:val="nil"/>
              <w:right w:val="nil"/>
            </w:tcBorders>
            <w:shd w:val="clear" w:color="auto" w:fill="auto"/>
            <w:noWrap/>
            <w:vAlign w:val="bottom"/>
          </w:tcPr>
          <w:p w14:paraId="0A4470A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91.62%</w:t>
            </w:r>
          </w:p>
        </w:tc>
        <w:tc>
          <w:tcPr>
            <w:tcW w:w="574" w:type="pct"/>
            <w:tcBorders>
              <w:top w:val="nil"/>
              <w:left w:val="nil"/>
              <w:bottom w:val="nil"/>
              <w:right w:val="nil"/>
            </w:tcBorders>
            <w:shd w:val="clear" w:color="auto" w:fill="auto"/>
            <w:noWrap/>
            <w:vAlign w:val="bottom"/>
          </w:tcPr>
          <w:p w14:paraId="7EA17B0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91.62%</w:t>
            </w:r>
          </w:p>
        </w:tc>
        <w:tc>
          <w:tcPr>
            <w:tcW w:w="575" w:type="pct"/>
            <w:tcBorders>
              <w:top w:val="nil"/>
              <w:left w:val="nil"/>
              <w:bottom w:val="nil"/>
              <w:right w:val="nil"/>
            </w:tcBorders>
            <w:shd w:val="clear" w:color="auto" w:fill="auto"/>
            <w:noWrap/>
            <w:vAlign w:val="bottom"/>
          </w:tcPr>
          <w:p w14:paraId="13FA5BC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91.62%</w:t>
            </w:r>
          </w:p>
        </w:tc>
      </w:tr>
      <w:tr w:rsidR="0074478A" w14:paraId="5FE73257" w14:textId="77777777">
        <w:trPr>
          <w:trHeight w:val="278"/>
        </w:trPr>
        <w:tc>
          <w:tcPr>
            <w:tcW w:w="580" w:type="pct"/>
            <w:vMerge/>
            <w:tcBorders>
              <w:top w:val="nil"/>
              <w:left w:val="nil"/>
              <w:bottom w:val="nil"/>
              <w:right w:val="nil"/>
            </w:tcBorders>
            <w:shd w:val="clear" w:color="auto" w:fill="auto"/>
            <w:noWrap/>
            <w:vAlign w:val="center"/>
          </w:tcPr>
          <w:p w14:paraId="4E8C5F2A"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A2BB954"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7A71BB0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-4.84%</w:t>
            </w:r>
          </w:p>
        </w:tc>
        <w:tc>
          <w:tcPr>
            <w:tcW w:w="574" w:type="pct"/>
            <w:tcBorders>
              <w:top w:val="nil"/>
              <w:left w:val="nil"/>
              <w:bottom w:val="nil"/>
              <w:right w:val="nil"/>
            </w:tcBorders>
            <w:shd w:val="clear" w:color="auto" w:fill="auto"/>
            <w:noWrap/>
            <w:vAlign w:val="bottom"/>
          </w:tcPr>
          <w:p w14:paraId="7820205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-4.84%</w:t>
            </w:r>
          </w:p>
        </w:tc>
        <w:tc>
          <w:tcPr>
            <w:tcW w:w="574" w:type="pct"/>
            <w:tcBorders>
              <w:top w:val="nil"/>
              <w:left w:val="nil"/>
              <w:bottom w:val="nil"/>
              <w:right w:val="nil"/>
            </w:tcBorders>
            <w:shd w:val="clear" w:color="auto" w:fill="auto"/>
            <w:noWrap/>
            <w:vAlign w:val="bottom"/>
          </w:tcPr>
          <w:p w14:paraId="03861AC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-4.84%</w:t>
            </w:r>
          </w:p>
        </w:tc>
        <w:tc>
          <w:tcPr>
            <w:tcW w:w="574" w:type="pct"/>
            <w:tcBorders>
              <w:top w:val="nil"/>
              <w:left w:val="nil"/>
              <w:bottom w:val="nil"/>
              <w:right w:val="nil"/>
            </w:tcBorders>
            <w:shd w:val="clear" w:color="auto" w:fill="auto"/>
            <w:noWrap/>
            <w:vAlign w:val="bottom"/>
          </w:tcPr>
          <w:p w14:paraId="4ABEF8E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-23.40%</w:t>
            </w:r>
          </w:p>
        </w:tc>
        <w:tc>
          <w:tcPr>
            <w:tcW w:w="574" w:type="pct"/>
            <w:tcBorders>
              <w:top w:val="nil"/>
              <w:left w:val="nil"/>
              <w:bottom w:val="nil"/>
              <w:right w:val="nil"/>
            </w:tcBorders>
            <w:shd w:val="clear" w:color="auto" w:fill="auto"/>
            <w:noWrap/>
            <w:vAlign w:val="bottom"/>
          </w:tcPr>
          <w:p w14:paraId="1B60566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-23.40%</w:t>
            </w:r>
          </w:p>
        </w:tc>
        <w:tc>
          <w:tcPr>
            <w:tcW w:w="575" w:type="pct"/>
            <w:tcBorders>
              <w:top w:val="nil"/>
              <w:left w:val="nil"/>
              <w:bottom w:val="nil"/>
              <w:right w:val="nil"/>
            </w:tcBorders>
            <w:shd w:val="clear" w:color="auto" w:fill="auto"/>
            <w:noWrap/>
            <w:vAlign w:val="bottom"/>
          </w:tcPr>
          <w:p w14:paraId="59DF204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-23.40%</w:t>
            </w:r>
          </w:p>
        </w:tc>
      </w:tr>
      <w:tr w:rsidR="0074478A" w14:paraId="7E4DB477" w14:textId="77777777">
        <w:trPr>
          <w:trHeight w:val="278"/>
        </w:trPr>
        <w:tc>
          <w:tcPr>
            <w:tcW w:w="580" w:type="pct"/>
            <w:vMerge/>
            <w:tcBorders>
              <w:top w:val="nil"/>
              <w:left w:val="nil"/>
              <w:bottom w:val="nil"/>
              <w:right w:val="nil"/>
            </w:tcBorders>
            <w:shd w:val="clear" w:color="auto" w:fill="auto"/>
            <w:noWrap/>
            <w:vAlign w:val="center"/>
          </w:tcPr>
          <w:p w14:paraId="438323EC"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905F94A"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15395C9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-0.35%</w:t>
            </w:r>
          </w:p>
        </w:tc>
        <w:tc>
          <w:tcPr>
            <w:tcW w:w="574" w:type="pct"/>
            <w:tcBorders>
              <w:top w:val="nil"/>
              <w:left w:val="nil"/>
              <w:bottom w:val="nil"/>
              <w:right w:val="nil"/>
            </w:tcBorders>
            <w:shd w:val="clear" w:color="auto" w:fill="auto"/>
            <w:noWrap/>
            <w:vAlign w:val="center"/>
          </w:tcPr>
          <w:p w14:paraId="54A18BA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-0.35%</w:t>
            </w:r>
          </w:p>
        </w:tc>
        <w:tc>
          <w:tcPr>
            <w:tcW w:w="574" w:type="pct"/>
            <w:tcBorders>
              <w:top w:val="nil"/>
              <w:left w:val="nil"/>
              <w:bottom w:val="nil"/>
              <w:right w:val="nil"/>
            </w:tcBorders>
            <w:shd w:val="clear" w:color="auto" w:fill="auto"/>
            <w:noWrap/>
            <w:vAlign w:val="center"/>
          </w:tcPr>
          <w:p w14:paraId="5477897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-0.35%</w:t>
            </w:r>
          </w:p>
        </w:tc>
        <w:tc>
          <w:tcPr>
            <w:tcW w:w="574" w:type="pct"/>
            <w:tcBorders>
              <w:top w:val="nil"/>
              <w:left w:val="nil"/>
              <w:bottom w:val="nil"/>
              <w:right w:val="nil"/>
            </w:tcBorders>
            <w:shd w:val="clear" w:color="auto" w:fill="auto"/>
            <w:noWrap/>
            <w:vAlign w:val="center"/>
          </w:tcPr>
          <w:p w14:paraId="08E1877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w:t>
            </w:r>
          </w:p>
        </w:tc>
        <w:tc>
          <w:tcPr>
            <w:tcW w:w="574" w:type="pct"/>
            <w:tcBorders>
              <w:top w:val="nil"/>
              <w:left w:val="nil"/>
              <w:bottom w:val="nil"/>
              <w:right w:val="nil"/>
            </w:tcBorders>
            <w:shd w:val="clear" w:color="auto" w:fill="auto"/>
            <w:noWrap/>
            <w:vAlign w:val="center"/>
          </w:tcPr>
          <w:p w14:paraId="4F1726B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w:t>
            </w:r>
          </w:p>
        </w:tc>
        <w:tc>
          <w:tcPr>
            <w:tcW w:w="575" w:type="pct"/>
            <w:tcBorders>
              <w:top w:val="nil"/>
              <w:left w:val="nil"/>
              <w:bottom w:val="nil"/>
              <w:right w:val="nil"/>
            </w:tcBorders>
            <w:shd w:val="clear" w:color="auto" w:fill="auto"/>
            <w:noWrap/>
            <w:vAlign w:val="center"/>
          </w:tcPr>
          <w:p w14:paraId="46351AB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w:t>
            </w:r>
          </w:p>
        </w:tc>
      </w:tr>
      <w:tr w:rsidR="0074478A" w14:paraId="3747354E" w14:textId="77777777">
        <w:trPr>
          <w:trHeight w:val="278"/>
        </w:trPr>
        <w:tc>
          <w:tcPr>
            <w:tcW w:w="1552" w:type="pct"/>
            <w:gridSpan w:val="2"/>
            <w:tcBorders>
              <w:top w:val="nil"/>
              <w:left w:val="nil"/>
              <w:bottom w:val="nil"/>
              <w:right w:val="nil"/>
            </w:tcBorders>
            <w:shd w:val="clear" w:color="auto" w:fill="auto"/>
            <w:noWrap/>
            <w:vAlign w:val="center"/>
          </w:tcPr>
          <w:p w14:paraId="061133F8"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bookmarkStart w:id="111" w:name="OLE_LINK48" w:colFirst="1" w:colLast="1"/>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5D03529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638425B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FA907B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29B11C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42063F5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4B88EB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39C6B64A" w14:textId="77777777">
        <w:trPr>
          <w:trHeight w:val="278"/>
        </w:trPr>
        <w:tc>
          <w:tcPr>
            <w:tcW w:w="1552" w:type="pct"/>
            <w:gridSpan w:val="2"/>
            <w:tcBorders>
              <w:top w:val="nil"/>
              <w:left w:val="nil"/>
              <w:bottom w:val="nil"/>
              <w:right w:val="nil"/>
            </w:tcBorders>
            <w:shd w:val="clear" w:color="auto" w:fill="auto"/>
            <w:noWrap/>
            <w:vAlign w:val="center"/>
          </w:tcPr>
          <w:p w14:paraId="41D4C7BA"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AFF14F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6D445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±21.13%</w:t>
            </w:r>
          </w:p>
        </w:tc>
        <w:tc>
          <w:tcPr>
            <w:tcW w:w="574" w:type="pct"/>
            <w:tcBorders>
              <w:top w:val="nil"/>
              <w:left w:val="nil"/>
              <w:bottom w:val="nil"/>
              <w:right w:val="nil"/>
            </w:tcBorders>
            <w:shd w:val="clear" w:color="auto" w:fill="auto"/>
            <w:noWrap/>
            <w:vAlign w:val="center"/>
          </w:tcPr>
          <w:p w14:paraId="5870F22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006967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±11.87%</w:t>
            </w:r>
          </w:p>
        </w:tc>
        <w:tc>
          <w:tcPr>
            <w:tcW w:w="574" w:type="pct"/>
            <w:tcBorders>
              <w:top w:val="nil"/>
              <w:left w:val="nil"/>
              <w:bottom w:val="nil"/>
              <w:right w:val="nil"/>
            </w:tcBorders>
            <w:shd w:val="clear" w:color="auto" w:fill="auto"/>
            <w:noWrap/>
            <w:vAlign w:val="center"/>
          </w:tcPr>
          <w:p w14:paraId="17C713F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B55E88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±10.81%</w:t>
            </w:r>
          </w:p>
        </w:tc>
      </w:tr>
      <w:tr w:rsidR="0074478A" w14:paraId="45AF2729" w14:textId="77777777">
        <w:trPr>
          <w:trHeight w:val="278"/>
        </w:trPr>
        <w:tc>
          <w:tcPr>
            <w:tcW w:w="580" w:type="pct"/>
            <w:vMerge w:val="restart"/>
            <w:tcBorders>
              <w:top w:val="nil"/>
              <w:left w:val="nil"/>
              <w:bottom w:val="nil"/>
              <w:right w:val="nil"/>
            </w:tcBorders>
            <w:shd w:val="clear" w:color="auto" w:fill="auto"/>
            <w:noWrap/>
            <w:vAlign w:val="center"/>
          </w:tcPr>
          <w:p w14:paraId="174C197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D78AE6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9C6D77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C45DA3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ED1109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575B1C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0.018/0.829</w:t>
            </w:r>
          </w:p>
        </w:tc>
        <w:tc>
          <w:tcPr>
            <w:tcW w:w="574" w:type="pct"/>
            <w:tcBorders>
              <w:top w:val="nil"/>
              <w:left w:val="nil"/>
              <w:bottom w:val="nil"/>
              <w:right w:val="nil"/>
            </w:tcBorders>
            <w:shd w:val="clear" w:color="auto" w:fill="auto"/>
            <w:noWrap/>
            <w:vAlign w:val="center"/>
          </w:tcPr>
          <w:p w14:paraId="7F3188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A4C218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6A59D732" w14:textId="77777777">
        <w:trPr>
          <w:trHeight w:val="278"/>
        </w:trPr>
        <w:tc>
          <w:tcPr>
            <w:tcW w:w="580" w:type="pct"/>
            <w:vMerge/>
            <w:tcBorders>
              <w:top w:val="nil"/>
              <w:left w:val="nil"/>
              <w:bottom w:val="nil"/>
              <w:right w:val="nil"/>
            </w:tcBorders>
            <w:shd w:val="clear" w:color="auto" w:fill="auto"/>
            <w:noWrap/>
            <w:vAlign w:val="center"/>
          </w:tcPr>
          <w:p w14:paraId="6B7E380B"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438EA4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6801EA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C25A2D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-0.001/0.996</w:t>
            </w:r>
          </w:p>
        </w:tc>
        <w:tc>
          <w:tcPr>
            <w:tcW w:w="574" w:type="pct"/>
            <w:tcBorders>
              <w:top w:val="nil"/>
              <w:left w:val="nil"/>
              <w:bottom w:val="nil"/>
              <w:right w:val="nil"/>
            </w:tcBorders>
            <w:shd w:val="clear" w:color="auto" w:fill="auto"/>
            <w:noWrap/>
            <w:vAlign w:val="center"/>
          </w:tcPr>
          <w:p w14:paraId="3AE61E8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92EE36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0.004/0.971</w:t>
            </w:r>
          </w:p>
        </w:tc>
        <w:tc>
          <w:tcPr>
            <w:tcW w:w="574" w:type="pct"/>
            <w:tcBorders>
              <w:top w:val="nil"/>
              <w:left w:val="nil"/>
              <w:bottom w:val="nil"/>
              <w:right w:val="nil"/>
            </w:tcBorders>
            <w:shd w:val="clear" w:color="auto" w:fill="auto"/>
            <w:noWrap/>
            <w:vAlign w:val="center"/>
          </w:tcPr>
          <w:p w14:paraId="06D6107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D42E50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/0.994</w:t>
            </w:r>
          </w:p>
        </w:tc>
      </w:tr>
      <w:tr w:rsidR="0074478A" w14:paraId="7433B093" w14:textId="77777777">
        <w:trPr>
          <w:trHeight w:val="278"/>
        </w:trPr>
        <w:tc>
          <w:tcPr>
            <w:tcW w:w="580" w:type="pct"/>
            <w:vMerge/>
            <w:tcBorders>
              <w:top w:val="nil"/>
              <w:left w:val="nil"/>
              <w:bottom w:val="nil"/>
              <w:right w:val="nil"/>
            </w:tcBorders>
            <w:shd w:val="clear" w:color="auto" w:fill="auto"/>
            <w:noWrap/>
            <w:vAlign w:val="center"/>
          </w:tcPr>
          <w:p w14:paraId="13A19134"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84C2AE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17479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122845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-0.09</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/0.602</w:t>
            </w:r>
          </w:p>
        </w:tc>
        <w:tc>
          <w:tcPr>
            <w:tcW w:w="574" w:type="pct"/>
            <w:tcBorders>
              <w:top w:val="nil"/>
              <w:left w:val="nil"/>
              <w:bottom w:val="nil"/>
              <w:right w:val="nil"/>
            </w:tcBorders>
            <w:shd w:val="clear" w:color="auto" w:fill="auto"/>
            <w:noWrap/>
            <w:vAlign w:val="center"/>
          </w:tcPr>
          <w:p w14:paraId="043BA33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EF17C3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137919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BD9238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-0.029/0.823</w:t>
            </w:r>
          </w:p>
        </w:tc>
      </w:tr>
      <w:tr w:rsidR="0074478A" w14:paraId="3E44AF07"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7E09F7C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5F7286C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7AA184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92.18%</w:t>
            </w:r>
          </w:p>
        </w:tc>
        <w:tc>
          <w:tcPr>
            <w:tcW w:w="574" w:type="pct"/>
            <w:tcBorders>
              <w:top w:val="nil"/>
              <w:left w:val="nil"/>
              <w:bottom w:val="single" w:sz="12" w:space="0" w:color="auto"/>
              <w:right w:val="nil"/>
            </w:tcBorders>
            <w:shd w:val="clear" w:color="auto" w:fill="auto"/>
            <w:noWrap/>
            <w:vAlign w:val="center"/>
          </w:tcPr>
          <w:p w14:paraId="637313C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0CB3A1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70.91%</w:t>
            </w:r>
          </w:p>
        </w:tc>
        <w:tc>
          <w:tcPr>
            <w:tcW w:w="574" w:type="pct"/>
            <w:tcBorders>
              <w:top w:val="nil"/>
              <w:left w:val="nil"/>
              <w:bottom w:val="single" w:sz="12" w:space="0" w:color="auto"/>
              <w:right w:val="nil"/>
            </w:tcBorders>
            <w:shd w:val="clear" w:color="auto" w:fill="auto"/>
            <w:noWrap/>
            <w:vAlign w:val="center"/>
          </w:tcPr>
          <w:p w14:paraId="1F7FB0E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00B1C0F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65.22%</w:t>
            </w:r>
          </w:p>
        </w:tc>
      </w:tr>
      <w:bookmarkEnd w:id="111"/>
      <w:tr w:rsidR="0074478A" w14:paraId="5DCA4B48"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6BFB7D9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2A0D7A7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2009/05/26-</w:t>
            </w:r>
            <w:r>
              <w:rPr>
                <w:rFonts w:ascii="Times New Roman" w:eastAsia="SimSun" w:hAnsi="Times New Roman" w:cs="Times New Roman"/>
                <w:color w:val="000000"/>
                <w:kern w:val="0"/>
                <w:szCs w:val="21"/>
                <w:lang w:bidi="ar"/>
              </w:rPr>
              <w:br/>
              <w:t>2011/10/25</w:t>
            </w:r>
          </w:p>
        </w:tc>
        <w:tc>
          <w:tcPr>
            <w:tcW w:w="574" w:type="pct"/>
            <w:tcBorders>
              <w:top w:val="single" w:sz="12" w:space="0" w:color="auto"/>
              <w:left w:val="nil"/>
              <w:bottom w:val="single" w:sz="8" w:space="0" w:color="auto"/>
              <w:right w:val="nil"/>
            </w:tcBorders>
            <w:shd w:val="clear" w:color="auto" w:fill="auto"/>
            <w:noWrap/>
            <w:vAlign w:val="center"/>
          </w:tcPr>
          <w:p w14:paraId="62212AF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2011/10/26-</w:t>
            </w:r>
            <w:r>
              <w:rPr>
                <w:rFonts w:ascii="Times New Roman" w:eastAsia="SimSun" w:hAnsi="Times New Roman" w:cs="Times New Roman"/>
                <w:color w:val="000000"/>
                <w:kern w:val="0"/>
                <w:szCs w:val="21"/>
                <w:lang w:bidi="ar"/>
              </w:rPr>
              <w:br/>
              <w:t>2017/04/11</w:t>
            </w:r>
          </w:p>
        </w:tc>
        <w:tc>
          <w:tcPr>
            <w:tcW w:w="574" w:type="pct"/>
            <w:tcBorders>
              <w:top w:val="single" w:sz="12" w:space="0" w:color="auto"/>
              <w:left w:val="nil"/>
              <w:bottom w:val="single" w:sz="8" w:space="0" w:color="auto"/>
              <w:right w:val="nil"/>
            </w:tcBorders>
            <w:shd w:val="clear" w:color="auto" w:fill="auto"/>
            <w:noWrap/>
            <w:vAlign w:val="center"/>
          </w:tcPr>
          <w:p w14:paraId="2D7ADF0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2017/04/12-</w:t>
            </w:r>
            <w:r>
              <w:rPr>
                <w:rFonts w:ascii="Times New Roman" w:eastAsia="SimSun" w:hAnsi="Times New Roman" w:cs="Times New Roman"/>
                <w:color w:val="000000"/>
                <w:kern w:val="0"/>
                <w:szCs w:val="21"/>
                <w:lang w:bidi="ar"/>
              </w:rPr>
              <w:br/>
              <w:t>2020/12/31</w:t>
            </w:r>
          </w:p>
        </w:tc>
      </w:tr>
      <w:tr w:rsidR="0074478A" w14:paraId="15288CC9"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34B6F727"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6A345F8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76414EA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4.35%</w:t>
            </w:r>
          </w:p>
        </w:tc>
        <w:tc>
          <w:tcPr>
            <w:tcW w:w="574" w:type="pct"/>
            <w:tcBorders>
              <w:top w:val="single" w:sz="8" w:space="0" w:color="auto"/>
              <w:left w:val="nil"/>
              <w:bottom w:val="nil"/>
              <w:right w:val="nil"/>
            </w:tcBorders>
            <w:shd w:val="clear" w:color="auto" w:fill="auto"/>
            <w:noWrap/>
            <w:vAlign w:val="bottom"/>
          </w:tcPr>
          <w:p w14:paraId="4274292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4.35%</w:t>
            </w:r>
          </w:p>
        </w:tc>
        <w:tc>
          <w:tcPr>
            <w:tcW w:w="574" w:type="pct"/>
            <w:tcBorders>
              <w:top w:val="single" w:sz="8" w:space="0" w:color="auto"/>
              <w:left w:val="nil"/>
              <w:bottom w:val="nil"/>
              <w:right w:val="nil"/>
            </w:tcBorders>
            <w:shd w:val="clear" w:color="auto" w:fill="auto"/>
            <w:noWrap/>
            <w:vAlign w:val="bottom"/>
          </w:tcPr>
          <w:p w14:paraId="7D5A883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4.35%</w:t>
            </w:r>
          </w:p>
        </w:tc>
      </w:tr>
      <w:tr w:rsidR="0074478A" w14:paraId="11C1FE7A"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4FADB696"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64281D7"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507BFDC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97.31%</w:t>
            </w:r>
          </w:p>
        </w:tc>
        <w:tc>
          <w:tcPr>
            <w:tcW w:w="574" w:type="pct"/>
            <w:tcBorders>
              <w:top w:val="nil"/>
              <w:left w:val="nil"/>
              <w:bottom w:val="nil"/>
              <w:right w:val="nil"/>
            </w:tcBorders>
            <w:shd w:val="clear" w:color="auto" w:fill="auto"/>
            <w:noWrap/>
            <w:vAlign w:val="bottom"/>
          </w:tcPr>
          <w:p w14:paraId="3FC3B1F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97.31%</w:t>
            </w:r>
          </w:p>
        </w:tc>
        <w:tc>
          <w:tcPr>
            <w:tcW w:w="574" w:type="pct"/>
            <w:tcBorders>
              <w:top w:val="nil"/>
              <w:left w:val="nil"/>
              <w:bottom w:val="nil"/>
              <w:right w:val="nil"/>
            </w:tcBorders>
            <w:shd w:val="clear" w:color="auto" w:fill="auto"/>
            <w:noWrap/>
            <w:vAlign w:val="bottom"/>
          </w:tcPr>
          <w:p w14:paraId="518FB93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97.31%</w:t>
            </w:r>
          </w:p>
        </w:tc>
      </w:tr>
      <w:tr w:rsidR="0074478A" w14:paraId="2867D70C"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A4C5354"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D25A285"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67D89C7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-3.55%</w:t>
            </w:r>
          </w:p>
        </w:tc>
        <w:tc>
          <w:tcPr>
            <w:tcW w:w="574" w:type="pct"/>
            <w:tcBorders>
              <w:top w:val="nil"/>
              <w:left w:val="nil"/>
              <w:bottom w:val="nil"/>
              <w:right w:val="nil"/>
            </w:tcBorders>
            <w:shd w:val="clear" w:color="auto" w:fill="auto"/>
            <w:noWrap/>
            <w:vAlign w:val="bottom"/>
          </w:tcPr>
          <w:p w14:paraId="7BF7340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-3.55%</w:t>
            </w:r>
          </w:p>
        </w:tc>
        <w:tc>
          <w:tcPr>
            <w:tcW w:w="574" w:type="pct"/>
            <w:tcBorders>
              <w:top w:val="nil"/>
              <w:left w:val="nil"/>
              <w:bottom w:val="nil"/>
              <w:right w:val="nil"/>
            </w:tcBorders>
            <w:shd w:val="clear" w:color="auto" w:fill="auto"/>
            <w:noWrap/>
            <w:vAlign w:val="bottom"/>
          </w:tcPr>
          <w:p w14:paraId="5593F69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-3.55%</w:t>
            </w:r>
          </w:p>
        </w:tc>
      </w:tr>
      <w:tr w:rsidR="0074478A" w14:paraId="56BC2E2D"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2B1B92F"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71A0109"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6BA6A29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1.88%</w:t>
            </w:r>
          </w:p>
        </w:tc>
        <w:tc>
          <w:tcPr>
            <w:tcW w:w="574" w:type="pct"/>
            <w:tcBorders>
              <w:top w:val="nil"/>
              <w:left w:val="nil"/>
              <w:bottom w:val="nil"/>
              <w:right w:val="nil"/>
            </w:tcBorders>
            <w:shd w:val="clear" w:color="auto" w:fill="auto"/>
            <w:noWrap/>
            <w:vAlign w:val="center"/>
          </w:tcPr>
          <w:p w14:paraId="72B953E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1.88%</w:t>
            </w:r>
          </w:p>
        </w:tc>
        <w:tc>
          <w:tcPr>
            <w:tcW w:w="574" w:type="pct"/>
            <w:tcBorders>
              <w:top w:val="nil"/>
              <w:left w:val="nil"/>
              <w:bottom w:val="nil"/>
              <w:right w:val="nil"/>
            </w:tcBorders>
            <w:shd w:val="clear" w:color="auto" w:fill="auto"/>
            <w:noWrap/>
            <w:vAlign w:val="center"/>
          </w:tcPr>
          <w:p w14:paraId="4AD489E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1.88%</w:t>
            </w:r>
          </w:p>
        </w:tc>
      </w:tr>
      <w:tr w:rsidR="0074478A" w14:paraId="6E3BC13B"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0C444F7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33A936E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DAC68B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5A3995F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r>
      <w:tr w:rsidR="0074478A" w14:paraId="13F3D91B"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0570E8BA"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lastRenderedPageBreak/>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79CD77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702333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A748A8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3D1212B7"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0CDC95C9"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056B039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576250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0766D1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A4390A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633036FD"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964D676"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C8460D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D84924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1ED0DD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E385C0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1399CB11"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4BBA60B3"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81C963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BBC422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042C18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C06954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7C0FC47F"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0E1011D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988FD3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3767AD0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1F64E0C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03F241AA" w14:textId="77777777" w:rsidR="0074478A" w:rsidRDefault="0074478A">
      <w:pPr>
        <w:rPr>
          <w:rFonts w:ascii="Times New Roman" w:hAnsi="Times New Roman" w:cs="Times New Roman"/>
        </w:rPr>
      </w:pPr>
    </w:p>
    <w:p w14:paraId="7FCDBE3E" w14:textId="77777777" w:rsidR="0074478A" w:rsidRDefault="00690393">
      <w:pPr>
        <w:rPr>
          <w:rFonts w:ascii="Times New Roman" w:hAnsi="Times New Roman" w:cs="Times New Roman"/>
        </w:rPr>
      </w:pPr>
      <w:r>
        <w:rPr>
          <w:rFonts w:ascii="Times New Roman" w:hAnsi="Times New Roman" w:cs="Times New Roman" w:hint="eastAsia"/>
        </w:rPr>
        <w:t>Panel S: Russia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14:paraId="41C74107"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308462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3F7873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2000/07/17</w:t>
            </w:r>
          </w:p>
        </w:tc>
        <w:tc>
          <w:tcPr>
            <w:tcW w:w="574" w:type="pct"/>
            <w:tcBorders>
              <w:top w:val="single" w:sz="12" w:space="0" w:color="auto"/>
              <w:left w:val="nil"/>
              <w:bottom w:val="single" w:sz="8" w:space="0" w:color="auto"/>
              <w:right w:val="nil"/>
            </w:tcBorders>
            <w:shd w:val="clear" w:color="auto" w:fill="auto"/>
            <w:noWrap/>
            <w:vAlign w:val="center"/>
          </w:tcPr>
          <w:p w14:paraId="0AF8AE1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2000/07/18-</w:t>
            </w:r>
            <w:r>
              <w:rPr>
                <w:rFonts w:ascii="Times New Roman" w:eastAsia="SimSun" w:hAnsi="Times New Roman" w:cs="Times New Roman"/>
                <w:color w:val="000000"/>
                <w:kern w:val="0"/>
                <w:szCs w:val="21"/>
                <w:lang w:bidi="ar"/>
              </w:rPr>
              <w:br/>
              <w:t>2001/08/17</w:t>
            </w:r>
          </w:p>
        </w:tc>
        <w:tc>
          <w:tcPr>
            <w:tcW w:w="574" w:type="pct"/>
            <w:tcBorders>
              <w:top w:val="single" w:sz="12" w:space="0" w:color="auto"/>
              <w:left w:val="nil"/>
              <w:bottom w:val="single" w:sz="8" w:space="0" w:color="auto"/>
              <w:right w:val="nil"/>
            </w:tcBorders>
            <w:shd w:val="clear" w:color="auto" w:fill="auto"/>
            <w:noWrap/>
            <w:vAlign w:val="center"/>
          </w:tcPr>
          <w:p w14:paraId="013AC66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2001/08/18-</w:t>
            </w:r>
            <w:r>
              <w:rPr>
                <w:rFonts w:ascii="Times New Roman" w:eastAsia="SimSun" w:hAnsi="Times New Roman" w:cs="Times New Roman"/>
                <w:color w:val="000000"/>
                <w:kern w:val="0"/>
                <w:szCs w:val="21"/>
                <w:lang w:bidi="ar"/>
              </w:rPr>
              <w:br/>
              <w:t>2005/01/11</w:t>
            </w:r>
          </w:p>
        </w:tc>
        <w:tc>
          <w:tcPr>
            <w:tcW w:w="574" w:type="pct"/>
            <w:tcBorders>
              <w:top w:val="single" w:sz="12" w:space="0" w:color="auto"/>
              <w:left w:val="nil"/>
              <w:bottom w:val="single" w:sz="8" w:space="0" w:color="auto"/>
              <w:right w:val="nil"/>
            </w:tcBorders>
            <w:shd w:val="clear" w:color="auto" w:fill="auto"/>
            <w:noWrap/>
            <w:vAlign w:val="center"/>
          </w:tcPr>
          <w:p w14:paraId="46DB0DE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2005/01/12-</w:t>
            </w:r>
            <w:r>
              <w:rPr>
                <w:rFonts w:ascii="Times New Roman" w:eastAsia="SimSun" w:hAnsi="Times New Roman" w:cs="Times New Roman"/>
                <w:color w:val="000000"/>
                <w:kern w:val="0"/>
                <w:szCs w:val="21"/>
                <w:lang w:bidi="ar"/>
              </w:rPr>
              <w:br/>
              <w:t>2008/08/05</w:t>
            </w:r>
          </w:p>
        </w:tc>
        <w:tc>
          <w:tcPr>
            <w:tcW w:w="574" w:type="pct"/>
            <w:tcBorders>
              <w:top w:val="single" w:sz="12" w:space="0" w:color="auto"/>
              <w:left w:val="nil"/>
              <w:bottom w:val="single" w:sz="8" w:space="0" w:color="auto"/>
              <w:right w:val="nil"/>
            </w:tcBorders>
            <w:shd w:val="clear" w:color="auto" w:fill="auto"/>
            <w:noWrap/>
            <w:vAlign w:val="center"/>
          </w:tcPr>
          <w:p w14:paraId="5CB21E2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2008/08/06-</w:t>
            </w:r>
            <w:r>
              <w:rPr>
                <w:rFonts w:ascii="Times New Roman" w:eastAsia="SimSun" w:hAnsi="Times New Roman" w:cs="Times New Roman"/>
                <w:color w:val="000000"/>
                <w:kern w:val="0"/>
                <w:szCs w:val="21"/>
                <w:lang w:bidi="ar"/>
              </w:rPr>
              <w:br/>
              <w:t>2009/02/12</w:t>
            </w:r>
          </w:p>
        </w:tc>
        <w:tc>
          <w:tcPr>
            <w:tcW w:w="575" w:type="pct"/>
            <w:tcBorders>
              <w:top w:val="single" w:sz="12" w:space="0" w:color="auto"/>
              <w:left w:val="nil"/>
              <w:bottom w:val="single" w:sz="8" w:space="0" w:color="auto"/>
              <w:right w:val="nil"/>
            </w:tcBorders>
            <w:shd w:val="clear" w:color="auto" w:fill="auto"/>
            <w:noWrap/>
            <w:vAlign w:val="center"/>
          </w:tcPr>
          <w:p w14:paraId="383AC5E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2009/02/13-</w:t>
            </w:r>
            <w:r>
              <w:rPr>
                <w:rFonts w:ascii="Times New Roman" w:eastAsia="SimSun" w:hAnsi="Times New Roman" w:cs="Times New Roman"/>
                <w:color w:val="000000"/>
                <w:kern w:val="0"/>
                <w:szCs w:val="21"/>
                <w:lang w:bidi="ar"/>
              </w:rPr>
              <w:br/>
              <w:t>2011/07/28</w:t>
            </w:r>
          </w:p>
        </w:tc>
      </w:tr>
      <w:tr w:rsidR="0074478A" w14:paraId="4F23A46F"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4168B07"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3FE04B15"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1AAD3FA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102.26%</w:t>
            </w:r>
          </w:p>
        </w:tc>
        <w:tc>
          <w:tcPr>
            <w:tcW w:w="574" w:type="pct"/>
            <w:tcBorders>
              <w:top w:val="single" w:sz="8" w:space="0" w:color="auto"/>
              <w:left w:val="nil"/>
              <w:bottom w:val="nil"/>
              <w:right w:val="nil"/>
            </w:tcBorders>
            <w:shd w:val="clear" w:color="auto" w:fill="auto"/>
            <w:noWrap/>
            <w:vAlign w:val="bottom"/>
          </w:tcPr>
          <w:p w14:paraId="0370513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102.26%</w:t>
            </w:r>
          </w:p>
        </w:tc>
        <w:tc>
          <w:tcPr>
            <w:tcW w:w="574" w:type="pct"/>
            <w:tcBorders>
              <w:top w:val="single" w:sz="8" w:space="0" w:color="auto"/>
              <w:left w:val="nil"/>
              <w:bottom w:val="nil"/>
              <w:right w:val="nil"/>
            </w:tcBorders>
            <w:shd w:val="clear" w:color="auto" w:fill="auto"/>
            <w:noWrap/>
            <w:vAlign w:val="bottom"/>
          </w:tcPr>
          <w:p w14:paraId="06E7CF5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102.26%</w:t>
            </w:r>
          </w:p>
        </w:tc>
        <w:tc>
          <w:tcPr>
            <w:tcW w:w="574" w:type="pct"/>
            <w:tcBorders>
              <w:top w:val="single" w:sz="8" w:space="0" w:color="auto"/>
              <w:left w:val="nil"/>
              <w:bottom w:val="nil"/>
              <w:right w:val="nil"/>
            </w:tcBorders>
            <w:shd w:val="clear" w:color="auto" w:fill="auto"/>
            <w:noWrap/>
            <w:vAlign w:val="bottom"/>
          </w:tcPr>
          <w:p w14:paraId="060A373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59.58%</w:t>
            </w:r>
          </w:p>
        </w:tc>
        <w:tc>
          <w:tcPr>
            <w:tcW w:w="574" w:type="pct"/>
            <w:tcBorders>
              <w:top w:val="single" w:sz="8" w:space="0" w:color="auto"/>
              <w:left w:val="nil"/>
              <w:bottom w:val="nil"/>
              <w:right w:val="nil"/>
            </w:tcBorders>
            <w:shd w:val="clear" w:color="auto" w:fill="auto"/>
            <w:noWrap/>
            <w:vAlign w:val="bottom"/>
          </w:tcPr>
          <w:p w14:paraId="50F40C9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59.58%</w:t>
            </w:r>
          </w:p>
        </w:tc>
        <w:tc>
          <w:tcPr>
            <w:tcW w:w="575" w:type="pct"/>
            <w:tcBorders>
              <w:top w:val="single" w:sz="8" w:space="0" w:color="auto"/>
              <w:left w:val="nil"/>
              <w:bottom w:val="nil"/>
              <w:right w:val="nil"/>
            </w:tcBorders>
            <w:shd w:val="clear" w:color="auto" w:fill="auto"/>
            <w:noWrap/>
            <w:vAlign w:val="bottom"/>
          </w:tcPr>
          <w:p w14:paraId="3D93189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33.84%</w:t>
            </w:r>
          </w:p>
        </w:tc>
      </w:tr>
      <w:tr w:rsidR="0074478A" w14:paraId="1D2AC029" w14:textId="77777777">
        <w:trPr>
          <w:trHeight w:val="278"/>
        </w:trPr>
        <w:tc>
          <w:tcPr>
            <w:tcW w:w="580" w:type="pct"/>
            <w:vMerge/>
            <w:tcBorders>
              <w:top w:val="nil"/>
              <w:left w:val="nil"/>
              <w:bottom w:val="nil"/>
              <w:right w:val="nil"/>
            </w:tcBorders>
            <w:shd w:val="clear" w:color="auto" w:fill="auto"/>
            <w:noWrap/>
            <w:vAlign w:val="center"/>
          </w:tcPr>
          <w:p w14:paraId="25682405"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73AAAA9"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10B1DCE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0.99%</w:t>
            </w:r>
          </w:p>
        </w:tc>
        <w:tc>
          <w:tcPr>
            <w:tcW w:w="574" w:type="pct"/>
            <w:tcBorders>
              <w:top w:val="nil"/>
              <w:left w:val="nil"/>
              <w:bottom w:val="nil"/>
              <w:right w:val="nil"/>
            </w:tcBorders>
            <w:shd w:val="clear" w:color="auto" w:fill="auto"/>
            <w:noWrap/>
            <w:vAlign w:val="bottom"/>
          </w:tcPr>
          <w:p w14:paraId="1273622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0.99%</w:t>
            </w:r>
          </w:p>
        </w:tc>
        <w:tc>
          <w:tcPr>
            <w:tcW w:w="574" w:type="pct"/>
            <w:tcBorders>
              <w:top w:val="nil"/>
              <w:left w:val="nil"/>
              <w:bottom w:val="nil"/>
              <w:right w:val="nil"/>
            </w:tcBorders>
            <w:shd w:val="clear" w:color="auto" w:fill="auto"/>
            <w:noWrap/>
            <w:vAlign w:val="bottom"/>
          </w:tcPr>
          <w:p w14:paraId="6F8957C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0.99%</w:t>
            </w:r>
          </w:p>
        </w:tc>
        <w:tc>
          <w:tcPr>
            <w:tcW w:w="574" w:type="pct"/>
            <w:tcBorders>
              <w:top w:val="nil"/>
              <w:left w:val="nil"/>
              <w:bottom w:val="nil"/>
              <w:right w:val="nil"/>
            </w:tcBorders>
            <w:shd w:val="clear" w:color="auto" w:fill="auto"/>
            <w:noWrap/>
            <w:vAlign w:val="bottom"/>
          </w:tcPr>
          <w:p w14:paraId="02F9061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45.80%</w:t>
            </w:r>
          </w:p>
        </w:tc>
        <w:tc>
          <w:tcPr>
            <w:tcW w:w="574" w:type="pct"/>
            <w:tcBorders>
              <w:top w:val="nil"/>
              <w:left w:val="nil"/>
              <w:bottom w:val="nil"/>
              <w:right w:val="nil"/>
            </w:tcBorders>
            <w:shd w:val="clear" w:color="auto" w:fill="auto"/>
            <w:noWrap/>
            <w:vAlign w:val="bottom"/>
          </w:tcPr>
          <w:p w14:paraId="266BA55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45.80%</w:t>
            </w:r>
          </w:p>
        </w:tc>
        <w:tc>
          <w:tcPr>
            <w:tcW w:w="575" w:type="pct"/>
            <w:tcBorders>
              <w:top w:val="nil"/>
              <w:left w:val="nil"/>
              <w:bottom w:val="nil"/>
              <w:right w:val="nil"/>
            </w:tcBorders>
            <w:shd w:val="clear" w:color="auto" w:fill="auto"/>
            <w:noWrap/>
            <w:vAlign w:val="bottom"/>
          </w:tcPr>
          <w:p w14:paraId="0AB3575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56.13%</w:t>
            </w:r>
          </w:p>
        </w:tc>
      </w:tr>
      <w:tr w:rsidR="0074478A" w14:paraId="65ED13A4" w14:textId="77777777">
        <w:trPr>
          <w:trHeight w:val="278"/>
        </w:trPr>
        <w:tc>
          <w:tcPr>
            <w:tcW w:w="580" w:type="pct"/>
            <w:vMerge/>
            <w:tcBorders>
              <w:top w:val="nil"/>
              <w:left w:val="nil"/>
              <w:bottom w:val="nil"/>
              <w:right w:val="nil"/>
            </w:tcBorders>
            <w:shd w:val="clear" w:color="auto" w:fill="auto"/>
            <w:noWrap/>
            <w:vAlign w:val="center"/>
          </w:tcPr>
          <w:p w14:paraId="0C1A9BAC"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3D2C07E"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772F85A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3.82%</w:t>
            </w:r>
          </w:p>
        </w:tc>
        <w:tc>
          <w:tcPr>
            <w:tcW w:w="574" w:type="pct"/>
            <w:tcBorders>
              <w:top w:val="nil"/>
              <w:left w:val="nil"/>
              <w:bottom w:val="nil"/>
              <w:right w:val="nil"/>
            </w:tcBorders>
            <w:shd w:val="clear" w:color="auto" w:fill="auto"/>
            <w:noWrap/>
            <w:vAlign w:val="bottom"/>
          </w:tcPr>
          <w:p w14:paraId="7527367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3.82%</w:t>
            </w:r>
          </w:p>
        </w:tc>
        <w:tc>
          <w:tcPr>
            <w:tcW w:w="574" w:type="pct"/>
            <w:tcBorders>
              <w:top w:val="nil"/>
              <w:left w:val="nil"/>
              <w:bottom w:val="nil"/>
              <w:right w:val="nil"/>
            </w:tcBorders>
            <w:shd w:val="clear" w:color="auto" w:fill="auto"/>
            <w:noWrap/>
            <w:vAlign w:val="bottom"/>
          </w:tcPr>
          <w:p w14:paraId="7C60D16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3.82%</w:t>
            </w:r>
          </w:p>
        </w:tc>
        <w:tc>
          <w:tcPr>
            <w:tcW w:w="574" w:type="pct"/>
            <w:tcBorders>
              <w:top w:val="nil"/>
              <w:left w:val="nil"/>
              <w:bottom w:val="nil"/>
              <w:right w:val="nil"/>
            </w:tcBorders>
            <w:shd w:val="clear" w:color="auto" w:fill="auto"/>
            <w:noWrap/>
            <w:vAlign w:val="bottom"/>
          </w:tcPr>
          <w:p w14:paraId="294F92A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-4.72%</w:t>
            </w:r>
          </w:p>
        </w:tc>
        <w:tc>
          <w:tcPr>
            <w:tcW w:w="574" w:type="pct"/>
            <w:tcBorders>
              <w:top w:val="nil"/>
              <w:left w:val="nil"/>
              <w:bottom w:val="nil"/>
              <w:right w:val="nil"/>
            </w:tcBorders>
            <w:shd w:val="clear" w:color="auto" w:fill="auto"/>
            <w:noWrap/>
            <w:vAlign w:val="bottom"/>
          </w:tcPr>
          <w:p w14:paraId="6CBABA5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-4.72%</w:t>
            </w:r>
          </w:p>
        </w:tc>
        <w:tc>
          <w:tcPr>
            <w:tcW w:w="575" w:type="pct"/>
            <w:tcBorders>
              <w:top w:val="nil"/>
              <w:left w:val="nil"/>
              <w:bottom w:val="nil"/>
              <w:right w:val="nil"/>
            </w:tcBorders>
            <w:shd w:val="clear" w:color="auto" w:fill="auto"/>
            <w:noWrap/>
            <w:vAlign w:val="bottom"/>
          </w:tcPr>
          <w:p w14:paraId="528C282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-9.68%</w:t>
            </w:r>
          </w:p>
        </w:tc>
      </w:tr>
      <w:tr w:rsidR="0074478A" w14:paraId="1154CB8F" w14:textId="77777777">
        <w:trPr>
          <w:trHeight w:val="278"/>
        </w:trPr>
        <w:tc>
          <w:tcPr>
            <w:tcW w:w="580" w:type="pct"/>
            <w:vMerge/>
            <w:tcBorders>
              <w:top w:val="nil"/>
              <w:left w:val="nil"/>
              <w:bottom w:val="nil"/>
              <w:right w:val="nil"/>
            </w:tcBorders>
            <w:shd w:val="clear" w:color="auto" w:fill="auto"/>
            <w:noWrap/>
            <w:vAlign w:val="center"/>
          </w:tcPr>
          <w:p w14:paraId="5317729D"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594CA6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782685D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-7.08%</w:t>
            </w:r>
          </w:p>
        </w:tc>
        <w:tc>
          <w:tcPr>
            <w:tcW w:w="574" w:type="pct"/>
            <w:tcBorders>
              <w:top w:val="nil"/>
              <w:left w:val="nil"/>
              <w:bottom w:val="nil"/>
              <w:right w:val="nil"/>
            </w:tcBorders>
            <w:shd w:val="clear" w:color="auto" w:fill="auto"/>
            <w:noWrap/>
            <w:vAlign w:val="center"/>
          </w:tcPr>
          <w:p w14:paraId="78E8BB6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-7.08%</w:t>
            </w:r>
          </w:p>
        </w:tc>
        <w:tc>
          <w:tcPr>
            <w:tcW w:w="574" w:type="pct"/>
            <w:tcBorders>
              <w:top w:val="nil"/>
              <w:left w:val="nil"/>
              <w:bottom w:val="nil"/>
              <w:right w:val="nil"/>
            </w:tcBorders>
            <w:shd w:val="clear" w:color="auto" w:fill="auto"/>
            <w:noWrap/>
            <w:vAlign w:val="center"/>
          </w:tcPr>
          <w:p w14:paraId="136A50D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-7.08%</w:t>
            </w:r>
          </w:p>
        </w:tc>
        <w:tc>
          <w:tcPr>
            <w:tcW w:w="574" w:type="pct"/>
            <w:tcBorders>
              <w:top w:val="nil"/>
              <w:left w:val="nil"/>
              <w:bottom w:val="nil"/>
              <w:right w:val="nil"/>
            </w:tcBorders>
            <w:shd w:val="clear" w:color="auto" w:fill="auto"/>
            <w:noWrap/>
            <w:vAlign w:val="center"/>
          </w:tcPr>
          <w:p w14:paraId="70ABE34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4" w:type="pct"/>
            <w:tcBorders>
              <w:top w:val="nil"/>
              <w:left w:val="nil"/>
              <w:bottom w:val="nil"/>
              <w:right w:val="nil"/>
            </w:tcBorders>
            <w:shd w:val="clear" w:color="auto" w:fill="auto"/>
            <w:noWrap/>
            <w:vAlign w:val="center"/>
          </w:tcPr>
          <w:p w14:paraId="0D3BFEB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5" w:type="pct"/>
            <w:tcBorders>
              <w:top w:val="nil"/>
              <w:left w:val="nil"/>
              <w:bottom w:val="nil"/>
              <w:right w:val="nil"/>
            </w:tcBorders>
            <w:shd w:val="clear" w:color="auto" w:fill="auto"/>
            <w:noWrap/>
            <w:vAlign w:val="center"/>
          </w:tcPr>
          <w:p w14:paraId="51A711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19.71%</w:t>
            </w:r>
          </w:p>
        </w:tc>
      </w:tr>
      <w:tr w:rsidR="0074478A" w14:paraId="572E9D0A" w14:textId="77777777">
        <w:trPr>
          <w:trHeight w:val="278"/>
        </w:trPr>
        <w:tc>
          <w:tcPr>
            <w:tcW w:w="1552" w:type="pct"/>
            <w:gridSpan w:val="2"/>
            <w:tcBorders>
              <w:top w:val="nil"/>
              <w:left w:val="nil"/>
              <w:bottom w:val="nil"/>
              <w:right w:val="nil"/>
            </w:tcBorders>
            <w:shd w:val="clear" w:color="auto" w:fill="auto"/>
            <w:noWrap/>
            <w:vAlign w:val="center"/>
          </w:tcPr>
          <w:p w14:paraId="7D11E691"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32C73CA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06F267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6324765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8DD5EF3"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F90343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4A310F8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4FEA1BF0" w14:textId="77777777">
        <w:trPr>
          <w:trHeight w:val="278"/>
        </w:trPr>
        <w:tc>
          <w:tcPr>
            <w:tcW w:w="1552" w:type="pct"/>
            <w:gridSpan w:val="2"/>
            <w:tcBorders>
              <w:top w:val="nil"/>
              <w:left w:val="nil"/>
              <w:bottom w:val="nil"/>
              <w:right w:val="nil"/>
            </w:tcBorders>
            <w:shd w:val="clear" w:color="auto" w:fill="auto"/>
            <w:noWrap/>
            <w:vAlign w:val="center"/>
          </w:tcPr>
          <w:p w14:paraId="324B7C6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4F020E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±9.50%</w:t>
            </w:r>
          </w:p>
        </w:tc>
        <w:tc>
          <w:tcPr>
            <w:tcW w:w="574" w:type="pct"/>
            <w:tcBorders>
              <w:top w:val="nil"/>
              <w:left w:val="nil"/>
              <w:bottom w:val="nil"/>
              <w:right w:val="nil"/>
            </w:tcBorders>
            <w:shd w:val="clear" w:color="auto" w:fill="auto"/>
            <w:noWrap/>
            <w:vAlign w:val="center"/>
          </w:tcPr>
          <w:p w14:paraId="5B2A510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±4.89%</w:t>
            </w:r>
          </w:p>
        </w:tc>
        <w:tc>
          <w:tcPr>
            <w:tcW w:w="574" w:type="pct"/>
            <w:tcBorders>
              <w:top w:val="nil"/>
              <w:left w:val="nil"/>
              <w:bottom w:val="nil"/>
              <w:right w:val="nil"/>
            </w:tcBorders>
            <w:shd w:val="clear" w:color="auto" w:fill="auto"/>
            <w:noWrap/>
            <w:vAlign w:val="center"/>
          </w:tcPr>
          <w:p w14:paraId="0174162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±9.87%</w:t>
            </w:r>
          </w:p>
        </w:tc>
        <w:tc>
          <w:tcPr>
            <w:tcW w:w="574" w:type="pct"/>
            <w:tcBorders>
              <w:top w:val="nil"/>
              <w:left w:val="nil"/>
              <w:bottom w:val="nil"/>
              <w:right w:val="nil"/>
            </w:tcBorders>
            <w:shd w:val="clear" w:color="auto" w:fill="auto"/>
            <w:noWrap/>
            <w:vAlign w:val="center"/>
          </w:tcPr>
          <w:p w14:paraId="5D81782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±18.09%</w:t>
            </w:r>
          </w:p>
        </w:tc>
        <w:tc>
          <w:tcPr>
            <w:tcW w:w="574" w:type="pct"/>
            <w:tcBorders>
              <w:top w:val="nil"/>
              <w:left w:val="nil"/>
              <w:bottom w:val="nil"/>
              <w:right w:val="nil"/>
            </w:tcBorders>
            <w:shd w:val="clear" w:color="auto" w:fill="auto"/>
            <w:noWrap/>
            <w:vAlign w:val="center"/>
          </w:tcPr>
          <w:p w14:paraId="4AEB68A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41AB6F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±29.19%</w:t>
            </w:r>
          </w:p>
        </w:tc>
      </w:tr>
      <w:tr w:rsidR="0074478A" w14:paraId="290CBFB7" w14:textId="77777777">
        <w:trPr>
          <w:trHeight w:val="278"/>
        </w:trPr>
        <w:tc>
          <w:tcPr>
            <w:tcW w:w="580" w:type="pct"/>
            <w:vMerge w:val="restart"/>
            <w:tcBorders>
              <w:top w:val="nil"/>
              <w:left w:val="nil"/>
              <w:bottom w:val="nil"/>
              <w:right w:val="nil"/>
            </w:tcBorders>
            <w:shd w:val="clear" w:color="auto" w:fill="auto"/>
            <w:noWrap/>
            <w:vAlign w:val="center"/>
          </w:tcPr>
          <w:p w14:paraId="633EA9D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76068D4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4668D0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D3DDE4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985FAD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0.027/0.782</w:t>
            </w:r>
          </w:p>
        </w:tc>
        <w:tc>
          <w:tcPr>
            <w:tcW w:w="574" w:type="pct"/>
            <w:tcBorders>
              <w:top w:val="nil"/>
              <w:left w:val="nil"/>
              <w:bottom w:val="nil"/>
              <w:right w:val="nil"/>
            </w:tcBorders>
            <w:shd w:val="clear" w:color="auto" w:fill="auto"/>
            <w:noWrap/>
            <w:vAlign w:val="center"/>
          </w:tcPr>
          <w:p w14:paraId="53F45C1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0.015/0.932</w:t>
            </w:r>
          </w:p>
        </w:tc>
        <w:tc>
          <w:tcPr>
            <w:tcW w:w="574" w:type="pct"/>
            <w:tcBorders>
              <w:top w:val="nil"/>
              <w:left w:val="nil"/>
              <w:bottom w:val="nil"/>
              <w:right w:val="nil"/>
            </w:tcBorders>
            <w:shd w:val="clear" w:color="auto" w:fill="auto"/>
            <w:noWrap/>
            <w:vAlign w:val="center"/>
          </w:tcPr>
          <w:p w14:paraId="607E170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047441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0.178/0.422</w:t>
            </w:r>
          </w:p>
        </w:tc>
      </w:tr>
      <w:tr w:rsidR="0074478A" w14:paraId="3338D3D0" w14:textId="77777777">
        <w:trPr>
          <w:trHeight w:val="278"/>
        </w:trPr>
        <w:tc>
          <w:tcPr>
            <w:tcW w:w="580" w:type="pct"/>
            <w:vMerge/>
            <w:tcBorders>
              <w:top w:val="nil"/>
              <w:left w:val="nil"/>
              <w:bottom w:val="nil"/>
              <w:right w:val="nil"/>
            </w:tcBorders>
            <w:shd w:val="clear" w:color="auto" w:fill="auto"/>
            <w:noWrap/>
            <w:vAlign w:val="center"/>
          </w:tcPr>
          <w:p w14:paraId="69238547"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2BCDEA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2B712D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-0.008/0.817</w:t>
            </w:r>
          </w:p>
        </w:tc>
        <w:tc>
          <w:tcPr>
            <w:tcW w:w="574" w:type="pct"/>
            <w:tcBorders>
              <w:top w:val="nil"/>
              <w:left w:val="nil"/>
              <w:bottom w:val="nil"/>
              <w:right w:val="nil"/>
            </w:tcBorders>
            <w:shd w:val="clear" w:color="auto" w:fill="auto"/>
            <w:noWrap/>
            <w:vAlign w:val="center"/>
          </w:tcPr>
          <w:p w14:paraId="745AE8A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-0.017/0.555</w:t>
            </w:r>
          </w:p>
        </w:tc>
        <w:tc>
          <w:tcPr>
            <w:tcW w:w="574" w:type="pct"/>
            <w:tcBorders>
              <w:top w:val="nil"/>
              <w:left w:val="nil"/>
              <w:bottom w:val="nil"/>
              <w:right w:val="nil"/>
            </w:tcBorders>
            <w:shd w:val="clear" w:color="auto" w:fill="auto"/>
            <w:noWrap/>
            <w:vAlign w:val="center"/>
          </w:tcPr>
          <w:p w14:paraId="5E9CE03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/1.002</w:t>
            </w:r>
          </w:p>
        </w:tc>
        <w:tc>
          <w:tcPr>
            <w:tcW w:w="574" w:type="pct"/>
            <w:tcBorders>
              <w:top w:val="nil"/>
              <w:left w:val="nil"/>
              <w:bottom w:val="nil"/>
              <w:right w:val="nil"/>
            </w:tcBorders>
            <w:shd w:val="clear" w:color="auto" w:fill="auto"/>
            <w:noWrap/>
            <w:vAlign w:val="center"/>
          </w:tcPr>
          <w:p w14:paraId="435317D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c>
          <w:tcPr>
            <w:tcW w:w="574" w:type="pct"/>
            <w:tcBorders>
              <w:top w:val="nil"/>
              <w:left w:val="nil"/>
              <w:bottom w:val="nil"/>
              <w:right w:val="nil"/>
            </w:tcBorders>
            <w:shd w:val="clear" w:color="auto" w:fill="auto"/>
            <w:noWrap/>
            <w:vAlign w:val="center"/>
          </w:tcPr>
          <w:p w14:paraId="65C770B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F3C313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0.001/0.998</w:t>
            </w:r>
          </w:p>
        </w:tc>
      </w:tr>
      <w:tr w:rsidR="0074478A" w14:paraId="61654F2A" w14:textId="77777777">
        <w:trPr>
          <w:trHeight w:val="278"/>
        </w:trPr>
        <w:tc>
          <w:tcPr>
            <w:tcW w:w="580" w:type="pct"/>
            <w:vMerge/>
            <w:tcBorders>
              <w:top w:val="nil"/>
              <w:left w:val="nil"/>
              <w:bottom w:val="nil"/>
              <w:right w:val="nil"/>
            </w:tcBorders>
            <w:shd w:val="clear" w:color="auto" w:fill="auto"/>
            <w:noWrap/>
            <w:vAlign w:val="center"/>
          </w:tcPr>
          <w:p w14:paraId="26229B52"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8AD5A9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D78A5A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-0.019/0.835</w:t>
            </w:r>
          </w:p>
        </w:tc>
        <w:tc>
          <w:tcPr>
            <w:tcW w:w="574" w:type="pct"/>
            <w:tcBorders>
              <w:top w:val="nil"/>
              <w:left w:val="nil"/>
              <w:bottom w:val="nil"/>
              <w:right w:val="nil"/>
            </w:tcBorders>
            <w:shd w:val="clear" w:color="auto" w:fill="auto"/>
            <w:noWrap/>
            <w:vAlign w:val="center"/>
          </w:tcPr>
          <w:p w14:paraId="2878A36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-0.039/0.257</w:t>
            </w:r>
          </w:p>
        </w:tc>
        <w:tc>
          <w:tcPr>
            <w:tcW w:w="574" w:type="pct"/>
            <w:tcBorders>
              <w:top w:val="nil"/>
              <w:left w:val="nil"/>
              <w:bottom w:val="nil"/>
              <w:right w:val="nil"/>
            </w:tcBorders>
            <w:shd w:val="clear" w:color="auto" w:fill="auto"/>
            <w:noWrap/>
            <w:vAlign w:val="center"/>
          </w:tcPr>
          <w:p w14:paraId="3720AFA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BFF9DB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516B1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686187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59CB9B7C"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069AF878"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23AD0E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59.96%</w:t>
            </w:r>
          </w:p>
        </w:tc>
        <w:tc>
          <w:tcPr>
            <w:tcW w:w="574" w:type="pct"/>
            <w:tcBorders>
              <w:top w:val="nil"/>
              <w:left w:val="nil"/>
              <w:bottom w:val="single" w:sz="12" w:space="0" w:color="auto"/>
              <w:right w:val="nil"/>
            </w:tcBorders>
            <w:shd w:val="clear" w:color="auto" w:fill="auto"/>
            <w:noWrap/>
            <w:vAlign w:val="center"/>
          </w:tcPr>
          <w:p w14:paraId="256C5E4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63.12%</w:t>
            </w:r>
          </w:p>
        </w:tc>
        <w:tc>
          <w:tcPr>
            <w:tcW w:w="574" w:type="pct"/>
            <w:tcBorders>
              <w:top w:val="nil"/>
              <w:left w:val="nil"/>
              <w:bottom w:val="single" w:sz="12" w:space="0" w:color="auto"/>
              <w:right w:val="nil"/>
            </w:tcBorders>
            <w:shd w:val="clear" w:color="auto" w:fill="auto"/>
            <w:noWrap/>
            <w:vAlign w:val="center"/>
          </w:tcPr>
          <w:p w14:paraId="496953B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85.14%</w:t>
            </w:r>
          </w:p>
        </w:tc>
        <w:tc>
          <w:tcPr>
            <w:tcW w:w="574" w:type="pct"/>
            <w:tcBorders>
              <w:top w:val="nil"/>
              <w:left w:val="nil"/>
              <w:bottom w:val="single" w:sz="12" w:space="0" w:color="auto"/>
              <w:right w:val="nil"/>
            </w:tcBorders>
            <w:shd w:val="clear" w:color="auto" w:fill="auto"/>
            <w:noWrap/>
            <w:vAlign w:val="center"/>
          </w:tcPr>
          <w:p w14:paraId="68BC508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53.75%</w:t>
            </w:r>
          </w:p>
        </w:tc>
        <w:tc>
          <w:tcPr>
            <w:tcW w:w="574" w:type="pct"/>
            <w:tcBorders>
              <w:top w:val="nil"/>
              <w:left w:val="nil"/>
              <w:bottom w:val="single" w:sz="12" w:space="0" w:color="auto"/>
              <w:right w:val="nil"/>
            </w:tcBorders>
            <w:shd w:val="clear" w:color="auto" w:fill="auto"/>
            <w:noWrap/>
            <w:vAlign w:val="center"/>
          </w:tcPr>
          <w:p w14:paraId="1B69C00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2F8B1D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84.32%</w:t>
            </w:r>
          </w:p>
        </w:tc>
      </w:tr>
      <w:tr w:rsidR="0074478A" w14:paraId="43E22957"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318D31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1A66FA8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2011/07/29-</w:t>
            </w:r>
            <w:r>
              <w:rPr>
                <w:rFonts w:ascii="Times New Roman" w:eastAsia="SimSun" w:hAnsi="Times New Roman" w:cs="Times New Roman"/>
                <w:color w:val="000000"/>
                <w:kern w:val="0"/>
                <w:szCs w:val="21"/>
                <w:lang w:bidi="ar"/>
              </w:rPr>
              <w:br/>
              <w:t>2014/12/02</w:t>
            </w:r>
          </w:p>
        </w:tc>
        <w:tc>
          <w:tcPr>
            <w:tcW w:w="574" w:type="pct"/>
            <w:tcBorders>
              <w:top w:val="single" w:sz="12" w:space="0" w:color="auto"/>
              <w:left w:val="nil"/>
              <w:bottom w:val="single" w:sz="8" w:space="0" w:color="auto"/>
              <w:right w:val="nil"/>
            </w:tcBorders>
            <w:shd w:val="clear" w:color="auto" w:fill="auto"/>
            <w:noWrap/>
            <w:vAlign w:val="center"/>
          </w:tcPr>
          <w:p w14:paraId="7BA64A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2014/12/03-</w:t>
            </w:r>
            <w:r>
              <w:rPr>
                <w:rFonts w:ascii="Times New Roman" w:eastAsia="SimSun" w:hAnsi="Times New Roman" w:cs="Times New Roman"/>
                <w:color w:val="000000"/>
                <w:kern w:val="0"/>
                <w:szCs w:val="21"/>
                <w:lang w:bidi="ar"/>
              </w:rPr>
              <w:br/>
              <w:t>2015/06/04</w:t>
            </w:r>
          </w:p>
        </w:tc>
        <w:tc>
          <w:tcPr>
            <w:tcW w:w="574" w:type="pct"/>
            <w:tcBorders>
              <w:top w:val="single" w:sz="12" w:space="0" w:color="auto"/>
              <w:left w:val="nil"/>
              <w:bottom w:val="single" w:sz="8" w:space="0" w:color="auto"/>
              <w:right w:val="nil"/>
            </w:tcBorders>
            <w:shd w:val="clear" w:color="auto" w:fill="auto"/>
            <w:noWrap/>
            <w:vAlign w:val="center"/>
          </w:tcPr>
          <w:p w14:paraId="357AD24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2015/06/05-</w:t>
            </w:r>
            <w:r>
              <w:rPr>
                <w:rFonts w:ascii="Times New Roman" w:eastAsia="SimSun" w:hAnsi="Times New Roman" w:cs="Times New Roman"/>
                <w:color w:val="000000"/>
                <w:kern w:val="0"/>
                <w:szCs w:val="21"/>
                <w:lang w:bidi="ar"/>
              </w:rPr>
              <w:br/>
              <w:t>2020/12/31</w:t>
            </w:r>
          </w:p>
        </w:tc>
      </w:tr>
      <w:tr w:rsidR="0074478A" w14:paraId="7FF2D058"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5658BAE2"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506467F"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7CCB3A2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33.84%</w:t>
            </w:r>
          </w:p>
        </w:tc>
        <w:tc>
          <w:tcPr>
            <w:tcW w:w="574" w:type="pct"/>
            <w:tcBorders>
              <w:top w:val="single" w:sz="8" w:space="0" w:color="auto"/>
              <w:left w:val="nil"/>
              <w:bottom w:val="nil"/>
              <w:right w:val="nil"/>
            </w:tcBorders>
            <w:shd w:val="clear" w:color="auto" w:fill="auto"/>
            <w:noWrap/>
            <w:vAlign w:val="bottom"/>
          </w:tcPr>
          <w:p w14:paraId="1B83812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88.46%</w:t>
            </w:r>
          </w:p>
        </w:tc>
        <w:tc>
          <w:tcPr>
            <w:tcW w:w="574" w:type="pct"/>
            <w:tcBorders>
              <w:top w:val="single" w:sz="8" w:space="0" w:color="auto"/>
              <w:left w:val="nil"/>
              <w:bottom w:val="nil"/>
              <w:right w:val="nil"/>
            </w:tcBorders>
            <w:shd w:val="clear" w:color="auto" w:fill="auto"/>
            <w:noWrap/>
            <w:vAlign w:val="bottom"/>
          </w:tcPr>
          <w:p w14:paraId="1EFD8C0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88.46%</w:t>
            </w:r>
          </w:p>
        </w:tc>
      </w:tr>
      <w:tr w:rsidR="0074478A" w14:paraId="78F8C790"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212FC951"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14AD9F4"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6F9841F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56.13%</w:t>
            </w:r>
          </w:p>
        </w:tc>
        <w:tc>
          <w:tcPr>
            <w:tcW w:w="574" w:type="pct"/>
            <w:tcBorders>
              <w:top w:val="nil"/>
              <w:left w:val="nil"/>
              <w:bottom w:val="nil"/>
              <w:right w:val="nil"/>
            </w:tcBorders>
            <w:shd w:val="clear" w:color="auto" w:fill="auto"/>
            <w:noWrap/>
            <w:vAlign w:val="bottom"/>
          </w:tcPr>
          <w:p w14:paraId="3F26FF1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16.13%</w:t>
            </w:r>
          </w:p>
        </w:tc>
        <w:tc>
          <w:tcPr>
            <w:tcW w:w="574" w:type="pct"/>
            <w:tcBorders>
              <w:top w:val="nil"/>
              <w:left w:val="nil"/>
              <w:bottom w:val="nil"/>
              <w:right w:val="nil"/>
            </w:tcBorders>
            <w:shd w:val="clear" w:color="auto" w:fill="auto"/>
            <w:noWrap/>
            <w:vAlign w:val="bottom"/>
          </w:tcPr>
          <w:p w14:paraId="5614D9E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16.13%</w:t>
            </w:r>
          </w:p>
        </w:tc>
      </w:tr>
      <w:tr w:rsidR="0074478A" w14:paraId="3F018BEB"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B0CCC2E"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501FE11"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287CA7A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-9.68%</w:t>
            </w:r>
          </w:p>
        </w:tc>
        <w:tc>
          <w:tcPr>
            <w:tcW w:w="574" w:type="pct"/>
            <w:tcBorders>
              <w:top w:val="nil"/>
              <w:left w:val="nil"/>
              <w:bottom w:val="nil"/>
              <w:right w:val="nil"/>
            </w:tcBorders>
            <w:shd w:val="clear" w:color="auto" w:fill="auto"/>
            <w:noWrap/>
            <w:vAlign w:val="bottom"/>
          </w:tcPr>
          <w:p w14:paraId="51392EA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-33.53%</w:t>
            </w:r>
          </w:p>
        </w:tc>
        <w:tc>
          <w:tcPr>
            <w:tcW w:w="574" w:type="pct"/>
            <w:tcBorders>
              <w:top w:val="nil"/>
              <w:left w:val="nil"/>
              <w:bottom w:val="nil"/>
              <w:right w:val="nil"/>
            </w:tcBorders>
            <w:shd w:val="clear" w:color="auto" w:fill="auto"/>
            <w:noWrap/>
            <w:vAlign w:val="bottom"/>
          </w:tcPr>
          <w:p w14:paraId="19BE925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-33.53%</w:t>
            </w:r>
          </w:p>
        </w:tc>
      </w:tr>
      <w:tr w:rsidR="0074478A" w14:paraId="12C6C8F3"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9618E90"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EA6FC22"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17238BA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19.71%</w:t>
            </w:r>
          </w:p>
        </w:tc>
        <w:tc>
          <w:tcPr>
            <w:tcW w:w="574" w:type="pct"/>
            <w:tcBorders>
              <w:top w:val="nil"/>
              <w:left w:val="nil"/>
              <w:bottom w:val="nil"/>
              <w:right w:val="nil"/>
            </w:tcBorders>
            <w:shd w:val="clear" w:color="auto" w:fill="auto"/>
            <w:noWrap/>
            <w:vAlign w:val="center"/>
          </w:tcPr>
          <w:p w14:paraId="49B2584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28.95%</w:t>
            </w:r>
          </w:p>
        </w:tc>
        <w:tc>
          <w:tcPr>
            <w:tcW w:w="574" w:type="pct"/>
            <w:tcBorders>
              <w:top w:val="nil"/>
              <w:left w:val="nil"/>
              <w:bottom w:val="nil"/>
              <w:right w:val="nil"/>
            </w:tcBorders>
            <w:shd w:val="clear" w:color="auto" w:fill="auto"/>
            <w:noWrap/>
            <w:vAlign w:val="center"/>
          </w:tcPr>
          <w:p w14:paraId="59F1228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28.95%</w:t>
            </w:r>
          </w:p>
        </w:tc>
      </w:tr>
      <w:tr w:rsidR="0074478A" w14:paraId="168A038A"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6F17CA52"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EB9A6E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334489D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6767DCA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24B3A1FE"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47B67011"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lastRenderedPageBreak/>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CF6191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82D43D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B8FBF8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26B9341F"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1A5A6218"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1871FDE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2534F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6DE99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1A6CAA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069AB616"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2A115FCE"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79533C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1F15B1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340B24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403888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35422872"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8481F30"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1E1734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110CBA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C61A37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8C9800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254C9D6A"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46168052"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68459AA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14A38A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76D406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073FB7DD" w14:textId="77777777" w:rsidR="0074478A" w:rsidRDefault="0074478A">
      <w:pPr>
        <w:rPr>
          <w:rFonts w:ascii="Times New Roman" w:hAnsi="Times New Roman" w:cs="Times New Roman"/>
        </w:rPr>
      </w:pPr>
    </w:p>
    <w:p w14:paraId="327D5049" w14:textId="77777777" w:rsidR="0074478A" w:rsidRDefault="00690393">
      <w:pPr>
        <w:rPr>
          <w:rFonts w:ascii="Times New Roman" w:hAnsi="Times New Roman" w:cs="Times New Roman"/>
        </w:rPr>
      </w:pPr>
      <w:r>
        <w:rPr>
          <w:rFonts w:ascii="Times New Roman" w:hAnsi="Times New Roman" w:cs="Times New Roman" w:hint="eastAsia"/>
        </w:rPr>
        <w:t>Panel T: Saudi Arabia</w:t>
      </w:r>
    </w:p>
    <w:tbl>
      <w:tblPr>
        <w:tblW w:w="5000" w:type="pct"/>
        <w:tblLayout w:type="fixed"/>
        <w:tblLook w:val="04A0" w:firstRow="1" w:lastRow="0" w:firstColumn="1" w:lastColumn="0" w:noHBand="0" w:noVBand="1"/>
      </w:tblPr>
      <w:tblGrid>
        <w:gridCol w:w="1620"/>
        <w:gridCol w:w="2714"/>
        <w:gridCol w:w="1603"/>
        <w:gridCol w:w="1603"/>
        <w:gridCol w:w="1603"/>
        <w:gridCol w:w="1603"/>
        <w:gridCol w:w="1606"/>
        <w:gridCol w:w="1606"/>
      </w:tblGrid>
      <w:tr w:rsidR="0074478A" w14:paraId="2D75C38F"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0C7DC07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F4C39D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2000/03/08</w:t>
            </w:r>
          </w:p>
        </w:tc>
        <w:tc>
          <w:tcPr>
            <w:tcW w:w="574" w:type="pct"/>
            <w:tcBorders>
              <w:top w:val="single" w:sz="12" w:space="0" w:color="auto"/>
              <w:left w:val="nil"/>
              <w:bottom w:val="single" w:sz="8" w:space="0" w:color="auto"/>
              <w:right w:val="nil"/>
            </w:tcBorders>
            <w:shd w:val="clear" w:color="auto" w:fill="auto"/>
            <w:noWrap/>
            <w:vAlign w:val="center"/>
          </w:tcPr>
          <w:p w14:paraId="3A53CCF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2000/03/09-</w:t>
            </w:r>
            <w:r>
              <w:rPr>
                <w:rFonts w:ascii="Times New Roman" w:eastAsia="SimSun" w:hAnsi="Times New Roman" w:cs="Times New Roman"/>
                <w:color w:val="000000"/>
                <w:kern w:val="0"/>
                <w:szCs w:val="21"/>
                <w:lang w:bidi="ar"/>
              </w:rPr>
              <w:br/>
              <w:t>2003/01/23</w:t>
            </w:r>
          </w:p>
        </w:tc>
        <w:tc>
          <w:tcPr>
            <w:tcW w:w="574" w:type="pct"/>
            <w:tcBorders>
              <w:top w:val="single" w:sz="12" w:space="0" w:color="auto"/>
              <w:left w:val="nil"/>
              <w:bottom w:val="single" w:sz="8" w:space="0" w:color="auto"/>
              <w:right w:val="nil"/>
            </w:tcBorders>
            <w:shd w:val="clear" w:color="auto" w:fill="auto"/>
            <w:noWrap/>
            <w:vAlign w:val="center"/>
          </w:tcPr>
          <w:p w14:paraId="3BE9F93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2003/01/24-</w:t>
            </w:r>
            <w:r>
              <w:rPr>
                <w:rFonts w:ascii="Times New Roman" w:eastAsia="SimSun" w:hAnsi="Times New Roman" w:cs="Times New Roman"/>
                <w:color w:val="000000"/>
                <w:kern w:val="0"/>
                <w:szCs w:val="21"/>
                <w:lang w:bidi="ar"/>
              </w:rPr>
              <w:br/>
              <w:t>2003/11/12</w:t>
            </w:r>
          </w:p>
        </w:tc>
        <w:tc>
          <w:tcPr>
            <w:tcW w:w="574" w:type="pct"/>
            <w:tcBorders>
              <w:top w:val="single" w:sz="12" w:space="0" w:color="auto"/>
              <w:left w:val="nil"/>
              <w:bottom w:val="single" w:sz="8" w:space="0" w:color="auto"/>
              <w:right w:val="nil"/>
            </w:tcBorders>
            <w:shd w:val="clear" w:color="auto" w:fill="auto"/>
            <w:noWrap/>
            <w:vAlign w:val="center"/>
          </w:tcPr>
          <w:p w14:paraId="1A0B822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2003/11/13-</w:t>
            </w:r>
            <w:r>
              <w:rPr>
                <w:rFonts w:ascii="Times New Roman" w:eastAsia="SimSun" w:hAnsi="Times New Roman" w:cs="Times New Roman"/>
                <w:color w:val="000000"/>
                <w:kern w:val="0"/>
                <w:szCs w:val="21"/>
                <w:lang w:bidi="ar"/>
              </w:rPr>
              <w:br/>
              <w:t>2005/10/06</w:t>
            </w:r>
          </w:p>
        </w:tc>
        <w:tc>
          <w:tcPr>
            <w:tcW w:w="574" w:type="pct"/>
            <w:tcBorders>
              <w:top w:val="single" w:sz="12" w:space="0" w:color="auto"/>
              <w:left w:val="nil"/>
              <w:bottom w:val="single" w:sz="8" w:space="0" w:color="auto"/>
              <w:right w:val="nil"/>
            </w:tcBorders>
            <w:shd w:val="clear" w:color="auto" w:fill="auto"/>
            <w:noWrap/>
            <w:vAlign w:val="center"/>
          </w:tcPr>
          <w:p w14:paraId="468C3E8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2005/10/07-</w:t>
            </w:r>
            <w:r>
              <w:rPr>
                <w:rFonts w:ascii="Times New Roman" w:eastAsia="SimSun" w:hAnsi="Times New Roman" w:cs="Times New Roman"/>
                <w:color w:val="000000"/>
                <w:kern w:val="0"/>
                <w:szCs w:val="21"/>
                <w:lang w:bidi="ar"/>
              </w:rPr>
              <w:br/>
              <w:t>2008/03/19</w:t>
            </w:r>
          </w:p>
        </w:tc>
        <w:tc>
          <w:tcPr>
            <w:tcW w:w="575" w:type="pct"/>
            <w:tcBorders>
              <w:top w:val="single" w:sz="12" w:space="0" w:color="auto"/>
              <w:left w:val="nil"/>
              <w:bottom w:val="single" w:sz="8" w:space="0" w:color="auto"/>
              <w:right w:val="nil"/>
            </w:tcBorders>
            <w:shd w:val="clear" w:color="auto" w:fill="auto"/>
            <w:noWrap/>
            <w:vAlign w:val="center"/>
          </w:tcPr>
          <w:p w14:paraId="0D4865C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2008/03/20-</w:t>
            </w:r>
            <w:r>
              <w:rPr>
                <w:rFonts w:ascii="Times New Roman" w:eastAsia="SimSun" w:hAnsi="Times New Roman" w:cs="Times New Roman"/>
                <w:color w:val="000000"/>
                <w:kern w:val="0"/>
                <w:szCs w:val="21"/>
                <w:lang w:bidi="ar"/>
              </w:rPr>
              <w:br/>
              <w:t>2009/02/02</w:t>
            </w:r>
          </w:p>
        </w:tc>
      </w:tr>
      <w:tr w:rsidR="0074478A" w14:paraId="765FDC29"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9DC223D"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D1A371B"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61C0E27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574" w:type="pct"/>
            <w:tcBorders>
              <w:top w:val="single" w:sz="8" w:space="0" w:color="auto"/>
              <w:left w:val="nil"/>
              <w:bottom w:val="nil"/>
              <w:right w:val="nil"/>
            </w:tcBorders>
            <w:shd w:val="clear" w:color="auto" w:fill="auto"/>
            <w:noWrap/>
            <w:vAlign w:val="bottom"/>
          </w:tcPr>
          <w:p w14:paraId="3FBC0EE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574" w:type="pct"/>
            <w:tcBorders>
              <w:top w:val="single" w:sz="8" w:space="0" w:color="auto"/>
              <w:left w:val="nil"/>
              <w:bottom w:val="nil"/>
              <w:right w:val="nil"/>
            </w:tcBorders>
            <w:shd w:val="clear" w:color="auto" w:fill="auto"/>
            <w:noWrap/>
            <w:vAlign w:val="bottom"/>
          </w:tcPr>
          <w:p w14:paraId="2C936A9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574" w:type="pct"/>
            <w:tcBorders>
              <w:top w:val="single" w:sz="8" w:space="0" w:color="auto"/>
              <w:left w:val="nil"/>
              <w:bottom w:val="nil"/>
              <w:right w:val="nil"/>
            </w:tcBorders>
            <w:shd w:val="clear" w:color="auto" w:fill="auto"/>
            <w:noWrap/>
            <w:vAlign w:val="bottom"/>
          </w:tcPr>
          <w:p w14:paraId="2E6CD3B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574" w:type="pct"/>
            <w:tcBorders>
              <w:top w:val="single" w:sz="8" w:space="0" w:color="auto"/>
              <w:left w:val="nil"/>
              <w:bottom w:val="nil"/>
              <w:right w:val="nil"/>
            </w:tcBorders>
            <w:shd w:val="clear" w:color="auto" w:fill="auto"/>
            <w:noWrap/>
            <w:vAlign w:val="bottom"/>
          </w:tcPr>
          <w:p w14:paraId="2002B11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91.37%</w:t>
            </w:r>
          </w:p>
        </w:tc>
        <w:tc>
          <w:tcPr>
            <w:tcW w:w="575" w:type="pct"/>
            <w:tcBorders>
              <w:top w:val="single" w:sz="8" w:space="0" w:color="auto"/>
              <w:left w:val="nil"/>
              <w:bottom w:val="nil"/>
              <w:right w:val="nil"/>
            </w:tcBorders>
            <w:shd w:val="clear" w:color="auto" w:fill="auto"/>
            <w:noWrap/>
            <w:vAlign w:val="bottom"/>
          </w:tcPr>
          <w:p w14:paraId="22501C7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91.37%</w:t>
            </w:r>
          </w:p>
        </w:tc>
      </w:tr>
      <w:tr w:rsidR="0074478A" w14:paraId="1E1FFCE2" w14:textId="77777777">
        <w:trPr>
          <w:trHeight w:val="278"/>
        </w:trPr>
        <w:tc>
          <w:tcPr>
            <w:tcW w:w="580" w:type="pct"/>
            <w:vMerge/>
            <w:tcBorders>
              <w:top w:val="nil"/>
              <w:left w:val="nil"/>
              <w:bottom w:val="nil"/>
              <w:right w:val="nil"/>
            </w:tcBorders>
            <w:shd w:val="clear" w:color="auto" w:fill="auto"/>
            <w:noWrap/>
            <w:vAlign w:val="center"/>
          </w:tcPr>
          <w:p w14:paraId="568E0B2D"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24FA7F9"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64EBC12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3.40%</w:t>
            </w:r>
          </w:p>
        </w:tc>
        <w:tc>
          <w:tcPr>
            <w:tcW w:w="574" w:type="pct"/>
            <w:tcBorders>
              <w:top w:val="nil"/>
              <w:left w:val="nil"/>
              <w:bottom w:val="nil"/>
              <w:right w:val="nil"/>
            </w:tcBorders>
            <w:shd w:val="clear" w:color="auto" w:fill="auto"/>
            <w:noWrap/>
            <w:vAlign w:val="bottom"/>
          </w:tcPr>
          <w:p w14:paraId="435D591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3.40%</w:t>
            </w:r>
          </w:p>
        </w:tc>
        <w:tc>
          <w:tcPr>
            <w:tcW w:w="574" w:type="pct"/>
            <w:tcBorders>
              <w:top w:val="nil"/>
              <w:left w:val="nil"/>
              <w:bottom w:val="nil"/>
              <w:right w:val="nil"/>
            </w:tcBorders>
            <w:shd w:val="clear" w:color="auto" w:fill="auto"/>
            <w:noWrap/>
            <w:vAlign w:val="bottom"/>
          </w:tcPr>
          <w:p w14:paraId="6F2EDCF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3.40%</w:t>
            </w:r>
          </w:p>
        </w:tc>
        <w:tc>
          <w:tcPr>
            <w:tcW w:w="574" w:type="pct"/>
            <w:tcBorders>
              <w:top w:val="nil"/>
              <w:left w:val="nil"/>
              <w:bottom w:val="nil"/>
              <w:right w:val="nil"/>
            </w:tcBorders>
            <w:shd w:val="clear" w:color="auto" w:fill="auto"/>
            <w:noWrap/>
            <w:vAlign w:val="bottom"/>
          </w:tcPr>
          <w:p w14:paraId="73DF7F8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3.40%</w:t>
            </w:r>
          </w:p>
        </w:tc>
        <w:tc>
          <w:tcPr>
            <w:tcW w:w="574" w:type="pct"/>
            <w:tcBorders>
              <w:top w:val="nil"/>
              <w:left w:val="nil"/>
              <w:bottom w:val="nil"/>
              <w:right w:val="nil"/>
            </w:tcBorders>
            <w:shd w:val="clear" w:color="auto" w:fill="auto"/>
            <w:noWrap/>
            <w:vAlign w:val="bottom"/>
          </w:tcPr>
          <w:p w14:paraId="602CB78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22.64%</w:t>
            </w:r>
          </w:p>
        </w:tc>
        <w:tc>
          <w:tcPr>
            <w:tcW w:w="575" w:type="pct"/>
            <w:tcBorders>
              <w:top w:val="nil"/>
              <w:left w:val="nil"/>
              <w:bottom w:val="nil"/>
              <w:right w:val="nil"/>
            </w:tcBorders>
            <w:shd w:val="clear" w:color="auto" w:fill="auto"/>
            <w:noWrap/>
            <w:vAlign w:val="bottom"/>
          </w:tcPr>
          <w:p w14:paraId="2E8ACE7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22.64%</w:t>
            </w:r>
          </w:p>
        </w:tc>
      </w:tr>
      <w:tr w:rsidR="0074478A" w14:paraId="1BB00A85" w14:textId="77777777">
        <w:trPr>
          <w:trHeight w:val="278"/>
        </w:trPr>
        <w:tc>
          <w:tcPr>
            <w:tcW w:w="580" w:type="pct"/>
            <w:vMerge/>
            <w:tcBorders>
              <w:top w:val="nil"/>
              <w:left w:val="nil"/>
              <w:bottom w:val="nil"/>
              <w:right w:val="nil"/>
            </w:tcBorders>
            <w:shd w:val="clear" w:color="auto" w:fill="auto"/>
            <w:noWrap/>
            <w:vAlign w:val="center"/>
          </w:tcPr>
          <w:p w14:paraId="4C35266B"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E0FB92E"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2C3FD92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1.64%</w:t>
            </w:r>
          </w:p>
        </w:tc>
        <w:tc>
          <w:tcPr>
            <w:tcW w:w="574" w:type="pct"/>
            <w:tcBorders>
              <w:top w:val="nil"/>
              <w:left w:val="nil"/>
              <w:bottom w:val="nil"/>
              <w:right w:val="nil"/>
            </w:tcBorders>
            <w:shd w:val="clear" w:color="auto" w:fill="auto"/>
            <w:noWrap/>
            <w:vAlign w:val="bottom"/>
          </w:tcPr>
          <w:p w14:paraId="287B676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1.64%</w:t>
            </w:r>
          </w:p>
        </w:tc>
        <w:tc>
          <w:tcPr>
            <w:tcW w:w="574" w:type="pct"/>
            <w:tcBorders>
              <w:top w:val="nil"/>
              <w:left w:val="nil"/>
              <w:bottom w:val="nil"/>
              <w:right w:val="nil"/>
            </w:tcBorders>
            <w:shd w:val="clear" w:color="auto" w:fill="auto"/>
            <w:noWrap/>
            <w:vAlign w:val="bottom"/>
          </w:tcPr>
          <w:p w14:paraId="213B461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1.64%</w:t>
            </w:r>
          </w:p>
        </w:tc>
        <w:tc>
          <w:tcPr>
            <w:tcW w:w="574" w:type="pct"/>
            <w:tcBorders>
              <w:top w:val="nil"/>
              <w:left w:val="nil"/>
              <w:bottom w:val="nil"/>
              <w:right w:val="nil"/>
            </w:tcBorders>
            <w:shd w:val="clear" w:color="auto" w:fill="auto"/>
            <w:noWrap/>
            <w:vAlign w:val="bottom"/>
          </w:tcPr>
          <w:p w14:paraId="79FBDDF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1.64%</w:t>
            </w:r>
          </w:p>
        </w:tc>
        <w:tc>
          <w:tcPr>
            <w:tcW w:w="574" w:type="pct"/>
            <w:tcBorders>
              <w:top w:val="nil"/>
              <w:left w:val="nil"/>
              <w:bottom w:val="nil"/>
              <w:right w:val="nil"/>
            </w:tcBorders>
            <w:shd w:val="clear" w:color="auto" w:fill="auto"/>
            <w:noWrap/>
            <w:vAlign w:val="bottom"/>
          </w:tcPr>
          <w:p w14:paraId="4E7FBDE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-6.78%</w:t>
            </w:r>
          </w:p>
        </w:tc>
        <w:tc>
          <w:tcPr>
            <w:tcW w:w="575" w:type="pct"/>
            <w:tcBorders>
              <w:top w:val="nil"/>
              <w:left w:val="nil"/>
              <w:bottom w:val="nil"/>
              <w:right w:val="nil"/>
            </w:tcBorders>
            <w:shd w:val="clear" w:color="auto" w:fill="auto"/>
            <w:noWrap/>
            <w:vAlign w:val="bottom"/>
          </w:tcPr>
          <w:p w14:paraId="15A5FB8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-6.78%</w:t>
            </w:r>
          </w:p>
        </w:tc>
      </w:tr>
      <w:tr w:rsidR="0074478A" w14:paraId="6E3DEE11" w14:textId="77777777">
        <w:trPr>
          <w:trHeight w:val="278"/>
        </w:trPr>
        <w:tc>
          <w:tcPr>
            <w:tcW w:w="580" w:type="pct"/>
            <w:vMerge/>
            <w:tcBorders>
              <w:top w:val="nil"/>
              <w:left w:val="nil"/>
              <w:bottom w:val="nil"/>
              <w:right w:val="nil"/>
            </w:tcBorders>
            <w:shd w:val="clear" w:color="auto" w:fill="auto"/>
            <w:noWrap/>
            <w:vAlign w:val="center"/>
          </w:tcPr>
          <w:p w14:paraId="4B904FEE"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A573F77"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002AA88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-0.28%</w:t>
            </w:r>
          </w:p>
        </w:tc>
        <w:tc>
          <w:tcPr>
            <w:tcW w:w="574" w:type="pct"/>
            <w:tcBorders>
              <w:top w:val="nil"/>
              <w:left w:val="nil"/>
              <w:bottom w:val="nil"/>
              <w:right w:val="nil"/>
            </w:tcBorders>
            <w:shd w:val="clear" w:color="auto" w:fill="auto"/>
            <w:noWrap/>
            <w:vAlign w:val="center"/>
          </w:tcPr>
          <w:p w14:paraId="7F90E77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-0.28%</w:t>
            </w:r>
          </w:p>
        </w:tc>
        <w:tc>
          <w:tcPr>
            <w:tcW w:w="574" w:type="pct"/>
            <w:tcBorders>
              <w:top w:val="nil"/>
              <w:left w:val="nil"/>
              <w:bottom w:val="nil"/>
              <w:right w:val="nil"/>
            </w:tcBorders>
            <w:shd w:val="clear" w:color="auto" w:fill="auto"/>
            <w:noWrap/>
            <w:vAlign w:val="center"/>
          </w:tcPr>
          <w:p w14:paraId="750D7E1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-0.28%</w:t>
            </w:r>
          </w:p>
        </w:tc>
        <w:tc>
          <w:tcPr>
            <w:tcW w:w="574" w:type="pct"/>
            <w:tcBorders>
              <w:top w:val="nil"/>
              <w:left w:val="nil"/>
              <w:bottom w:val="nil"/>
              <w:right w:val="nil"/>
            </w:tcBorders>
            <w:shd w:val="clear" w:color="auto" w:fill="auto"/>
            <w:noWrap/>
            <w:vAlign w:val="center"/>
          </w:tcPr>
          <w:p w14:paraId="21AA9B1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-0.28%</w:t>
            </w:r>
          </w:p>
        </w:tc>
        <w:tc>
          <w:tcPr>
            <w:tcW w:w="574" w:type="pct"/>
            <w:tcBorders>
              <w:top w:val="nil"/>
              <w:left w:val="nil"/>
              <w:bottom w:val="nil"/>
              <w:right w:val="nil"/>
            </w:tcBorders>
            <w:shd w:val="clear" w:color="auto" w:fill="auto"/>
            <w:noWrap/>
            <w:vAlign w:val="center"/>
          </w:tcPr>
          <w:p w14:paraId="290B678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-7.23%</w:t>
            </w:r>
          </w:p>
        </w:tc>
        <w:tc>
          <w:tcPr>
            <w:tcW w:w="575" w:type="pct"/>
            <w:tcBorders>
              <w:top w:val="nil"/>
              <w:left w:val="nil"/>
              <w:bottom w:val="nil"/>
              <w:right w:val="nil"/>
            </w:tcBorders>
            <w:shd w:val="clear" w:color="auto" w:fill="auto"/>
            <w:noWrap/>
            <w:vAlign w:val="center"/>
          </w:tcPr>
          <w:p w14:paraId="358FF1D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-7.23%</w:t>
            </w:r>
          </w:p>
        </w:tc>
      </w:tr>
      <w:tr w:rsidR="0074478A" w14:paraId="4667556F" w14:textId="77777777">
        <w:trPr>
          <w:trHeight w:val="278"/>
        </w:trPr>
        <w:tc>
          <w:tcPr>
            <w:tcW w:w="1552" w:type="pct"/>
            <w:gridSpan w:val="2"/>
            <w:tcBorders>
              <w:top w:val="nil"/>
              <w:left w:val="nil"/>
              <w:bottom w:val="nil"/>
              <w:right w:val="nil"/>
            </w:tcBorders>
            <w:shd w:val="clear" w:color="auto" w:fill="auto"/>
            <w:noWrap/>
            <w:vAlign w:val="center"/>
          </w:tcPr>
          <w:p w14:paraId="58E2F304"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591CF9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15D4FC3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6DBA9B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40A70A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F907FB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5580B9D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09A86510" w14:textId="77777777">
        <w:trPr>
          <w:trHeight w:val="278"/>
        </w:trPr>
        <w:tc>
          <w:tcPr>
            <w:tcW w:w="1552" w:type="pct"/>
            <w:gridSpan w:val="2"/>
            <w:tcBorders>
              <w:top w:val="nil"/>
              <w:left w:val="nil"/>
              <w:bottom w:val="nil"/>
              <w:right w:val="nil"/>
            </w:tcBorders>
            <w:shd w:val="clear" w:color="auto" w:fill="auto"/>
            <w:noWrap/>
            <w:vAlign w:val="center"/>
          </w:tcPr>
          <w:p w14:paraId="054570B9"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402242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132AA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FBCA2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2ACD75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BCF235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48B938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3ADE1365" w14:textId="77777777">
        <w:trPr>
          <w:trHeight w:val="278"/>
        </w:trPr>
        <w:tc>
          <w:tcPr>
            <w:tcW w:w="580" w:type="pct"/>
            <w:vMerge w:val="restart"/>
            <w:tcBorders>
              <w:top w:val="nil"/>
              <w:left w:val="nil"/>
              <w:bottom w:val="nil"/>
              <w:right w:val="nil"/>
            </w:tcBorders>
            <w:shd w:val="clear" w:color="auto" w:fill="auto"/>
            <w:noWrap/>
            <w:vAlign w:val="center"/>
          </w:tcPr>
          <w:p w14:paraId="1C39CC5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705FE70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A302E0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562748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D1CF21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A7FA1F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D762DB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9C4B84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63666B25" w14:textId="77777777">
        <w:trPr>
          <w:trHeight w:val="278"/>
        </w:trPr>
        <w:tc>
          <w:tcPr>
            <w:tcW w:w="580" w:type="pct"/>
            <w:vMerge/>
            <w:tcBorders>
              <w:top w:val="nil"/>
              <w:left w:val="nil"/>
              <w:bottom w:val="nil"/>
              <w:right w:val="nil"/>
            </w:tcBorders>
            <w:shd w:val="clear" w:color="auto" w:fill="auto"/>
            <w:noWrap/>
            <w:vAlign w:val="center"/>
          </w:tcPr>
          <w:p w14:paraId="749AEBD8"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656BBB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6C849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2793B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75A748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435169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3AF830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F419E6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0734EBA1" w14:textId="77777777">
        <w:trPr>
          <w:trHeight w:val="278"/>
        </w:trPr>
        <w:tc>
          <w:tcPr>
            <w:tcW w:w="580" w:type="pct"/>
            <w:vMerge/>
            <w:tcBorders>
              <w:top w:val="nil"/>
              <w:left w:val="nil"/>
              <w:bottom w:val="nil"/>
              <w:right w:val="nil"/>
            </w:tcBorders>
            <w:shd w:val="clear" w:color="auto" w:fill="auto"/>
            <w:noWrap/>
            <w:vAlign w:val="center"/>
          </w:tcPr>
          <w:p w14:paraId="6B295E34"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D0FE315"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5876F9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7D0372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9E11B2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BDB794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DC8E8B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F94B6C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0B9204A8"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1440325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7DD9006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8F29CB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E71B0E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A9B704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82EDA5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87A015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7A9A900D" w14:textId="77777777">
        <w:trPr>
          <w:gridAfter w:val="1"/>
          <w:wAfter w:w="575"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BC94E4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74CD3B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2009/02/03-</w:t>
            </w:r>
            <w:r>
              <w:rPr>
                <w:rFonts w:ascii="Times New Roman" w:eastAsia="SimSun" w:hAnsi="Times New Roman" w:cs="Times New Roman"/>
                <w:color w:val="000000"/>
                <w:kern w:val="0"/>
                <w:szCs w:val="21"/>
                <w:lang w:bidi="ar"/>
              </w:rPr>
              <w:br/>
              <w:t>2012/06/25</w:t>
            </w:r>
          </w:p>
        </w:tc>
        <w:tc>
          <w:tcPr>
            <w:tcW w:w="574" w:type="pct"/>
            <w:tcBorders>
              <w:top w:val="single" w:sz="12" w:space="0" w:color="auto"/>
              <w:left w:val="nil"/>
              <w:bottom w:val="single" w:sz="8" w:space="0" w:color="auto"/>
              <w:right w:val="nil"/>
            </w:tcBorders>
            <w:shd w:val="clear" w:color="auto" w:fill="auto"/>
            <w:noWrap/>
            <w:vAlign w:val="center"/>
          </w:tcPr>
          <w:p w14:paraId="00758C1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2012/06/26-</w:t>
            </w:r>
            <w:r>
              <w:rPr>
                <w:rFonts w:ascii="Times New Roman" w:eastAsia="SimSun" w:hAnsi="Times New Roman" w:cs="Times New Roman"/>
                <w:color w:val="000000"/>
                <w:kern w:val="0"/>
                <w:szCs w:val="21"/>
                <w:lang w:bidi="ar"/>
              </w:rPr>
              <w:br/>
              <w:t>2015/04/02</w:t>
            </w:r>
          </w:p>
        </w:tc>
        <w:tc>
          <w:tcPr>
            <w:tcW w:w="574" w:type="pct"/>
            <w:tcBorders>
              <w:top w:val="single" w:sz="12" w:space="0" w:color="auto"/>
              <w:left w:val="nil"/>
              <w:bottom w:val="single" w:sz="8" w:space="0" w:color="auto"/>
              <w:right w:val="nil"/>
            </w:tcBorders>
            <w:shd w:val="clear" w:color="auto" w:fill="auto"/>
            <w:noWrap/>
            <w:vAlign w:val="center"/>
          </w:tcPr>
          <w:p w14:paraId="388C514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2015/04/03-</w:t>
            </w:r>
            <w:r>
              <w:rPr>
                <w:rFonts w:ascii="Times New Roman" w:eastAsia="SimSun" w:hAnsi="Times New Roman" w:cs="Times New Roman"/>
                <w:color w:val="000000"/>
                <w:kern w:val="0"/>
                <w:szCs w:val="21"/>
                <w:lang w:bidi="ar"/>
              </w:rPr>
              <w:br/>
              <w:t>2018/09/13</w:t>
            </w:r>
          </w:p>
        </w:tc>
        <w:tc>
          <w:tcPr>
            <w:tcW w:w="574" w:type="pct"/>
            <w:tcBorders>
              <w:top w:val="single" w:sz="12" w:space="0" w:color="auto"/>
              <w:left w:val="nil"/>
              <w:bottom w:val="single" w:sz="8" w:space="0" w:color="auto"/>
              <w:right w:val="nil"/>
            </w:tcBorders>
            <w:shd w:val="clear" w:color="auto" w:fill="auto"/>
            <w:noWrap/>
            <w:vAlign w:val="center"/>
          </w:tcPr>
          <w:p w14:paraId="7A1610F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2018/09/14-</w:t>
            </w:r>
            <w:r>
              <w:rPr>
                <w:rFonts w:ascii="Times New Roman" w:eastAsia="SimSun" w:hAnsi="Times New Roman" w:cs="Times New Roman"/>
                <w:color w:val="000000"/>
                <w:kern w:val="0"/>
                <w:szCs w:val="21"/>
                <w:lang w:bidi="ar"/>
              </w:rPr>
              <w:br/>
              <w:t>2019/10/23</w:t>
            </w:r>
          </w:p>
        </w:tc>
        <w:tc>
          <w:tcPr>
            <w:tcW w:w="575" w:type="pct"/>
            <w:tcBorders>
              <w:top w:val="single" w:sz="12" w:space="0" w:color="auto"/>
              <w:left w:val="nil"/>
              <w:bottom w:val="single" w:sz="8" w:space="0" w:color="auto"/>
              <w:right w:val="nil"/>
            </w:tcBorders>
            <w:shd w:val="clear" w:color="auto" w:fill="auto"/>
            <w:noWrap/>
            <w:vAlign w:val="center"/>
          </w:tcPr>
          <w:p w14:paraId="3B95BDA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2019/10/24-</w:t>
            </w:r>
            <w:r>
              <w:rPr>
                <w:rFonts w:ascii="Times New Roman" w:eastAsia="SimSun" w:hAnsi="Times New Roman" w:cs="Times New Roman"/>
                <w:color w:val="000000"/>
                <w:kern w:val="0"/>
                <w:szCs w:val="21"/>
                <w:lang w:bidi="ar"/>
              </w:rPr>
              <w:br/>
              <w:t>2020/12/31</w:t>
            </w:r>
          </w:p>
        </w:tc>
      </w:tr>
      <w:tr w:rsidR="0074478A" w14:paraId="1BC679D3" w14:textId="77777777">
        <w:trPr>
          <w:gridAfter w:val="1"/>
          <w:wAfter w:w="575" w:type="pct"/>
          <w:trHeight w:val="278"/>
        </w:trPr>
        <w:tc>
          <w:tcPr>
            <w:tcW w:w="580" w:type="pct"/>
            <w:vMerge w:val="restart"/>
            <w:tcBorders>
              <w:top w:val="single" w:sz="8" w:space="0" w:color="auto"/>
              <w:left w:val="nil"/>
              <w:bottom w:val="nil"/>
              <w:right w:val="nil"/>
            </w:tcBorders>
            <w:shd w:val="clear" w:color="auto" w:fill="auto"/>
            <w:noWrap/>
            <w:vAlign w:val="center"/>
          </w:tcPr>
          <w:p w14:paraId="16954CBE"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78ADDEF9"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4150016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87.94%</w:t>
            </w:r>
          </w:p>
        </w:tc>
        <w:tc>
          <w:tcPr>
            <w:tcW w:w="574" w:type="pct"/>
            <w:tcBorders>
              <w:top w:val="single" w:sz="8" w:space="0" w:color="auto"/>
              <w:left w:val="nil"/>
              <w:bottom w:val="nil"/>
              <w:right w:val="nil"/>
            </w:tcBorders>
            <w:shd w:val="clear" w:color="auto" w:fill="auto"/>
            <w:noWrap/>
            <w:vAlign w:val="bottom"/>
          </w:tcPr>
          <w:p w14:paraId="355190B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87.94%</w:t>
            </w:r>
          </w:p>
        </w:tc>
        <w:tc>
          <w:tcPr>
            <w:tcW w:w="574" w:type="pct"/>
            <w:tcBorders>
              <w:top w:val="single" w:sz="8" w:space="0" w:color="auto"/>
              <w:left w:val="nil"/>
              <w:bottom w:val="nil"/>
              <w:right w:val="nil"/>
            </w:tcBorders>
            <w:shd w:val="clear" w:color="auto" w:fill="auto"/>
            <w:noWrap/>
            <w:vAlign w:val="bottom"/>
          </w:tcPr>
          <w:p w14:paraId="1529E2A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87.94%</w:t>
            </w:r>
          </w:p>
        </w:tc>
        <w:tc>
          <w:tcPr>
            <w:tcW w:w="574" w:type="pct"/>
            <w:tcBorders>
              <w:top w:val="single" w:sz="8" w:space="0" w:color="auto"/>
              <w:left w:val="nil"/>
              <w:bottom w:val="nil"/>
              <w:right w:val="nil"/>
            </w:tcBorders>
            <w:shd w:val="clear" w:color="auto" w:fill="auto"/>
            <w:noWrap/>
            <w:vAlign w:val="bottom"/>
          </w:tcPr>
          <w:p w14:paraId="02E9B5AF" w14:textId="77777777" w:rsidR="0074478A" w:rsidRDefault="00690393">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87.94%</w:t>
            </w:r>
          </w:p>
        </w:tc>
        <w:tc>
          <w:tcPr>
            <w:tcW w:w="575" w:type="pct"/>
            <w:tcBorders>
              <w:top w:val="single" w:sz="8" w:space="0" w:color="auto"/>
              <w:left w:val="nil"/>
              <w:bottom w:val="nil"/>
              <w:right w:val="nil"/>
            </w:tcBorders>
            <w:shd w:val="clear" w:color="auto" w:fill="auto"/>
            <w:noWrap/>
            <w:vAlign w:val="bottom"/>
          </w:tcPr>
          <w:p w14:paraId="5AEB9BD7" w14:textId="77777777" w:rsidR="0074478A" w:rsidRDefault="00690393">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87.94%</w:t>
            </w:r>
          </w:p>
        </w:tc>
      </w:tr>
      <w:tr w:rsidR="0074478A" w14:paraId="544B9AA7"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283C61A8"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F7B20E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21A9301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w:t>
            </w:r>
          </w:p>
        </w:tc>
        <w:tc>
          <w:tcPr>
            <w:tcW w:w="574" w:type="pct"/>
            <w:tcBorders>
              <w:top w:val="nil"/>
              <w:left w:val="nil"/>
              <w:bottom w:val="nil"/>
              <w:right w:val="nil"/>
            </w:tcBorders>
            <w:shd w:val="clear" w:color="auto" w:fill="auto"/>
            <w:noWrap/>
            <w:vAlign w:val="bottom"/>
          </w:tcPr>
          <w:p w14:paraId="72A64F0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w:t>
            </w:r>
          </w:p>
        </w:tc>
        <w:tc>
          <w:tcPr>
            <w:tcW w:w="574" w:type="pct"/>
            <w:tcBorders>
              <w:top w:val="nil"/>
              <w:left w:val="nil"/>
              <w:bottom w:val="nil"/>
              <w:right w:val="nil"/>
            </w:tcBorders>
            <w:shd w:val="clear" w:color="auto" w:fill="auto"/>
            <w:noWrap/>
            <w:vAlign w:val="bottom"/>
          </w:tcPr>
          <w:p w14:paraId="7132784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w:t>
            </w:r>
          </w:p>
        </w:tc>
        <w:tc>
          <w:tcPr>
            <w:tcW w:w="574" w:type="pct"/>
            <w:tcBorders>
              <w:top w:val="nil"/>
              <w:left w:val="nil"/>
              <w:bottom w:val="nil"/>
              <w:right w:val="nil"/>
            </w:tcBorders>
            <w:shd w:val="clear" w:color="auto" w:fill="auto"/>
            <w:noWrap/>
            <w:vAlign w:val="bottom"/>
          </w:tcPr>
          <w:p w14:paraId="383C8F83" w14:textId="77777777" w:rsidR="0074478A" w:rsidRDefault="00690393">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3.78%</w:t>
            </w:r>
          </w:p>
        </w:tc>
        <w:tc>
          <w:tcPr>
            <w:tcW w:w="575" w:type="pct"/>
            <w:tcBorders>
              <w:top w:val="nil"/>
              <w:left w:val="nil"/>
              <w:bottom w:val="nil"/>
              <w:right w:val="nil"/>
            </w:tcBorders>
            <w:shd w:val="clear" w:color="auto" w:fill="auto"/>
            <w:noWrap/>
            <w:vAlign w:val="bottom"/>
          </w:tcPr>
          <w:p w14:paraId="065A6118" w14:textId="77777777" w:rsidR="0074478A" w:rsidRDefault="00690393">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3.78%</w:t>
            </w:r>
          </w:p>
        </w:tc>
      </w:tr>
      <w:tr w:rsidR="0074478A" w14:paraId="34F71126"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7378D6B3"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DD18FA7"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6B80F8F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2.36%</w:t>
            </w:r>
          </w:p>
        </w:tc>
        <w:tc>
          <w:tcPr>
            <w:tcW w:w="574" w:type="pct"/>
            <w:tcBorders>
              <w:top w:val="nil"/>
              <w:left w:val="nil"/>
              <w:bottom w:val="nil"/>
              <w:right w:val="nil"/>
            </w:tcBorders>
            <w:shd w:val="clear" w:color="auto" w:fill="auto"/>
            <w:noWrap/>
            <w:vAlign w:val="bottom"/>
          </w:tcPr>
          <w:p w14:paraId="4DDC334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2.36%</w:t>
            </w:r>
          </w:p>
        </w:tc>
        <w:tc>
          <w:tcPr>
            <w:tcW w:w="574" w:type="pct"/>
            <w:tcBorders>
              <w:top w:val="nil"/>
              <w:left w:val="nil"/>
              <w:bottom w:val="nil"/>
              <w:right w:val="nil"/>
            </w:tcBorders>
            <w:shd w:val="clear" w:color="auto" w:fill="auto"/>
            <w:noWrap/>
            <w:vAlign w:val="bottom"/>
          </w:tcPr>
          <w:p w14:paraId="13A9493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2.36%</w:t>
            </w:r>
          </w:p>
        </w:tc>
        <w:tc>
          <w:tcPr>
            <w:tcW w:w="574" w:type="pct"/>
            <w:tcBorders>
              <w:top w:val="nil"/>
              <w:left w:val="nil"/>
              <w:bottom w:val="nil"/>
              <w:right w:val="nil"/>
            </w:tcBorders>
            <w:shd w:val="clear" w:color="auto" w:fill="auto"/>
            <w:noWrap/>
            <w:vAlign w:val="bottom"/>
          </w:tcPr>
          <w:p w14:paraId="606ADC48" w14:textId="77777777" w:rsidR="0074478A" w:rsidRDefault="00690393">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2.36%</w:t>
            </w:r>
          </w:p>
        </w:tc>
        <w:tc>
          <w:tcPr>
            <w:tcW w:w="575" w:type="pct"/>
            <w:tcBorders>
              <w:top w:val="nil"/>
              <w:left w:val="nil"/>
              <w:bottom w:val="nil"/>
              <w:right w:val="nil"/>
            </w:tcBorders>
            <w:shd w:val="clear" w:color="auto" w:fill="auto"/>
            <w:noWrap/>
            <w:vAlign w:val="bottom"/>
          </w:tcPr>
          <w:p w14:paraId="7E91A86B" w14:textId="77777777" w:rsidR="0074478A" w:rsidRDefault="00690393">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2.36%</w:t>
            </w:r>
          </w:p>
        </w:tc>
      </w:tr>
      <w:tr w:rsidR="0074478A" w14:paraId="08CC6F2D"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0559B773" w14:textId="77777777" w:rsidR="0074478A" w:rsidRDefault="0074478A">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DDF65AE"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5E4CB92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5.91%</w:t>
            </w:r>
          </w:p>
        </w:tc>
        <w:tc>
          <w:tcPr>
            <w:tcW w:w="574" w:type="pct"/>
            <w:tcBorders>
              <w:top w:val="nil"/>
              <w:left w:val="nil"/>
              <w:bottom w:val="nil"/>
              <w:right w:val="nil"/>
            </w:tcBorders>
            <w:shd w:val="clear" w:color="auto" w:fill="auto"/>
            <w:noWrap/>
            <w:vAlign w:val="center"/>
          </w:tcPr>
          <w:p w14:paraId="4068BB9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5.91%</w:t>
            </w:r>
          </w:p>
        </w:tc>
        <w:tc>
          <w:tcPr>
            <w:tcW w:w="574" w:type="pct"/>
            <w:tcBorders>
              <w:top w:val="nil"/>
              <w:left w:val="nil"/>
              <w:bottom w:val="nil"/>
              <w:right w:val="nil"/>
            </w:tcBorders>
            <w:shd w:val="clear" w:color="auto" w:fill="auto"/>
            <w:noWrap/>
            <w:vAlign w:val="center"/>
          </w:tcPr>
          <w:p w14:paraId="0CF0FA8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5.91%</w:t>
            </w:r>
          </w:p>
        </w:tc>
        <w:tc>
          <w:tcPr>
            <w:tcW w:w="574" w:type="pct"/>
            <w:tcBorders>
              <w:top w:val="nil"/>
              <w:left w:val="nil"/>
              <w:bottom w:val="nil"/>
              <w:right w:val="nil"/>
            </w:tcBorders>
            <w:shd w:val="clear" w:color="auto" w:fill="auto"/>
            <w:noWrap/>
            <w:vAlign w:val="center"/>
          </w:tcPr>
          <w:p w14:paraId="13C6E342" w14:textId="77777777" w:rsidR="0074478A" w:rsidRDefault="00690393">
            <w:pPr>
              <w:widowControl/>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5.91%</w:t>
            </w:r>
          </w:p>
        </w:tc>
        <w:tc>
          <w:tcPr>
            <w:tcW w:w="575" w:type="pct"/>
            <w:tcBorders>
              <w:top w:val="nil"/>
              <w:left w:val="nil"/>
              <w:bottom w:val="nil"/>
              <w:right w:val="nil"/>
            </w:tcBorders>
            <w:shd w:val="clear" w:color="auto" w:fill="auto"/>
            <w:noWrap/>
            <w:vAlign w:val="center"/>
          </w:tcPr>
          <w:p w14:paraId="50091DE3" w14:textId="77777777" w:rsidR="0074478A" w:rsidRDefault="00690393">
            <w:pPr>
              <w:widowControl/>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5.91%</w:t>
            </w:r>
          </w:p>
        </w:tc>
      </w:tr>
      <w:tr w:rsidR="0074478A" w14:paraId="184FF5F0" w14:textId="77777777">
        <w:trPr>
          <w:gridAfter w:val="1"/>
          <w:wAfter w:w="575" w:type="pct"/>
          <w:trHeight w:val="278"/>
        </w:trPr>
        <w:tc>
          <w:tcPr>
            <w:tcW w:w="1552" w:type="pct"/>
            <w:gridSpan w:val="2"/>
            <w:tcBorders>
              <w:top w:val="nil"/>
              <w:left w:val="nil"/>
              <w:bottom w:val="nil"/>
              <w:right w:val="nil"/>
            </w:tcBorders>
            <w:shd w:val="clear" w:color="auto" w:fill="auto"/>
            <w:noWrap/>
            <w:vAlign w:val="center"/>
          </w:tcPr>
          <w:p w14:paraId="25D1BF6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AA9ADA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A77156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57D5D3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56D314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5907B8F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r>
      <w:tr w:rsidR="0074478A" w14:paraId="7A1E3D32" w14:textId="77777777">
        <w:trPr>
          <w:gridAfter w:val="1"/>
          <w:wAfter w:w="575" w:type="pct"/>
          <w:trHeight w:val="278"/>
        </w:trPr>
        <w:tc>
          <w:tcPr>
            <w:tcW w:w="1552" w:type="pct"/>
            <w:gridSpan w:val="2"/>
            <w:tcBorders>
              <w:top w:val="nil"/>
              <w:left w:val="nil"/>
              <w:bottom w:val="nil"/>
              <w:right w:val="nil"/>
            </w:tcBorders>
            <w:shd w:val="clear" w:color="auto" w:fill="auto"/>
            <w:noWrap/>
            <w:vAlign w:val="center"/>
          </w:tcPr>
          <w:p w14:paraId="4E9AA49F"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lastRenderedPageBreak/>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DAA369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5FCF5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467F2D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2DCC5C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A9D284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2C65CD2E" w14:textId="77777777">
        <w:trPr>
          <w:gridAfter w:val="1"/>
          <w:wAfter w:w="575" w:type="pct"/>
          <w:trHeight w:val="278"/>
        </w:trPr>
        <w:tc>
          <w:tcPr>
            <w:tcW w:w="580" w:type="pct"/>
            <w:vMerge w:val="restart"/>
            <w:tcBorders>
              <w:top w:val="nil"/>
              <w:left w:val="nil"/>
              <w:bottom w:val="nil"/>
              <w:right w:val="nil"/>
            </w:tcBorders>
            <w:shd w:val="clear" w:color="auto" w:fill="auto"/>
            <w:noWrap/>
            <w:vAlign w:val="center"/>
          </w:tcPr>
          <w:p w14:paraId="751EA378"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3372199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B4DB94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FCAEFA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758BF5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2B17F7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E73D2A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568AFB44"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587D1621"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1C6E79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6AEC8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A48BEE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3D12D3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AC15E4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74A402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749813A7"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2CD65245" w14:textId="77777777" w:rsidR="0074478A" w:rsidRDefault="0074478A">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51EF07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EFCD9E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541563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95D61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D434D8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A031DB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07030CE5" w14:textId="77777777">
        <w:trPr>
          <w:gridAfter w:val="1"/>
          <w:wAfter w:w="575" w:type="pct"/>
          <w:trHeight w:val="278"/>
        </w:trPr>
        <w:tc>
          <w:tcPr>
            <w:tcW w:w="1552" w:type="pct"/>
            <w:gridSpan w:val="2"/>
            <w:tcBorders>
              <w:top w:val="nil"/>
              <w:left w:val="nil"/>
              <w:bottom w:val="single" w:sz="12" w:space="0" w:color="auto"/>
              <w:right w:val="nil"/>
            </w:tcBorders>
            <w:shd w:val="clear" w:color="auto" w:fill="auto"/>
            <w:noWrap/>
            <w:vAlign w:val="center"/>
          </w:tcPr>
          <w:p w14:paraId="0936D885"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81D1AB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F95D0D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17AA2F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78CA16F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7BE122D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1B125EDF" w14:textId="77777777" w:rsidR="0074478A" w:rsidRDefault="0074478A">
      <w:pPr>
        <w:rPr>
          <w:rFonts w:ascii="Times New Roman" w:hAnsi="Times New Roman" w:cs="Times New Roman"/>
        </w:rPr>
      </w:pPr>
    </w:p>
    <w:p w14:paraId="2ACE54E6" w14:textId="77777777" w:rsidR="0074478A" w:rsidRDefault="00690393">
      <w:pPr>
        <w:rPr>
          <w:rFonts w:ascii="Times New Roman" w:hAnsi="Times New Roman" w:cs="Times New Roman"/>
        </w:rPr>
      </w:pPr>
      <w:r>
        <w:rPr>
          <w:rFonts w:ascii="Times New Roman" w:hAnsi="Times New Roman" w:cs="Times New Roman" w:hint="eastAsia"/>
        </w:rPr>
        <w:t>Panel U: Singapore</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14:paraId="3413853E"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489BC4C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1AD8321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2002/04/16</w:t>
            </w:r>
          </w:p>
        </w:tc>
        <w:tc>
          <w:tcPr>
            <w:tcW w:w="1627" w:type="dxa"/>
            <w:tcBorders>
              <w:top w:val="single" w:sz="12" w:space="0" w:color="auto"/>
              <w:left w:val="nil"/>
              <w:bottom w:val="single" w:sz="8" w:space="0" w:color="auto"/>
              <w:right w:val="nil"/>
            </w:tcBorders>
            <w:shd w:val="clear" w:color="auto" w:fill="auto"/>
            <w:noWrap/>
            <w:vAlign w:val="center"/>
          </w:tcPr>
          <w:p w14:paraId="7305D67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2002/04/17-</w:t>
            </w:r>
            <w:r>
              <w:rPr>
                <w:rFonts w:ascii="Times New Roman" w:eastAsia="SimSun" w:hAnsi="Times New Roman" w:cs="Times New Roman"/>
                <w:color w:val="000000"/>
                <w:kern w:val="0"/>
                <w:szCs w:val="21"/>
                <w:lang w:bidi="ar"/>
              </w:rPr>
              <w:br/>
              <w:t>2006/12/08</w:t>
            </w:r>
          </w:p>
        </w:tc>
        <w:tc>
          <w:tcPr>
            <w:tcW w:w="1627" w:type="dxa"/>
            <w:tcBorders>
              <w:top w:val="single" w:sz="12" w:space="0" w:color="auto"/>
              <w:left w:val="nil"/>
              <w:bottom w:val="single" w:sz="8" w:space="0" w:color="auto"/>
              <w:right w:val="nil"/>
            </w:tcBorders>
            <w:shd w:val="clear" w:color="auto" w:fill="auto"/>
            <w:noWrap/>
            <w:vAlign w:val="center"/>
          </w:tcPr>
          <w:p w14:paraId="4200C18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2006/12/09-</w:t>
            </w:r>
            <w:r>
              <w:rPr>
                <w:rFonts w:ascii="Times New Roman" w:eastAsia="SimSun" w:hAnsi="Times New Roman" w:cs="Times New Roman"/>
                <w:color w:val="000000"/>
                <w:kern w:val="0"/>
                <w:szCs w:val="21"/>
                <w:lang w:bidi="ar"/>
              </w:rPr>
              <w:br/>
              <w:t>2009/05/25</w:t>
            </w:r>
          </w:p>
        </w:tc>
        <w:tc>
          <w:tcPr>
            <w:tcW w:w="1627" w:type="dxa"/>
            <w:tcBorders>
              <w:top w:val="single" w:sz="12" w:space="0" w:color="auto"/>
              <w:left w:val="nil"/>
              <w:bottom w:val="single" w:sz="8" w:space="0" w:color="auto"/>
              <w:right w:val="nil"/>
            </w:tcBorders>
            <w:shd w:val="clear" w:color="auto" w:fill="auto"/>
            <w:noWrap/>
            <w:vAlign w:val="center"/>
          </w:tcPr>
          <w:p w14:paraId="320E656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2009/05/26-</w:t>
            </w:r>
            <w:r>
              <w:rPr>
                <w:rFonts w:ascii="Times New Roman" w:eastAsia="SimSun" w:hAnsi="Times New Roman" w:cs="Times New Roman"/>
                <w:color w:val="000000"/>
                <w:kern w:val="0"/>
                <w:szCs w:val="21"/>
                <w:lang w:bidi="ar"/>
              </w:rPr>
              <w:br/>
              <w:t>2010/11/25</w:t>
            </w:r>
          </w:p>
        </w:tc>
        <w:tc>
          <w:tcPr>
            <w:tcW w:w="1627" w:type="dxa"/>
            <w:tcBorders>
              <w:top w:val="single" w:sz="12" w:space="0" w:color="auto"/>
              <w:left w:val="nil"/>
              <w:bottom w:val="single" w:sz="8" w:space="0" w:color="auto"/>
              <w:right w:val="nil"/>
            </w:tcBorders>
            <w:shd w:val="clear" w:color="auto" w:fill="auto"/>
            <w:noWrap/>
            <w:vAlign w:val="center"/>
          </w:tcPr>
          <w:p w14:paraId="6D546A0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2010/11/26-</w:t>
            </w:r>
            <w:r>
              <w:rPr>
                <w:rFonts w:ascii="Times New Roman" w:eastAsia="SimSun" w:hAnsi="Times New Roman" w:cs="Times New Roman"/>
                <w:color w:val="000000"/>
                <w:kern w:val="0"/>
                <w:szCs w:val="21"/>
                <w:lang w:bidi="ar"/>
              </w:rPr>
              <w:br/>
              <w:t>2016/05/06</w:t>
            </w:r>
          </w:p>
        </w:tc>
        <w:tc>
          <w:tcPr>
            <w:tcW w:w="1632" w:type="dxa"/>
            <w:tcBorders>
              <w:top w:val="single" w:sz="12" w:space="0" w:color="auto"/>
              <w:left w:val="nil"/>
              <w:bottom w:val="single" w:sz="8" w:space="0" w:color="auto"/>
              <w:right w:val="nil"/>
            </w:tcBorders>
            <w:shd w:val="clear" w:color="auto" w:fill="auto"/>
            <w:noWrap/>
            <w:vAlign w:val="center"/>
          </w:tcPr>
          <w:p w14:paraId="5A74209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2016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color w:val="000000"/>
                <w:kern w:val="0"/>
                <w:szCs w:val="21"/>
                <w:lang w:bidi="ar"/>
              </w:rPr>
              <w:br/>
              <w:t>2020/12/31</w:t>
            </w:r>
          </w:p>
        </w:tc>
      </w:tr>
      <w:tr w:rsidR="0074478A" w14:paraId="77B24883"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6BEB786F"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43781D28"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627" w:type="dxa"/>
            <w:tcBorders>
              <w:top w:val="single" w:sz="8" w:space="0" w:color="auto"/>
              <w:left w:val="nil"/>
              <w:bottom w:val="nil"/>
              <w:right w:val="nil"/>
            </w:tcBorders>
            <w:shd w:val="clear" w:color="auto" w:fill="auto"/>
            <w:vAlign w:val="bottom"/>
          </w:tcPr>
          <w:p w14:paraId="7203517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84.16%</w:t>
            </w:r>
          </w:p>
        </w:tc>
        <w:tc>
          <w:tcPr>
            <w:tcW w:w="1627" w:type="dxa"/>
            <w:tcBorders>
              <w:top w:val="single" w:sz="8" w:space="0" w:color="auto"/>
              <w:left w:val="nil"/>
              <w:bottom w:val="nil"/>
              <w:right w:val="nil"/>
            </w:tcBorders>
            <w:shd w:val="clear" w:color="auto" w:fill="auto"/>
            <w:noWrap/>
            <w:vAlign w:val="bottom"/>
          </w:tcPr>
          <w:p w14:paraId="0459E69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60.34%</w:t>
            </w:r>
          </w:p>
        </w:tc>
        <w:tc>
          <w:tcPr>
            <w:tcW w:w="1627" w:type="dxa"/>
            <w:tcBorders>
              <w:top w:val="single" w:sz="8" w:space="0" w:color="auto"/>
              <w:left w:val="nil"/>
              <w:bottom w:val="nil"/>
              <w:right w:val="nil"/>
            </w:tcBorders>
            <w:shd w:val="clear" w:color="auto" w:fill="auto"/>
            <w:noWrap/>
            <w:vAlign w:val="bottom"/>
          </w:tcPr>
          <w:p w14:paraId="07F072C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67.50%</w:t>
            </w:r>
          </w:p>
        </w:tc>
        <w:tc>
          <w:tcPr>
            <w:tcW w:w="1627" w:type="dxa"/>
            <w:tcBorders>
              <w:top w:val="single" w:sz="8" w:space="0" w:color="auto"/>
              <w:left w:val="nil"/>
              <w:bottom w:val="nil"/>
              <w:right w:val="nil"/>
            </w:tcBorders>
            <w:shd w:val="clear" w:color="auto" w:fill="auto"/>
            <w:noWrap/>
            <w:vAlign w:val="bottom"/>
          </w:tcPr>
          <w:p w14:paraId="2E70AF3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67.50%</w:t>
            </w:r>
          </w:p>
        </w:tc>
        <w:tc>
          <w:tcPr>
            <w:tcW w:w="1627" w:type="dxa"/>
            <w:tcBorders>
              <w:top w:val="single" w:sz="8" w:space="0" w:color="auto"/>
              <w:left w:val="nil"/>
              <w:bottom w:val="nil"/>
              <w:right w:val="nil"/>
            </w:tcBorders>
            <w:shd w:val="clear" w:color="auto" w:fill="auto"/>
            <w:noWrap/>
            <w:vAlign w:val="bottom"/>
          </w:tcPr>
          <w:p w14:paraId="33FE7FD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45.05%</w:t>
            </w:r>
          </w:p>
        </w:tc>
        <w:tc>
          <w:tcPr>
            <w:tcW w:w="1632" w:type="dxa"/>
            <w:tcBorders>
              <w:top w:val="single" w:sz="8" w:space="0" w:color="auto"/>
              <w:left w:val="nil"/>
              <w:bottom w:val="nil"/>
              <w:right w:val="nil"/>
            </w:tcBorders>
            <w:shd w:val="clear" w:color="auto" w:fill="auto"/>
            <w:noWrap/>
            <w:vAlign w:val="bottom"/>
          </w:tcPr>
          <w:p w14:paraId="457A163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47.27%</w:t>
            </w:r>
          </w:p>
        </w:tc>
      </w:tr>
      <w:tr w:rsidR="0074478A" w14:paraId="3CE7E954" w14:textId="77777777">
        <w:trPr>
          <w:trHeight w:val="278"/>
        </w:trPr>
        <w:tc>
          <w:tcPr>
            <w:tcW w:w="576" w:type="pct"/>
            <w:vMerge/>
            <w:tcBorders>
              <w:top w:val="nil"/>
              <w:left w:val="nil"/>
              <w:bottom w:val="nil"/>
              <w:right w:val="nil"/>
            </w:tcBorders>
            <w:shd w:val="clear" w:color="auto" w:fill="auto"/>
            <w:noWrap/>
            <w:vAlign w:val="center"/>
          </w:tcPr>
          <w:p w14:paraId="0D94CD51"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0955C7E"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627" w:type="dxa"/>
            <w:tcBorders>
              <w:top w:val="nil"/>
              <w:left w:val="nil"/>
              <w:bottom w:val="nil"/>
              <w:right w:val="nil"/>
            </w:tcBorders>
            <w:shd w:val="clear" w:color="auto" w:fill="auto"/>
            <w:noWrap/>
            <w:vAlign w:val="bottom"/>
          </w:tcPr>
          <w:p w14:paraId="1D0A0CD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5.53%</w:t>
            </w:r>
          </w:p>
        </w:tc>
        <w:tc>
          <w:tcPr>
            <w:tcW w:w="1627" w:type="dxa"/>
            <w:tcBorders>
              <w:top w:val="nil"/>
              <w:left w:val="nil"/>
              <w:bottom w:val="nil"/>
              <w:right w:val="nil"/>
            </w:tcBorders>
            <w:shd w:val="clear" w:color="auto" w:fill="auto"/>
            <w:noWrap/>
            <w:vAlign w:val="bottom"/>
          </w:tcPr>
          <w:p w14:paraId="259C51E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9.13%</w:t>
            </w:r>
          </w:p>
        </w:tc>
        <w:tc>
          <w:tcPr>
            <w:tcW w:w="1627" w:type="dxa"/>
            <w:tcBorders>
              <w:top w:val="nil"/>
              <w:left w:val="nil"/>
              <w:bottom w:val="nil"/>
              <w:right w:val="nil"/>
            </w:tcBorders>
            <w:shd w:val="clear" w:color="auto" w:fill="auto"/>
            <w:noWrap/>
            <w:vAlign w:val="bottom"/>
          </w:tcPr>
          <w:p w14:paraId="78FDE52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32.23%</w:t>
            </w:r>
          </w:p>
        </w:tc>
        <w:tc>
          <w:tcPr>
            <w:tcW w:w="1627" w:type="dxa"/>
            <w:tcBorders>
              <w:top w:val="nil"/>
              <w:left w:val="nil"/>
              <w:bottom w:val="nil"/>
              <w:right w:val="nil"/>
            </w:tcBorders>
            <w:shd w:val="clear" w:color="auto" w:fill="auto"/>
            <w:noWrap/>
            <w:vAlign w:val="bottom"/>
          </w:tcPr>
          <w:p w14:paraId="3F4DD14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32.23%</w:t>
            </w:r>
          </w:p>
        </w:tc>
        <w:tc>
          <w:tcPr>
            <w:tcW w:w="1627" w:type="dxa"/>
            <w:tcBorders>
              <w:top w:val="nil"/>
              <w:left w:val="nil"/>
              <w:bottom w:val="nil"/>
              <w:right w:val="nil"/>
            </w:tcBorders>
            <w:shd w:val="clear" w:color="auto" w:fill="auto"/>
            <w:noWrap/>
            <w:vAlign w:val="bottom"/>
          </w:tcPr>
          <w:p w14:paraId="27627A3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24.00%</w:t>
            </w:r>
          </w:p>
        </w:tc>
        <w:tc>
          <w:tcPr>
            <w:tcW w:w="1632" w:type="dxa"/>
            <w:tcBorders>
              <w:top w:val="nil"/>
              <w:left w:val="nil"/>
              <w:bottom w:val="nil"/>
              <w:right w:val="nil"/>
            </w:tcBorders>
            <w:shd w:val="clear" w:color="auto" w:fill="auto"/>
            <w:noWrap/>
            <w:vAlign w:val="bottom"/>
          </w:tcPr>
          <w:p w14:paraId="07F77FA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30.95%</w:t>
            </w:r>
          </w:p>
        </w:tc>
      </w:tr>
      <w:tr w:rsidR="0074478A" w14:paraId="7C9E34C1" w14:textId="77777777">
        <w:trPr>
          <w:trHeight w:val="278"/>
        </w:trPr>
        <w:tc>
          <w:tcPr>
            <w:tcW w:w="576" w:type="pct"/>
            <w:vMerge/>
            <w:tcBorders>
              <w:top w:val="nil"/>
              <w:left w:val="nil"/>
              <w:bottom w:val="nil"/>
              <w:right w:val="nil"/>
            </w:tcBorders>
            <w:shd w:val="clear" w:color="auto" w:fill="auto"/>
            <w:noWrap/>
            <w:vAlign w:val="center"/>
          </w:tcPr>
          <w:p w14:paraId="27EF0AF1"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88387B6"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627" w:type="dxa"/>
            <w:tcBorders>
              <w:top w:val="nil"/>
              <w:left w:val="nil"/>
              <w:bottom w:val="nil"/>
              <w:right w:val="nil"/>
            </w:tcBorders>
            <w:shd w:val="clear" w:color="auto" w:fill="auto"/>
            <w:noWrap/>
            <w:vAlign w:val="bottom"/>
          </w:tcPr>
          <w:p w14:paraId="08FA018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13.91%</w:t>
            </w:r>
          </w:p>
        </w:tc>
        <w:tc>
          <w:tcPr>
            <w:tcW w:w="1627" w:type="dxa"/>
            <w:tcBorders>
              <w:top w:val="nil"/>
              <w:left w:val="nil"/>
              <w:bottom w:val="nil"/>
              <w:right w:val="nil"/>
            </w:tcBorders>
            <w:shd w:val="clear" w:color="auto" w:fill="auto"/>
            <w:noWrap/>
            <w:vAlign w:val="bottom"/>
          </w:tcPr>
          <w:p w14:paraId="7A19323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26.79%</w:t>
            </w:r>
          </w:p>
        </w:tc>
        <w:tc>
          <w:tcPr>
            <w:tcW w:w="1627" w:type="dxa"/>
            <w:tcBorders>
              <w:top w:val="nil"/>
              <w:left w:val="nil"/>
              <w:bottom w:val="nil"/>
              <w:right w:val="nil"/>
            </w:tcBorders>
            <w:shd w:val="clear" w:color="auto" w:fill="auto"/>
            <w:noWrap/>
            <w:vAlign w:val="bottom"/>
          </w:tcPr>
          <w:p w14:paraId="33A76AB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-4.38%</w:t>
            </w:r>
          </w:p>
        </w:tc>
        <w:tc>
          <w:tcPr>
            <w:tcW w:w="1627" w:type="dxa"/>
            <w:tcBorders>
              <w:top w:val="nil"/>
              <w:left w:val="nil"/>
              <w:bottom w:val="nil"/>
              <w:right w:val="nil"/>
            </w:tcBorders>
            <w:shd w:val="clear" w:color="auto" w:fill="auto"/>
            <w:noWrap/>
            <w:vAlign w:val="bottom"/>
          </w:tcPr>
          <w:p w14:paraId="38B53A4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-4.38%</w:t>
            </w:r>
          </w:p>
        </w:tc>
        <w:tc>
          <w:tcPr>
            <w:tcW w:w="1627" w:type="dxa"/>
            <w:tcBorders>
              <w:top w:val="nil"/>
              <w:left w:val="nil"/>
              <w:bottom w:val="nil"/>
              <w:right w:val="nil"/>
            </w:tcBorders>
            <w:shd w:val="clear" w:color="auto" w:fill="auto"/>
            <w:noWrap/>
            <w:vAlign w:val="bottom"/>
          </w:tcPr>
          <w:p w14:paraId="1B88B8A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6.09%</w:t>
            </w:r>
          </w:p>
        </w:tc>
        <w:tc>
          <w:tcPr>
            <w:tcW w:w="1632" w:type="dxa"/>
            <w:tcBorders>
              <w:top w:val="nil"/>
              <w:left w:val="nil"/>
              <w:bottom w:val="nil"/>
              <w:right w:val="nil"/>
            </w:tcBorders>
            <w:shd w:val="clear" w:color="auto" w:fill="auto"/>
            <w:noWrap/>
            <w:vAlign w:val="bottom"/>
          </w:tcPr>
          <w:p w14:paraId="67211E8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10.81%</w:t>
            </w:r>
          </w:p>
        </w:tc>
      </w:tr>
      <w:tr w:rsidR="0074478A" w14:paraId="0DA19573" w14:textId="77777777">
        <w:trPr>
          <w:trHeight w:val="278"/>
        </w:trPr>
        <w:tc>
          <w:tcPr>
            <w:tcW w:w="576" w:type="pct"/>
            <w:vMerge/>
            <w:tcBorders>
              <w:top w:val="nil"/>
              <w:left w:val="nil"/>
              <w:bottom w:val="nil"/>
              <w:right w:val="nil"/>
            </w:tcBorders>
            <w:shd w:val="clear" w:color="auto" w:fill="auto"/>
            <w:noWrap/>
            <w:vAlign w:val="center"/>
          </w:tcPr>
          <w:p w14:paraId="5C5AC407"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11F1A62"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627" w:type="dxa"/>
            <w:tcBorders>
              <w:top w:val="nil"/>
              <w:left w:val="nil"/>
              <w:bottom w:val="nil"/>
              <w:right w:val="nil"/>
            </w:tcBorders>
            <w:shd w:val="clear" w:color="auto" w:fill="auto"/>
            <w:vAlign w:val="center"/>
          </w:tcPr>
          <w:p w14:paraId="4143F34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-3.60%</w:t>
            </w:r>
          </w:p>
        </w:tc>
        <w:tc>
          <w:tcPr>
            <w:tcW w:w="1627" w:type="dxa"/>
            <w:tcBorders>
              <w:top w:val="nil"/>
              <w:left w:val="nil"/>
              <w:bottom w:val="nil"/>
              <w:right w:val="nil"/>
            </w:tcBorders>
            <w:shd w:val="clear" w:color="auto" w:fill="auto"/>
            <w:noWrap/>
            <w:vAlign w:val="center"/>
          </w:tcPr>
          <w:p w14:paraId="66D89DD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3.74%</w:t>
            </w:r>
          </w:p>
        </w:tc>
        <w:tc>
          <w:tcPr>
            <w:tcW w:w="1627" w:type="dxa"/>
            <w:tcBorders>
              <w:top w:val="nil"/>
              <w:left w:val="nil"/>
              <w:bottom w:val="nil"/>
              <w:right w:val="nil"/>
            </w:tcBorders>
            <w:shd w:val="clear" w:color="auto" w:fill="auto"/>
            <w:noWrap/>
            <w:vAlign w:val="center"/>
          </w:tcPr>
          <w:p w14:paraId="1F2B4F8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4.65%</w:t>
            </w:r>
          </w:p>
        </w:tc>
        <w:tc>
          <w:tcPr>
            <w:tcW w:w="1627" w:type="dxa"/>
            <w:tcBorders>
              <w:top w:val="nil"/>
              <w:left w:val="nil"/>
              <w:bottom w:val="nil"/>
              <w:right w:val="nil"/>
            </w:tcBorders>
            <w:shd w:val="clear" w:color="auto" w:fill="auto"/>
            <w:noWrap/>
            <w:vAlign w:val="center"/>
          </w:tcPr>
          <w:p w14:paraId="5B9646B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4.65%</w:t>
            </w:r>
          </w:p>
        </w:tc>
        <w:tc>
          <w:tcPr>
            <w:tcW w:w="1627" w:type="dxa"/>
            <w:tcBorders>
              <w:top w:val="nil"/>
              <w:left w:val="nil"/>
              <w:bottom w:val="nil"/>
              <w:right w:val="nil"/>
            </w:tcBorders>
            <w:shd w:val="clear" w:color="auto" w:fill="auto"/>
            <w:noWrap/>
            <w:vAlign w:val="center"/>
          </w:tcPr>
          <w:p w14:paraId="2F2359B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24.85%</w:t>
            </w:r>
          </w:p>
        </w:tc>
        <w:tc>
          <w:tcPr>
            <w:tcW w:w="1632" w:type="dxa"/>
            <w:tcBorders>
              <w:top w:val="nil"/>
              <w:left w:val="nil"/>
              <w:bottom w:val="nil"/>
              <w:right w:val="nil"/>
            </w:tcBorders>
            <w:shd w:val="clear" w:color="auto" w:fill="auto"/>
            <w:noWrap/>
            <w:vAlign w:val="center"/>
          </w:tcPr>
          <w:p w14:paraId="7A363BD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10.97%</w:t>
            </w:r>
          </w:p>
        </w:tc>
      </w:tr>
      <w:tr w:rsidR="0074478A" w14:paraId="23A2BE0C" w14:textId="77777777">
        <w:trPr>
          <w:trHeight w:val="278"/>
        </w:trPr>
        <w:tc>
          <w:tcPr>
            <w:tcW w:w="1551" w:type="pct"/>
            <w:gridSpan w:val="2"/>
            <w:tcBorders>
              <w:top w:val="nil"/>
              <w:left w:val="nil"/>
              <w:bottom w:val="nil"/>
              <w:right w:val="nil"/>
            </w:tcBorders>
            <w:shd w:val="clear" w:color="auto" w:fill="auto"/>
            <w:noWrap/>
            <w:vAlign w:val="center"/>
          </w:tcPr>
          <w:p w14:paraId="0AEF0C1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0FAE668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30A0230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6CC98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7B9E1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36D1A6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6" w:type="pct"/>
            <w:tcBorders>
              <w:top w:val="nil"/>
              <w:left w:val="nil"/>
              <w:bottom w:val="nil"/>
              <w:right w:val="nil"/>
            </w:tcBorders>
            <w:shd w:val="clear" w:color="auto" w:fill="auto"/>
            <w:noWrap/>
            <w:vAlign w:val="center"/>
          </w:tcPr>
          <w:p w14:paraId="4B9B65F1"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43AF4E42" w14:textId="77777777">
        <w:trPr>
          <w:trHeight w:val="278"/>
        </w:trPr>
        <w:tc>
          <w:tcPr>
            <w:tcW w:w="1551" w:type="pct"/>
            <w:gridSpan w:val="2"/>
            <w:tcBorders>
              <w:top w:val="nil"/>
              <w:left w:val="nil"/>
              <w:bottom w:val="nil"/>
              <w:right w:val="nil"/>
            </w:tcBorders>
            <w:shd w:val="clear" w:color="auto" w:fill="auto"/>
            <w:noWrap/>
            <w:vAlign w:val="center"/>
          </w:tcPr>
          <w:p w14:paraId="356190A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AF621C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F7B302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±4.35%</w:t>
            </w:r>
          </w:p>
        </w:tc>
        <w:tc>
          <w:tcPr>
            <w:tcW w:w="1627" w:type="dxa"/>
            <w:tcBorders>
              <w:top w:val="nil"/>
              <w:left w:val="nil"/>
              <w:bottom w:val="nil"/>
              <w:right w:val="nil"/>
            </w:tcBorders>
            <w:shd w:val="clear" w:color="auto" w:fill="auto"/>
            <w:noWrap/>
            <w:vAlign w:val="center"/>
          </w:tcPr>
          <w:p w14:paraId="43F3260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±6.18%</w:t>
            </w:r>
          </w:p>
        </w:tc>
        <w:tc>
          <w:tcPr>
            <w:tcW w:w="1627" w:type="dxa"/>
            <w:tcBorders>
              <w:top w:val="nil"/>
              <w:left w:val="nil"/>
              <w:bottom w:val="nil"/>
              <w:right w:val="nil"/>
            </w:tcBorders>
            <w:shd w:val="clear" w:color="auto" w:fill="auto"/>
            <w:noWrap/>
            <w:vAlign w:val="center"/>
          </w:tcPr>
          <w:p w14:paraId="6207B16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C2E108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±5.78%</w:t>
            </w:r>
          </w:p>
        </w:tc>
        <w:tc>
          <w:tcPr>
            <w:tcW w:w="1632" w:type="dxa"/>
            <w:tcBorders>
              <w:top w:val="nil"/>
              <w:left w:val="nil"/>
              <w:bottom w:val="nil"/>
              <w:right w:val="nil"/>
            </w:tcBorders>
            <w:shd w:val="clear" w:color="auto" w:fill="auto"/>
            <w:noWrap/>
            <w:vAlign w:val="center"/>
          </w:tcPr>
          <w:p w14:paraId="6E3D609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3D939C78" w14:textId="77777777">
        <w:trPr>
          <w:trHeight w:val="278"/>
        </w:trPr>
        <w:tc>
          <w:tcPr>
            <w:tcW w:w="576" w:type="pct"/>
            <w:vMerge w:val="restart"/>
            <w:tcBorders>
              <w:top w:val="nil"/>
              <w:left w:val="nil"/>
              <w:bottom w:val="nil"/>
              <w:right w:val="nil"/>
            </w:tcBorders>
            <w:shd w:val="clear" w:color="auto" w:fill="auto"/>
            <w:noWrap/>
            <w:vAlign w:val="center"/>
          </w:tcPr>
          <w:p w14:paraId="375A05E1"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13A062A8"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AF579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063BA0F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89B18B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10F2CE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2E3A2AE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0.008/0.869</w:t>
            </w:r>
          </w:p>
        </w:tc>
        <w:tc>
          <w:tcPr>
            <w:tcW w:w="1632" w:type="dxa"/>
            <w:tcBorders>
              <w:top w:val="nil"/>
              <w:left w:val="nil"/>
              <w:bottom w:val="nil"/>
              <w:right w:val="nil"/>
            </w:tcBorders>
            <w:shd w:val="clear" w:color="auto" w:fill="auto"/>
            <w:noWrap/>
            <w:vAlign w:val="center"/>
          </w:tcPr>
          <w:p w14:paraId="088DA8D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0CE91402" w14:textId="77777777">
        <w:trPr>
          <w:trHeight w:val="278"/>
        </w:trPr>
        <w:tc>
          <w:tcPr>
            <w:tcW w:w="576" w:type="pct"/>
            <w:vMerge/>
            <w:tcBorders>
              <w:top w:val="nil"/>
              <w:left w:val="nil"/>
              <w:bottom w:val="nil"/>
              <w:right w:val="nil"/>
            </w:tcBorders>
            <w:shd w:val="clear" w:color="auto" w:fill="auto"/>
            <w:noWrap/>
            <w:vAlign w:val="center"/>
          </w:tcPr>
          <w:p w14:paraId="62E6894C"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12E236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2118E8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696601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/0.991</w:t>
            </w:r>
          </w:p>
        </w:tc>
        <w:tc>
          <w:tcPr>
            <w:tcW w:w="1627" w:type="dxa"/>
            <w:tcBorders>
              <w:top w:val="nil"/>
              <w:left w:val="nil"/>
              <w:bottom w:val="nil"/>
              <w:right w:val="nil"/>
            </w:tcBorders>
            <w:shd w:val="clear" w:color="auto" w:fill="auto"/>
            <w:noWrap/>
            <w:vAlign w:val="center"/>
          </w:tcPr>
          <w:p w14:paraId="21EFF91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/0.988</w:t>
            </w:r>
          </w:p>
        </w:tc>
        <w:tc>
          <w:tcPr>
            <w:tcW w:w="1627" w:type="dxa"/>
            <w:tcBorders>
              <w:top w:val="nil"/>
              <w:left w:val="nil"/>
              <w:bottom w:val="nil"/>
              <w:right w:val="nil"/>
            </w:tcBorders>
            <w:shd w:val="clear" w:color="auto" w:fill="auto"/>
            <w:noWrap/>
            <w:vAlign w:val="center"/>
          </w:tcPr>
          <w:p w14:paraId="0E32BDF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BADAC4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/0.991</w:t>
            </w:r>
          </w:p>
        </w:tc>
        <w:tc>
          <w:tcPr>
            <w:tcW w:w="1632" w:type="dxa"/>
            <w:tcBorders>
              <w:top w:val="nil"/>
              <w:left w:val="nil"/>
              <w:bottom w:val="nil"/>
              <w:right w:val="nil"/>
            </w:tcBorders>
            <w:shd w:val="clear" w:color="auto" w:fill="auto"/>
            <w:noWrap/>
            <w:vAlign w:val="center"/>
          </w:tcPr>
          <w:p w14:paraId="60B7F96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68009098" w14:textId="77777777">
        <w:trPr>
          <w:trHeight w:val="278"/>
        </w:trPr>
        <w:tc>
          <w:tcPr>
            <w:tcW w:w="576" w:type="pct"/>
            <w:vMerge/>
            <w:tcBorders>
              <w:top w:val="nil"/>
              <w:left w:val="nil"/>
              <w:bottom w:val="nil"/>
              <w:right w:val="nil"/>
            </w:tcBorders>
            <w:shd w:val="clear" w:color="auto" w:fill="auto"/>
            <w:noWrap/>
            <w:vAlign w:val="center"/>
          </w:tcPr>
          <w:p w14:paraId="64B14DCB"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102400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E5E6FB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7F04A9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-0.002/0.96</w:t>
            </w:r>
            <w:r>
              <w:rPr>
                <w:rFonts w:ascii="Times New Roman" w:eastAsia="SimSun" w:hAnsi="Times New Roman" w:cs="Times New Roman" w:hint="eastAsia"/>
                <w:color w:val="000000"/>
                <w:kern w:val="0"/>
                <w:szCs w:val="21"/>
                <w:lang w:bidi="ar"/>
              </w:rPr>
              <w:t>0</w:t>
            </w:r>
          </w:p>
        </w:tc>
        <w:tc>
          <w:tcPr>
            <w:tcW w:w="1627" w:type="dxa"/>
            <w:tcBorders>
              <w:top w:val="nil"/>
              <w:left w:val="nil"/>
              <w:bottom w:val="nil"/>
              <w:right w:val="nil"/>
            </w:tcBorders>
            <w:shd w:val="clear" w:color="auto" w:fill="auto"/>
            <w:noWrap/>
            <w:vAlign w:val="center"/>
          </w:tcPr>
          <w:p w14:paraId="7869A3D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-0.052/0.211</w:t>
            </w:r>
          </w:p>
        </w:tc>
        <w:tc>
          <w:tcPr>
            <w:tcW w:w="1627" w:type="dxa"/>
            <w:tcBorders>
              <w:top w:val="nil"/>
              <w:left w:val="nil"/>
              <w:bottom w:val="nil"/>
              <w:right w:val="nil"/>
            </w:tcBorders>
            <w:shd w:val="clear" w:color="auto" w:fill="auto"/>
            <w:noWrap/>
            <w:vAlign w:val="center"/>
          </w:tcPr>
          <w:p w14:paraId="07BF896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A064E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32" w:type="dxa"/>
            <w:tcBorders>
              <w:top w:val="nil"/>
              <w:left w:val="nil"/>
              <w:bottom w:val="nil"/>
              <w:right w:val="nil"/>
            </w:tcBorders>
            <w:shd w:val="clear" w:color="auto" w:fill="auto"/>
            <w:noWrap/>
            <w:vAlign w:val="center"/>
          </w:tcPr>
          <w:p w14:paraId="3EFC16B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682CFD17"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78B80BCE"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47A9CFF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89B8FB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51.71%</w:t>
            </w:r>
          </w:p>
        </w:tc>
        <w:tc>
          <w:tcPr>
            <w:tcW w:w="1627" w:type="dxa"/>
            <w:tcBorders>
              <w:top w:val="nil"/>
              <w:left w:val="nil"/>
              <w:bottom w:val="single" w:sz="12" w:space="0" w:color="auto"/>
              <w:right w:val="nil"/>
            </w:tcBorders>
            <w:shd w:val="clear" w:color="auto" w:fill="auto"/>
            <w:noWrap/>
            <w:vAlign w:val="center"/>
          </w:tcPr>
          <w:p w14:paraId="62E4612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88.05%</w:t>
            </w:r>
          </w:p>
        </w:tc>
        <w:tc>
          <w:tcPr>
            <w:tcW w:w="1627" w:type="dxa"/>
            <w:tcBorders>
              <w:top w:val="nil"/>
              <w:left w:val="nil"/>
              <w:bottom w:val="single" w:sz="12" w:space="0" w:color="auto"/>
              <w:right w:val="nil"/>
            </w:tcBorders>
            <w:shd w:val="clear" w:color="auto" w:fill="auto"/>
            <w:noWrap/>
            <w:vAlign w:val="center"/>
          </w:tcPr>
          <w:p w14:paraId="6E6FE59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5C6C1B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86.41%</w:t>
            </w:r>
          </w:p>
        </w:tc>
        <w:tc>
          <w:tcPr>
            <w:tcW w:w="1632" w:type="dxa"/>
            <w:tcBorders>
              <w:top w:val="nil"/>
              <w:left w:val="nil"/>
              <w:bottom w:val="single" w:sz="12" w:space="0" w:color="auto"/>
              <w:right w:val="nil"/>
            </w:tcBorders>
            <w:shd w:val="clear" w:color="auto" w:fill="auto"/>
            <w:noWrap/>
            <w:vAlign w:val="center"/>
          </w:tcPr>
          <w:p w14:paraId="4501913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20F63CD7" w14:textId="77777777" w:rsidR="0074478A" w:rsidRDefault="0074478A">
      <w:pPr>
        <w:rPr>
          <w:rFonts w:ascii="Times New Roman" w:hAnsi="Times New Roman" w:cs="Times New Roman"/>
        </w:rPr>
      </w:pPr>
    </w:p>
    <w:p w14:paraId="2188C3A6" w14:textId="77777777" w:rsidR="0074478A" w:rsidRDefault="0074478A">
      <w:pPr>
        <w:rPr>
          <w:rFonts w:ascii="Times New Roman" w:hAnsi="Times New Roman" w:cs="Times New Roman"/>
        </w:rPr>
      </w:pPr>
    </w:p>
    <w:p w14:paraId="16C66BFB" w14:textId="77777777" w:rsidR="0074478A" w:rsidRDefault="0074478A">
      <w:pPr>
        <w:rPr>
          <w:rFonts w:ascii="Times New Roman" w:hAnsi="Times New Roman" w:cs="Times New Roman"/>
        </w:rPr>
      </w:pPr>
    </w:p>
    <w:p w14:paraId="55294A42" w14:textId="77777777" w:rsidR="0074478A" w:rsidRDefault="0074478A">
      <w:pPr>
        <w:rPr>
          <w:rFonts w:ascii="Times New Roman" w:hAnsi="Times New Roman" w:cs="Times New Roman"/>
        </w:rPr>
      </w:pPr>
    </w:p>
    <w:p w14:paraId="2C12AA28" w14:textId="77777777" w:rsidR="0074478A" w:rsidRDefault="0074478A">
      <w:pPr>
        <w:rPr>
          <w:rFonts w:ascii="Times New Roman" w:hAnsi="Times New Roman" w:cs="Times New Roman"/>
        </w:rPr>
      </w:pPr>
    </w:p>
    <w:p w14:paraId="631694C0" w14:textId="77777777" w:rsidR="0074478A" w:rsidRDefault="0074478A">
      <w:pPr>
        <w:rPr>
          <w:rFonts w:ascii="Times New Roman" w:hAnsi="Times New Roman" w:cs="Times New Roman"/>
        </w:rPr>
      </w:pPr>
    </w:p>
    <w:p w14:paraId="745569E1" w14:textId="77777777" w:rsidR="0074478A" w:rsidRDefault="0074478A">
      <w:pPr>
        <w:rPr>
          <w:rFonts w:ascii="Times New Roman" w:hAnsi="Times New Roman" w:cs="Times New Roman"/>
        </w:rPr>
      </w:pPr>
    </w:p>
    <w:p w14:paraId="0BCBDEAB" w14:textId="77777777" w:rsidR="0074478A" w:rsidRDefault="0074478A">
      <w:pPr>
        <w:rPr>
          <w:rFonts w:ascii="Times New Roman" w:hAnsi="Times New Roman" w:cs="Times New Roman"/>
        </w:rPr>
      </w:pPr>
    </w:p>
    <w:p w14:paraId="2729F866" w14:textId="77777777" w:rsidR="0074478A" w:rsidRDefault="0074478A">
      <w:pPr>
        <w:rPr>
          <w:rFonts w:ascii="Times New Roman" w:hAnsi="Times New Roman" w:cs="Times New Roman"/>
        </w:rPr>
      </w:pPr>
    </w:p>
    <w:p w14:paraId="102B3654" w14:textId="77777777" w:rsidR="0074478A" w:rsidRDefault="0074478A">
      <w:pPr>
        <w:rPr>
          <w:rFonts w:ascii="Times New Roman" w:hAnsi="Times New Roman" w:cs="Times New Roman"/>
        </w:rPr>
      </w:pPr>
    </w:p>
    <w:p w14:paraId="64CFDCC0" w14:textId="77777777" w:rsidR="0074478A" w:rsidRDefault="00690393">
      <w:pPr>
        <w:rPr>
          <w:rFonts w:ascii="Times New Roman" w:hAnsi="Times New Roman" w:cs="Times New Roman"/>
        </w:rPr>
      </w:pPr>
      <w:r>
        <w:rPr>
          <w:rFonts w:ascii="Times New Roman" w:hAnsi="Times New Roman" w:cs="Times New Roman" w:hint="eastAsia"/>
        </w:rPr>
        <w:t>Panel V: South Africa</w:t>
      </w:r>
    </w:p>
    <w:tbl>
      <w:tblPr>
        <w:tblW w:w="4996" w:type="pct"/>
        <w:tblLayout w:type="fixed"/>
        <w:tblLook w:val="04A0" w:firstRow="1" w:lastRow="0" w:firstColumn="1" w:lastColumn="0" w:noHBand="0" w:noVBand="1"/>
      </w:tblPr>
      <w:tblGrid>
        <w:gridCol w:w="1607"/>
        <w:gridCol w:w="2720"/>
        <w:gridCol w:w="1601"/>
        <w:gridCol w:w="1601"/>
        <w:gridCol w:w="1601"/>
        <w:gridCol w:w="1601"/>
        <w:gridCol w:w="1601"/>
        <w:gridCol w:w="1615"/>
      </w:tblGrid>
      <w:tr w:rsidR="0074478A" w14:paraId="686EE1E1"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554A059"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6A982DB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2002/09/17</w:t>
            </w:r>
          </w:p>
        </w:tc>
        <w:tc>
          <w:tcPr>
            <w:tcW w:w="1627" w:type="dxa"/>
            <w:tcBorders>
              <w:top w:val="single" w:sz="12" w:space="0" w:color="auto"/>
              <w:left w:val="nil"/>
              <w:bottom w:val="single" w:sz="8" w:space="0" w:color="auto"/>
              <w:right w:val="nil"/>
            </w:tcBorders>
            <w:shd w:val="clear" w:color="auto" w:fill="auto"/>
            <w:noWrap/>
            <w:vAlign w:val="center"/>
          </w:tcPr>
          <w:p w14:paraId="6B1E352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2002/09/18-</w:t>
            </w:r>
            <w:r>
              <w:rPr>
                <w:rFonts w:ascii="Times New Roman" w:eastAsia="SimSun" w:hAnsi="Times New Roman" w:cs="Times New Roman"/>
                <w:color w:val="000000"/>
                <w:kern w:val="0"/>
                <w:szCs w:val="21"/>
                <w:lang w:bidi="ar"/>
              </w:rPr>
              <w:br/>
              <w:t>2003/01/21</w:t>
            </w:r>
          </w:p>
        </w:tc>
        <w:tc>
          <w:tcPr>
            <w:tcW w:w="1627" w:type="dxa"/>
            <w:tcBorders>
              <w:top w:val="single" w:sz="12" w:space="0" w:color="auto"/>
              <w:left w:val="nil"/>
              <w:bottom w:val="single" w:sz="8" w:space="0" w:color="auto"/>
              <w:right w:val="nil"/>
            </w:tcBorders>
            <w:shd w:val="clear" w:color="auto" w:fill="auto"/>
            <w:noWrap/>
            <w:vAlign w:val="center"/>
          </w:tcPr>
          <w:p w14:paraId="00E9B5B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2003/01/22-</w:t>
            </w:r>
            <w:r>
              <w:rPr>
                <w:rFonts w:ascii="Times New Roman" w:eastAsia="SimSun" w:hAnsi="Times New Roman" w:cs="Times New Roman"/>
                <w:color w:val="000000"/>
                <w:kern w:val="0"/>
                <w:szCs w:val="21"/>
                <w:lang w:bidi="ar"/>
              </w:rPr>
              <w:br/>
              <w:t>2006/09/11</w:t>
            </w:r>
          </w:p>
        </w:tc>
        <w:tc>
          <w:tcPr>
            <w:tcW w:w="1627" w:type="dxa"/>
            <w:tcBorders>
              <w:top w:val="single" w:sz="12" w:space="0" w:color="auto"/>
              <w:left w:val="nil"/>
              <w:bottom w:val="single" w:sz="8" w:space="0" w:color="auto"/>
              <w:right w:val="nil"/>
            </w:tcBorders>
            <w:shd w:val="clear" w:color="auto" w:fill="auto"/>
            <w:noWrap/>
            <w:vAlign w:val="center"/>
          </w:tcPr>
          <w:p w14:paraId="20ED0F4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2006/09/12-</w:t>
            </w:r>
            <w:r>
              <w:rPr>
                <w:rFonts w:ascii="Times New Roman" w:eastAsia="SimSun" w:hAnsi="Times New Roman" w:cs="Times New Roman"/>
                <w:color w:val="000000"/>
                <w:kern w:val="0"/>
                <w:szCs w:val="21"/>
                <w:lang w:bidi="ar"/>
              </w:rPr>
              <w:br/>
              <w:t>2010/08/09</w:t>
            </w:r>
          </w:p>
        </w:tc>
        <w:tc>
          <w:tcPr>
            <w:tcW w:w="1627" w:type="dxa"/>
            <w:tcBorders>
              <w:top w:val="single" w:sz="12" w:space="0" w:color="auto"/>
              <w:left w:val="nil"/>
              <w:bottom w:val="single" w:sz="8" w:space="0" w:color="auto"/>
              <w:right w:val="nil"/>
            </w:tcBorders>
            <w:shd w:val="clear" w:color="auto" w:fill="auto"/>
            <w:noWrap/>
            <w:vAlign w:val="center"/>
          </w:tcPr>
          <w:p w14:paraId="416F58C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2010/08/10-</w:t>
            </w:r>
            <w:r>
              <w:rPr>
                <w:rFonts w:ascii="Times New Roman" w:eastAsia="SimSun" w:hAnsi="Times New Roman" w:cs="Times New Roman"/>
                <w:color w:val="000000"/>
                <w:kern w:val="0"/>
                <w:szCs w:val="21"/>
                <w:lang w:bidi="ar"/>
              </w:rPr>
              <w:br/>
              <w:t>2017/08/08</w:t>
            </w:r>
          </w:p>
        </w:tc>
        <w:tc>
          <w:tcPr>
            <w:tcW w:w="1632" w:type="dxa"/>
            <w:tcBorders>
              <w:top w:val="single" w:sz="12" w:space="0" w:color="auto"/>
              <w:left w:val="nil"/>
              <w:bottom w:val="single" w:sz="8" w:space="0" w:color="auto"/>
              <w:right w:val="nil"/>
            </w:tcBorders>
            <w:shd w:val="clear" w:color="auto" w:fill="auto"/>
            <w:noWrap/>
            <w:vAlign w:val="center"/>
          </w:tcPr>
          <w:p w14:paraId="67ACBA2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2017/08/09-</w:t>
            </w:r>
            <w:r>
              <w:rPr>
                <w:rFonts w:ascii="Times New Roman" w:eastAsia="SimSun" w:hAnsi="Times New Roman" w:cs="Times New Roman"/>
                <w:color w:val="000000"/>
                <w:kern w:val="0"/>
                <w:szCs w:val="21"/>
                <w:lang w:bidi="ar"/>
              </w:rPr>
              <w:br/>
              <w:t>2020/12/31</w:t>
            </w:r>
          </w:p>
        </w:tc>
      </w:tr>
      <w:tr w:rsidR="0074478A" w14:paraId="0BF959CD"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00DC61EA"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21A4F413"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627" w:type="dxa"/>
            <w:tcBorders>
              <w:top w:val="single" w:sz="8" w:space="0" w:color="auto"/>
              <w:left w:val="nil"/>
              <w:bottom w:val="nil"/>
              <w:right w:val="nil"/>
            </w:tcBorders>
            <w:shd w:val="clear" w:color="auto" w:fill="auto"/>
            <w:vAlign w:val="bottom"/>
          </w:tcPr>
          <w:p w14:paraId="50343AD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81.17%</w:t>
            </w:r>
          </w:p>
        </w:tc>
        <w:tc>
          <w:tcPr>
            <w:tcW w:w="1627" w:type="dxa"/>
            <w:tcBorders>
              <w:top w:val="single" w:sz="8" w:space="0" w:color="auto"/>
              <w:left w:val="nil"/>
              <w:bottom w:val="nil"/>
              <w:right w:val="nil"/>
            </w:tcBorders>
            <w:shd w:val="clear" w:color="auto" w:fill="auto"/>
            <w:noWrap/>
            <w:vAlign w:val="bottom"/>
          </w:tcPr>
          <w:p w14:paraId="7EC3444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81.17%</w:t>
            </w:r>
          </w:p>
        </w:tc>
        <w:tc>
          <w:tcPr>
            <w:tcW w:w="1627" w:type="dxa"/>
            <w:tcBorders>
              <w:top w:val="single" w:sz="8" w:space="0" w:color="auto"/>
              <w:left w:val="nil"/>
              <w:bottom w:val="nil"/>
              <w:right w:val="nil"/>
            </w:tcBorders>
            <w:shd w:val="clear" w:color="auto" w:fill="auto"/>
            <w:noWrap/>
            <w:vAlign w:val="bottom"/>
          </w:tcPr>
          <w:p w14:paraId="24204AD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-11.86%</w:t>
            </w:r>
          </w:p>
        </w:tc>
        <w:tc>
          <w:tcPr>
            <w:tcW w:w="1627" w:type="dxa"/>
            <w:tcBorders>
              <w:top w:val="single" w:sz="8" w:space="0" w:color="auto"/>
              <w:left w:val="nil"/>
              <w:bottom w:val="nil"/>
              <w:right w:val="nil"/>
            </w:tcBorders>
            <w:shd w:val="clear" w:color="auto" w:fill="auto"/>
            <w:noWrap/>
            <w:vAlign w:val="bottom"/>
          </w:tcPr>
          <w:p w14:paraId="05E3E02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58.81%</w:t>
            </w:r>
          </w:p>
        </w:tc>
        <w:tc>
          <w:tcPr>
            <w:tcW w:w="1627" w:type="dxa"/>
            <w:tcBorders>
              <w:top w:val="single" w:sz="8" w:space="0" w:color="auto"/>
              <w:left w:val="nil"/>
              <w:bottom w:val="nil"/>
              <w:right w:val="nil"/>
            </w:tcBorders>
            <w:shd w:val="clear" w:color="auto" w:fill="auto"/>
            <w:noWrap/>
            <w:vAlign w:val="bottom"/>
          </w:tcPr>
          <w:p w14:paraId="121B7EB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3.07%</w:t>
            </w:r>
          </w:p>
        </w:tc>
        <w:tc>
          <w:tcPr>
            <w:tcW w:w="1632" w:type="dxa"/>
            <w:tcBorders>
              <w:top w:val="single" w:sz="8" w:space="0" w:color="auto"/>
              <w:left w:val="nil"/>
              <w:bottom w:val="nil"/>
              <w:right w:val="nil"/>
            </w:tcBorders>
            <w:shd w:val="clear" w:color="auto" w:fill="auto"/>
            <w:noWrap/>
            <w:vAlign w:val="bottom"/>
          </w:tcPr>
          <w:p w14:paraId="43D98CB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34.29%</w:t>
            </w:r>
          </w:p>
        </w:tc>
      </w:tr>
      <w:tr w:rsidR="0074478A" w14:paraId="7A13E493" w14:textId="77777777">
        <w:trPr>
          <w:trHeight w:val="278"/>
        </w:trPr>
        <w:tc>
          <w:tcPr>
            <w:tcW w:w="576" w:type="pct"/>
            <w:vMerge/>
            <w:tcBorders>
              <w:top w:val="nil"/>
              <w:left w:val="nil"/>
              <w:bottom w:val="nil"/>
              <w:right w:val="nil"/>
            </w:tcBorders>
            <w:shd w:val="clear" w:color="auto" w:fill="auto"/>
            <w:noWrap/>
            <w:vAlign w:val="center"/>
          </w:tcPr>
          <w:p w14:paraId="77F6BBDA"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F9184BE"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627" w:type="dxa"/>
            <w:tcBorders>
              <w:top w:val="nil"/>
              <w:left w:val="nil"/>
              <w:bottom w:val="nil"/>
              <w:right w:val="nil"/>
            </w:tcBorders>
            <w:shd w:val="clear" w:color="auto" w:fill="auto"/>
            <w:noWrap/>
            <w:vAlign w:val="bottom"/>
          </w:tcPr>
          <w:p w14:paraId="1C9E524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8.47%</w:t>
            </w:r>
          </w:p>
        </w:tc>
        <w:tc>
          <w:tcPr>
            <w:tcW w:w="1627" w:type="dxa"/>
            <w:tcBorders>
              <w:top w:val="nil"/>
              <w:left w:val="nil"/>
              <w:bottom w:val="nil"/>
              <w:right w:val="nil"/>
            </w:tcBorders>
            <w:shd w:val="clear" w:color="auto" w:fill="auto"/>
            <w:noWrap/>
            <w:vAlign w:val="bottom"/>
          </w:tcPr>
          <w:p w14:paraId="00C64A4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8.47%</w:t>
            </w:r>
          </w:p>
        </w:tc>
        <w:tc>
          <w:tcPr>
            <w:tcW w:w="1627" w:type="dxa"/>
            <w:tcBorders>
              <w:top w:val="nil"/>
              <w:left w:val="nil"/>
              <w:bottom w:val="nil"/>
              <w:right w:val="nil"/>
            </w:tcBorders>
            <w:shd w:val="clear" w:color="auto" w:fill="auto"/>
            <w:noWrap/>
            <w:vAlign w:val="bottom"/>
          </w:tcPr>
          <w:p w14:paraId="521D38C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64.66%</w:t>
            </w:r>
          </w:p>
        </w:tc>
        <w:tc>
          <w:tcPr>
            <w:tcW w:w="1627" w:type="dxa"/>
            <w:tcBorders>
              <w:top w:val="nil"/>
              <w:left w:val="nil"/>
              <w:bottom w:val="nil"/>
              <w:right w:val="nil"/>
            </w:tcBorders>
            <w:shd w:val="clear" w:color="auto" w:fill="auto"/>
            <w:noWrap/>
            <w:vAlign w:val="bottom"/>
          </w:tcPr>
          <w:p w14:paraId="4617E4B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80.13%</w:t>
            </w:r>
          </w:p>
        </w:tc>
        <w:tc>
          <w:tcPr>
            <w:tcW w:w="1627" w:type="dxa"/>
            <w:tcBorders>
              <w:top w:val="nil"/>
              <w:left w:val="nil"/>
              <w:bottom w:val="nil"/>
              <w:right w:val="nil"/>
            </w:tcBorders>
            <w:shd w:val="clear" w:color="auto" w:fill="auto"/>
            <w:noWrap/>
            <w:vAlign w:val="bottom"/>
          </w:tcPr>
          <w:p w14:paraId="1DAEFFA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54.60%</w:t>
            </w:r>
          </w:p>
        </w:tc>
        <w:tc>
          <w:tcPr>
            <w:tcW w:w="1632" w:type="dxa"/>
            <w:tcBorders>
              <w:top w:val="nil"/>
              <w:left w:val="nil"/>
              <w:bottom w:val="nil"/>
              <w:right w:val="nil"/>
            </w:tcBorders>
            <w:shd w:val="clear" w:color="auto" w:fill="auto"/>
            <w:noWrap/>
            <w:vAlign w:val="bottom"/>
          </w:tcPr>
          <w:p w14:paraId="5D93619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69.21%</w:t>
            </w:r>
          </w:p>
        </w:tc>
      </w:tr>
      <w:tr w:rsidR="0074478A" w14:paraId="7D51D448" w14:textId="77777777">
        <w:trPr>
          <w:trHeight w:val="278"/>
        </w:trPr>
        <w:tc>
          <w:tcPr>
            <w:tcW w:w="576" w:type="pct"/>
            <w:vMerge/>
            <w:tcBorders>
              <w:top w:val="nil"/>
              <w:left w:val="nil"/>
              <w:bottom w:val="nil"/>
              <w:right w:val="nil"/>
            </w:tcBorders>
            <w:shd w:val="clear" w:color="auto" w:fill="auto"/>
            <w:noWrap/>
            <w:vAlign w:val="center"/>
          </w:tcPr>
          <w:p w14:paraId="6834CBDE"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C7DF637"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627" w:type="dxa"/>
            <w:tcBorders>
              <w:top w:val="nil"/>
              <w:left w:val="nil"/>
              <w:bottom w:val="nil"/>
              <w:right w:val="nil"/>
            </w:tcBorders>
            <w:shd w:val="clear" w:color="auto" w:fill="auto"/>
            <w:noWrap/>
            <w:vAlign w:val="bottom"/>
          </w:tcPr>
          <w:p w14:paraId="175B6B6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0.05%</w:t>
            </w:r>
          </w:p>
        </w:tc>
        <w:tc>
          <w:tcPr>
            <w:tcW w:w="1627" w:type="dxa"/>
            <w:tcBorders>
              <w:top w:val="nil"/>
              <w:left w:val="nil"/>
              <w:bottom w:val="nil"/>
              <w:right w:val="nil"/>
            </w:tcBorders>
            <w:shd w:val="clear" w:color="auto" w:fill="auto"/>
            <w:noWrap/>
            <w:vAlign w:val="bottom"/>
          </w:tcPr>
          <w:p w14:paraId="29343CF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0.05%</w:t>
            </w:r>
          </w:p>
        </w:tc>
        <w:tc>
          <w:tcPr>
            <w:tcW w:w="1627" w:type="dxa"/>
            <w:tcBorders>
              <w:top w:val="nil"/>
              <w:left w:val="nil"/>
              <w:bottom w:val="nil"/>
              <w:right w:val="nil"/>
            </w:tcBorders>
            <w:shd w:val="clear" w:color="auto" w:fill="auto"/>
            <w:noWrap/>
            <w:vAlign w:val="bottom"/>
          </w:tcPr>
          <w:p w14:paraId="541299F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16.61%</w:t>
            </w:r>
          </w:p>
        </w:tc>
        <w:tc>
          <w:tcPr>
            <w:tcW w:w="1627" w:type="dxa"/>
            <w:tcBorders>
              <w:top w:val="nil"/>
              <w:left w:val="nil"/>
              <w:bottom w:val="nil"/>
              <w:right w:val="nil"/>
            </w:tcBorders>
            <w:shd w:val="clear" w:color="auto" w:fill="auto"/>
            <w:noWrap/>
            <w:vAlign w:val="bottom"/>
          </w:tcPr>
          <w:p w14:paraId="68A90C8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-60.34%</w:t>
            </w:r>
          </w:p>
        </w:tc>
        <w:tc>
          <w:tcPr>
            <w:tcW w:w="1627" w:type="dxa"/>
            <w:tcBorders>
              <w:top w:val="nil"/>
              <w:left w:val="nil"/>
              <w:bottom w:val="nil"/>
              <w:right w:val="nil"/>
            </w:tcBorders>
            <w:shd w:val="clear" w:color="auto" w:fill="auto"/>
            <w:noWrap/>
            <w:vAlign w:val="bottom"/>
          </w:tcPr>
          <w:p w14:paraId="38520CD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0.88%</w:t>
            </w:r>
          </w:p>
        </w:tc>
        <w:tc>
          <w:tcPr>
            <w:tcW w:w="1632" w:type="dxa"/>
            <w:tcBorders>
              <w:top w:val="nil"/>
              <w:left w:val="nil"/>
              <w:bottom w:val="nil"/>
              <w:right w:val="nil"/>
            </w:tcBorders>
            <w:shd w:val="clear" w:color="auto" w:fill="auto"/>
            <w:noWrap/>
            <w:vAlign w:val="bottom"/>
          </w:tcPr>
          <w:p w14:paraId="3EC3EC6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-38.12%</w:t>
            </w:r>
          </w:p>
        </w:tc>
      </w:tr>
      <w:tr w:rsidR="0074478A" w14:paraId="2E190888" w14:textId="77777777">
        <w:trPr>
          <w:trHeight w:val="278"/>
        </w:trPr>
        <w:tc>
          <w:tcPr>
            <w:tcW w:w="576" w:type="pct"/>
            <w:vMerge/>
            <w:tcBorders>
              <w:top w:val="nil"/>
              <w:left w:val="nil"/>
              <w:bottom w:val="nil"/>
              <w:right w:val="nil"/>
            </w:tcBorders>
            <w:shd w:val="clear" w:color="auto" w:fill="auto"/>
            <w:noWrap/>
            <w:vAlign w:val="center"/>
          </w:tcPr>
          <w:p w14:paraId="4749C152"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738A47AB"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627" w:type="dxa"/>
            <w:tcBorders>
              <w:top w:val="nil"/>
              <w:left w:val="nil"/>
              <w:bottom w:val="nil"/>
              <w:right w:val="nil"/>
            </w:tcBorders>
            <w:shd w:val="clear" w:color="auto" w:fill="auto"/>
            <w:vAlign w:val="center"/>
          </w:tcPr>
          <w:p w14:paraId="1AEC660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10.31%</w:t>
            </w:r>
          </w:p>
        </w:tc>
        <w:tc>
          <w:tcPr>
            <w:tcW w:w="1627" w:type="dxa"/>
            <w:tcBorders>
              <w:top w:val="nil"/>
              <w:left w:val="nil"/>
              <w:bottom w:val="nil"/>
              <w:right w:val="nil"/>
            </w:tcBorders>
            <w:shd w:val="clear" w:color="auto" w:fill="auto"/>
            <w:noWrap/>
            <w:vAlign w:val="center"/>
          </w:tcPr>
          <w:p w14:paraId="7A120A0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10.31%</w:t>
            </w:r>
          </w:p>
        </w:tc>
        <w:tc>
          <w:tcPr>
            <w:tcW w:w="1627" w:type="dxa"/>
            <w:tcBorders>
              <w:top w:val="nil"/>
              <w:left w:val="nil"/>
              <w:bottom w:val="nil"/>
              <w:right w:val="nil"/>
            </w:tcBorders>
            <w:shd w:val="clear" w:color="auto" w:fill="auto"/>
            <w:noWrap/>
            <w:vAlign w:val="center"/>
          </w:tcPr>
          <w:p w14:paraId="2116B9C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30.59%</w:t>
            </w:r>
          </w:p>
        </w:tc>
        <w:tc>
          <w:tcPr>
            <w:tcW w:w="1627" w:type="dxa"/>
            <w:tcBorders>
              <w:top w:val="nil"/>
              <w:left w:val="nil"/>
              <w:bottom w:val="nil"/>
              <w:right w:val="nil"/>
            </w:tcBorders>
            <w:shd w:val="clear" w:color="auto" w:fill="auto"/>
            <w:noWrap/>
            <w:vAlign w:val="center"/>
          </w:tcPr>
          <w:p w14:paraId="7FE2EDF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21.40%</w:t>
            </w:r>
          </w:p>
        </w:tc>
        <w:tc>
          <w:tcPr>
            <w:tcW w:w="1627" w:type="dxa"/>
            <w:tcBorders>
              <w:top w:val="nil"/>
              <w:left w:val="nil"/>
              <w:bottom w:val="nil"/>
              <w:right w:val="nil"/>
            </w:tcBorders>
            <w:shd w:val="clear" w:color="auto" w:fill="auto"/>
            <w:noWrap/>
            <w:vAlign w:val="center"/>
          </w:tcPr>
          <w:p w14:paraId="3FD0570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41.45%</w:t>
            </w:r>
          </w:p>
        </w:tc>
        <w:tc>
          <w:tcPr>
            <w:tcW w:w="1632" w:type="dxa"/>
            <w:tcBorders>
              <w:top w:val="nil"/>
              <w:left w:val="nil"/>
              <w:bottom w:val="nil"/>
              <w:right w:val="nil"/>
            </w:tcBorders>
            <w:shd w:val="clear" w:color="auto" w:fill="auto"/>
            <w:noWrap/>
            <w:vAlign w:val="center"/>
          </w:tcPr>
          <w:p w14:paraId="36A68A6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34.62%</w:t>
            </w:r>
          </w:p>
        </w:tc>
      </w:tr>
      <w:tr w:rsidR="0074478A" w14:paraId="0F8812A7" w14:textId="77777777">
        <w:trPr>
          <w:trHeight w:val="278"/>
        </w:trPr>
        <w:tc>
          <w:tcPr>
            <w:tcW w:w="1551" w:type="pct"/>
            <w:gridSpan w:val="2"/>
            <w:tcBorders>
              <w:top w:val="nil"/>
              <w:left w:val="nil"/>
              <w:bottom w:val="nil"/>
              <w:right w:val="nil"/>
            </w:tcBorders>
            <w:shd w:val="clear" w:color="auto" w:fill="auto"/>
            <w:noWrap/>
            <w:vAlign w:val="center"/>
          </w:tcPr>
          <w:p w14:paraId="11692532"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09C4B63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A8E7D7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771491B"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400E4DB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FC8A5E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32" w:type="dxa"/>
            <w:tcBorders>
              <w:top w:val="nil"/>
              <w:left w:val="nil"/>
              <w:bottom w:val="nil"/>
              <w:right w:val="nil"/>
            </w:tcBorders>
            <w:shd w:val="clear" w:color="auto" w:fill="auto"/>
            <w:noWrap/>
            <w:vAlign w:val="center"/>
          </w:tcPr>
          <w:p w14:paraId="4F912D6A"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12EA3BA9" w14:textId="77777777">
        <w:trPr>
          <w:trHeight w:val="278"/>
        </w:trPr>
        <w:tc>
          <w:tcPr>
            <w:tcW w:w="1551" w:type="pct"/>
            <w:gridSpan w:val="2"/>
            <w:tcBorders>
              <w:top w:val="nil"/>
              <w:left w:val="nil"/>
              <w:bottom w:val="nil"/>
              <w:right w:val="nil"/>
            </w:tcBorders>
            <w:shd w:val="clear" w:color="auto" w:fill="auto"/>
            <w:noWrap/>
            <w:vAlign w:val="center"/>
          </w:tcPr>
          <w:p w14:paraId="72404DA8"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7F020B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±33.55%</w:t>
            </w:r>
          </w:p>
        </w:tc>
        <w:tc>
          <w:tcPr>
            <w:tcW w:w="1627" w:type="dxa"/>
            <w:tcBorders>
              <w:top w:val="nil"/>
              <w:left w:val="nil"/>
              <w:bottom w:val="nil"/>
              <w:right w:val="nil"/>
            </w:tcBorders>
            <w:shd w:val="clear" w:color="auto" w:fill="auto"/>
            <w:noWrap/>
            <w:vAlign w:val="center"/>
          </w:tcPr>
          <w:p w14:paraId="4222E71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±19.20%</w:t>
            </w:r>
          </w:p>
        </w:tc>
        <w:tc>
          <w:tcPr>
            <w:tcW w:w="1627" w:type="dxa"/>
            <w:tcBorders>
              <w:top w:val="nil"/>
              <w:left w:val="nil"/>
              <w:bottom w:val="nil"/>
              <w:right w:val="nil"/>
            </w:tcBorders>
            <w:shd w:val="clear" w:color="auto" w:fill="auto"/>
            <w:noWrap/>
            <w:vAlign w:val="center"/>
          </w:tcPr>
          <w:p w14:paraId="500921F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±16.12%</w:t>
            </w:r>
          </w:p>
        </w:tc>
        <w:tc>
          <w:tcPr>
            <w:tcW w:w="1627" w:type="dxa"/>
            <w:tcBorders>
              <w:top w:val="nil"/>
              <w:left w:val="nil"/>
              <w:bottom w:val="nil"/>
              <w:right w:val="nil"/>
            </w:tcBorders>
            <w:shd w:val="clear" w:color="auto" w:fill="auto"/>
            <w:noWrap/>
            <w:vAlign w:val="center"/>
          </w:tcPr>
          <w:p w14:paraId="096815A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±26.93%</w:t>
            </w:r>
          </w:p>
        </w:tc>
        <w:tc>
          <w:tcPr>
            <w:tcW w:w="1627" w:type="dxa"/>
            <w:tcBorders>
              <w:top w:val="nil"/>
              <w:left w:val="nil"/>
              <w:bottom w:val="nil"/>
              <w:right w:val="nil"/>
            </w:tcBorders>
            <w:shd w:val="clear" w:color="auto" w:fill="auto"/>
            <w:noWrap/>
            <w:vAlign w:val="center"/>
          </w:tcPr>
          <w:p w14:paraId="7913B89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±24.31%</w:t>
            </w:r>
          </w:p>
        </w:tc>
        <w:tc>
          <w:tcPr>
            <w:tcW w:w="1632" w:type="dxa"/>
            <w:tcBorders>
              <w:top w:val="nil"/>
              <w:left w:val="nil"/>
              <w:bottom w:val="nil"/>
              <w:right w:val="nil"/>
            </w:tcBorders>
            <w:shd w:val="clear" w:color="auto" w:fill="auto"/>
            <w:noWrap/>
            <w:vAlign w:val="center"/>
          </w:tcPr>
          <w:p w14:paraId="049CEAD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563515CE" w14:textId="77777777">
        <w:trPr>
          <w:trHeight w:val="278"/>
        </w:trPr>
        <w:tc>
          <w:tcPr>
            <w:tcW w:w="576" w:type="pct"/>
            <w:vMerge w:val="restart"/>
            <w:tcBorders>
              <w:top w:val="nil"/>
              <w:left w:val="nil"/>
              <w:bottom w:val="nil"/>
              <w:right w:val="nil"/>
            </w:tcBorders>
            <w:shd w:val="clear" w:color="auto" w:fill="auto"/>
            <w:noWrap/>
            <w:vAlign w:val="center"/>
          </w:tcPr>
          <w:p w14:paraId="3EFF780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69AD19E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0C8BAC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FB2D6D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0.047/0.773</w:t>
            </w:r>
          </w:p>
        </w:tc>
        <w:tc>
          <w:tcPr>
            <w:tcW w:w="1627" w:type="dxa"/>
            <w:tcBorders>
              <w:top w:val="nil"/>
              <w:left w:val="nil"/>
              <w:bottom w:val="nil"/>
              <w:right w:val="nil"/>
            </w:tcBorders>
            <w:shd w:val="clear" w:color="auto" w:fill="auto"/>
            <w:noWrap/>
            <w:vAlign w:val="center"/>
          </w:tcPr>
          <w:p w14:paraId="2AE8A87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0.003/0.983</w:t>
            </w:r>
          </w:p>
        </w:tc>
        <w:tc>
          <w:tcPr>
            <w:tcW w:w="1627" w:type="dxa"/>
            <w:tcBorders>
              <w:top w:val="nil"/>
              <w:left w:val="nil"/>
              <w:bottom w:val="nil"/>
              <w:right w:val="nil"/>
            </w:tcBorders>
            <w:shd w:val="clear" w:color="auto" w:fill="auto"/>
            <w:noWrap/>
            <w:vAlign w:val="center"/>
          </w:tcPr>
          <w:p w14:paraId="3A936CB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4BF7F8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32" w:type="dxa"/>
            <w:tcBorders>
              <w:top w:val="nil"/>
              <w:left w:val="nil"/>
              <w:bottom w:val="nil"/>
              <w:right w:val="nil"/>
            </w:tcBorders>
            <w:shd w:val="clear" w:color="auto" w:fill="auto"/>
            <w:noWrap/>
            <w:vAlign w:val="center"/>
          </w:tcPr>
          <w:p w14:paraId="018B407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1712E302" w14:textId="77777777">
        <w:trPr>
          <w:trHeight w:val="278"/>
        </w:trPr>
        <w:tc>
          <w:tcPr>
            <w:tcW w:w="576" w:type="pct"/>
            <w:vMerge/>
            <w:tcBorders>
              <w:top w:val="nil"/>
              <w:left w:val="nil"/>
              <w:bottom w:val="nil"/>
              <w:right w:val="nil"/>
            </w:tcBorders>
            <w:shd w:val="clear" w:color="auto" w:fill="auto"/>
            <w:noWrap/>
            <w:vAlign w:val="center"/>
          </w:tcPr>
          <w:p w14:paraId="4D92745A"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68670F3"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EA7BBF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1627" w:type="dxa"/>
            <w:tcBorders>
              <w:top w:val="nil"/>
              <w:left w:val="nil"/>
              <w:bottom w:val="nil"/>
              <w:right w:val="nil"/>
            </w:tcBorders>
            <w:shd w:val="clear" w:color="auto" w:fill="auto"/>
            <w:noWrap/>
            <w:vAlign w:val="center"/>
          </w:tcPr>
          <w:p w14:paraId="33E3F5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0.002/1.009</w:t>
            </w:r>
          </w:p>
        </w:tc>
        <w:tc>
          <w:tcPr>
            <w:tcW w:w="1627" w:type="dxa"/>
            <w:tcBorders>
              <w:top w:val="nil"/>
              <w:left w:val="nil"/>
              <w:bottom w:val="nil"/>
              <w:right w:val="nil"/>
            </w:tcBorders>
            <w:shd w:val="clear" w:color="auto" w:fill="auto"/>
            <w:noWrap/>
            <w:vAlign w:val="center"/>
          </w:tcPr>
          <w:p w14:paraId="4B4B8E6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0.001/0.999</w:t>
            </w:r>
          </w:p>
        </w:tc>
        <w:tc>
          <w:tcPr>
            <w:tcW w:w="1627" w:type="dxa"/>
            <w:tcBorders>
              <w:top w:val="nil"/>
              <w:left w:val="nil"/>
              <w:bottom w:val="nil"/>
              <w:right w:val="nil"/>
            </w:tcBorders>
            <w:shd w:val="clear" w:color="auto" w:fill="auto"/>
            <w:noWrap/>
            <w:vAlign w:val="center"/>
          </w:tcPr>
          <w:p w14:paraId="2CA2A83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-0.001/0.996</w:t>
            </w:r>
          </w:p>
        </w:tc>
        <w:tc>
          <w:tcPr>
            <w:tcW w:w="1627" w:type="dxa"/>
            <w:tcBorders>
              <w:top w:val="nil"/>
              <w:left w:val="nil"/>
              <w:bottom w:val="nil"/>
              <w:right w:val="nil"/>
            </w:tcBorders>
            <w:shd w:val="clear" w:color="auto" w:fill="auto"/>
            <w:noWrap/>
            <w:vAlign w:val="center"/>
          </w:tcPr>
          <w:p w14:paraId="771AF7B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/0.997</w:t>
            </w:r>
          </w:p>
        </w:tc>
        <w:tc>
          <w:tcPr>
            <w:tcW w:w="1632" w:type="dxa"/>
            <w:tcBorders>
              <w:top w:val="nil"/>
              <w:left w:val="nil"/>
              <w:bottom w:val="nil"/>
              <w:right w:val="nil"/>
            </w:tcBorders>
            <w:shd w:val="clear" w:color="auto" w:fill="auto"/>
            <w:noWrap/>
            <w:vAlign w:val="center"/>
          </w:tcPr>
          <w:p w14:paraId="609D8C0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023325D0" w14:textId="77777777">
        <w:trPr>
          <w:trHeight w:val="278"/>
        </w:trPr>
        <w:tc>
          <w:tcPr>
            <w:tcW w:w="576" w:type="pct"/>
            <w:vMerge/>
            <w:tcBorders>
              <w:top w:val="nil"/>
              <w:left w:val="nil"/>
              <w:bottom w:val="nil"/>
              <w:right w:val="nil"/>
            </w:tcBorders>
            <w:shd w:val="clear" w:color="auto" w:fill="auto"/>
            <w:noWrap/>
            <w:vAlign w:val="center"/>
          </w:tcPr>
          <w:p w14:paraId="4A9B891C"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BE7D8A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86F649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-0.074/0.787</w:t>
            </w:r>
          </w:p>
        </w:tc>
        <w:tc>
          <w:tcPr>
            <w:tcW w:w="1627" w:type="dxa"/>
            <w:tcBorders>
              <w:top w:val="nil"/>
              <w:left w:val="nil"/>
              <w:bottom w:val="nil"/>
              <w:right w:val="nil"/>
            </w:tcBorders>
            <w:shd w:val="clear" w:color="auto" w:fill="auto"/>
            <w:noWrap/>
            <w:vAlign w:val="center"/>
          </w:tcPr>
          <w:p w14:paraId="0472101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6DF9D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BA3F6C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-0.031/0.892</w:t>
            </w:r>
          </w:p>
        </w:tc>
        <w:tc>
          <w:tcPr>
            <w:tcW w:w="1627" w:type="dxa"/>
            <w:tcBorders>
              <w:top w:val="nil"/>
              <w:left w:val="nil"/>
              <w:bottom w:val="nil"/>
              <w:right w:val="nil"/>
            </w:tcBorders>
            <w:shd w:val="clear" w:color="auto" w:fill="auto"/>
            <w:noWrap/>
            <w:vAlign w:val="center"/>
          </w:tcPr>
          <w:p w14:paraId="0C3F513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-0.022/0.912</w:t>
            </w:r>
          </w:p>
        </w:tc>
        <w:tc>
          <w:tcPr>
            <w:tcW w:w="1632" w:type="dxa"/>
            <w:tcBorders>
              <w:top w:val="nil"/>
              <w:left w:val="nil"/>
              <w:bottom w:val="nil"/>
              <w:right w:val="nil"/>
            </w:tcBorders>
            <w:shd w:val="clear" w:color="auto" w:fill="auto"/>
            <w:noWrap/>
            <w:vAlign w:val="center"/>
          </w:tcPr>
          <w:p w14:paraId="741C714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0DCD84A5"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7F3E4ED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1463636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64.98%</w:t>
            </w:r>
          </w:p>
        </w:tc>
        <w:tc>
          <w:tcPr>
            <w:tcW w:w="1627" w:type="dxa"/>
            <w:tcBorders>
              <w:top w:val="nil"/>
              <w:left w:val="nil"/>
              <w:bottom w:val="single" w:sz="12" w:space="0" w:color="auto"/>
              <w:right w:val="nil"/>
            </w:tcBorders>
            <w:shd w:val="clear" w:color="auto" w:fill="auto"/>
            <w:noWrap/>
            <w:vAlign w:val="center"/>
          </w:tcPr>
          <w:p w14:paraId="43E83F8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74.71%</w:t>
            </w:r>
          </w:p>
        </w:tc>
        <w:tc>
          <w:tcPr>
            <w:tcW w:w="1627" w:type="dxa"/>
            <w:tcBorders>
              <w:top w:val="nil"/>
              <w:left w:val="nil"/>
              <w:bottom w:val="single" w:sz="12" w:space="0" w:color="auto"/>
              <w:right w:val="nil"/>
            </w:tcBorders>
            <w:shd w:val="clear" w:color="auto" w:fill="auto"/>
            <w:noWrap/>
            <w:vAlign w:val="center"/>
          </w:tcPr>
          <w:p w14:paraId="3FDAF0B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43.13%</w:t>
            </w:r>
          </w:p>
        </w:tc>
        <w:tc>
          <w:tcPr>
            <w:tcW w:w="1627" w:type="dxa"/>
            <w:tcBorders>
              <w:top w:val="nil"/>
              <w:left w:val="nil"/>
              <w:bottom w:val="single" w:sz="12" w:space="0" w:color="auto"/>
              <w:right w:val="nil"/>
            </w:tcBorders>
            <w:shd w:val="clear" w:color="auto" w:fill="auto"/>
            <w:noWrap/>
            <w:vAlign w:val="center"/>
          </w:tcPr>
          <w:p w14:paraId="4D519D4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64.01%</w:t>
            </w:r>
          </w:p>
        </w:tc>
        <w:tc>
          <w:tcPr>
            <w:tcW w:w="1627" w:type="dxa"/>
            <w:tcBorders>
              <w:top w:val="nil"/>
              <w:left w:val="nil"/>
              <w:bottom w:val="single" w:sz="12" w:space="0" w:color="auto"/>
              <w:right w:val="nil"/>
            </w:tcBorders>
            <w:shd w:val="clear" w:color="auto" w:fill="auto"/>
            <w:noWrap/>
            <w:vAlign w:val="center"/>
          </w:tcPr>
          <w:p w14:paraId="4F0BB63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72.20%</w:t>
            </w:r>
          </w:p>
        </w:tc>
        <w:tc>
          <w:tcPr>
            <w:tcW w:w="1632" w:type="dxa"/>
            <w:tcBorders>
              <w:top w:val="nil"/>
              <w:left w:val="nil"/>
              <w:bottom w:val="single" w:sz="12" w:space="0" w:color="auto"/>
              <w:right w:val="nil"/>
            </w:tcBorders>
            <w:shd w:val="clear" w:color="auto" w:fill="auto"/>
            <w:noWrap/>
            <w:vAlign w:val="center"/>
          </w:tcPr>
          <w:p w14:paraId="0F5A1468"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20665D86" w14:textId="77777777" w:rsidR="0074478A" w:rsidRDefault="0074478A">
      <w:pPr>
        <w:spacing w:afterLines="100" w:after="312" w:line="240" w:lineRule="atLeast"/>
        <w:rPr>
          <w:rFonts w:ascii="Times New Roman" w:hAnsi="Times New Roman" w:cs="Times New Roman"/>
          <w:i/>
          <w:iCs/>
        </w:rPr>
      </w:pPr>
    </w:p>
    <w:p w14:paraId="121E9E45" w14:textId="77777777" w:rsidR="0074478A" w:rsidRDefault="0074478A">
      <w:pPr>
        <w:spacing w:afterLines="100" w:after="312" w:line="240" w:lineRule="atLeast"/>
        <w:rPr>
          <w:rFonts w:ascii="Times New Roman" w:hAnsi="Times New Roman" w:cs="Times New Roman"/>
          <w:i/>
          <w:iCs/>
        </w:rPr>
      </w:pPr>
    </w:p>
    <w:p w14:paraId="3BAA8692" w14:textId="77777777" w:rsidR="0074478A" w:rsidRDefault="0074478A">
      <w:pPr>
        <w:spacing w:afterLines="100" w:after="312" w:line="240" w:lineRule="atLeast"/>
        <w:rPr>
          <w:rFonts w:ascii="Times New Roman" w:hAnsi="Times New Roman" w:cs="Times New Roman"/>
          <w:i/>
          <w:iCs/>
        </w:rPr>
      </w:pPr>
    </w:p>
    <w:p w14:paraId="17F97026" w14:textId="77777777" w:rsidR="0074478A" w:rsidRDefault="0074478A">
      <w:pPr>
        <w:spacing w:afterLines="100" w:after="312" w:line="240" w:lineRule="atLeast"/>
        <w:rPr>
          <w:rFonts w:ascii="Times New Roman" w:hAnsi="Times New Roman" w:cs="Times New Roman"/>
          <w:i/>
          <w:iCs/>
        </w:rPr>
      </w:pPr>
    </w:p>
    <w:p w14:paraId="575024DD" w14:textId="77777777" w:rsidR="0074478A" w:rsidRDefault="0074478A">
      <w:pPr>
        <w:spacing w:afterLines="100" w:after="312" w:line="240" w:lineRule="atLeast"/>
        <w:rPr>
          <w:rFonts w:ascii="Times New Roman" w:hAnsi="Times New Roman" w:cs="Times New Roman"/>
          <w:i/>
          <w:iCs/>
        </w:rPr>
      </w:pPr>
    </w:p>
    <w:p w14:paraId="38A321EE" w14:textId="77777777" w:rsidR="0074478A" w:rsidRDefault="0074478A">
      <w:pPr>
        <w:spacing w:afterLines="100" w:after="312" w:line="240" w:lineRule="atLeast"/>
        <w:rPr>
          <w:rFonts w:ascii="Times New Roman" w:hAnsi="Times New Roman" w:cs="Times New Roman"/>
          <w:i/>
          <w:iCs/>
        </w:rPr>
      </w:pPr>
    </w:p>
    <w:p w14:paraId="655973A9" w14:textId="77777777" w:rsidR="0074478A" w:rsidRDefault="0074478A">
      <w:pPr>
        <w:rPr>
          <w:rFonts w:ascii="Times New Roman" w:hAnsi="Times New Roman" w:cs="Times New Roman"/>
        </w:rPr>
      </w:pPr>
    </w:p>
    <w:p w14:paraId="33B7102F" w14:textId="77777777" w:rsidR="0074478A" w:rsidRDefault="00690393">
      <w:pPr>
        <w:rPr>
          <w:rFonts w:ascii="Times New Roman" w:hAnsi="Times New Roman" w:cs="Times New Roman"/>
        </w:rPr>
      </w:pPr>
      <w:r>
        <w:rPr>
          <w:rFonts w:ascii="Times New Roman" w:hAnsi="Times New Roman" w:cs="Times New Roman" w:hint="eastAsia"/>
        </w:rPr>
        <w:t>Panel W: South Korea</w:t>
      </w:r>
    </w:p>
    <w:tbl>
      <w:tblPr>
        <w:tblW w:w="4996" w:type="pct"/>
        <w:tblLayout w:type="fixed"/>
        <w:tblLook w:val="04A0" w:firstRow="1" w:lastRow="0" w:firstColumn="1" w:lastColumn="0" w:noHBand="0" w:noVBand="1"/>
      </w:tblPr>
      <w:tblGrid>
        <w:gridCol w:w="1608"/>
        <w:gridCol w:w="2720"/>
        <w:gridCol w:w="1601"/>
        <w:gridCol w:w="1603"/>
        <w:gridCol w:w="1603"/>
        <w:gridCol w:w="1601"/>
        <w:gridCol w:w="1603"/>
        <w:gridCol w:w="1608"/>
      </w:tblGrid>
      <w:tr w:rsidR="0074478A" w14:paraId="7E63D0BF"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0F4A33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1426E53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2002/04/16</w:t>
            </w:r>
          </w:p>
        </w:tc>
        <w:tc>
          <w:tcPr>
            <w:tcW w:w="1627" w:type="dxa"/>
            <w:tcBorders>
              <w:top w:val="single" w:sz="12" w:space="0" w:color="auto"/>
              <w:left w:val="nil"/>
              <w:bottom w:val="single" w:sz="8" w:space="0" w:color="auto"/>
              <w:right w:val="nil"/>
            </w:tcBorders>
            <w:shd w:val="clear" w:color="auto" w:fill="auto"/>
            <w:noWrap/>
            <w:vAlign w:val="center"/>
          </w:tcPr>
          <w:p w14:paraId="3333BC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2002/04/17-</w:t>
            </w:r>
            <w:r>
              <w:rPr>
                <w:rFonts w:ascii="Times New Roman" w:eastAsia="SimSun" w:hAnsi="Times New Roman" w:cs="Times New Roman"/>
                <w:color w:val="000000"/>
                <w:kern w:val="0"/>
                <w:szCs w:val="21"/>
                <w:lang w:bidi="ar"/>
              </w:rPr>
              <w:br/>
              <w:t>2007/02/23</w:t>
            </w:r>
          </w:p>
        </w:tc>
        <w:tc>
          <w:tcPr>
            <w:tcW w:w="1627" w:type="dxa"/>
            <w:tcBorders>
              <w:top w:val="single" w:sz="12" w:space="0" w:color="auto"/>
              <w:left w:val="nil"/>
              <w:bottom w:val="single" w:sz="8" w:space="0" w:color="auto"/>
              <w:right w:val="nil"/>
            </w:tcBorders>
            <w:shd w:val="clear" w:color="auto" w:fill="auto"/>
            <w:noWrap/>
            <w:vAlign w:val="center"/>
          </w:tcPr>
          <w:p w14:paraId="62CFA45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2007/02/24-</w:t>
            </w:r>
            <w:r>
              <w:rPr>
                <w:rFonts w:ascii="Times New Roman" w:eastAsia="SimSun" w:hAnsi="Times New Roman" w:cs="Times New Roman"/>
                <w:color w:val="000000"/>
                <w:kern w:val="0"/>
                <w:szCs w:val="21"/>
                <w:lang w:bidi="ar"/>
              </w:rPr>
              <w:br/>
              <w:t>2009/01/20</w:t>
            </w:r>
          </w:p>
        </w:tc>
        <w:tc>
          <w:tcPr>
            <w:tcW w:w="1627" w:type="dxa"/>
            <w:tcBorders>
              <w:top w:val="single" w:sz="12" w:space="0" w:color="auto"/>
              <w:left w:val="nil"/>
              <w:bottom w:val="single" w:sz="8" w:space="0" w:color="auto"/>
              <w:right w:val="nil"/>
            </w:tcBorders>
            <w:shd w:val="clear" w:color="auto" w:fill="auto"/>
            <w:noWrap/>
            <w:vAlign w:val="center"/>
          </w:tcPr>
          <w:p w14:paraId="52DF9CA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2009/01/21-</w:t>
            </w:r>
            <w:r>
              <w:rPr>
                <w:rFonts w:ascii="Times New Roman" w:eastAsia="SimSun" w:hAnsi="Times New Roman" w:cs="Times New Roman"/>
                <w:color w:val="000000"/>
                <w:kern w:val="0"/>
                <w:szCs w:val="21"/>
                <w:lang w:bidi="ar"/>
              </w:rPr>
              <w:br/>
              <w:t>2010/11/25</w:t>
            </w:r>
          </w:p>
        </w:tc>
        <w:tc>
          <w:tcPr>
            <w:tcW w:w="1627" w:type="dxa"/>
            <w:tcBorders>
              <w:top w:val="single" w:sz="12" w:space="0" w:color="auto"/>
              <w:left w:val="nil"/>
              <w:bottom w:val="single" w:sz="8" w:space="0" w:color="auto"/>
              <w:right w:val="nil"/>
            </w:tcBorders>
            <w:shd w:val="clear" w:color="auto" w:fill="auto"/>
            <w:noWrap/>
            <w:vAlign w:val="center"/>
          </w:tcPr>
          <w:p w14:paraId="67899BB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2010/11/26-</w:t>
            </w:r>
            <w:r>
              <w:rPr>
                <w:rFonts w:ascii="Times New Roman" w:eastAsia="SimSun" w:hAnsi="Times New Roman" w:cs="Times New Roman"/>
                <w:color w:val="000000"/>
                <w:kern w:val="0"/>
                <w:szCs w:val="21"/>
                <w:lang w:bidi="ar"/>
              </w:rPr>
              <w:br/>
              <w:t>2017/07/27</w:t>
            </w:r>
          </w:p>
        </w:tc>
        <w:tc>
          <w:tcPr>
            <w:tcW w:w="1632" w:type="dxa"/>
            <w:tcBorders>
              <w:top w:val="single" w:sz="12" w:space="0" w:color="auto"/>
              <w:left w:val="nil"/>
              <w:bottom w:val="single" w:sz="8" w:space="0" w:color="auto"/>
              <w:right w:val="nil"/>
            </w:tcBorders>
            <w:shd w:val="clear" w:color="auto" w:fill="auto"/>
            <w:noWrap/>
            <w:vAlign w:val="center"/>
          </w:tcPr>
          <w:p w14:paraId="2527AEA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2017/07/28-</w:t>
            </w:r>
            <w:r>
              <w:rPr>
                <w:rFonts w:ascii="Times New Roman" w:eastAsia="SimSun" w:hAnsi="Times New Roman" w:cs="Times New Roman"/>
                <w:color w:val="000000"/>
                <w:kern w:val="0"/>
                <w:szCs w:val="21"/>
                <w:lang w:bidi="ar"/>
              </w:rPr>
              <w:br/>
              <w:t>2020/12/31</w:t>
            </w:r>
          </w:p>
        </w:tc>
      </w:tr>
      <w:tr w:rsidR="0074478A" w14:paraId="0027908C"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564C234D"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41F31AD0"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627" w:type="dxa"/>
            <w:tcBorders>
              <w:top w:val="single" w:sz="8" w:space="0" w:color="auto"/>
              <w:left w:val="nil"/>
              <w:bottom w:val="nil"/>
              <w:right w:val="nil"/>
            </w:tcBorders>
            <w:shd w:val="clear" w:color="auto" w:fill="auto"/>
            <w:vAlign w:val="bottom"/>
          </w:tcPr>
          <w:p w14:paraId="26586F3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95.33%</w:t>
            </w:r>
          </w:p>
        </w:tc>
        <w:tc>
          <w:tcPr>
            <w:tcW w:w="1627" w:type="dxa"/>
            <w:tcBorders>
              <w:top w:val="single" w:sz="8" w:space="0" w:color="auto"/>
              <w:left w:val="nil"/>
              <w:bottom w:val="nil"/>
              <w:right w:val="nil"/>
            </w:tcBorders>
            <w:shd w:val="clear" w:color="auto" w:fill="auto"/>
            <w:noWrap/>
            <w:vAlign w:val="bottom"/>
          </w:tcPr>
          <w:p w14:paraId="29B02A3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68.60%</w:t>
            </w:r>
          </w:p>
        </w:tc>
        <w:tc>
          <w:tcPr>
            <w:tcW w:w="1627" w:type="dxa"/>
            <w:tcBorders>
              <w:top w:val="single" w:sz="8" w:space="0" w:color="auto"/>
              <w:left w:val="nil"/>
              <w:bottom w:val="nil"/>
              <w:right w:val="nil"/>
            </w:tcBorders>
            <w:shd w:val="clear" w:color="auto" w:fill="auto"/>
            <w:noWrap/>
            <w:vAlign w:val="bottom"/>
          </w:tcPr>
          <w:p w14:paraId="664F41A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76.87%</w:t>
            </w:r>
          </w:p>
        </w:tc>
        <w:tc>
          <w:tcPr>
            <w:tcW w:w="1627" w:type="dxa"/>
            <w:tcBorders>
              <w:top w:val="single" w:sz="8" w:space="0" w:color="auto"/>
              <w:left w:val="nil"/>
              <w:bottom w:val="nil"/>
              <w:right w:val="nil"/>
            </w:tcBorders>
            <w:shd w:val="clear" w:color="auto" w:fill="auto"/>
            <w:noWrap/>
            <w:vAlign w:val="bottom"/>
          </w:tcPr>
          <w:p w14:paraId="0996E28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76.87%</w:t>
            </w:r>
          </w:p>
        </w:tc>
        <w:tc>
          <w:tcPr>
            <w:tcW w:w="1627" w:type="dxa"/>
            <w:tcBorders>
              <w:top w:val="single" w:sz="8" w:space="0" w:color="auto"/>
              <w:left w:val="nil"/>
              <w:bottom w:val="nil"/>
              <w:right w:val="nil"/>
            </w:tcBorders>
            <w:shd w:val="clear" w:color="auto" w:fill="auto"/>
            <w:noWrap/>
            <w:vAlign w:val="bottom"/>
          </w:tcPr>
          <w:p w14:paraId="7C7C879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44.78%</w:t>
            </w:r>
          </w:p>
        </w:tc>
        <w:tc>
          <w:tcPr>
            <w:tcW w:w="1632" w:type="dxa"/>
            <w:tcBorders>
              <w:top w:val="single" w:sz="8" w:space="0" w:color="auto"/>
              <w:left w:val="nil"/>
              <w:bottom w:val="nil"/>
              <w:right w:val="nil"/>
            </w:tcBorders>
            <w:shd w:val="clear" w:color="auto" w:fill="auto"/>
            <w:noWrap/>
            <w:vAlign w:val="bottom"/>
          </w:tcPr>
          <w:p w14:paraId="5069A68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69.37%</w:t>
            </w:r>
          </w:p>
        </w:tc>
      </w:tr>
      <w:tr w:rsidR="0074478A" w14:paraId="3A836B65" w14:textId="77777777">
        <w:trPr>
          <w:trHeight w:val="278"/>
        </w:trPr>
        <w:tc>
          <w:tcPr>
            <w:tcW w:w="576" w:type="pct"/>
            <w:vMerge/>
            <w:tcBorders>
              <w:top w:val="nil"/>
              <w:left w:val="nil"/>
              <w:bottom w:val="nil"/>
              <w:right w:val="nil"/>
            </w:tcBorders>
            <w:shd w:val="clear" w:color="auto" w:fill="auto"/>
            <w:noWrap/>
            <w:vAlign w:val="center"/>
          </w:tcPr>
          <w:p w14:paraId="08E1011C"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AF45622"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627" w:type="dxa"/>
            <w:tcBorders>
              <w:top w:val="nil"/>
              <w:left w:val="nil"/>
              <w:bottom w:val="nil"/>
              <w:right w:val="nil"/>
            </w:tcBorders>
            <w:shd w:val="clear" w:color="auto" w:fill="auto"/>
            <w:noWrap/>
            <w:vAlign w:val="bottom"/>
          </w:tcPr>
          <w:p w14:paraId="4A9918B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-8.66%</w:t>
            </w:r>
          </w:p>
        </w:tc>
        <w:tc>
          <w:tcPr>
            <w:tcW w:w="1627" w:type="dxa"/>
            <w:tcBorders>
              <w:top w:val="nil"/>
              <w:left w:val="nil"/>
              <w:bottom w:val="nil"/>
              <w:right w:val="nil"/>
            </w:tcBorders>
            <w:shd w:val="clear" w:color="auto" w:fill="auto"/>
            <w:noWrap/>
            <w:vAlign w:val="bottom"/>
          </w:tcPr>
          <w:p w14:paraId="6E5685F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-2.38%</w:t>
            </w:r>
          </w:p>
        </w:tc>
        <w:tc>
          <w:tcPr>
            <w:tcW w:w="1627" w:type="dxa"/>
            <w:tcBorders>
              <w:top w:val="nil"/>
              <w:left w:val="nil"/>
              <w:bottom w:val="nil"/>
              <w:right w:val="nil"/>
            </w:tcBorders>
            <w:shd w:val="clear" w:color="auto" w:fill="auto"/>
            <w:noWrap/>
            <w:vAlign w:val="bottom"/>
          </w:tcPr>
          <w:p w14:paraId="085D376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35.72%</w:t>
            </w:r>
          </w:p>
        </w:tc>
        <w:tc>
          <w:tcPr>
            <w:tcW w:w="1627" w:type="dxa"/>
            <w:tcBorders>
              <w:top w:val="nil"/>
              <w:left w:val="nil"/>
              <w:bottom w:val="nil"/>
              <w:right w:val="nil"/>
            </w:tcBorders>
            <w:shd w:val="clear" w:color="auto" w:fill="auto"/>
            <w:noWrap/>
            <w:vAlign w:val="bottom"/>
          </w:tcPr>
          <w:p w14:paraId="7B22735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35.72%</w:t>
            </w:r>
          </w:p>
        </w:tc>
        <w:tc>
          <w:tcPr>
            <w:tcW w:w="1627" w:type="dxa"/>
            <w:tcBorders>
              <w:top w:val="nil"/>
              <w:left w:val="nil"/>
              <w:bottom w:val="nil"/>
              <w:right w:val="nil"/>
            </w:tcBorders>
            <w:shd w:val="clear" w:color="auto" w:fill="auto"/>
            <w:noWrap/>
            <w:vAlign w:val="bottom"/>
          </w:tcPr>
          <w:p w14:paraId="73B05235"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20.67%</w:t>
            </w:r>
          </w:p>
        </w:tc>
        <w:tc>
          <w:tcPr>
            <w:tcW w:w="1632" w:type="dxa"/>
            <w:tcBorders>
              <w:top w:val="nil"/>
              <w:left w:val="nil"/>
              <w:bottom w:val="nil"/>
              <w:right w:val="nil"/>
            </w:tcBorders>
            <w:shd w:val="clear" w:color="auto" w:fill="auto"/>
            <w:noWrap/>
            <w:vAlign w:val="bottom"/>
          </w:tcPr>
          <w:p w14:paraId="4E4EA7A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37.88%</w:t>
            </w:r>
          </w:p>
        </w:tc>
      </w:tr>
      <w:tr w:rsidR="0074478A" w14:paraId="5E3E3FAD" w14:textId="77777777">
        <w:trPr>
          <w:trHeight w:val="278"/>
        </w:trPr>
        <w:tc>
          <w:tcPr>
            <w:tcW w:w="576" w:type="pct"/>
            <w:vMerge/>
            <w:tcBorders>
              <w:top w:val="nil"/>
              <w:left w:val="nil"/>
              <w:bottom w:val="nil"/>
              <w:right w:val="nil"/>
            </w:tcBorders>
            <w:shd w:val="clear" w:color="auto" w:fill="auto"/>
            <w:noWrap/>
            <w:vAlign w:val="center"/>
          </w:tcPr>
          <w:p w14:paraId="5EBBC979"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52D013E"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627" w:type="dxa"/>
            <w:tcBorders>
              <w:top w:val="nil"/>
              <w:left w:val="nil"/>
              <w:bottom w:val="nil"/>
              <w:right w:val="nil"/>
            </w:tcBorders>
            <w:shd w:val="clear" w:color="auto" w:fill="auto"/>
            <w:noWrap/>
            <w:vAlign w:val="bottom"/>
          </w:tcPr>
          <w:p w14:paraId="0A95A30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13.75%</w:t>
            </w:r>
          </w:p>
        </w:tc>
        <w:tc>
          <w:tcPr>
            <w:tcW w:w="1627" w:type="dxa"/>
            <w:tcBorders>
              <w:top w:val="nil"/>
              <w:left w:val="nil"/>
              <w:bottom w:val="nil"/>
              <w:right w:val="nil"/>
            </w:tcBorders>
            <w:shd w:val="clear" w:color="auto" w:fill="auto"/>
            <w:noWrap/>
            <w:vAlign w:val="bottom"/>
          </w:tcPr>
          <w:p w14:paraId="299B446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26.63%</w:t>
            </w:r>
          </w:p>
        </w:tc>
        <w:tc>
          <w:tcPr>
            <w:tcW w:w="1627" w:type="dxa"/>
            <w:tcBorders>
              <w:top w:val="nil"/>
              <w:left w:val="nil"/>
              <w:bottom w:val="nil"/>
              <w:right w:val="nil"/>
            </w:tcBorders>
            <w:shd w:val="clear" w:color="auto" w:fill="auto"/>
            <w:noWrap/>
            <w:vAlign w:val="bottom"/>
          </w:tcPr>
          <w:p w14:paraId="449B80C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-32.63%</w:t>
            </w:r>
          </w:p>
        </w:tc>
        <w:tc>
          <w:tcPr>
            <w:tcW w:w="1627" w:type="dxa"/>
            <w:tcBorders>
              <w:top w:val="nil"/>
              <w:left w:val="nil"/>
              <w:bottom w:val="nil"/>
              <w:right w:val="nil"/>
            </w:tcBorders>
            <w:shd w:val="clear" w:color="auto" w:fill="auto"/>
            <w:noWrap/>
            <w:vAlign w:val="bottom"/>
          </w:tcPr>
          <w:p w14:paraId="1CA9157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-32.63%</w:t>
            </w:r>
          </w:p>
        </w:tc>
        <w:tc>
          <w:tcPr>
            <w:tcW w:w="1627" w:type="dxa"/>
            <w:tcBorders>
              <w:top w:val="nil"/>
              <w:left w:val="nil"/>
              <w:bottom w:val="nil"/>
              <w:right w:val="nil"/>
            </w:tcBorders>
            <w:shd w:val="clear" w:color="auto" w:fill="auto"/>
            <w:noWrap/>
            <w:vAlign w:val="bottom"/>
          </w:tcPr>
          <w:p w14:paraId="1DA9134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7.37%</w:t>
            </w:r>
          </w:p>
        </w:tc>
        <w:tc>
          <w:tcPr>
            <w:tcW w:w="1632" w:type="dxa"/>
            <w:tcBorders>
              <w:top w:val="nil"/>
              <w:left w:val="nil"/>
              <w:bottom w:val="nil"/>
              <w:right w:val="nil"/>
            </w:tcBorders>
            <w:shd w:val="clear" w:color="auto" w:fill="auto"/>
            <w:noWrap/>
            <w:vAlign w:val="bottom"/>
          </w:tcPr>
          <w:p w14:paraId="7A565D1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-26.40%</w:t>
            </w:r>
          </w:p>
        </w:tc>
      </w:tr>
      <w:tr w:rsidR="0074478A" w14:paraId="1C360B3F" w14:textId="77777777">
        <w:trPr>
          <w:trHeight w:val="278"/>
        </w:trPr>
        <w:tc>
          <w:tcPr>
            <w:tcW w:w="576" w:type="pct"/>
            <w:vMerge/>
            <w:tcBorders>
              <w:top w:val="nil"/>
              <w:left w:val="nil"/>
              <w:bottom w:val="nil"/>
              <w:right w:val="nil"/>
            </w:tcBorders>
            <w:shd w:val="clear" w:color="auto" w:fill="auto"/>
            <w:noWrap/>
            <w:vAlign w:val="center"/>
          </w:tcPr>
          <w:p w14:paraId="151DC7A9"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28162E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627" w:type="dxa"/>
            <w:tcBorders>
              <w:top w:val="nil"/>
              <w:left w:val="nil"/>
              <w:bottom w:val="nil"/>
              <w:right w:val="nil"/>
            </w:tcBorders>
            <w:shd w:val="clear" w:color="auto" w:fill="auto"/>
            <w:vAlign w:val="center"/>
          </w:tcPr>
          <w:p w14:paraId="28BB2C5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-0.42%</w:t>
            </w:r>
          </w:p>
        </w:tc>
        <w:tc>
          <w:tcPr>
            <w:tcW w:w="1627" w:type="dxa"/>
            <w:tcBorders>
              <w:top w:val="nil"/>
              <w:left w:val="nil"/>
              <w:bottom w:val="nil"/>
              <w:right w:val="nil"/>
            </w:tcBorders>
            <w:shd w:val="clear" w:color="auto" w:fill="auto"/>
            <w:noWrap/>
            <w:vAlign w:val="center"/>
          </w:tcPr>
          <w:p w14:paraId="2FA05D2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7.15%</w:t>
            </w:r>
          </w:p>
        </w:tc>
        <w:tc>
          <w:tcPr>
            <w:tcW w:w="1627" w:type="dxa"/>
            <w:tcBorders>
              <w:top w:val="nil"/>
              <w:left w:val="nil"/>
              <w:bottom w:val="nil"/>
              <w:right w:val="nil"/>
            </w:tcBorders>
            <w:shd w:val="clear" w:color="auto" w:fill="auto"/>
            <w:noWrap/>
            <w:vAlign w:val="center"/>
          </w:tcPr>
          <w:p w14:paraId="36222AF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20.05%</w:t>
            </w:r>
          </w:p>
        </w:tc>
        <w:tc>
          <w:tcPr>
            <w:tcW w:w="1627" w:type="dxa"/>
            <w:tcBorders>
              <w:top w:val="nil"/>
              <w:left w:val="nil"/>
              <w:bottom w:val="nil"/>
              <w:right w:val="nil"/>
            </w:tcBorders>
            <w:shd w:val="clear" w:color="auto" w:fill="auto"/>
            <w:noWrap/>
            <w:vAlign w:val="center"/>
          </w:tcPr>
          <w:p w14:paraId="57D7D78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20.05%</w:t>
            </w:r>
          </w:p>
        </w:tc>
        <w:tc>
          <w:tcPr>
            <w:tcW w:w="1627" w:type="dxa"/>
            <w:tcBorders>
              <w:top w:val="nil"/>
              <w:left w:val="nil"/>
              <w:bottom w:val="nil"/>
              <w:right w:val="nil"/>
            </w:tcBorders>
            <w:shd w:val="clear" w:color="auto" w:fill="auto"/>
            <w:noWrap/>
            <w:vAlign w:val="center"/>
          </w:tcPr>
          <w:p w14:paraId="0E73D83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27.19%</w:t>
            </w:r>
          </w:p>
        </w:tc>
        <w:tc>
          <w:tcPr>
            <w:tcW w:w="1632" w:type="dxa"/>
            <w:tcBorders>
              <w:top w:val="nil"/>
              <w:left w:val="nil"/>
              <w:bottom w:val="nil"/>
              <w:right w:val="nil"/>
            </w:tcBorders>
            <w:shd w:val="clear" w:color="auto" w:fill="auto"/>
            <w:noWrap/>
            <w:vAlign w:val="center"/>
          </w:tcPr>
          <w:p w14:paraId="0D3A9A1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19.16%</w:t>
            </w:r>
          </w:p>
        </w:tc>
      </w:tr>
      <w:tr w:rsidR="0074478A" w14:paraId="43D15F00" w14:textId="77777777">
        <w:trPr>
          <w:trHeight w:val="278"/>
        </w:trPr>
        <w:tc>
          <w:tcPr>
            <w:tcW w:w="1551" w:type="pct"/>
            <w:gridSpan w:val="2"/>
            <w:tcBorders>
              <w:top w:val="nil"/>
              <w:left w:val="nil"/>
              <w:bottom w:val="nil"/>
              <w:right w:val="nil"/>
            </w:tcBorders>
            <w:shd w:val="clear" w:color="auto" w:fill="auto"/>
            <w:noWrap/>
            <w:vAlign w:val="center"/>
          </w:tcPr>
          <w:p w14:paraId="605A2DC7"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E9B067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1C5478B3"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627" w:type="dxa"/>
            <w:tcBorders>
              <w:top w:val="nil"/>
              <w:left w:val="nil"/>
              <w:bottom w:val="nil"/>
              <w:right w:val="nil"/>
            </w:tcBorders>
            <w:shd w:val="clear" w:color="auto" w:fill="auto"/>
            <w:noWrap/>
            <w:vAlign w:val="center"/>
          </w:tcPr>
          <w:p w14:paraId="6FA7209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99A88E9"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38835240"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1632" w:type="dxa"/>
            <w:tcBorders>
              <w:top w:val="nil"/>
              <w:left w:val="nil"/>
              <w:bottom w:val="nil"/>
              <w:right w:val="nil"/>
            </w:tcBorders>
            <w:shd w:val="clear" w:color="auto" w:fill="auto"/>
            <w:noWrap/>
            <w:vAlign w:val="center"/>
          </w:tcPr>
          <w:p w14:paraId="20F7219E"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6C3D4544" w14:textId="77777777">
        <w:trPr>
          <w:trHeight w:val="278"/>
        </w:trPr>
        <w:tc>
          <w:tcPr>
            <w:tcW w:w="1551" w:type="pct"/>
            <w:gridSpan w:val="2"/>
            <w:tcBorders>
              <w:top w:val="nil"/>
              <w:left w:val="nil"/>
              <w:bottom w:val="nil"/>
              <w:right w:val="nil"/>
            </w:tcBorders>
            <w:shd w:val="clear" w:color="auto" w:fill="auto"/>
            <w:noWrap/>
            <w:vAlign w:val="center"/>
          </w:tcPr>
          <w:p w14:paraId="52364A1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7C5D61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±8.02%</w:t>
            </w:r>
          </w:p>
        </w:tc>
        <w:tc>
          <w:tcPr>
            <w:tcW w:w="1627" w:type="dxa"/>
            <w:tcBorders>
              <w:top w:val="nil"/>
              <w:left w:val="nil"/>
              <w:bottom w:val="nil"/>
              <w:right w:val="nil"/>
            </w:tcBorders>
            <w:shd w:val="clear" w:color="auto" w:fill="auto"/>
            <w:noWrap/>
            <w:vAlign w:val="center"/>
          </w:tcPr>
          <w:p w14:paraId="4BB3C40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A73B11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35E48F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±18.76%</w:t>
            </w:r>
          </w:p>
        </w:tc>
        <w:tc>
          <w:tcPr>
            <w:tcW w:w="1627" w:type="dxa"/>
            <w:tcBorders>
              <w:top w:val="nil"/>
              <w:left w:val="nil"/>
              <w:bottom w:val="nil"/>
              <w:right w:val="nil"/>
            </w:tcBorders>
            <w:shd w:val="clear" w:color="auto" w:fill="auto"/>
            <w:noWrap/>
            <w:vAlign w:val="center"/>
          </w:tcPr>
          <w:p w14:paraId="632275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C0022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1D198D5B" w14:textId="77777777">
        <w:trPr>
          <w:trHeight w:val="278"/>
        </w:trPr>
        <w:tc>
          <w:tcPr>
            <w:tcW w:w="576" w:type="pct"/>
            <w:vMerge w:val="restart"/>
            <w:tcBorders>
              <w:top w:val="nil"/>
              <w:left w:val="nil"/>
              <w:bottom w:val="nil"/>
              <w:right w:val="nil"/>
            </w:tcBorders>
            <w:shd w:val="clear" w:color="auto" w:fill="auto"/>
            <w:noWrap/>
            <w:vAlign w:val="center"/>
          </w:tcPr>
          <w:p w14:paraId="0597263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12A0A2E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795685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-0.006/1.063</w:t>
            </w:r>
          </w:p>
        </w:tc>
        <w:tc>
          <w:tcPr>
            <w:tcW w:w="1627" w:type="dxa"/>
            <w:tcBorders>
              <w:top w:val="nil"/>
              <w:left w:val="nil"/>
              <w:bottom w:val="nil"/>
              <w:right w:val="nil"/>
            </w:tcBorders>
            <w:shd w:val="clear" w:color="auto" w:fill="auto"/>
            <w:noWrap/>
            <w:vAlign w:val="center"/>
          </w:tcPr>
          <w:p w14:paraId="79D143F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6C2A7EC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54E7CE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0.085/0.549</w:t>
            </w:r>
          </w:p>
        </w:tc>
        <w:tc>
          <w:tcPr>
            <w:tcW w:w="1627" w:type="dxa"/>
            <w:tcBorders>
              <w:top w:val="nil"/>
              <w:left w:val="nil"/>
              <w:bottom w:val="nil"/>
              <w:right w:val="nil"/>
            </w:tcBorders>
            <w:shd w:val="clear" w:color="auto" w:fill="auto"/>
            <w:noWrap/>
            <w:vAlign w:val="center"/>
          </w:tcPr>
          <w:p w14:paraId="1F1B417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73ABB3B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385BD408" w14:textId="77777777">
        <w:trPr>
          <w:trHeight w:val="278"/>
        </w:trPr>
        <w:tc>
          <w:tcPr>
            <w:tcW w:w="576" w:type="pct"/>
            <w:vMerge/>
            <w:tcBorders>
              <w:top w:val="nil"/>
              <w:left w:val="nil"/>
              <w:bottom w:val="nil"/>
              <w:right w:val="nil"/>
            </w:tcBorders>
            <w:shd w:val="clear" w:color="auto" w:fill="auto"/>
            <w:noWrap/>
            <w:vAlign w:val="center"/>
          </w:tcPr>
          <w:p w14:paraId="78509FDE"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811F040"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33A909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/0.995</w:t>
            </w:r>
          </w:p>
        </w:tc>
        <w:tc>
          <w:tcPr>
            <w:tcW w:w="1627" w:type="dxa"/>
            <w:tcBorders>
              <w:top w:val="nil"/>
              <w:left w:val="nil"/>
              <w:bottom w:val="nil"/>
              <w:right w:val="nil"/>
            </w:tcBorders>
            <w:shd w:val="clear" w:color="auto" w:fill="auto"/>
            <w:noWrap/>
            <w:vAlign w:val="center"/>
          </w:tcPr>
          <w:p w14:paraId="28CA5D7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671032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68922C2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0.001/0.997</w:t>
            </w:r>
          </w:p>
        </w:tc>
        <w:tc>
          <w:tcPr>
            <w:tcW w:w="1627" w:type="dxa"/>
            <w:tcBorders>
              <w:top w:val="nil"/>
              <w:left w:val="nil"/>
              <w:bottom w:val="nil"/>
              <w:right w:val="nil"/>
            </w:tcBorders>
            <w:shd w:val="clear" w:color="auto" w:fill="auto"/>
            <w:noWrap/>
            <w:vAlign w:val="center"/>
          </w:tcPr>
          <w:p w14:paraId="4AB5D23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C4EDC0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7918A85A" w14:textId="77777777">
        <w:trPr>
          <w:trHeight w:val="278"/>
        </w:trPr>
        <w:tc>
          <w:tcPr>
            <w:tcW w:w="576" w:type="pct"/>
            <w:vMerge/>
            <w:tcBorders>
              <w:top w:val="nil"/>
              <w:left w:val="nil"/>
              <w:bottom w:val="nil"/>
              <w:right w:val="nil"/>
            </w:tcBorders>
            <w:shd w:val="clear" w:color="auto" w:fill="auto"/>
            <w:noWrap/>
            <w:vAlign w:val="center"/>
          </w:tcPr>
          <w:p w14:paraId="35E2086E"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B6A2F6A"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3A9CBF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540300D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24371C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06F971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403F3A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76A6D3C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74478A" w14:paraId="67E53B72"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41FF8426"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027D7E99"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91.80%</w:t>
            </w:r>
          </w:p>
        </w:tc>
        <w:tc>
          <w:tcPr>
            <w:tcW w:w="1627" w:type="dxa"/>
            <w:tcBorders>
              <w:top w:val="nil"/>
              <w:left w:val="nil"/>
              <w:bottom w:val="single" w:sz="12" w:space="0" w:color="auto"/>
              <w:right w:val="nil"/>
            </w:tcBorders>
            <w:shd w:val="clear" w:color="auto" w:fill="auto"/>
            <w:noWrap/>
            <w:vAlign w:val="center"/>
          </w:tcPr>
          <w:p w14:paraId="236E706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EDBCBF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312C55F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95.08%</w:t>
            </w:r>
          </w:p>
        </w:tc>
        <w:tc>
          <w:tcPr>
            <w:tcW w:w="1627" w:type="dxa"/>
            <w:tcBorders>
              <w:top w:val="nil"/>
              <w:left w:val="nil"/>
              <w:bottom w:val="single" w:sz="12" w:space="0" w:color="auto"/>
              <w:right w:val="nil"/>
            </w:tcBorders>
            <w:shd w:val="clear" w:color="auto" w:fill="auto"/>
            <w:noWrap/>
            <w:vAlign w:val="center"/>
          </w:tcPr>
          <w:p w14:paraId="0CEB988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32" w:type="dxa"/>
            <w:tcBorders>
              <w:top w:val="nil"/>
              <w:left w:val="nil"/>
              <w:bottom w:val="single" w:sz="12" w:space="0" w:color="auto"/>
              <w:right w:val="nil"/>
            </w:tcBorders>
            <w:shd w:val="clear" w:color="auto" w:fill="auto"/>
            <w:noWrap/>
            <w:vAlign w:val="center"/>
          </w:tcPr>
          <w:p w14:paraId="4547A08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6026624C" w14:textId="77777777" w:rsidR="0074478A" w:rsidRDefault="0074478A">
      <w:pPr>
        <w:spacing w:afterLines="100" w:after="312" w:line="240" w:lineRule="atLeast"/>
        <w:rPr>
          <w:rFonts w:ascii="Times New Roman" w:hAnsi="Times New Roman" w:cs="Times New Roman"/>
          <w:i/>
          <w:iCs/>
        </w:rPr>
      </w:pPr>
    </w:p>
    <w:p w14:paraId="3B95EE4D" w14:textId="77777777" w:rsidR="0074478A" w:rsidRDefault="0074478A">
      <w:pPr>
        <w:spacing w:afterLines="100" w:after="312" w:line="240" w:lineRule="atLeast"/>
        <w:rPr>
          <w:rFonts w:ascii="Times New Roman" w:hAnsi="Times New Roman" w:cs="Times New Roman"/>
          <w:i/>
          <w:iCs/>
        </w:rPr>
      </w:pPr>
    </w:p>
    <w:p w14:paraId="01E3E102" w14:textId="77777777" w:rsidR="0074478A" w:rsidRDefault="0074478A">
      <w:pPr>
        <w:spacing w:afterLines="100" w:after="312" w:line="240" w:lineRule="atLeast"/>
        <w:rPr>
          <w:rFonts w:ascii="Times New Roman" w:hAnsi="Times New Roman" w:cs="Times New Roman"/>
          <w:i/>
          <w:iCs/>
        </w:rPr>
      </w:pPr>
    </w:p>
    <w:p w14:paraId="1E3BC5D2" w14:textId="77777777" w:rsidR="0074478A" w:rsidRDefault="0074478A">
      <w:pPr>
        <w:spacing w:afterLines="100" w:after="312" w:line="240" w:lineRule="atLeast"/>
        <w:rPr>
          <w:rFonts w:ascii="Times New Roman" w:hAnsi="Times New Roman" w:cs="Times New Roman"/>
          <w:i/>
          <w:iCs/>
        </w:rPr>
      </w:pPr>
    </w:p>
    <w:p w14:paraId="7620D6B0" w14:textId="77777777" w:rsidR="0074478A" w:rsidRDefault="0074478A">
      <w:pPr>
        <w:spacing w:afterLines="100" w:after="312" w:line="240" w:lineRule="atLeast"/>
        <w:rPr>
          <w:rFonts w:ascii="Times New Roman" w:hAnsi="Times New Roman" w:cs="Times New Roman"/>
          <w:i/>
          <w:iCs/>
        </w:rPr>
      </w:pPr>
    </w:p>
    <w:p w14:paraId="64D92721" w14:textId="77777777" w:rsidR="0074478A" w:rsidRDefault="0074478A">
      <w:pPr>
        <w:spacing w:afterLines="100" w:after="312" w:line="240" w:lineRule="atLeast"/>
        <w:rPr>
          <w:rFonts w:ascii="Times New Roman" w:hAnsi="Times New Roman" w:cs="Times New Roman"/>
          <w:i/>
          <w:iCs/>
        </w:rPr>
      </w:pPr>
    </w:p>
    <w:p w14:paraId="79BF0D4D" w14:textId="77777777" w:rsidR="0074478A" w:rsidRDefault="00690393">
      <w:pPr>
        <w:rPr>
          <w:rFonts w:ascii="Times New Roman" w:hAnsi="Times New Roman" w:cs="Times New Roman"/>
        </w:rPr>
      </w:pPr>
      <w:r>
        <w:rPr>
          <w:rFonts w:ascii="Times New Roman" w:hAnsi="Times New Roman" w:cs="Times New Roman" w:hint="eastAsia"/>
        </w:rPr>
        <w:t>Panel X: Sweden</w:t>
      </w:r>
    </w:p>
    <w:tbl>
      <w:tblPr>
        <w:tblW w:w="4996" w:type="pct"/>
        <w:tblLayout w:type="fixed"/>
        <w:tblLook w:val="04A0" w:firstRow="1" w:lastRow="0" w:firstColumn="1" w:lastColumn="0" w:noHBand="0" w:noVBand="1"/>
      </w:tblPr>
      <w:tblGrid>
        <w:gridCol w:w="1606"/>
        <w:gridCol w:w="2719"/>
        <w:gridCol w:w="1602"/>
        <w:gridCol w:w="1603"/>
        <w:gridCol w:w="1603"/>
        <w:gridCol w:w="1603"/>
        <w:gridCol w:w="1603"/>
        <w:gridCol w:w="1608"/>
      </w:tblGrid>
      <w:tr w:rsidR="0074478A" w14:paraId="2B635A26"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316E4DE4"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6FAEF4A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2003/06/03</w:t>
            </w:r>
          </w:p>
        </w:tc>
        <w:tc>
          <w:tcPr>
            <w:tcW w:w="1627" w:type="dxa"/>
            <w:tcBorders>
              <w:top w:val="single" w:sz="12" w:space="0" w:color="auto"/>
              <w:left w:val="nil"/>
              <w:bottom w:val="single" w:sz="8" w:space="0" w:color="auto"/>
              <w:right w:val="nil"/>
            </w:tcBorders>
            <w:shd w:val="clear" w:color="auto" w:fill="auto"/>
            <w:noWrap/>
            <w:vAlign w:val="center"/>
          </w:tcPr>
          <w:p w14:paraId="25ED6A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2003/06/04-</w:t>
            </w:r>
            <w:r>
              <w:rPr>
                <w:rFonts w:ascii="Times New Roman" w:eastAsia="SimSun" w:hAnsi="Times New Roman" w:cs="Times New Roman"/>
                <w:color w:val="000000"/>
                <w:kern w:val="0"/>
                <w:szCs w:val="21"/>
                <w:lang w:bidi="ar"/>
              </w:rPr>
              <w:br/>
              <w:t>2008/10/24</w:t>
            </w:r>
          </w:p>
        </w:tc>
        <w:tc>
          <w:tcPr>
            <w:tcW w:w="1627" w:type="dxa"/>
            <w:tcBorders>
              <w:top w:val="single" w:sz="12" w:space="0" w:color="auto"/>
              <w:left w:val="nil"/>
              <w:bottom w:val="single" w:sz="8" w:space="0" w:color="auto"/>
              <w:right w:val="nil"/>
            </w:tcBorders>
            <w:shd w:val="clear" w:color="auto" w:fill="auto"/>
            <w:noWrap/>
            <w:vAlign w:val="center"/>
          </w:tcPr>
          <w:p w14:paraId="201454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2008/10/25-</w:t>
            </w:r>
            <w:r>
              <w:rPr>
                <w:rFonts w:ascii="Times New Roman" w:eastAsia="SimSun" w:hAnsi="Times New Roman" w:cs="Times New Roman"/>
                <w:color w:val="000000"/>
                <w:kern w:val="0"/>
                <w:szCs w:val="21"/>
                <w:lang w:bidi="ar"/>
              </w:rPr>
              <w:br/>
              <w:t>2009/07/20</w:t>
            </w:r>
          </w:p>
        </w:tc>
        <w:tc>
          <w:tcPr>
            <w:tcW w:w="1627" w:type="dxa"/>
            <w:tcBorders>
              <w:top w:val="single" w:sz="12" w:space="0" w:color="auto"/>
              <w:left w:val="nil"/>
              <w:bottom w:val="single" w:sz="8" w:space="0" w:color="auto"/>
              <w:right w:val="nil"/>
            </w:tcBorders>
            <w:shd w:val="clear" w:color="auto" w:fill="auto"/>
            <w:noWrap/>
            <w:vAlign w:val="center"/>
          </w:tcPr>
          <w:p w14:paraId="46F6EF5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2009/07/21-</w:t>
            </w:r>
            <w:r>
              <w:rPr>
                <w:rFonts w:ascii="Times New Roman" w:eastAsia="SimSun" w:hAnsi="Times New Roman" w:cs="Times New Roman"/>
                <w:color w:val="000000"/>
                <w:kern w:val="0"/>
                <w:szCs w:val="21"/>
                <w:lang w:bidi="ar"/>
              </w:rPr>
              <w:br/>
              <w:t>2012/05/22</w:t>
            </w:r>
          </w:p>
        </w:tc>
        <w:tc>
          <w:tcPr>
            <w:tcW w:w="1627" w:type="dxa"/>
            <w:tcBorders>
              <w:top w:val="single" w:sz="12" w:space="0" w:color="auto"/>
              <w:left w:val="nil"/>
              <w:bottom w:val="single" w:sz="8" w:space="0" w:color="auto"/>
              <w:right w:val="nil"/>
            </w:tcBorders>
            <w:shd w:val="clear" w:color="auto" w:fill="auto"/>
            <w:noWrap/>
            <w:vAlign w:val="center"/>
          </w:tcPr>
          <w:p w14:paraId="0A4913C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2012/05/23-</w:t>
            </w:r>
            <w:r>
              <w:rPr>
                <w:rFonts w:ascii="Times New Roman" w:eastAsia="SimSun" w:hAnsi="Times New Roman" w:cs="Times New Roman"/>
                <w:color w:val="000000"/>
                <w:kern w:val="0"/>
                <w:szCs w:val="21"/>
                <w:lang w:bidi="ar"/>
              </w:rPr>
              <w:br/>
              <w:t>2017/04/20</w:t>
            </w:r>
          </w:p>
        </w:tc>
        <w:tc>
          <w:tcPr>
            <w:tcW w:w="1632" w:type="dxa"/>
            <w:tcBorders>
              <w:top w:val="single" w:sz="12" w:space="0" w:color="auto"/>
              <w:left w:val="nil"/>
              <w:bottom w:val="single" w:sz="8" w:space="0" w:color="auto"/>
              <w:right w:val="nil"/>
            </w:tcBorders>
            <w:shd w:val="clear" w:color="auto" w:fill="auto"/>
            <w:noWrap/>
            <w:vAlign w:val="center"/>
          </w:tcPr>
          <w:p w14:paraId="3089A3F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2017/04/21-</w:t>
            </w:r>
            <w:r>
              <w:rPr>
                <w:rFonts w:ascii="Times New Roman" w:eastAsia="SimSun" w:hAnsi="Times New Roman" w:cs="Times New Roman"/>
                <w:color w:val="000000"/>
                <w:kern w:val="0"/>
                <w:szCs w:val="21"/>
                <w:lang w:bidi="ar"/>
              </w:rPr>
              <w:br/>
              <w:t>2020/12/31</w:t>
            </w:r>
          </w:p>
        </w:tc>
      </w:tr>
      <w:tr w:rsidR="0074478A" w14:paraId="10ACDB98"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1D86387A"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41315D89"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627" w:type="dxa"/>
            <w:tcBorders>
              <w:top w:val="single" w:sz="8" w:space="0" w:color="auto"/>
              <w:left w:val="nil"/>
              <w:bottom w:val="nil"/>
              <w:right w:val="nil"/>
            </w:tcBorders>
            <w:shd w:val="clear" w:color="auto" w:fill="auto"/>
            <w:vAlign w:val="bottom"/>
          </w:tcPr>
          <w:p w14:paraId="1DDE39F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19.76%</w:t>
            </w:r>
          </w:p>
        </w:tc>
        <w:tc>
          <w:tcPr>
            <w:tcW w:w="1627" w:type="dxa"/>
            <w:tcBorders>
              <w:top w:val="single" w:sz="8" w:space="0" w:color="auto"/>
              <w:left w:val="nil"/>
              <w:bottom w:val="nil"/>
              <w:right w:val="nil"/>
            </w:tcBorders>
            <w:shd w:val="clear" w:color="auto" w:fill="auto"/>
            <w:noWrap/>
            <w:vAlign w:val="bottom"/>
          </w:tcPr>
          <w:p w14:paraId="7162B9D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-5.28%</w:t>
            </w:r>
          </w:p>
        </w:tc>
        <w:tc>
          <w:tcPr>
            <w:tcW w:w="1627" w:type="dxa"/>
            <w:tcBorders>
              <w:top w:val="single" w:sz="8" w:space="0" w:color="auto"/>
              <w:left w:val="nil"/>
              <w:bottom w:val="nil"/>
              <w:right w:val="nil"/>
            </w:tcBorders>
            <w:shd w:val="clear" w:color="auto" w:fill="auto"/>
            <w:noWrap/>
            <w:vAlign w:val="bottom"/>
          </w:tcPr>
          <w:p w14:paraId="737FF8F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w:t>
            </w:r>
          </w:p>
        </w:tc>
        <w:tc>
          <w:tcPr>
            <w:tcW w:w="1627" w:type="dxa"/>
            <w:tcBorders>
              <w:top w:val="single" w:sz="8" w:space="0" w:color="auto"/>
              <w:left w:val="nil"/>
              <w:bottom w:val="nil"/>
              <w:right w:val="nil"/>
            </w:tcBorders>
            <w:shd w:val="clear" w:color="auto" w:fill="auto"/>
            <w:noWrap/>
            <w:vAlign w:val="bottom"/>
          </w:tcPr>
          <w:p w14:paraId="0F7E2A5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w:t>
            </w:r>
          </w:p>
        </w:tc>
        <w:tc>
          <w:tcPr>
            <w:tcW w:w="1627" w:type="dxa"/>
            <w:tcBorders>
              <w:top w:val="single" w:sz="8" w:space="0" w:color="auto"/>
              <w:left w:val="nil"/>
              <w:bottom w:val="nil"/>
              <w:right w:val="nil"/>
            </w:tcBorders>
            <w:shd w:val="clear" w:color="auto" w:fill="auto"/>
            <w:noWrap/>
            <w:vAlign w:val="bottom"/>
          </w:tcPr>
          <w:p w14:paraId="762C1284"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5.22%</w:t>
            </w:r>
          </w:p>
        </w:tc>
        <w:tc>
          <w:tcPr>
            <w:tcW w:w="1632" w:type="dxa"/>
            <w:tcBorders>
              <w:top w:val="single" w:sz="8" w:space="0" w:color="auto"/>
              <w:left w:val="nil"/>
              <w:bottom w:val="nil"/>
              <w:right w:val="nil"/>
            </w:tcBorders>
            <w:shd w:val="clear" w:color="auto" w:fill="auto"/>
            <w:noWrap/>
            <w:vAlign w:val="bottom"/>
          </w:tcPr>
          <w:p w14:paraId="13CF3EE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3.82%</w:t>
            </w:r>
          </w:p>
        </w:tc>
      </w:tr>
      <w:tr w:rsidR="0074478A" w14:paraId="1493339E" w14:textId="77777777">
        <w:trPr>
          <w:trHeight w:val="278"/>
        </w:trPr>
        <w:tc>
          <w:tcPr>
            <w:tcW w:w="576" w:type="pct"/>
            <w:vMerge/>
            <w:tcBorders>
              <w:top w:val="nil"/>
              <w:left w:val="nil"/>
              <w:bottom w:val="nil"/>
              <w:right w:val="nil"/>
            </w:tcBorders>
            <w:shd w:val="clear" w:color="auto" w:fill="auto"/>
            <w:noWrap/>
            <w:vAlign w:val="center"/>
          </w:tcPr>
          <w:p w14:paraId="5271081F"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5551660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627" w:type="dxa"/>
            <w:tcBorders>
              <w:top w:val="nil"/>
              <w:left w:val="nil"/>
              <w:bottom w:val="nil"/>
              <w:right w:val="nil"/>
            </w:tcBorders>
            <w:shd w:val="clear" w:color="auto" w:fill="auto"/>
            <w:noWrap/>
            <w:vAlign w:val="bottom"/>
          </w:tcPr>
          <w:p w14:paraId="2EC4E3E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76.67%</w:t>
            </w:r>
          </w:p>
        </w:tc>
        <w:tc>
          <w:tcPr>
            <w:tcW w:w="1627" w:type="dxa"/>
            <w:tcBorders>
              <w:top w:val="nil"/>
              <w:left w:val="nil"/>
              <w:bottom w:val="nil"/>
              <w:right w:val="nil"/>
            </w:tcBorders>
            <w:shd w:val="clear" w:color="auto" w:fill="auto"/>
            <w:noWrap/>
            <w:vAlign w:val="bottom"/>
          </w:tcPr>
          <w:p w14:paraId="5268E7D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106.96%</w:t>
            </w:r>
          </w:p>
        </w:tc>
        <w:tc>
          <w:tcPr>
            <w:tcW w:w="1627" w:type="dxa"/>
            <w:tcBorders>
              <w:top w:val="nil"/>
              <w:left w:val="nil"/>
              <w:bottom w:val="nil"/>
              <w:right w:val="nil"/>
            </w:tcBorders>
            <w:shd w:val="clear" w:color="auto" w:fill="auto"/>
            <w:noWrap/>
            <w:vAlign w:val="bottom"/>
          </w:tcPr>
          <w:p w14:paraId="1D922C4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109.56%</w:t>
            </w:r>
          </w:p>
        </w:tc>
        <w:tc>
          <w:tcPr>
            <w:tcW w:w="1627" w:type="dxa"/>
            <w:tcBorders>
              <w:top w:val="nil"/>
              <w:left w:val="nil"/>
              <w:bottom w:val="nil"/>
              <w:right w:val="nil"/>
            </w:tcBorders>
            <w:shd w:val="clear" w:color="auto" w:fill="auto"/>
            <w:noWrap/>
            <w:vAlign w:val="bottom"/>
          </w:tcPr>
          <w:p w14:paraId="0BB929C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109.56%</w:t>
            </w:r>
          </w:p>
        </w:tc>
        <w:tc>
          <w:tcPr>
            <w:tcW w:w="1627" w:type="dxa"/>
            <w:tcBorders>
              <w:top w:val="nil"/>
              <w:left w:val="nil"/>
              <w:bottom w:val="nil"/>
              <w:right w:val="nil"/>
            </w:tcBorders>
            <w:shd w:val="clear" w:color="auto" w:fill="auto"/>
            <w:noWrap/>
            <w:vAlign w:val="bottom"/>
          </w:tcPr>
          <w:p w14:paraId="5983D76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79.43%</w:t>
            </w:r>
          </w:p>
        </w:tc>
        <w:tc>
          <w:tcPr>
            <w:tcW w:w="1632" w:type="dxa"/>
            <w:tcBorders>
              <w:top w:val="nil"/>
              <w:left w:val="nil"/>
              <w:bottom w:val="nil"/>
              <w:right w:val="nil"/>
            </w:tcBorders>
            <w:shd w:val="clear" w:color="auto" w:fill="auto"/>
            <w:noWrap/>
            <w:vAlign w:val="bottom"/>
          </w:tcPr>
          <w:p w14:paraId="31EAB7A0"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93.63%</w:t>
            </w:r>
          </w:p>
        </w:tc>
      </w:tr>
      <w:tr w:rsidR="0074478A" w14:paraId="2D6901C2" w14:textId="77777777">
        <w:trPr>
          <w:trHeight w:val="278"/>
        </w:trPr>
        <w:tc>
          <w:tcPr>
            <w:tcW w:w="576" w:type="pct"/>
            <w:vMerge/>
            <w:tcBorders>
              <w:top w:val="nil"/>
              <w:left w:val="nil"/>
              <w:bottom w:val="nil"/>
              <w:right w:val="nil"/>
            </w:tcBorders>
            <w:shd w:val="clear" w:color="auto" w:fill="auto"/>
            <w:noWrap/>
            <w:vAlign w:val="center"/>
          </w:tcPr>
          <w:p w14:paraId="6E2FFA9B"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1ADEDB7"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627" w:type="dxa"/>
            <w:tcBorders>
              <w:top w:val="nil"/>
              <w:left w:val="nil"/>
              <w:bottom w:val="nil"/>
              <w:right w:val="nil"/>
            </w:tcBorders>
            <w:shd w:val="clear" w:color="auto" w:fill="auto"/>
            <w:noWrap/>
            <w:vAlign w:val="bottom"/>
          </w:tcPr>
          <w:p w14:paraId="4885646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0.42%</w:t>
            </w:r>
          </w:p>
        </w:tc>
        <w:tc>
          <w:tcPr>
            <w:tcW w:w="1627" w:type="dxa"/>
            <w:tcBorders>
              <w:top w:val="nil"/>
              <w:left w:val="nil"/>
              <w:bottom w:val="nil"/>
              <w:right w:val="nil"/>
            </w:tcBorders>
            <w:shd w:val="clear" w:color="auto" w:fill="auto"/>
            <w:noWrap/>
            <w:vAlign w:val="bottom"/>
          </w:tcPr>
          <w:p w14:paraId="406A15A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-3.03%</w:t>
            </w:r>
          </w:p>
        </w:tc>
        <w:tc>
          <w:tcPr>
            <w:tcW w:w="1627" w:type="dxa"/>
            <w:tcBorders>
              <w:top w:val="nil"/>
              <w:left w:val="nil"/>
              <w:bottom w:val="nil"/>
              <w:right w:val="nil"/>
            </w:tcBorders>
            <w:shd w:val="clear" w:color="auto" w:fill="auto"/>
            <w:noWrap/>
            <w:vAlign w:val="bottom"/>
          </w:tcPr>
          <w:p w14:paraId="40CE0ED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-16.70%</w:t>
            </w:r>
          </w:p>
        </w:tc>
        <w:tc>
          <w:tcPr>
            <w:tcW w:w="1627" w:type="dxa"/>
            <w:tcBorders>
              <w:top w:val="nil"/>
              <w:left w:val="nil"/>
              <w:bottom w:val="nil"/>
              <w:right w:val="nil"/>
            </w:tcBorders>
            <w:shd w:val="clear" w:color="auto" w:fill="auto"/>
            <w:noWrap/>
            <w:vAlign w:val="bottom"/>
          </w:tcPr>
          <w:p w14:paraId="3C1B75F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-16.70%</w:t>
            </w:r>
          </w:p>
        </w:tc>
        <w:tc>
          <w:tcPr>
            <w:tcW w:w="1627" w:type="dxa"/>
            <w:tcBorders>
              <w:top w:val="nil"/>
              <w:left w:val="nil"/>
              <w:bottom w:val="nil"/>
              <w:right w:val="nil"/>
            </w:tcBorders>
            <w:shd w:val="clear" w:color="auto" w:fill="auto"/>
            <w:noWrap/>
            <w:vAlign w:val="bottom"/>
          </w:tcPr>
          <w:p w14:paraId="048A53B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2.05%</w:t>
            </w:r>
          </w:p>
        </w:tc>
        <w:tc>
          <w:tcPr>
            <w:tcW w:w="1632" w:type="dxa"/>
            <w:tcBorders>
              <w:top w:val="nil"/>
              <w:left w:val="nil"/>
              <w:bottom w:val="nil"/>
              <w:right w:val="nil"/>
            </w:tcBorders>
            <w:shd w:val="clear" w:color="auto" w:fill="auto"/>
            <w:noWrap/>
            <w:vAlign w:val="bottom"/>
          </w:tcPr>
          <w:p w14:paraId="49BB318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-12.12%</w:t>
            </w:r>
          </w:p>
        </w:tc>
      </w:tr>
      <w:tr w:rsidR="0074478A" w14:paraId="20DE8A8E" w14:textId="77777777">
        <w:trPr>
          <w:trHeight w:val="278"/>
        </w:trPr>
        <w:tc>
          <w:tcPr>
            <w:tcW w:w="576" w:type="pct"/>
            <w:vMerge/>
            <w:tcBorders>
              <w:top w:val="nil"/>
              <w:left w:val="nil"/>
              <w:bottom w:val="nil"/>
              <w:right w:val="nil"/>
            </w:tcBorders>
            <w:shd w:val="clear" w:color="auto" w:fill="auto"/>
            <w:noWrap/>
            <w:vAlign w:val="center"/>
          </w:tcPr>
          <w:p w14:paraId="30753BE8" w14:textId="77777777" w:rsidR="0074478A" w:rsidRDefault="0074478A">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C87F140"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627" w:type="dxa"/>
            <w:tcBorders>
              <w:top w:val="nil"/>
              <w:left w:val="nil"/>
              <w:bottom w:val="nil"/>
              <w:right w:val="nil"/>
            </w:tcBorders>
            <w:shd w:val="clear" w:color="auto" w:fill="auto"/>
            <w:vAlign w:val="center"/>
          </w:tcPr>
          <w:p w14:paraId="263EE00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3.16%</w:t>
            </w:r>
          </w:p>
        </w:tc>
        <w:tc>
          <w:tcPr>
            <w:tcW w:w="1627" w:type="dxa"/>
            <w:tcBorders>
              <w:top w:val="nil"/>
              <w:left w:val="nil"/>
              <w:bottom w:val="nil"/>
              <w:right w:val="nil"/>
            </w:tcBorders>
            <w:shd w:val="clear" w:color="auto" w:fill="auto"/>
            <w:noWrap/>
            <w:vAlign w:val="center"/>
          </w:tcPr>
          <w:p w14:paraId="5525DDE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1.35%</w:t>
            </w:r>
          </w:p>
        </w:tc>
        <w:tc>
          <w:tcPr>
            <w:tcW w:w="1627" w:type="dxa"/>
            <w:tcBorders>
              <w:top w:val="nil"/>
              <w:left w:val="nil"/>
              <w:bottom w:val="nil"/>
              <w:right w:val="nil"/>
            </w:tcBorders>
            <w:shd w:val="clear" w:color="auto" w:fill="auto"/>
            <w:noWrap/>
            <w:vAlign w:val="center"/>
          </w:tcPr>
          <w:p w14:paraId="28BE29C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16.86%</w:t>
            </w:r>
          </w:p>
        </w:tc>
        <w:tc>
          <w:tcPr>
            <w:tcW w:w="1627" w:type="dxa"/>
            <w:tcBorders>
              <w:top w:val="nil"/>
              <w:left w:val="nil"/>
              <w:bottom w:val="nil"/>
              <w:right w:val="nil"/>
            </w:tcBorders>
            <w:shd w:val="clear" w:color="auto" w:fill="auto"/>
            <w:noWrap/>
            <w:vAlign w:val="center"/>
          </w:tcPr>
          <w:p w14:paraId="225588B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16.86%</w:t>
            </w:r>
          </w:p>
        </w:tc>
        <w:tc>
          <w:tcPr>
            <w:tcW w:w="1627" w:type="dxa"/>
            <w:tcBorders>
              <w:top w:val="nil"/>
              <w:left w:val="nil"/>
              <w:bottom w:val="nil"/>
              <w:right w:val="nil"/>
            </w:tcBorders>
            <w:shd w:val="clear" w:color="auto" w:fill="auto"/>
            <w:noWrap/>
            <w:vAlign w:val="center"/>
          </w:tcPr>
          <w:p w14:paraId="466BA58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13.30%</w:t>
            </w:r>
          </w:p>
        </w:tc>
        <w:tc>
          <w:tcPr>
            <w:tcW w:w="1632" w:type="dxa"/>
            <w:tcBorders>
              <w:top w:val="nil"/>
              <w:left w:val="nil"/>
              <w:bottom w:val="nil"/>
              <w:right w:val="nil"/>
            </w:tcBorders>
            <w:shd w:val="clear" w:color="auto" w:fill="auto"/>
            <w:noWrap/>
            <w:vAlign w:val="center"/>
          </w:tcPr>
          <w:p w14:paraId="2AB946D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14.67%</w:t>
            </w:r>
          </w:p>
        </w:tc>
      </w:tr>
      <w:tr w:rsidR="0074478A" w14:paraId="4B409FBB" w14:textId="77777777">
        <w:trPr>
          <w:trHeight w:val="278"/>
        </w:trPr>
        <w:tc>
          <w:tcPr>
            <w:tcW w:w="1551" w:type="pct"/>
            <w:gridSpan w:val="2"/>
            <w:tcBorders>
              <w:top w:val="nil"/>
              <w:left w:val="nil"/>
              <w:bottom w:val="nil"/>
              <w:right w:val="nil"/>
            </w:tcBorders>
            <w:shd w:val="clear" w:color="auto" w:fill="auto"/>
            <w:noWrap/>
            <w:vAlign w:val="center"/>
          </w:tcPr>
          <w:p w14:paraId="14764022"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627" w:type="dxa"/>
            <w:tcBorders>
              <w:top w:val="nil"/>
              <w:left w:val="nil"/>
              <w:bottom w:val="nil"/>
              <w:right w:val="nil"/>
            </w:tcBorders>
            <w:shd w:val="clear" w:color="auto" w:fill="auto"/>
            <w:noWrap/>
            <w:vAlign w:val="center"/>
          </w:tcPr>
          <w:p w14:paraId="178703F6"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627" w:type="dxa"/>
            <w:tcBorders>
              <w:top w:val="nil"/>
              <w:left w:val="nil"/>
              <w:bottom w:val="nil"/>
              <w:right w:val="nil"/>
            </w:tcBorders>
            <w:shd w:val="clear" w:color="auto" w:fill="auto"/>
            <w:noWrap/>
            <w:vAlign w:val="center"/>
          </w:tcPr>
          <w:p w14:paraId="31AFC345"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3EE2EBCF"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227D3174"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1627" w:type="dxa"/>
            <w:tcBorders>
              <w:top w:val="nil"/>
              <w:left w:val="nil"/>
              <w:bottom w:val="nil"/>
              <w:right w:val="nil"/>
            </w:tcBorders>
            <w:shd w:val="clear" w:color="auto" w:fill="auto"/>
            <w:noWrap/>
            <w:vAlign w:val="center"/>
          </w:tcPr>
          <w:p w14:paraId="37DEED08"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1632" w:type="dxa"/>
            <w:tcBorders>
              <w:top w:val="nil"/>
              <w:left w:val="nil"/>
              <w:bottom w:val="nil"/>
              <w:right w:val="nil"/>
            </w:tcBorders>
            <w:shd w:val="clear" w:color="auto" w:fill="auto"/>
            <w:noWrap/>
            <w:vAlign w:val="center"/>
          </w:tcPr>
          <w:p w14:paraId="7E382717" w14:textId="77777777" w:rsidR="0074478A" w:rsidRDefault="00690393">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74478A" w14:paraId="277C62DE" w14:textId="77777777">
        <w:trPr>
          <w:trHeight w:val="278"/>
        </w:trPr>
        <w:tc>
          <w:tcPr>
            <w:tcW w:w="1551" w:type="pct"/>
            <w:gridSpan w:val="2"/>
            <w:tcBorders>
              <w:top w:val="nil"/>
              <w:left w:val="nil"/>
              <w:bottom w:val="nil"/>
              <w:right w:val="nil"/>
            </w:tcBorders>
            <w:shd w:val="clear" w:color="auto" w:fill="auto"/>
            <w:noWrap/>
            <w:vAlign w:val="center"/>
          </w:tcPr>
          <w:p w14:paraId="093CA4E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68DD3F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A0A1D4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±3.11%</w:t>
            </w:r>
          </w:p>
        </w:tc>
        <w:tc>
          <w:tcPr>
            <w:tcW w:w="1627" w:type="dxa"/>
            <w:tcBorders>
              <w:top w:val="nil"/>
              <w:left w:val="nil"/>
              <w:bottom w:val="nil"/>
              <w:right w:val="nil"/>
            </w:tcBorders>
            <w:shd w:val="clear" w:color="auto" w:fill="auto"/>
            <w:noWrap/>
            <w:vAlign w:val="center"/>
          </w:tcPr>
          <w:p w14:paraId="3111DF3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±13.86%</w:t>
            </w:r>
          </w:p>
        </w:tc>
        <w:tc>
          <w:tcPr>
            <w:tcW w:w="1627" w:type="dxa"/>
            <w:tcBorders>
              <w:top w:val="nil"/>
              <w:left w:val="nil"/>
              <w:bottom w:val="nil"/>
              <w:right w:val="nil"/>
            </w:tcBorders>
            <w:shd w:val="clear" w:color="auto" w:fill="auto"/>
            <w:noWrap/>
            <w:vAlign w:val="center"/>
          </w:tcPr>
          <w:p w14:paraId="15AD4A8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411C99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296F221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±7.18%</w:t>
            </w:r>
          </w:p>
        </w:tc>
      </w:tr>
      <w:tr w:rsidR="0074478A" w14:paraId="0660378C" w14:textId="77777777">
        <w:trPr>
          <w:trHeight w:val="278"/>
        </w:trPr>
        <w:tc>
          <w:tcPr>
            <w:tcW w:w="576" w:type="pct"/>
            <w:vMerge w:val="restart"/>
            <w:tcBorders>
              <w:top w:val="nil"/>
              <w:left w:val="nil"/>
              <w:bottom w:val="nil"/>
              <w:right w:val="nil"/>
            </w:tcBorders>
            <w:shd w:val="clear" w:color="auto" w:fill="auto"/>
            <w:noWrap/>
            <w:vAlign w:val="center"/>
          </w:tcPr>
          <w:p w14:paraId="69E99831"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41807CD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941692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D6B76A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0.001/0.973</w:t>
            </w:r>
          </w:p>
        </w:tc>
        <w:tc>
          <w:tcPr>
            <w:tcW w:w="1627" w:type="dxa"/>
            <w:tcBorders>
              <w:top w:val="nil"/>
              <w:left w:val="nil"/>
              <w:bottom w:val="nil"/>
              <w:right w:val="nil"/>
            </w:tcBorders>
            <w:shd w:val="clear" w:color="auto" w:fill="auto"/>
            <w:noWrap/>
            <w:vAlign w:val="center"/>
          </w:tcPr>
          <w:p w14:paraId="7EB39FC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C05C7E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4D383C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1173110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74478A" w14:paraId="26A380C0" w14:textId="77777777">
        <w:trPr>
          <w:trHeight w:val="278"/>
        </w:trPr>
        <w:tc>
          <w:tcPr>
            <w:tcW w:w="576" w:type="pct"/>
            <w:vMerge/>
            <w:tcBorders>
              <w:top w:val="nil"/>
              <w:left w:val="nil"/>
              <w:bottom w:val="nil"/>
              <w:right w:val="nil"/>
            </w:tcBorders>
            <w:shd w:val="clear" w:color="auto" w:fill="auto"/>
            <w:noWrap/>
            <w:vAlign w:val="center"/>
          </w:tcPr>
          <w:p w14:paraId="343FA3B7"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878839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25DF99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A3D3B1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/0.976</w:t>
            </w:r>
          </w:p>
        </w:tc>
        <w:tc>
          <w:tcPr>
            <w:tcW w:w="1627" w:type="dxa"/>
            <w:tcBorders>
              <w:top w:val="nil"/>
              <w:left w:val="nil"/>
              <w:bottom w:val="nil"/>
              <w:right w:val="nil"/>
            </w:tcBorders>
            <w:shd w:val="clear" w:color="auto" w:fill="auto"/>
            <w:noWrap/>
            <w:vAlign w:val="center"/>
          </w:tcPr>
          <w:p w14:paraId="5A100F3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-0.003/0.971</w:t>
            </w:r>
          </w:p>
        </w:tc>
        <w:tc>
          <w:tcPr>
            <w:tcW w:w="1627" w:type="dxa"/>
            <w:tcBorders>
              <w:top w:val="nil"/>
              <w:left w:val="nil"/>
              <w:bottom w:val="nil"/>
              <w:right w:val="nil"/>
            </w:tcBorders>
            <w:shd w:val="clear" w:color="auto" w:fill="auto"/>
            <w:noWrap/>
            <w:vAlign w:val="center"/>
          </w:tcPr>
          <w:p w14:paraId="352547A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23A260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BD2F23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r>
      <w:tr w:rsidR="0074478A" w14:paraId="3F0A5F74" w14:textId="77777777">
        <w:trPr>
          <w:trHeight w:val="278"/>
        </w:trPr>
        <w:tc>
          <w:tcPr>
            <w:tcW w:w="576" w:type="pct"/>
            <w:vMerge/>
            <w:tcBorders>
              <w:top w:val="nil"/>
              <w:left w:val="nil"/>
              <w:bottom w:val="nil"/>
              <w:right w:val="nil"/>
            </w:tcBorders>
            <w:shd w:val="clear" w:color="auto" w:fill="auto"/>
            <w:noWrap/>
            <w:vAlign w:val="center"/>
          </w:tcPr>
          <w:p w14:paraId="698F0BE1" w14:textId="77777777" w:rsidR="0074478A" w:rsidRDefault="0074478A">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FC7B78B"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BD90C3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0B56C3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B0597E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-0.086/0.35</w:t>
            </w:r>
            <w:r>
              <w:rPr>
                <w:rFonts w:ascii="Times New Roman" w:eastAsia="SimSun" w:hAnsi="Times New Roman" w:cs="Times New Roman" w:hint="eastAsia"/>
                <w:color w:val="000000"/>
                <w:kern w:val="0"/>
                <w:szCs w:val="21"/>
                <w:lang w:bidi="ar"/>
              </w:rPr>
              <w:t>0</w:t>
            </w:r>
          </w:p>
        </w:tc>
        <w:tc>
          <w:tcPr>
            <w:tcW w:w="1627" w:type="dxa"/>
            <w:tcBorders>
              <w:top w:val="nil"/>
              <w:left w:val="nil"/>
              <w:bottom w:val="nil"/>
              <w:right w:val="nil"/>
            </w:tcBorders>
            <w:shd w:val="clear" w:color="auto" w:fill="auto"/>
            <w:noWrap/>
            <w:vAlign w:val="center"/>
          </w:tcPr>
          <w:p w14:paraId="20A25B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0F99657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0AD596E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-0.001/0.974</w:t>
            </w:r>
          </w:p>
        </w:tc>
      </w:tr>
      <w:tr w:rsidR="0074478A" w14:paraId="6A5A53ED"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0BFCA894"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76DBFB8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704D21A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29.68%</w:t>
            </w:r>
          </w:p>
        </w:tc>
        <w:tc>
          <w:tcPr>
            <w:tcW w:w="1627" w:type="dxa"/>
            <w:tcBorders>
              <w:top w:val="nil"/>
              <w:left w:val="nil"/>
              <w:bottom w:val="single" w:sz="12" w:space="0" w:color="auto"/>
              <w:right w:val="nil"/>
            </w:tcBorders>
            <w:shd w:val="clear" w:color="auto" w:fill="auto"/>
            <w:noWrap/>
            <w:vAlign w:val="center"/>
          </w:tcPr>
          <w:p w14:paraId="5A10620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83.15%</w:t>
            </w:r>
          </w:p>
        </w:tc>
        <w:tc>
          <w:tcPr>
            <w:tcW w:w="1627" w:type="dxa"/>
            <w:tcBorders>
              <w:top w:val="nil"/>
              <w:left w:val="nil"/>
              <w:bottom w:val="single" w:sz="12" w:space="0" w:color="auto"/>
              <w:right w:val="nil"/>
            </w:tcBorders>
            <w:shd w:val="clear" w:color="auto" w:fill="auto"/>
            <w:noWrap/>
            <w:vAlign w:val="center"/>
          </w:tcPr>
          <w:p w14:paraId="418D6B1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6952A60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32" w:type="dxa"/>
            <w:tcBorders>
              <w:top w:val="nil"/>
              <w:left w:val="nil"/>
              <w:bottom w:val="single" w:sz="12" w:space="0" w:color="auto"/>
              <w:right w:val="nil"/>
            </w:tcBorders>
            <w:shd w:val="clear" w:color="auto" w:fill="auto"/>
            <w:noWrap/>
            <w:vAlign w:val="center"/>
          </w:tcPr>
          <w:p w14:paraId="22B73AD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70.89%</w:t>
            </w:r>
          </w:p>
        </w:tc>
      </w:tr>
    </w:tbl>
    <w:p w14:paraId="26529FEA" w14:textId="77777777" w:rsidR="0074478A" w:rsidRDefault="0074478A">
      <w:pPr>
        <w:rPr>
          <w:rFonts w:ascii="Times New Roman" w:hAnsi="Times New Roman" w:cs="Times New Roman"/>
        </w:rPr>
      </w:pPr>
    </w:p>
    <w:p w14:paraId="4ACD8E4D" w14:textId="77777777" w:rsidR="0074478A" w:rsidRDefault="0074478A">
      <w:pPr>
        <w:rPr>
          <w:rFonts w:ascii="Times New Roman" w:hAnsi="Times New Roman" w:cs="Times New Roman"/>
        </w:rPr>
      </w:pPr>
    </w:p>
    <w:p w14:paraId="4AD905F3" w14:textId="77777777" w:rsidR="0074478A" w:rsidRDefault="0074478A">
      <w:pPr>
        <w:rPr>
          <w:rFonts w:ascii="Times New Roman" w:hAnsi="Times New Roman" w:cs="Times New Roman"/>
        </w:rPr>
      </w:pPr>
    </w:p>
    <w:p w14:paraId="02C61D4A" w14:textId="77777777" w:rsidR="0074478A" w:rsidRDefault="0074478A">
      <w:pPr>
        <w:rPr>
          <w:rFonts w:ascii="Times New Roman" w:hAnsi="Times New Roman" w:cs="Times New Roman"/>
        </w:rPr>
      </w:pPr>
    </w:p>
    <w:p w14:paraId="055E437A" w14:textId="77777777" w:rsidR="0074478A" w:rsidRDefault="0074478A">
      <w:pPr>
        <w:rPr>
          <w:rFonts w:ascii="Times New Roman" w:hAnsi="Times New Roman" w:cs="Times New Roman"/>
        </w:rPr>
      </w:pPr>
    </w:p>
    <w:p w14:paraId="0C4F5D84" w14:textId="77777777" w:rsidR="0074478A" w:rsidRDefault="0074478A">
      <w:pPr>
        <w:rPr>
          <w:rFonts w:ascii="Times New Roman" w:hAnsi="Times New Roman" w:cs="Times New Roman"/>
        </w:rPr>
      </w:pPr>
    </w:p>
    <w:p w14:paraId="5BC35248" w14:textId="77777777" w:rsidR="0074478A" w:rsidRDefault="0074478A">
      <w:pPr>
        <w:rPr>
          <w:rFonts w:ascii="Times New Roman" w:hAnsi="Times New Roman" w:cs="Times New Roman"/>
        </w:rPr>
      </w:pPr>
    </w:p>
    <w:p w14:paraId="6F386DB9" w14:textId="77777777" w:rsidR="0074478A" w:rsidRDefault="0074478A">
      <w:pPr>
        <w:rPr>
          <w:rFonts w:ascii="Times New Roman" w:hAnsi="Times New Roman" w:cs="Times New Roman"/>
        </w:rPr>
      </w:pPr>
    </w:p>
    <w:p w14:paraId="62D635C9" w14:textId="77777777" w:rsidR="0074478A" w:rsidRDefault="0074478A">
      <w:pPr>
        <w:rPr>
          <w:rFonts w:ascii="Times New Roman" w:hAnsi="Times New Roman" w:cs="Times New Roman"/>
        </w:rPr>
      </w:pPr>
    </w:p>
    <w:p w14:paraId="4EDA494B" w14:textId="77777777" w:rsidR="0074478A" w:rsidRDefault="0074478A">
      <w:pPr>
        <w:rPr>
          <w:rFonts w:ascii="Times New Roman" w:hAnsi="Times New Roman" w:cs="Times New Roman"/>
        </w:rPr>
      </w:pPr>
    </w:p>
    <w:p w14:paraId="273AA3F4" w14:textId="77777777" w:rsidR="0074478A" w:rsidRDefault="0074478A">
      <w:pPr>
        <w:rPr>
          <w:rFonts w:ascii="Times New Roman" w:hAnsi="Times New Roman" w:cs="Times New Roman"/>
        </w:rPr>
      </w:pPr>
    </w:p>
    <w:p w14:paraId="0FB09C17" w14:textId="77777777" w:rsidR="0074478A" w:rsidRDefault="0074478A">
      <w:pPr>
        <w:rPr>
          <w:rFonts w:ascii="Times New Roman" w:hAnsi="Times New Roman" w:cs="Times New Roman"/>
        </w:rPr>
      </w:pPr>
    </w:p>
    <w:p w14:paraId="0560C6AC" w14:textId="77777777" w:rsidR="0074478A" w:rsidRDefault="00690393">
      <w:pPr>
        <w:rPr>
          <w:rFonts w:ascii="Times New Roman" w:hAnsi="Times New Roman" w:cs="Times New Roman"/>
        </w:rPr>
      </w:pPr>
      <w:r>
        <w:rPr>
          <w:rFonts w:ascii="Times New Roman" w:hAnsi="Times New Roman" w:cs="Times New Roman" w:hint="eastAsia"/>
        </w:rPr>
        <w:t>Panel Y: Thailand</w:t>
      </w:r>
    </w:p>
    <w:tbl>
      <w:tblPr>
        <w:tblW w:w="5000" w:type="pct"/>
        <w:tblLayout w:type="fixed"/>
        <w:tblLook w:val="04A0" w:firstRow="1" w:lastRow="0" w:firstColumn="1" w:lastColumn="0" w:noHBand="0" w:noVBand="1"/>
      </w:tblPr>
      <w:tblGrid>
        <w:gridCol w:w="1450"/>
        <w:gridCol w:w="2607"/>
        <w:gridCol w:w="1414"/>
        <w:gridCol w:w="1414"/>
        <w:gridCol w:w="1414"/>
        <w:gridCol w:w="1414"/>
        <w:gridCol w:w="1414"/>
        <w:gridCol w:w="1414"/>
        <w:gridCol w:w="1417"/>
      </w:tblGrid>
      <w:tr w:rsidR="0074478A" w14:paraId="4066B725"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6CB25D51"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11B2EC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2001/01/11</w:t>
            </w:r>
          </w:p>
        </w:tc>
        <w:tc>
          <w:tcPr>
            <w:tcW w:w="1436" w:type="dxa"/>
            <w:tcBorders>
              <w:top w:val="single" w:sz="12" w:space="0" w:color="auto"/>
              <w:left w:val="nil"/>
              <w:bottom w:val="single" w:sz="8" w:space="0" w:color="auto"/>
              <w:right w:val="nil"/>
            </w:tcBorders>
            <w:shd w:val="clear" w:color="auto" w:fill="auto"/>
            <w:noWrap/>
            <w:vAlign w:val="center"/>
          </w:tcPr>
          <w:p w14:paraId="18240E8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2001/01/12-</w:t>
            </w:r>
            <w:r>
              <w:rPr>
                <w:rFonts w:ascii="Times New Roman" w:eastAsia="SimSun" w:hAnsi="Times New Roman" w:cs="Times New Roman"/>
                <w:color w:val="000000"/>
                <w:kern w:val="0"/>
                <w:szCs w:val="21"/>
                <w:lang w:bidi="ar"/>
              </w:rPr>
              <w:br/>
              <w:t>2002/05/21</w:t>
            </w:r>
          </w:p>
        </w:tc>
        <w:tc>
          <w:tcPr>
            <w:tcW w:w="1436" w:type="dxa"/>
            <w:tcBorders>
              <w:top w:val="single" w:sz="12" w:space="0" w:color="auto"/>
              <w:left w:val="nil"/>
              <w:bottom w:val="single" w:sz="8" w:space="0" w:color="auto"/>
              <w:right w:val="nil"/>
            </w:tcBorders>
            <w:shd w:val="clear" w:color="auto" w:fill="auto"/>
            <w:noWrap/>
            <w:vAlign w:val="center"/>
          </w:tcPr>
          <w:p w14:paraId="3A4EF69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2002/05/22-</w:t>
            </w:r>
            <w:r>
              <w:rPr>
                <w:rFonts w:ascii="Times New Roman" w:eastAsia="SimSun" w:hAnsi="Times New Roman" w:cs="Times New Roman"/>
                <w:color w:val="000000"/>
                <w:kern w:val="0"/>
                <w:szCs w:val="21"/>
                <w:lang w:bidi="ar"/>
              </w:rPr>
              <w:br/>
              <w:t>2006/12/11</w:t>
            </w:r>
          </w:p>
        </w:tc>
        <w:tc>
          <w:tcPr>
            <w:tcW w:w="1436" w:type="dxa"/>
            <w:tcBorders>
              <w:top w:val="single" w:sz="12" w:space="0" w:color="auto"/>
              <w:left w:val="nil"/>
              <w:bottom w:val="single" w:sz="8" w:space="0" w:color="auto"/>
              <w:right w:val="nil"/>
            </w:tcBorders>
            <w:shd w:val="clear" w:color="auto" w:fill="auto"/>
            <w:noWrap/>
            <w:vAlign w:val="center"/>
          </w:tcPr>
          <w:p w14:paraId="0257B22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2006/12/12-</w:t>
            </w:r>
            <w:r>
              <w:rPr>
                <w:rFonts w:ascii="Times New Roman" w:eastAsia="SimSun" w:hAnsi="Times New Roman" w:cs="Times New Roman"/>
                <w:color w:val="000000"/>
                <w:kern w:val="0"/>
                <w:szCs w:val="21"/>
                <w:lang w:bidi="ar"/>
              </w:rPr>
              <w:br/>
              <w:t>2007/07/23</w:t>
            </w:r>
          </w:p>
        </w:tc>
        <w:tc>
          <w:tcPr>
            <w:tcW w:w="1436" w:type="dxa"/>
            <w:tcBorders>
              <w:top w:val="single" w:sz="12" w:space="0" w:color="auto"/>
              <w:left w:val="nil"/>
              <w:bottom w:val="single" w:sz="8" w:space="0" w:color="auto"/>
              <w:right w:val="nil"/>
            </w:tcBorders>
            <w:shd w:val="clear" w:color="auto" w:fill="auto"/>
            <w:noWrap/>
            <w:vAlign w:val="center"/>
          </w:tcPr>
          <w:p w14:paraId="7959BF0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2007/07/24-</w:t>
            </w:r>
            <w:r>
              <w:rPr>
                <w:rFonts w:ascii="Times New Roman" w:eastAsia="SimSun" w:hAnsi="Times New Roman" w:cs="Times New Roman"/>
                <w:color w:val="000000"/>
                <w:kern w:val="0"/>
                <w:szCs w:val="21"/>
                <w:lang w:bidi="ar"/>
              </w:rPr>
              <w:br/>
              <w:t>2009/06/08</w:t>
            </w:r>
          </w:p>
        </w:tc>
        <w:tc>
          <w:tcPr>
            <w:tcW w:w="1436" w:type="dxa"/>
            <w:tcBorders>
              <w:top w:val="single" w:sz="12" w:space="0" w:color="auto"/>
              <w:left w:val="nil"/>
              <w:bottom w:val="single" w:sz="8" w:space="0" w:color="auto"/>
              <w:right w:val="nil"/>
            </w:tcBorders>
            <w:shd w:val="clear" w:color="auto" w:fill="auto"/>
            <w:noWrap/>
            <w:vAlign w:val="center"/>
          </w:tcPr>
          <w:p w14:paraId="0302795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2009/06/09-</w:t>
            </w:r>
            <w:r>
              <w:rPr>
                <w:rFonts w:ascii="Times New Roman" w:eastAsia="SimSun" w:hAnsi="Times New Roman" w:cs="Times New Roman"/>
                <w:color w:val="000000"/>
                <w:kern w:val="0"/>
                <w:szCs w:val="21"/>
                <w:lang w:bidi="ar"/>
              </w:rPr>
              <w:br/>
              <w:t>2011/03/08</w:t>
            </w:r>
          </w:p>
        </w:tc>
        <w:tc>
          <w:tcPr>
            <w:tcW w:w="1439" w:type="dxa"/>
            <w:tcBorders>
              <w:top w:val="single" w:sz="12" w:space="0" w:color="auto"/>
              <w:left w:val="nil"/>
              <w:bottom w:val="single" w:sz="8" w:space="0" w:color="auto"/>
              <w:right w:val="nil"/>
            </w:tcBorders>
            <w:shd w:val="clear" w:color="auto" w:fill="auto"/>
            <w:noWrap/>
            <w:vAlign w:val="center"/>
          </w:tcPr>
          <w:p w14:paraId="10F5CA8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2011/03/09-</w:t>
            </w:r>
            <w:r>
              <w:rPr>
                <w:rFonts w:ascii="Times New Roman" w:eastAsia="SimSun" w:hAnsi="Times New Roman" w:cs="Times New Roman"/>
                <w:color w:val="000000"/>
                <w:kern w:val="0"/>
                <w:szCs w:val="21"/>
                <w:lang w:bidi="ar"/>
              </w:rPr>
              <w:br/>
              <w:t>2020/12/31</w:t>
            </w:r>
          </w:p>
        </w:tc>
      </w:tr>
      <w:tr w:rsidR="0074478A" w14:paraId="476DF2A3"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F8CCFB9"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1809B869"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436" w:type="dxa"/>
            <w:tcBorders>
              <w:top w:val="single" w:sz="8" w:space="0" w:color="auto"/>
              <w:left w:val="nil"/>
              <w:bottom w:val="nil"/>
              <w:right w:val="nil"/>
            </w:tcBorders>
            <w:shd w:val="clear" w:color="auto" w:fill="auto"/>
            <w:vAlign w:val="bottom"/>
          </w:tcPr>
          <w:p w14:paraId="47F4639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86.83%</w:t>
            </w:r>
          </w:p>
        </w:tc>
        <w:tc>
          <w:tcPr>
            <w:tcW w:w="1436" w:type="dxa"/>
            <w:tcBorders>
              <w:top w:val="single" w:sz="8" w:space="0" w:color="auto"/>
              <w:left w:val="nil"/>
              <w:bottom w:val="nil"/>
              <w:right w:val="nil"/>
            </w:tcBorders>
            <w:shd w:val="clear" w:color="auto" w:fill="auto"/>
            <w:noWrap/>
            <w:vAlign w:val="bottom"/>
          </w:tcPr>
          <w:p w14:paraId="059CA03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86.83%</w:t>
            </w:r>
          </w:p>
        </w:tc>
        <w:tc>
          <w:tcPr>
            <w:tcW w:w="1436" w:type="dxa"/>
            <w:tcBorders>
              <w:top w:val="single" w:sz="8" w:space="0" w:color="auto"/>
              <w:left w:val="nil"/>
              <w:bottom w:val="nil"/>
              <w:right w:val="nil"/>
            </w:tcBorders>
            <w:shd w:val="clear" w:color="auto" w:fill="auto"/>
            <w:noWrap/>
            <w:vAlign w:val="bottom"/>
          </w:tcPr>
          <w:p w14:paraId="64BA74E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67.87%</w:t>
            </w:r>
          </w:p>
        </w:tc>
        <w:tc>
          <w:tcPr>
            <w:tcW w:w="1436" w:type="dxa"/>
            <w:tcBorders>
              <w:top w:val="single" w:sz="8" w:space="0" w:color="auto"/>
              <w:left w:val="nil"/>
              <w:bottom w:val="nil"/>
              <w:right w:val="nil"/>
            </w:tcBorders>
            <w:shd w:val="clear" w:color="auto" w:fill="auto"/>
            <w:noWrap/>
            <w:vAlign w:val="bottom"/>
          </w:tcPr>
          <w:p w14:paraId="6024B55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67.87%</w:t>
            </w:r>
          </w:p>
        </w:tc>
        <w:tc>
          <w:tcPr>
            <w:tcW w:w="1436" w:type="dxa"/>
            <w:tcBorders>
              <w:top w:val="single" w:sz="8" w:space="0" w:color="auto"/>
              <w:left w:val="nil"/>
              <w:bottom w:val="nil"/>
              <w:right w:val="nil"/>
            </w:tcBorders>
            <w:shd w:val="clear" w:color="auto" w:fill="auto"/>
            <w:noWrap/>
            <w:vAlign w:val="bottom"/>
          </w:tcPr>
          <w:p w14:paraId="7B4D8D2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87.45%</w:t>
            </w:r>
          </w:p>
        </w:tc>
        <w:tc>
          <w:tcPr>
            <w:tcW w:w="1436" w:type="dxa"/>
            <w:tcBorders>
              <w:top w:val="single" w:sz="8" w:space="0" w:color="auto"/>
              <w:left w:val="nil"/>
              <w:bottom w:val="nil"/>
              <w:right w:val="nil"/>
            </w:tcBorders>
            <w:shd w:val="clear" w:color="auto" w:fill="auto"/>
            <w:noWrap/>
            <w:vAlign w:val="bottom"/>
          </w:tcPr>
          <w:p w14:paraId="692C834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87.45%</w:t>
            </w:r>
          </w:p>
        </w:tc>
        <w:tc>
          <w:tcPr>
            <w:tcW w:w="1439" w:type="dxa"/>
            <w:tcBorders>
              <w:top w:val="single" w:sz="8" w:space="0" w:color="auto"/>
              <w:left w:val="nil"/>
              <w:bottom w:val="nil"/>
              <w:right w:val="nil"/>
            </w:tcBorders>
            <w:shd w:val="clear" w:color="auto" w:fill="auto"/>
            <w:noWrap/>
            <w:vAlign w:val="bottom"/>
          </w:tcPr>
          <w:p w14:paraId="6BB63075"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69.39%</w:t>
            </w:r>
          </w:p>
        </w:tc>
      </w:tr>
      <w:tr w:rsidR="0074478A" w14:paraId="7AC28B86" w14:textId="77777777">
        <w:trPr>
          <w:trHeight w:val="278"/>
        </w:trPr>
        <w:tc>
          <w:tcPr>
            <w:tcW w:w="519" w:type="pct"/>
            <w:vMerge/>
            <w:tcBorders>
              <w:top w:val="nil"/>
              <w:left w:val="nil"/>
              <w:bottom w:val="nil"/>
              <w:right w:val="nil"/>
            </w:tcBorders>
            <w:shd w:val="clear" w:color="auto" w:fill="auto"/>
            <w:noWrap/>
            <w:vAlign w:val="center"/>
          </w:tcPr>
          <w:p w14:paraId="6002340D"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F93B296"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436" w:type="dxa"/>
            <w:tcBorders>
              <w:top w:val="nil"/>
              <w:left w:val="nil"/>
              <w:bottom w:val="nil"/>
              <w:right w:val="nil"/>
            </w:tcBorders>
            <w:shd w:val="clear" w:color="auto" w:fill="auto"/>
            <w:noWrap/>
            <w:vAlign w:val="bottom"/>
          </w:tcPr>
          <w:p w14:paraId="7036F27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6.09%</w:t>
            </w:r>
          </w:p>
        </w:tc>
        <w:tc>
          <w:tcPr>
            <w:tcW w:w="1436" w:type="dxa"/>
            <w:tcBorders>
              <w:top w:val="nil"/>
              <w:left w:val="nil"/>
              <w:bottom w:val="nil"/>
              <w:right w:val="nil"/>
            </w:tcBorders>
            <w:shd w:val="clear" w:color="auto" w:fill="auto"/>
            <w:noWrap/>
            <w:vAlign w:val="bottom"/>
          </w:tcPr>
          <w:p w14:paraId="0701A8F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6.09%</w:t>
            </w:r>
          </w:p>
        </w:tc>
        <w:tc>
          <w:tcPr>
            <w:tcW w:w="1436" w:type="dxa"/>
            <w:tcBorders>
              <w:top w:val="nil"/>
              <w:left w:val="nil"/>
              <w:bottom w:val="nil"/>
              <w:right w:val="nil"/>
            </w:tcBorders>
            <w:shd w:val="clear" w:color="auto" w:fill="auto"/>
            <w:noWrap/>
            <w:vAlign w:val="bottom"/>
          </w:tcPr>
          <w:p w14:paraId="65BCA3E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-2.81%</w:t>
            </w:r>
          </w:p>
        </w:tc>
        <w:tc>
          <w:tcPr>
            <w:tcW w:w="1436" w:type="dxa"/>
            <w:tcBorders>
              <w:top w:val="nil"/>
              <w:left w:val="nil"/>
              <w:bottom w:val="nil"/>
              <w:right w:val="nil"/>
            </w:tcBorders>
            <w:shd w:val="clear" w:color="auto" w:fill="auto"/>
            <w:noWrap/>
            <w:vAlign w:val="bottom"/>
          </w:tcPr>
          <w:p w14:paraId="10E81B3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-2.81%</w:t>
            </w:r>
          </w:p>
        </w:tc>
        <w:tc>
          <w:tcPr>
            <w:tcW w:w="1436" w:type="dxa"/>
            <w:tcBorders>
              <w:top w:val="nil"/>
              <w:left w:val="nil"/>
              <w:bottom w:val="nil"/>
              <w:right w:val="nil"/>
            </w:tcBorders>
            <w:shd w:val="clear" w:color="auto" w:fill="auto"/>
            <w:noWrap/>
            <w:vAlign w:val="bottom"/>
          </w:tcPr>
          <w:p w14:paraId="336938C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11.33%</w:t>
            </w:r>
          </w:p>
        </w:tc>
        <w:tc>
          <w:tcPr>
            <w:tcW w:w="1436" w:type="dxa"/>
            <w:tcBorders>
              <w:top w:val="nil"/>
              <w:left w:val="nil"/>
              <w:bottom w:val="nil"/>
              <w:right w:val="nil"/>
            </w:tcBorders>
            <w:shd w:val="clear" w:color="auto" w:fill="auto"/>
            <w:noWrap/>
            <w:vAlign w:val="bottom"/>
          </w:tcPr>
          <w:p w14:paraId="66B48A7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11.33%</w:t>
            </w:r>
          </w:p>
        </w:tc>
        <w:tc>
          <w:tcPr>
            <w:tcW w:w="1439" w:type="dxa"/>
            <w:tcBorders>
              <w:top w:val="nil"/>
              <w:left w:val="nil"/>
              <w:bottom w:val="nil"/>
              <w:right w:val="nil"/>
            </w:tcBorders>
            <w:shd w:val="clear" w:color="auto" w:fill="auto"/>
            <w:noWrap/>
            <w:vAlign w:val="bottom"/>
          </w:tcPr>
          <w:p w14:paraId="37315625"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16.61%</w:t>
            </w:r>
          </w:p>
        </w:tc>
      </w:tr>
      <w:tr w:rsidR="0074478A" w14:paraId="70002A16" w14:textId="77777777">
        <w:trPr>
          <w:trHeight w:val="278"/>
        </w:trPr>
        <w:tc>
          <w:tcPr>
            <w:tcW w:w="519" w:type="pct"/>
            <w:vMerge/>
            <w:tcBorders>
              <w:top w:val="nil"/>
              <w:left w:val="nil"/>
              <w:bottom w:val="nil"/>
              <w:right w:val="nil"/>
            </w:tcBorders>
            <w:shd w:val="clear" w:color="auto" w:fill="auto"/>
            <w:noWrap/>
            <w:vAlign w:val="center"/>
          </w:tcPr>
          <w:p w14:paraId="146F9BD4"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8B9C924"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436" w:type="dxa"/>
            <w:tcBorders>
              <w:top w:val="nil"/>
              <w:left w:val="nil"/>
              <w:bottom w:val="nil"/>
              <w:right w:val="nil"/>
            </w:tcBorders>
            <w:shd w:val="clear" w:color="auto" w:fill="auto"/>
            <w:noWrap/>
            <w:vAlign w:val="bottom"/>
          </w:tcPr>
          <w:p w14:paraId="2A663B9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15.48%</w:t>
            </w:r>
          </w:p>
        </w:tc>
        <w:tc>
          <w:tcPr>
            <w:tcW w:w="1436" w:type="dxa"/>
            <w:tcBorders>
              <w:top w:val="nil"/>
              <w:left w:val="nil"/>
              <w:bottom w:val="nil"/>
              <w:right w:val="nil"/>
            </w:tcBorders>
            <w:shd w:val="clear" w:color="auto" w:fill="auto"/>
            <w:noWrap/>
            <w:vAlign w:val="bottom"/>
          </w:tcPr>
          <w:p w14:paraId="2F094E6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15.48%</w:t>
            </w:r>
          </w:p>
        </w:tc>
        <w:tc>
          <w:tcPr>
            <w:tcW w:w="1436" w:type="dxa"/>
            <w:tcBorders>
              <w:top w:val="nil"/>
              <w:left w:val="nil"/>
              <w:bottom w:val="nil"/>
              <w:right w:val="nil"/>
            </w:tcBorders>
            <w:shd w:val="clear" w:color="auto" w:fill="auto"/>
            <w:noWrap/>
            <w:vAlign w:val="bottom"/>
          </w:tcPr>
          <w:p w14:paraId="1311758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26.58%</w:t>
            </w:r>
          </w:p>
        </w:tc>
        <w:tc>
          <w:tcPr>
            <w:tcW w:w="1436" w:type="dxa"/>
            <w:tcBorders>
              <w:top w:val="nil"/>
              <w:left w:val="nil"/>
              <w:bottom w:val="nil"/>
              <w:right w:val="nil"/>
            </w:tcBorders>
            <w:shd w:val="clear" w:color="auto" w:fill="auto"/>
            <w:noWrap/>
            <w:vAlign w:val="bottom"/>
          </w:tcPr>
          <w:p w14:paraId="1FD660AF"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26.58%</w:t>
            </w:r>
          </w:p>
        </w:tc>
        <w:tc>
          <w:tcPr>
            <w:tcW w:w="1436" w:type="dxa"/>
            <w:tcBorders>
              <w:top w:val="nil"/>
              <w:left w:val="nil"/>
              <w:bottom w:val="nil"/>
              <w:right w:val="nil"/>
            </w:tcBorders>
            <w:shd w:val="clear" w:color="auto" w:fill="auto"/>
            <w:noWrap/>
            <w:vAlign w:val="bottom"/>
          </w:tcPr>
          <w:p w14:paraId="7E47EC97"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-2.11%</w:t>
            </w:r>
          </w:p>
        </w:tc>
        <w:tc>
          <w:tcPr>
            <w:tcW w:w="1436" w:type="dxa"/>
            <w:tcBorders>
              <w:top w:val="nil"/>
              <w:left w:val="nil"/>
              <w:bottom w:val="nil"/>
              <w:right w:val="nil"/>
            </w:tcBorders>
            <w:shd w:val="clear" w:color="auto" w:fill="auto"/>
            <w:noWrap/>
            <w:vAlign w:val="bottom"/>
          </w:tcPr>
          <w:p w14:paraId="284C66F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-2.11%</w:t>
            </w:r>
          </w:p>
        </w:tc>
        <w:tc>
          <w:tcPr>
            <w:tcW w:w="1439" w:type="dxa"/>
            <w:tcBorders>
              <w:top w:val="nil"/>
              <w:left w:val="nil"/>
              <w:bottom w:val="nil"/>
              <w:right w:val="nil"/>
            </w:tcBorders>
            <w:shd w:val="clear" w:color="auto" w:fill="auto"/>
            <w:noWrap/>
            <w:vAlign w:val="bottom"/>
          </w:tcPr>
          <w:p w14:paraId="16164921"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5.28%</w:t>
            </w:r>
          </w:p>
        </w:tc>
      </w:tr>
      <w:tr w:rsidR="0074478A" w14:paraId="1107D36A" w14:textId="77777777">
        <w:trPr>
          <w:trHeight w:val="278"/>
        </w:trPr>
        <w:tc>
          <w:tcPr>
            <w:tcW w:w="519" w:type="pct"/>
            <w:vMerge/>
            <w:tcBorders>
              <w:top w:val="nil"/>
              <w:left w:val="nil"/>
              <w:bottom w:val="nil"/>
              <w:right w:val="nil"/>
            </w:tcBorders>
            <w:shd w:val="clear" w:color="auto" w:fill="auto"/>
            <w:noWrap/>
            <w:vAlign w:val="center"/>
          </w:tcPr>
          <w:p w14:paraId="515B898C"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FB8ADEE"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436" w:type="dxa"/>
            <w:tcBorders>
              <w:top w:val="nil"/>
              <w:left w:val="nil"/>
              <w:bottom w:val="nil"/>
              <w:right w:val="nil"/>
            </w:tcBorders>
            <w:shd w:val="clear" w:color="auto" w:fill="auto"/>
            <w:vAlign w:val="center"/>
          </w:tcPr>
          <w:p w14:paraId="2AF556C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-8.39%</w:t>
            </w:r>
          </w:p>
        </w:tc>
        <w:tc>
          <w:tcPr>
            <w:tcW w:w="1436" w:type="dxa"/>
            <w:tcBorders>
              <w:top w:val="nil"/>
              <w:left w:val="nil"/>
              <w:bottom w:val="nil"/>
              <w:right w:val="nil"/>
            </w:tcBorders>
            <w:shd w:val="clear" w:color="auto" w:fill="auto"/>
            <w:noWrap/>
            <w:vAlign w:val="center"/>
          </w:tcPr>
          <w:p w14:paraId="210F0FE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-8.39%</w:t>
            </w:r>
          </w:p>
        </w:tc>
        <w:tc>
          <w:tcPr>
            <w:tcW w:w="1436" w:type="dxa"/>
            <w:tcBorders>
              <w:top w:val="nil"/>
              <w:left w:val="nil"/>
              <w:bottom w:val="nil"/>
              <w:right w:val="nil"/>
            </w:tcBorders>
            <w:shd w:val="clear" w:color="auto" w:fill="auto"/>
            <w:noWrap/>
            <w:vAlign w:val="center"/>
          </w:tcPr>
          <w:p w14:paraId="59E1AAD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8.36%</w:t>
            </w:r>
          </w:p>
        </w:tc>
        <w:tc>
          <w:tcPr>
            <w:tcW w:w="1436" w:type="dxa"/>
            <w:tcBorders>
              <w:top w:val="nil"/>
              <w:left w:val="nil"/>
              <w:bottom w:val="nil"/>
              <w:right w:val="nil"/>
            </w:tcBorders>
            <w:shd w:val="clear" w:color="auto" w:fill="auto"/>
            <w:noWrap/>
            <w:vAlign w:val="center"/>
          </w:tcPr>
          <w:p w14:paraId="4163F47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8.36%</w:t>
            </w:r>
          </w:p>
        </w:tc>
        <w:tc>
          <w:tcPr>
            <w:tcW w:w="1436" w:type="dxa"/>
            <w:tcBorders>
              <w:top w:val="nil"/>
              <w:left w:val="nil"/>
              <w:bottom w:val="nil"/>
              <w:right w:val="nil"/>
            </w:tcBorders>
            <w:shd w:val="clear" w:color="auto" w:fill="auto"/>
            <w:noWrap/>
            <w:vAlign w:val="center"/>
          </w:tcPr>
          <w:p w14:paraId="32A6447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3.33%</w:t>
            </w:r>
          </w:p>
        </w:tc>
        <w:tc>
          <w:tcPr>
            <w:tcW w:w="1436" w:type="dxa"/>
            <w:tcBorders>
              <w:top w:val="nil"/>
              <w:left w:val="nil"/>
              <w:bottom w:val="nil"/>
              <w:right w:val="nil"/>
            </w:tcBorders>
            <w:shd w:val="clear" w:color="auto" w:fill="auto"/>
            <w:noWrap/>
            <w:vAlign w:val="center"/>
          </w:tcPr>
          <w:p w14:paraId="2F9D246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3.33%</w:t>
            </w:r>
          </w:p>
        </w:tc>
        <w:tc>
          <w:tcPr>
            <w:tcW w:w="1439" w:type="dxa"/>
            <w:tcBorders>
              <w:top w:val="nil"/>
              <w:left w:val="nil"/>
              <w:bottom w:val="nil"/>
              <w:right w:val="nil"/>
            </w:tcBorders>
            <w:shd w:val="clear" w:color="auto" w:fill="auto"/>
            <w:noWrap/>
            <w:vAlign w:val="center"/>
          </w:tcPr>
          <w:p w14:paraId="3A8B675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8.72%</w:t>
            </w:r>
          </w:p>
        </w:tc>
      </w:tr>
      <w:tr w:rsidR="0074478A" w14:paraId="39B114EE" w14:textId="77777777">
        <w:trPr>
          <w:trHeight w:val="278"/>
        </w:trPr>
        <w:tc>
          <w:tcPr>
            <w:tcW w:w="1453" w:type="pct"/>
            <w:gridSpan w:val="2"/>
            <w:tcBorders>
              <w:top w:val="nil"/>
              <w:left w:val="nil"/>
              <w:bottom w:val="nil"/>
              <w:right w:val="nil"/>
            </w:tcBorders>
            <w:shd w:val="clear" w:color="auto" w:fill="auto"/>
            <w:noWrap/>
            <w:vAlign w:val="center"/>
          </w:tcPr>
          <w:p w14:paraId="7446517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436" w:type="dxa"/>
            <w:tcBorders>
              <w:top w:val="nil"/>
              <w:left w:val="nil"/>
              <w:bottom w:val="nil"/>
              <w:right w:val="nil"/>
            </w:tcBorders>
            <w:shd w:val="clear" w:color="auto" w:fill="auto"/>
            <w:noWrap/>
            <w:vAlign w:val="center"/>
          </w:tcPr>
          <w:p w14:paraId="48AF1DE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11B66F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1349B3C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D819210"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3ECD2F7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60A2BA8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9" w:type="dxa"/>
            <w:tcBorders>
              <w:top w:val="nil"/>
              <w:left w:val="nil"/>
              <w:bottom w:val="nil"/>
              <w:right w:val="nil"/>
            </w:tcBorders>
            <w:shd w:val="clear" w:color="auto" w:fill="auto"/>
            <w:noWrap/>
            <w:vAlign w:val="center"/>
          </w:tcPr>
          <w:p w14:paraId="5DDB1B3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74478A" w14:paraId="3D96E138" w14:textId="77777777">
        <w:trPr>
          <w:trHeight w:val="278"/>
        </w:trPr>
        <w:tc>
          <w:tcPr>
            <w:tcW w:w="1453" w:type="pct"/>
            <w:gridSpan w:val="2"/>
            <w:tcBorders>
              <w:top w:val="nil"/>
              <w:left w:val="nil"/>
              <w:bottom w:val="nil"/>
              <w:right w:val="nil"/>
            </w:tcBorders>
            <w:shd w:val="clear" w:color="auto" w:fill="auto"/>
            <w:noWrap/>
            <w:vAlign w:val="center"/>
          </w:tcPr>
          <w:p w14:paraId="597CCE85"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40B98E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±8.91%</w:t>
            </w:r>
          </w:p>
        </w:tc>
        <w:tc>
          <w:tcPr>
            <w:tcW w:w="1436" w:type="dxa"/>
            <w:tcBorders>
              <w:top w:val="nil"/>
              <w:left w:val="nil"/>
              <w:bottom w:val="nil"/>
              <w:right w:val="nil"/>
            </w:tcBorders>
            <w:shd w:val="clear" w:color="auto" w:fill="auto"/>
            <w:noWrap/>
            <w:vAlign w:val="center"/>
          </w:tcPr>
          <w:p w14:paraId="6BF5FF4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±5.22%</w:t>
            </w:r>
          </w:p>
        </w:tc>
        <w:tc>
          <w:tcPr>
            <w:tcW w:w="1436" w:type="dxa"/>
            <w:tcBorders>
              <w:top w:val="nil"/>
              <w:left w:val="nil"/>
              <w:bottom w:val="nil"/>
              <w:right w:val="nil"/>
            </w:tcBorders>
            <w:shd w:val="clear" w:color="auto" w:fill="auto"/>
            <w:noWrap/>
            <w:vAlign w:val="center"/>
          </w:tcPr>
          <w:p w14:paraId="574E4DE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±14.49%</w:t>
            </w:r>
          </w:p>
        </w:tc>
        <w:tc>
          <w:tcPr>
            <w:tcW w:w="1436" w:type="dxa"/>
            <w:tcBorders>
              <w:top w:val="nil"/>
              <w:left w:val="nil"/>
              <w:bottom w:val="nil"/>
              <w:right w:val="nil"/>
            </w:tcBorders>
            <w:shd w:val="clear" w:color="auto" w:fill="auto"/>
            <w:noWrap/>
            <w:vAlign w:val="center"/>
          </w:tcPr>
          <w:p w14:paraId="7210A44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±6.77%</w:t>
            </w:r>
          </w:p>
        </w:tc>
        <w:tc>
          <w:tcPr>
            <w:tcW w:w="1436" w:type="dxa"/>
            <w:tcBorders>
              <w:top w:val="nil"/>
              <w:left w:val="nil"/>
              <w:bottom w:val="nil"/>
              <w:right w:val="nil"/>
            </w:tcBorders>
            <w:shd w:val="clear" w:color="auto" w:fill="auto"/>
            <w:noWrap/>
            <w:vAlign w:val="center"/>
          </w:tcPr>
          <w:p w14:paraId="037A816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±12.26%</w:t>
            </w:r>
          </w:p>
        </w:tc>
        <w:tc>
          <w:tcPr>
            <w:tcW w:w="1436" w:type="dxa"/>
            <w:tcBorders>
              <w:top w:val="nil"/>
              <w:left w:val="nil"/>
              <w:bottom w:val="nil"/>
              <w:right w:val="nil"/>
            </w:tcBorders>
            <w:shd w:val="clear" w:color="auto" w:fill="auto"/>
            <w:noWrap/>
            <w:vAlign w:val="center"/>
          </w:tcPr>
          <w:p w14:paraId="0DC2DEA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±11.74%</w:t>
            </w:r>
          </w:p>
        </w:tc>
        <w:tc>
          <w:tcPr>
            <w:tcW w:w="1439" w:type="dxa"/>
            <w:tcBorders>
              <w:top w:val="nil"/>
              <w:left w:val="nil"/>
              <w:bottom w:val="nil"/>
              <w:right w:val="nil"/>
            </w:tcBorders>
            <w:shd w:val="clear" w:color="auto" w:fill="auto"/>
            <w:noWrap/>
            <w:vAlign w:val="center"/>
          </w:tcPr>
          <w:p w14:paraId="07E37F4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46FAA693" w14:textId="77777777">
        <w:trPr>
          <w:trHeight w:val="278"/>
        </w:trPr>
        <w:tc>
          <w:tcPr>
            <w:tcW w:w="519" w:type="pct"/>
            <w:vMerge w:val="restart"/>
            <w:tcBorders>
              <w:top w:val="nil"/>
              <w:left w:val="nil"/>
              <w:bottom w:val="nil"/>
              <w:right w:val="nil"/>
            </w:tcBorders>
            <w:shd w:val="clear" w:color="auto" w:fill="auto"/>
            <w:noWrap/>
            <w:vAlign w:val="center"/>
          </w:tcPr>
          <w:p w14:paraId="604B090B"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39A6D3D2"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018FD8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69C3D10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0.001/0.992</w:t>
            </w:r>
          </w:p>
        </w:tc>
        <w:tc>
          <w:tcPr>
            <w:tcW w:w="1436" w:type="dxa"/>
            <w:tcBorders>
              <w:top w:val="nil"/>
              <w:left w:val="nil"/>
              <w:bottom w:val="nil"/>
              <w:right w:val="nil"/>
            </w:tcBorders>
            <w:shd w:val="clear" w:color="auto" w:fill="auto"/>
            <w:noWrap/>
            <w:vAlign w:val="center"/>
          </w:tcPr>
          <w:p w14:paraId="1836EC5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0E155D3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/1.004</w:t>
            </w:r>
          </w:p>
        </w:tc>
        <w:tc>
          <w:tcPr>
            <w:tcW w:w="1436" w:type="dxa"/>
            <w:tcBorders>
              <w:top w:val="nil"/>
              <w:left w:val="nil"/>
              <w:bottom w:val="nil"/>
              <w:right w:val="nil"/>
            </w:tcBorders>
            <w:shd w:val="clear" w:color="auto" w:fill="auto"/>
            <w:noWrap/>
            <w:vAlign w:val="center"/>
          </w:tcPr>
          <w:p w14:paraId="64A59C6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06E400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0.005/0.963</w:t>
            </w:r>
          </w:p>
        </w:tc>
        <w:tc>
          <w:tcPr>
            <w:tcW w:w="1439" w:type="dxa"/>
            <w:tcBorders>
              <w:top w:val="nil"/>
              <w:left w:val="nil"/>
              <w:bottom w:val="nil"/>
              <w:right w:val="nil"/>
            </w:tcBorders>
            <w:shd w:val="clear" w:color="auto" w:fill="auto"/>
            <w:noWrap/>
            <w:vAlign w:val="center"/>
          </w:tcPr>
          <w:p w14:paraId="609B7594"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290032AB" w14:textId="77777777">
        <w:trPr>
          <w:trHeight w:val="278"/>
        </w:trPr>
        <w:tc>
          <w:tcPr>
            <w:tcW w:w="519" w:type="pct"/>
            <w:vMerge/>
            <w:tcBorders>
              <w:top w:val="nil"/>
              <w:left w:val="nil"/>
              <w:bottom w:val="nil"/>
              <w:right w:val="nil"/>
            </w:tcBorders>
            <w:shd w:val="clear" w:color="auto" w:fill="auto"/>
            <w:noWrap/>
            <w:vAlign w:val="center"/>
          </w:tcPr>
          <w:p w14:paraId="18D54041" w14:textId="77777777" w:rsidR="0074478A" w:rsidRDefault="0074478A">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80EB1D7"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6C94FB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/0.989</w:t>
            </w:r>
          </w:p>
        </w:tc>
        <w:tc>
          <w:tcPr>
            <w:tcW w:w="1436" w:type="dxa"/>
            <w:tcBorders>
              <w:top w:val="nil"/>
              <w:left w:val="nil"/>
              <w:bottom w:val="nil"/>
              <w:right w:val="nil"/>
            </w:tcBorders>
            <w:shd w:val="clear" w:color="auto" w:fill="auto"/>
            <w:noWrap/>
            <w:vAlign w:val="center"/>
          </w:tcPr>
          <w:p w14:paraId="2404B5D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/1.004</w:t>
            </w:r>
          </w:p>
        </w:tc>
        <w:tc>
          <w:tcPr>
            <w:tcW w:w="1436" w:type="dxa"/>
            <w:tcBorders>
              <w:top w:val="nil"/>
              <w:left w:val="nil"/>
              <w:bottom w:val="nil"/>
              <w:right w:val="nil"/>
            </w:tcBorders>
            <w:shd w:val="clear" w:color="auto" w:fill="auto"/>
            <w:noWrap/>
            <w:vAlign w:val="center"/>
          </w:tcPr>
          <w:p w14:paraId="63C0CB2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c>
          <w:tcPr>
            <w:tcW w:w="1436" w:type="dxa"/>
            <w:tcBorders>
              <w:top w:val="nil"/>
              <w:left w:val="nil"/>
              <w:bottom w:val="nil"/>
              <w:right w:val="nil"/>
            </w:tcBorders>
            <w:shd w:val="clear" w:color="auto" w:fill="auto"/>
            <w:noWrap/>
            <w:vAlign w:val="center"/>
          </w:tcPr>
          <w:p w14:paraId="763E6D0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0.003/0.938</w:t>
            </w:r>
          </w:p>
        </w:tc>
        <w:tc>
          <w:tcPr>
            <w:tcW w:w="1436" w:type="dxa"/>
            <w:tcBorders>
              <w:top w:val="nil"/>
              <w:left w:val="nil"/>
              <w:bottom w:val="nil"/>
              <w:right w:val="nil"/>
            </w:tcBorders>
            <w:shd w:val="clear" w:color="auto" w:fill="auto"/>
            <w:noWrap/>
            <w:vAlign w:val="center"/>
          </w:tcPr>
          <w:p w14:paraId="53E9D24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-0.003/0.968</w:t>
            </w:r>
          </w:p>
        </w:tc>
        <w:tc>
          <w:tcPr>
            <w:tcW w:w="1436" w:type="dxa"/>
            <w:tcBorders>
              <w:top w:val="nil"/>
              <w:left w:val="nil"/>
              <w:bottom w:val="nil"/>
              <w:right w:val="nil"/>
            </w:tcBorders>
            <w:shd w:val="clear" w:color="auto" w:fill="auto"/>
            <w:noWrap/>
            <w:vAlign w:val="center"/>
          </w:tcPr>
          <w:p w14:paraId="4C33D55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/1.005</w:t>
            </w:r>
          </w:p>
        </w:tc>
        <w:tc>
          <w:tcPr>
            <w:tcW w:w="1439" w:type="dxa"/>
            <w:tcBorders>
              <w:top w:val="nil"/>
              <w:left w:val="nil"/>
              <w:bottom w:val="nil"/>
              <w:right w:val="nil"/>
            </w:tcBorders>
            <w:shd w:val="clear" w:color="auto" w:fill="auto"/>
            <w:noWrap/>
            <w:vAlign w:val="center"/>
          </w:tcPr>
          <w:p w14:paraId="7B8B45C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1D0CFE5F" w14:textId="77777777">
        <w:trPr>
          <w:trHeight w:val="278"/>
        </w:trPr>
        <w:tc>
          <w:tcPr>
            <w:tcW w:w="519" w:type="pct"/>
            <w:vMerge/>
            <w:tcBorders>
              <w:top w:val="nil"/>
              <w:left w:val="nil"/>
              <w:bottom w:val="nil"/>
              <w:right w:val="nil"/>
            </w:tcBorders>
            <w:shd w:val="clear" w:color="auto" w:fill="auto"/>
            <w:noWrap/>
            <w:vAlign w:val="center"/>
          </w:tcPr>
          <w:p w14:paraId="07A48219" w14:textId="77777777" w:rsidR="0074478A" w:rsidRDefault="0074478A">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D1FA07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15CF07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0.001/1.003</w:t>
            </w:r>
          </w:p>
        </w:tc>
        <w:tc>
          <w:tcPr>
            <w:tcW w:w="1436" w:type="dxa"/>
            <w:tcBorders>
              <w:top w:val="nil"/>
              <w:left w:val="nil"/>
              <w:bottom w:val="nil"/>
              <w:right w:val="nil"/>
            </w:tcBorders>
            <w:shd w:val="clear" w:color="auto" w:fill="auto"/>
            <w:noWrap/>
            <w:vAlign w:val="center"/>
          </w:tcPr>
          <w:p w14:paraId="758103C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179E1B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0.004/1.019</w:t>
            </w:r>
          </w:p>
        </w:tc>
        <w:tc>
          <w:tcPr>
            <w:tcW w:w="1436" w:type="dxa"/>
            <w:tcBorders>
              <w:top w:val="nil"/>
              <w:left w:val="nil"/>
              <w:bottom w:val="nil"/>
              <w:right w:val="nil"/>
            </w:tcBorders>
            <w:shd w:val="clear" w:color="auto" w:fill="auto"/>
            <w:noWrap/>
            <w:vAlign w:val="center"/>
          </w:tcPr>
          <w:p w14:paraId="6BD6461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64C856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0.003/1.019</w:t>
            </w:r>
          </w:p>
        </w:tc>
        <w:tc>
          <w:tcPr>
            <w:tcW w:w="1436" w:type="dxa"/>
            <w:tcBorders>
              <w:top w:val="nil"/>
              <w:left w:val="nil"/>
              <w:bottom w:val="nil"/>
              <w:right w:val="nil"/>
            </w:tcBorders>
            <w:shd w:val="clear" w:color="auto" w:fill="auto"/>
            <w:noWrap/>
            <w:vAlign w:val="center"/>
          </w:tcPr>
          <w:p w14:paraId="10A6832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5F034F7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2EAF0F2C"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16875071"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6025AEE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77.17%</w:t>
            </w:r>
          </w:p>
        </w:tc>
        <w:tc>
          <w:tcPr>
            <w:tcW w:w="1436" w:type="dxa"/>
            <w:tcBorders>
              <w:top w:val="nil"/>
              <w:left w:val="nil"/>
              <w:bottom w:val="single" w:sz="12" w:space="0" w:color="auto"/>
              <w:right w:val="nil"/>
            </w:tcBorders>
            <w:shd w:val="clear" w:color="auto" w:fill="auto"/>
            <w:noWrap/>
            <w:vAlign w:val="center"/>
          </w:tcPr>
          <w:p w14:paraId="20B4BCE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52.65%</w:t>
            </w:r>
          </w:p>
        </w:tc>
        <w:tc>
          <w:tcPr>
            <w:tcW w:w="1436" w:type="dxa"/>
            <w:tcBorders>
              <w:top w:val="nil"/>
              <w:left w:val="nil"/>
              <w:bottom w:val="single" w:sz="12" w:space="0" w:color="auto"/>
              <w:right w:val="nil"/>
            </w:tcBorders>
            <w:shd w:val="clear" w:color="auto" w:fill="auto"/>
            <w:noWrap/>
            <w:vAlign w:val="center"/>
          </w:tcPr>
          <w:p w14:paraId="50C0891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44.88%</w:t>
            </w:r>
          </w:p>
        </w:tc>
        <w:tc>
          <w:tcPr>
            <w:tcW w:w="1436" w:type="dxa"/>
            <w:tcBorders>
              <w:top w:val="nil"/>
              <w:left w:val="nil"/>
              <w:bottom w:val="single" w:sz="12" w:space="0" w:color="auto"/>
              <w:right w:val="nil"/>
            </w:tcBorders>
            <w:shd w:val="clear" w:color="auto" w:fill="auto"/>
            <w:noWrap/>
            <w:vAlign w:val="center"/>
          </w:tcPr>
          <w:p w14:paraId="0559268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13.89%</w:t>
            </w:r>
          </w:p>
        </w:tc>
        <w:tc>
          <w:tcPr>
            <w:tcW w:w="1436" w:type="dxa"/>
            <w:tcBorders>
              <w:top w:val="nil"/>
              <w:left w:val="nil"/>
              <w:bottom w:val="single" w:sz="12" w:space="0" w:color="auto"/>
              <w:right w:val="nil"/>
            </w:tcBorders>
            <w:shd w:val="clear" w:color="auto" w:fill="auto"/>
            <w:noWrap/>
            <w:vAlign w:val="center"/>
          </w:tcPr>
          <w:p w14:paraId="4826FE3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58.61%</w:t>
            </w:r>
          </w:p>
        </w:tc>
        <w:tc>
          <w:tcPr>
            <w:tcW w:w="1436" w:type="dxa"/>
            <w:tcBorders>
              <w:top w:val="nil"/>
              <w:left w:val="nil"/>
              <w:bottom w:val="single" w:sz="12" w:space="0" w:color="auto"/>
              <w:right w:val="nil"/>
            </w:tcBorders>
            <w:shd w:val="clear" w:color="auto" w:fill="auto"/>
            <w:noWrap/>
            <w:vAlign w:val="center"/>
          </w:tcPr>
          <w:p w14:paraId="1AF2D47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61.80%</w:t>
            </w:r>
          </w:p>
        </w:tc>
        <w:tc>
          <w:tcPr>
            <w:tcW w:w="1439" w:type="dxa"/>
            <w:tcBorders>
              <w:top w:val="nil"/>
              <w:left w:val="nil"/>
              <w:bottom w:val="single" w:sz="12" w:space="0" w:color="auto"/>
              <w:right w:val="nil"/>
            </w:tcBorders>
            <w:shd w:val="clear" w:color="auto" w:fill="auto"/>
            <w:noWrap/>
            <w:vAlign w:val="center"/>
          </w:tcPr>
          <w:p w14:paraId="70CE200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0CE5DD09" w14:textId="77777777" w:rsidR="0074478A" w:rsidRDefault="0074478A">
      <w:pPr>
        <w:rPr>
          <w:rFonts w:ascii="Times New Roman" w:hAnsi="Times New Roman" w:cs="Times New Roman"/>
        </w:rPr>
      </w:pPr>
    </w:p>
    <w:p w14:paraId="695D51C6" w14:textId="77777777" w:rsidR="0074478A" w:rsidRDefault="0074478A">
      <w:pPr>
        <w:rPr>
          <w:rFonts w:ascii="Times New Roman" w:hAnsi="Times New Roman" w:cs="Times New Roman"/>
        </w:rPr>
      </w:pPr>
    </w:p>
    <w:p w14:paraId="3C16F8EA" w14:textId="77777777" w:rsidR="0074478A" w:rsidRDefault="0074478A">
      <w:pPr>
        <w:rPr>
          <w:rFonts w:ascii="Times New Roman" w:hAnsi="Times New Roman" w:cs="Times New Roman"/>
        </w:rPr>
      </w:pPr>
    </w:p>
    <w:p w14:paraId="5857F6A2" w14:textId="77777777" w:rsidR="0074478A" w:rsidRDefault="0074478A">
      <w:pPr>
        <w:rPr>
          <w:rFonts w:ascii="Times New Roman" w:hAnsi="Times New Roman" w:cs="Times New Roman"/>
        </w:rPr>
      </w:pPr>
    </w:p>
    <w:p w14:paraId="419D8596" w14:textId="77777777" w:rsidR="0074478A" w:rsidRDefault="0074478A">
      <w:pPr>
        <w:rPr>
          <w:rFonts w:ascii="Times New Roman" w:hAnsi="Times New Roman" w:cs="Times New Roman"/>
        </w:rPr>
      </w:pPr>
    </w:p>
    <w:p w14:paraId="531A9213" w14:textId="77777777" w:rsidR="0074478A" w:rsidRDefault="0074478A">
      <w:pPr>
        <w:rPr>
          <w:rFonts w:ascii="Times New Roman" w:hAnsi="Times New Roman" w:cs="Times New Roman"/>
        </w:rPr>
      </w:pPr>
    </w:p>
    <w:p w14:paraId="3D62C0CA" w14:textId="77777777" w:rsidR="0074478A" w:rsidRDefault="0074478A">
      <w:pPr>
        <w:rPr>
          <w:rFonts w:ascii="Times New Roman" w:hAnsi="Times New Roman" w:cs="Times New Roman"/>
        </w:rPr>
      </w:pPr>
    </w:p>
    <w:p w14:paraId="108ACFB7" w14:textId="77777777" w:rsidR="0074478A" w:rsidRDefault="0074478A">
      <w:pPr>
        <w:rPr>
          <w:rFonts w:ascii="Times New Roman" w:hAnsi="Times New Roman" w:cs="Times New Roman"/>
        </w:rPr>
      </w:pPr>
    </w:p>
    <w:p w14:paraId="384F5A26" w14:textId="77777777" w:rsidR="0074478A" w:rsidRDefault="0074478A">
      <w:pPr>
        <w:rPr>
          <w:rFonts w:ascii="Times New Roman" w:hAnsi="Times New Roman" w:cs="Times New Roman"/>
        </w:rPr>
      </w:pPr>
    </w:p>
    <w:p w14:paraId="57424642" w14:textId="77777777" w:rsidR="0074478A" w:rsidRDefault="0074478A">
      <w:pPr>
        <w:rPr>
          <w:rFonts w:ascii="Times New Roman" w:hAnsi="Times New Roman" w:cs="Times New Roman"/>
        </w:rPr>
      </w:pPr>
    </w:p>
    <w:p w14:paraId="248E45BE" w14:textId="77777777" w:rsidR="0074478A" w:rsidRDefault="0074478A">
      <w:pPr>
        <w:rPr>
          <w:rFonts w:ascii="Times New Roman" w:hAnsi="Times New Roman" w:cs="Times New Roman"/>
        </w:rPr>
      </w:pPr>
    </w:p>
    <w:p w14:paraId="011655DB" w14:textId="77777777" w:rsidR="0074478A" w:rsidRDefault="0074478A">
      <w:pPr>
        <w:rPr>
          <w:rFonts w:ascii="Times New Roman" w:hAnsi="Times New Roman" w:cs="Times New Roman"/>
        </w:rPr>
      </w:pPr>
    </w:p>
    <w:p w14:paraId="50E85F24" w14:textId="77777777" w:rsidR="0074478A" w:rsidRDefault="00690393">
      <w:pPr>
        <w:rPr>
          <w:rFonts w:ascii="Times New Roman" w:hAnsi="Times New Roman" w:cs="Times New Roman"/>
        </w:rPr>
      </w:pPr>
      <w:r>
        <w:rPr>
          <w:rFonts w:ascii="Times New Roman" w:hAnsi="Times New Roman" w:cs="Times New Roman" w:hint="eastAsia"/>
        </w:rPr>
        <w:t>Panel Z: United Arab Emirates</w:t>
      </w:r>
    </w:p>
    <w:tbl>
      <w:tblPr>
        <w:tblW w:w="5000" w:type="pct"/>
        <w:tblLayout w:type="fixed"/>
        <w:tblLook w:val="04A0" w:firstRow="1" w:lastRow="0" w:firstColumn="1" w:lastColumn="0" w:noHBand="0" w:noVBand="1"/>
      </w:tblPr>
      <w:tblGrid>
        <w:gridCol w:w="1450"/>
        <w:gridCol w:w="2607"/>
        <w:gridCol w:w="1414"/>
        <w:gridCol w:w="1414"/>
        <w:gridCol w:w="1414"/>
        <w:gridCol w:w="1414"/>
        <w:gridCol w:w="1414"/>
        <w:gridCol w:w="1414"/>
        <w:gridCol w:w="1417"/>
      </w:tblGrid>
      <w:tr w:rsidR="0074478A" w14:paraId="05DADCE2"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7D96C4D6"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1C0A4C7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2006/01/23</w:t>
            </w:r>
          </w:p>
        </w:tc>
        <w:tc>
          <w:tcPr>
            <w:tcW w:w="1436" w:type="dxa"/>
            <w:tcBorders>
              <w:top w:val="single" w:sz="12" w:space="0" w:color="auto"/>
              <w:left w:val="nil"/>
              <w:bottom w:val="single" w:sz="8" w:space="0" w:color="auto"/>
              <w:right w:val="nil"/>
            </w:tcBorders>
            <w:shd w:val="clear" w:color="auto" w:fill="auto"/>
            <w:noWrap/>
            <w:vAlign w:val="center"/>
          </w:tcPr>
          <w:p w14:paraId="52243B7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2006/01/24-</w:t>
            </w:r>
            <w:r>
              <w:rPr>
                <w:rFonts w:ascii="Times New Roman" w:eastAsia="SimSun" w:hAnsi="Times New Roman" w:cs="Times New Roman"/>
                <w:color w:val="000000"/>
                <w:kern w:val="0"/>
                <w:szCs w:val="21"/>
                <w:lang w:bidi="ar"/>
              </w:rPr>
              <w:br/>
              <w:t>2008/10/09</w:t>
            </w:r>
          </w:p>
        </w:tc>
        <w:tc>
          <w:tcPr>
            <w:tcW w:w="1436" w:type="dxa"/>
            <w:tcBorders>
              <w:top w:val="single" w:sz="12" w:space="0" w:color="auto"/>
              <w:left w:val="nil"/>
              <w:bottom w:val="single" w:sz="8" w:space="0" w:color="auto"/>
              <w:right w:val="nil"/>
            </w:tcBorders>
            <w:shd w:val="clear" w:color="auto" w:fill="auto"/>
            <w:noWrap/>
            <w:vAlign w:val="center"/>
          </w:tcPr>
          <w:p w14:paraId="530ADE1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2008/10/10-</w:t>
            </w:r>
            <w:r>
              <w:rPr>
                <w:rFonts w:ascii="Times New Roman" w:eastAsia="SimSun" w:hAnsi="Times New Roman" w:cs="Times New Roman"/>
                <w:color w:val="000000"/>
                <w:kern w:val="0"/>
                <w:szCs w:val="21"/>
                <w:lang w:bidi="ar"/>
              </w:rPr>
              <w:br/>
              <w:t>2009/02/02</w:t>
            </w:r>
          </w:p>
        </w:tc>
        <w:tc>
          <w:tcPr>
            <w:tcW w:w="1436" w:type="dxa"/>
            <w:tcBorders>
              <w:top w:val="single" w:sz="12" w:space="0" w:color="auto"/>
              <w:left w:val="nil"/>
              <w:bottom w:val="single" w:sz="8" w:space="0" w:color="auto"/>
              <w:right w:val="nil"/>
            </w:tcBorders>
            <w:shd w:val="clear" w:color="auto" w:fill="auto"/>
            <w:noWrap/>
            <w:vAlign w:val="center"/>
          </w:tcPr>
          <w:p w14:paraId="62F7BEB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2009/02/03-</w:t>
            </w:r>
            <w:r>
              <w:rPr>
                <w:rFonts w:ascii="Times New Roman" w:eastAsia="SimSun" w:hAnsi="Times New Roman" w:cs="Times New Roman"/>
                <w:color w:val="000000"/>
                <w:kern w:val="0"/>
                <w:szCs w:val="21"/>
                <w:lang w:bidi="ar"/>
              </w:rPr>
              <w:br/>
              <w:t>2012/02/13</w:t>
            </w:r>
          </w:p>
        </w:tc>
        <w:tc>
          <w:tcPr>
            <w:tcW w:w="1436" w:type="dxa"/>
            <w:tcBorders>
              <w:top w:val="single" w:sz="12" w:space="0" w:color="auto"/>
              <w:left w:val="nil"/>
              <w:bottom w:val="single" w:sz="8" w:space="0" w:color="auto"/>
              <w:right w:val="nil"/>
            </w:tcBorders>
            <w:shd w:val="clear" w:color="auto" w:fill="auto"/>
            <w:noWrap/>
            <w:vAlign w:val="center"/>
          </w:tcPr>
          <w:p w14:paraId="555D98C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2012/02/14-</w:t>
            </w:r>
            <w:r>
              <w:rPr>
                <w:rFonts w:ascii="Times New Roman" w:eastAsia="SimSun" w:hAnsi="Times New Roman" w:cs="Times New Roman"/>
                <w:color w:val="000000"/>
                <w:kern w:val="0"/>
                <w:szCs w:val="21"/>
                <w:lang w:bidi="ar"/>
              </w:rPr>
              <w:br/>
              <w:t>2014/12/23</w:t>
            </w:r>
          </w:p>
        </w:tc>
        <w:tc>
          <w:tcPr>
            <w:tcW w:w="1436" w:type="dxa"/>
            <w:tcBorders>
              <w:top w:val="single" w:sz="12" w:space="0" w:color="auto"/>
              <w:left w:val="nil"/>
              <w:bottom w:val="single" w:sz="8" w:space="0" w:color="auto"/>
              <w:right w:val="nil"/>
            </w:tcBorders>
            <w:shd w:val="clear" w:color="auto" w:fill="auto"/>
            <w:noWrap/>
            <w:vAlign w:val="center"/>
          </w:tcPr>
          <w:p w14:paraId="02BAD9A5"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2014/12/24-</w:t>
            </w:r>
            <w:r>
              <w:rPr>
                <w:rFonts w:ascii="Times New Roman" w:eastAsia="SimSun" w:hAnsi="Times New Roman" w:cs="Times New Roman"/>
                <w:color w:val="000000"/>
                <w:kern w:val="0"/>
                <w:szCs w:val="21"/>
                <w:lang w:bidi="ar"/>
              </w:rPr>
              <w:br/>
              <w:t>2017/06/07</w:t>
            </w:r>
          </w:p>
        </w:tc>
        <w:tc>
          <w:tcPr>
            <w:tcW w:w="1439" w:type="dxa"/>
            <w:tcBorders>
              <w:top w:val="single" w:sz="12" w:space="0" w:color="auto"/>
              <w:left w:val="nil"/>
              <w:bottom w:val="single" w:sz="8" w:space="0" w:color="auto"/>
              <w:right w:val="nil"/>
            </w:tcBorders>
            <w:shd w:val="clear" w:color="auto" w:fill="auto"/>
            <w:noWrap/>
            <w:vAlign w:val="center"/>
          </w:tcPr>
          <w:p w14:paraId="553C502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2017/06/08-</w:t>
            </w:r>
            <w:r>
              <w:rPr>
                <w:rFonts w:ascii="Times New Roman" w:eastAsia="SimSun" w:hAnsi="Times New Roman" w:cs="Times New Roman"/>
                <w:color w:val="000000"/>
                <w:kern w:val="0"/>
                <w:szCs w:val="21"/>
                <w:lang w:bidi="ar"/>
              </w:rPr>
              <w:br/>
              <w:t>2019/06/10</w:t>
            </w:r>
          </w:p>
        </w:tc>
      </w:tr>
      <w:tr w:rsidR="0074478A" w14:paraId="3956C4D4"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8587AE1" w14:textId="77777777" w:rsidR="0074478A" w:rsidRDefault="00690393">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356EED18"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436" w:type="dxa"/>
            <w:tcBorders>
              <w:top w:val="single" w:sz="8" w:space="0" w:color="auto"/>
              <w:left w:val="nil"/>
              <w:bottom w:val="nil"/>
              <w:right w:val="nil"/>
            </w:tcBorders>
            <w:shd w:val="clear" w:color="auto" w:fill="auto"/>
            <w:vAlign w:val="bottom"/>
          </w:tcPr>
          <w:p w14:paraId="7B8A860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1436" w:type="dxa"/>
            <w:tcBorders>
              <w:top w:val="single" w:sz="8" w:space="0" w:color="auto"/>
              <w:left w:val="nil"/>
              <w:bottom w:val="nil"/>
              <w:right w:val="nil"/>
            </w:tcBorders>
            <w:shd w:val="clear" w:color="auto" w:fill="auto"/>
            <w:noWrap/>
            <w:vAlign w:val="bottom"/>
          </w:tcPr>
          <w:p w14:paraId="0C440832"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91.15%</w:t>
            </w:r>
          </w:p>
        </w:tc>
        <w:tc>
          <w:tcPr>
            <w:tcW w:w="1436" w:type="dxa"/>
            <w:tcBorders>
              <w:top w:val="single" w:sz="8" w:space="0" w:color="auto"/>
              <w:left w:val="nil"/>
              <w:bottom w:val="nil"/>
              <w:right w:val="nil"/>
            </w:tcBorders>
            <w:shd w:val="clear" w:color="auto" w:fill="auto"/>
            <w:noWrap/>
            <w:vAlign w:val="bottom"/>
          </w:tcPr>
          <w:p w14:paraId="28FB173E"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91.15%</w:t>
            </w:r>
          </w:p>
        </w:tc>
        <w:tc>
          <w:tcPr>
            <w:tcW w:w="1436" w:type="dxa"/>
            <w:tcBorders>
              <w:top w:val="single" w:sz="8" w:space="0" w:color="auto"/>
              <w:left w:val="nil"/>
              <w:bottom w:val="nil"/>
              <w:right w:val="nil"/>
            </w:tcBorders>
            <w:shd w:val="clear" w:color="auto" w:fill="auto"/>
            <w:noWrap/>
            <w:vAlign w:val="bottom"/>
          </w:tcPr>
          <w:p w14:paraId="43B77E6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86.47%</w:t>
            </w:r>
          </w:p>
        </w:tc>
        <w:tc>
          <w:tcPr>
            <w:tcW w:w="1436" w:type="dxa"/>
            <w:tcBorders>
              <w:top w:val="single" w:sz="8" w:space="0" w:color="auto"/>
              <w:left w:val="nil"/>
              <w:bottom w:val="nil"/>
              <w:right w:val="nil"/>
            </w:tcBorders>
            <w:shd w:val="clear" w:color="auto" w:fill="auto"/>
            <w:noWrap/>
            <w:vAlign w:val="bottom"/>
          </w:tcPr>
          <w:p w14:paraId="71788623"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86.47%</w:t>
            </w:r>
          </w:p>
        </w:tc>
        <w:tc>
          <w:tcPr>
            <w:tcW w:w="1436" w:type="dxa"/>
            <w:tcBorders>
              <w:top w:val="single" w:sz="8" w:space="0" w:color="auto"/>
              <w:left w:val="nil"/>
              <w:bottom w:val="nil"/>
              <w:right w:val="nil"/>
            </w:tcBorders>
            <w:shd w:val="clear" w:color="auto" w:fill="auto"/>
            <w:noWrap/>
            <w:vAlign w:val="bottom"/>
          </w:tcPr>
          <w:p w14:paraId="37BED551"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86.47%</w:t>
            </w:r>
          </w:p>
        </w:tc>
        <w:tc>
          <w:tcPr>
            <w:tcW w:w="1439" w:type="dxa"/>
            <w:tcBorders>
              <w:top w:val="single" w:sz="8" w:space="0" w:color="auto"/>
              <w:left w:val="nil"/>
              <w:bottom w:val="nil"/>
              <w:right w:val="nil"/>
            </w:tcBorders>
            <w:shd w:val="clear" w:color="auto" w:fill="auto"/>
            <w:noWrap/>
            <w:vAlign w:val="bottom"/>
          </w:tcPr>
          <w:p w14:paraId="2F0A4DC8"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86.47%</w:t>
            </w:r>
          </w:p>
        </w:tc>
      </w:tr>
      <w:tr w:rsidR="0074478A" w14:paraId="2E3AC746" w14:textId="77777777">
        <w:trPr>
          <w:trHeight w:val="278"/>
        </w:trPr>
        <w:tc>
          <w:tcPr>
            <w:tcW w:w="519" w:type="pct"/>
            <w:vMerge/>
            <w:tcBorders>
              <w:top w:val="nil"/>
              <w:left w:val="nil"/>
              <w:bottom w:val="nil"/>
              <w:right w:val="nil"/>
            </w:tcBorders>
            <w:shd w:val="clear" w:color="auto" w:fill="auto"/>
            <w:noWrap/>
            <w:vAlign w:val="center"/>
          </w:tcPr>
          <w:p w14:paraId="50C9C451"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677D4651"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436" w:type="dxa"/>
            <w:tcBorders>
              <w:top w:val="nil"/>
              <w:left w:val="nil"/>
              <w:bottom w:val="nil"/>
              <w:right w:val="nil"/>
            </w:tcBorders>
            <w:shd w:val="clear" w:color="auto" w:fill="auto"/>
            <w:noWrap/>
            <w:vAlign w:val="bottom"/>
          </w:tcPr>
          <w:p w14:paraId="4BFF8B0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3.99%</w:t>
            </w:r>
          </w:p>
        </w:tc>
        <w:tc>
          <w:tcPr>
            <w:tcW w:w="1436" w:type="dxa"/>
            <w:tcBorders>
              <w:top w:val="nil"/>
              <w:left w:val="nil"/>
              <w:bottom w:val="nil"/>
              <w:right w:val="nil"/>
            </w:tcBorders>
            <w:shd w:val="clear" w:color="auto" w:fill="auto"/>
            <w:noWrap/>
            <w:vAlign w:val="bottom"/>
          </w:tcPr>
          <w:p w14:paraId="2585AA8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23.49%</w:t>
            </w:r>
          </w:p>
        </w:tc>
        <w:tc>
          <w:tcPr>
            <w:tcW w:w="1436" w:type="dxa"/>
            <w:tcBorders>
              <w:top w:val="nil"/>
              <w:left w:val="nil"/>
              <w:bottom w:val="nil"/>
              <w:right w:val="nil"/>
            </w:tcBorders>
            <w:shd w:val="clear" w:color="auto" w:fill="auto"/>
            <w:noWrap/>
            <w:vAlign w:val="bottom"/>
          </w:tcPr>
          <w:p w14:paraId="13EC5AE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23.49%</w:t>
            </w:r>
          </w:p>
        </w:tc>
        <w:tc>
          <w:tcPr>
            <w:tcW w:w="1436" w:type="dxa"/>
            <w:tcBorders>
              <w:top w:val="nil"/>
              <w:left w:val="nil"/>
              <w:bottom w:val="nil"/>
              <w:right w:val="nil"/>
            </w:tcBorders>
            <w:shd w:val="clear" w:color="auto" w:fill="auto"/>
            <w:noWrap/>
            <w:vAlign w:val="bottom"/>
          </w:tcPr>
          <w:p w14:paraId="6D6849E6"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w:t>
            </w:r>
          </w:p>
        </w:tc>
        <w:tc>
          <w:tcPr>
            <w:tcW w:w="1436" w:type="dxa"/>
            <w:tcBorders>
              <w:top w:val="nil"/>
              <w:left w:val="nil"/>
              <w:bottom w:val="nil"/>
              <w:right w:val="nil"/>
            </w:tcBorders>
            <w:shd w:val="clear" w:color="auto" w:fill="auto"/>
            <w:noWrap/>
            <w:vAlign w:val="bottom"/>
          </w:tcPr>
          <w:p w14:paraId="54E7F1A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w:t>
            </w:r>
          </w:p>
        </w:tc>
        <w:tc>
          <w:tcPr>
            <w:tcW w:w="1436" w:type="dxa"/>
            <w:tcBorders>
              <w:top w:val="nil"/>
              <w:left w:val="nil"/>
              <w:bottom w:val="nil"/>
              <w:right w:val="nil"/>
            </w:tcBorders>
            <w:shd w:val="clear" w:color="auto" w:fill="auto"/>
            <w:noWrap/>
            <w:vAlign w:val="bottom"/>
          </w:tcPr>
          <w:p w14:paraId="612F035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w:t>
            </w:r>
          </w:p>
        </w:tc>
        <w:tc>
          <w:tcPr>
            <w:tcW w:w="1439" w:type="dxa"/>
            <w:tcBorders>
              <w:top w:val="nil"/>
              <w:left w:val="nil"/>
              <w:bottom w:val="nil"/>
              <w:right w:val="nil"/>
            </w:tcBorders>
            <w:shd w:val="clear" w:color="auto" w:fill="auto"/>
            <w:noWrap/>
            <w:vAlign w:val="bottom"/>
          </w:tcPr>
          <w:p w14:paraId="63A0E33F"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3.57%</w:t>
            </w:r>
          </w:p>
        </w:tc>
      </w:tr>
      <w:tr w:rsidR="0074478A" w14:paraId="38EF2302" w14:textId="77777777">
        <w:trPr>
          <w:trHeight w:val="278"/>
        </w:trPr>
        <w:tc>
          <w:tcPr>
            <w:tcW w:w="519" w:type="pct"/>
            <w:vMerge/>
            <w:tcBorders>
              <w:top w:val="nil"/>
              <w:left w:val="nil"/>
              <w:bottom w:val="nil"/>
              <w:right w:val="nil"/>
            </w:tcBorders>
            <w:shd w:val="clear" w:color="auto" w:fill="auto"/>
            <w:noWrap/>
            <w:vAlign w:val="center"/>
          </w:tcPr>
          <w:p w14:paraId="1FFB84AD"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F1D95D3" w14:textId="77777777" w:rsidR="0074478A" w:rsidRDefault="000C03D7">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436" w:type="dxa"/>
            <w:tcBorders>
              <w:top w:val="nil"/>
              <w:left w:val="nil"/>
              <w:bottom w:val="nil"/>
              <w:right w:val="nil"/>
            </w:tcBorders>
            <w:shd w:val="clear" w:color="auto" w:fill="auto"/>
            <w:noWrap/>
            <w:vAlign w:val="bottom"/>
          </w:tcPr>
          <w:p w14:paraId="7D09833C"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1.55%</w:t>
            </w:r>
          </w:p>
        </w:tc>
        <w:tc>
          <w:tcPr>
            <w:tcW w:w="1436" w:type="dxa"/>
            <w:tcBorders>
              <w:top w:val="nil"/>
              <w:left w:val="nil"/>
              <w:bottom w:val="nil"/>
              <w:right w:val="nil"/>
            </w:tcBorders>
            <w:shd w:val="clear" w:color="auto" w:fill="auto"/>
            <w:noWrap/>
            <w:vAlign w:val="bottom"/>
          </w:tcPr>
          <w:p w14:paraId="70FC8EDA"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-7.45%</w:t>
            </w:r>
          </w:p>
        </w:tc>
        <w:tc>
          <w:tcPr>
            <w:tcW w:w="1436" w:type="dxa"/>
            <w:tcBorders>
              <w:top w:val="nil"/>
              <w:left w:val="nil"/>
              <w:bottom w:val="nil"/>
              <w:right w:val="nil"/>
            </w:tcBorders>
            <w:shd w:val="clear" w:color="auto" w:fill="auto"/>
            <w:noWrap/>
            <w:vAlign w:val="bottom"/>
          </w:tcPr>
          <w:p w14:paraId="24013D5B"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-7.45%</w:t>
            </w:r>
          </w:p>
        </w:tc>
        <w:tc>
          <w:tcPr>
            <w:tcW w:w="1436" w:type="dxa"/>
            <w:tcBorders>
              <w:top w:val="nil"/>
              <w:left w:val="nil"/>
              <w:bottom w:val="nil"/>
              <w:right w:val="nil"/>
            </w:tcBorders>
            <w:shd w:val="clear" w:color="auto" w:fill="auto"/>
            <w:noWrap/>
            <w:vAlign w:val="bottom"/>
          </w:tcPr>
          <w:p w14:paraId="5E9B7EC9"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2.95%</w:t>
            </w:r>
          </w:p>
        </w:tc>
        <w:tc>
          <w:tcPr>
            <w:tcW w:w="1436" w:type="dxa"/>
            <w:tcBorders>
              <w:top w:val="nil"/>
              <w:left w:val="nil"/>
              <w:bottom w:val="nil"/>
              <w:right w:val="nil"/>
            </w:tcBorders>
            <w:shd w:val="clear" w:color="auto" w:fill="auto"/>
            <w:noWrap/>
            <w:vAlign w:val="bottom"/>
          </w:tcPr>
          <w:p w14:paraId="0E5BBDBD"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2.95%</w:t>
            </w:r>
          </w:p>
        </w:tc>
        <w:tc>
          <w:tcPr>
            <w:tcW w:w="1436" w:type="dxa"/>
            <w:tcBorders>
              <w:top w:val="nil"/>
              <w:left w:val="nil"/>
              <w:bottom w:val="nil"/>
              <w:right w:val="nil"/>
            </w:tcBorders>
            <w:shd w:val="clear" w:color="auto" w:fill="auto"/>
            <w:noWrap/>
            <w:vAlign w:val="bottom"/>
          </w:tcPr>
          <w:p w14:paraId="708AB188" w14:textId="77777777" w:rsidR="0074478A" w:rsidRDefault="00690393">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2.95%</w:t>
            </w:r>
          </w:p>
        </w:tc>
        <w:tc>
          <w:tcPr>
            <w:tcW w:w="1439" w:type="dxa"/>
            <w:tcBorders>
              <w:top w:val="nil"/>
              <w:left w:val="nil"/>
              <w:bottom w:val="nil"/>
              <w:right w:val="nil"/>
            </w:tcBorders>
            <w:shd w:val="clear" w:color="auto" w:fill="auto"/>
            <w:noWrap/>
            <w:vAlign w:val="bottom"/>
          </w:tcPr>
          <w:p w14:paraId="13C99F40" w14:textId="77777777" w:rsidR="0074478A" w:rsidRDefault="00690393">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2.95%</w:t>
            </w:r>
          </w:p>
        </w:tc>
      </w:tr>
      <w:tr w:rsidR="0074478A" w14:paraId="22338125" w14:textId="77777777">
        <w:trPr>
          <w:trHeight w:val="278"/>
        </w:trPr>
        <w:tc>
          <w:tcPr>
            <w:tcW w:w="519" w:type="pct"/>
            <w:vMerge/>
            <w:tcBorders>
              <w:top w:val="nil"/>
              <w:left w:val="nil"/>
              <w:bottom w:val="nil"/>
              <w:right w:val="nil"/>
            </w:tcBorders>
            <w:shd w:val="clear" w:color="auto" w:fill="auto"/>
            <w:noWrap/>
            <w:vAlign w:val="center"/>
          </w:tcPr>
          <w:p w14:paraId="491EC583" w14:textId="77777777" w:rsidR="0074478A" w:rsidRDefault="0074478A">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C8C1EDD" w14:textId="77777777" w:rsidR="0074478A" w:rsidRDefault="000C03D7">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436" w:type="dxa"/>
            <w:tcBorders>
              <w:top w:val="nil"/>
              <w:left w:val="nil"/>
              <w:bottom w:val="nil"/>
              <w:right w:val="nil"/>
            </w:tcBorders>
            <w:shd w:val="clear" w:color="auto" w:fill="auto"/>
            <w:vAlign w:val="center"/>
          </w:tcPr>
          <w:p w14:paraId="6688C9D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-0.79%</w:t>
            </w:r>
          </w:p>
        </w:tc>
        <w:tc>
          <w:tcPr>
            <w:tcW w:w="1436" w:type="dxa"/>
            <w:tcBorders>
              <w:top w:val="nil"/>
              <w:left w:val="nil"/>
              <w:bottom w:val="nil"/>
              <w:right w:val="nil"/>
            </w:tcBorders>
            <w:shd w:val="clear" w:color="auto" w:fill="auto"/>
            <w:noWrap/>
            <w:vAlign w:val="center"/>
          </w:tcPr>
          <w:p w14:paraId="28B34659"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-7.19%</w:t>
            </w:r>
          </w:p>
        </w:tc>
        <w:tc>
          <w:tcPr>
            <w:tcW w:w="1436" w:type="dxa"/>
            <w:tcBorders>
              <w:top w:val="nil"/>
              <w:left w:val="nil"/>
              <w:bottom w:val="nil"/>
              <w:right w:val="nil"/>
            </w:tcBorders>
            <w:shd w:val="clear" w:color="auto" w:fill="auto"/>
            <w:noWrap/>
            <w:vAlign w:val="center"/>
          </w:tcPr>
          <w:p w14:paraId="009E7BA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-7.19%</w:t>
            </w:r>
          </w:p>
        </w:tc>
        <w:tc>
          <w:tcPr>
            <w:tcW w:w="1436" w:type="dxa"/>
            <w:tcBorders>
              <w:top w:val="nil"/>
              <w:left w:val="nil"/>
              <w:bottom w:val="nil"/>
              <w:right w:val="nil"/>
            </w:tcBorders>
            <w:shd w:val="clear" w:color="auto" w:fill="auto"/>
            <w:noWrap/>
            <w:vAlign w:val="center"/>
          </w:tcPr>
          <w:p w14:paraId="5AF9AB4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7.01%</w:t>
            </w:r>
          </w:p>
        </w:tc>
        <w:tc>
          <w:tcPr>
            <w:tcW w:w="1436" w:type="dxa"/>
            <w:tcBorders>
              <w:top w:val="nil"/>
              <w:left w:val="nil"/>
              <w:bottom w:val="nil"/>
              <w:right w:val="nil"/>
            </w:tcBorders>
            <w:shd w:val="clear" w:color="auto" w:fill="auto"/>
            <w:noWrap/>
            <w:vAlign w:val="center"/>
          </w:tcPr>
          <w:p w14:paraId="372C89D4"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7.01%</w:t>
            </w:r>
          </w:p>
        </w:tc>
        <w:tc>
          <w:tcPr>
            <w:tcW w:w="1436" w:type="dxa"/>
            <w:tcBorders>
              <w:top w:val="nil"/>
              <w:left w:val="nil"/>
              <w:bottom w:val="nil"/>
              <w:right w:val="nil"/>
            </w:tcBorders>
            <w:shd w:val="clear" w:color="auto" w:fill="auto"/>
            <w:noWrap/>
            <w:vAlign w:val="center"/>
          </w:tcPr>
          <w:p w14:paraId="42B0507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7.01%</w:t>
            </w:r>
          </w:p>
        </w:tc>
        <w:tc>
          <w:tcPr>
            <w:tcW w:w="1439" w:type="dxa"/>
            <w:tcBorders>
              <w:top w:val="nil"/>
              <w:left w:val="nil"/>
              <w:bottom w:val="nil"/>
              <w:right w:val="nil"/>
            </w:tcBorders>
            <w:shd w:val="clear" w:color="auto" w:fill="auto"/>
            <w:noWrap/>
            <w:vAlign w:val="center"/>
          </w:tcPr>
          <w:p w14:paraId="010B1BB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7.01%</w:t>
            </w:r>
          </w:p>
        </w:tc>
      </w:tr>
      <w:tr w:rsidR="0074478A" w14:paraId="59AC2EEC" w14:textId="77777777">
        <w:trPr>
          <w:trHeight w:val="278"/>
        </w:trPr>
        <w:tc>
          <w:tcPr>
            <w:tcW w:w="1453" w:type="pct"/>
            <w:gridSpan w:val="2"/>
            <w:tcBorders>
              <w:top w:val="nil"/>
              <w:left w:val="nil"/>
              <w:bottom w:val="nil"/>
              <w:right w:val="nil"/>
            </w:tcBorders>
            <w:shd w:val="clear" w:color="auto" w:fill="auto"/>
            <w:noWrap/>
            <w:vAlign w:val="center"/>
          </w:tcPr>
          <w:p w14:paraId="2CEE225D"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436" w:type="dxa"/>
            <w:tcBorders>
              <w:top w:val="nil"/>
              <w:left w:val="nil"/>
              <w:bottom w:val="nil"/>
              <w:right w:val="nil"/>
            </w:tcBorders>
            <w:shd w:val="clear" w:color="auto" w:fill="auto"/>
            <w:noWrap/>
            <w:vAlign w:val="center"/>
          </w:tcPr>
          <w:p w14:paraId="46A9186C"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601AC62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7E2FCEE1"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0B20875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79F533AD"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4ECC6597"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9" w:type="dxa"/>
            <w:tcBorders>
              <w:top w:val="nil"/>
              <w:left w:val="nil"/>
              <w:bottom w:val="nil"/>
              <w:right w:val="nil"/>
            </w:tcBorders>
            <w:shd w:val="clear" w:color="auto" w:fill="auto"/>
            <w:noWrap/>
            <w:vAlign w:val="center"/>
          </w:tcPr>
          <w:p w14:paraId="12622182"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r>
      <w:tr w:rsidR="0074478A" w14:paraId="3B3026EB" w14:textId="77777777">
        <w:trPr>
          <w:trHeight w:val="278"/>
        </w:trPr>
        <w:tc>
          <w:tcPr>
            <w:tcW w:w="1453" w:type="pct"/>
            <w:gridSpan w:val="2"/>
            <w:tcBorders>
              <w:top w:val="nil"/>
              <w:left w:val="nil"/>
              <w:bottom w:val="nil"/>
              <w:right w:val="nil"/>
            </w:tcBorders>
            <w:shd w:val="clear" w:color="auto" w:fill="auto"/>
            <w:noWrap/>
            <w:vAlign w:val="center"/>
          </w:tcPr>
          <w:p w14:paraId="3D910480"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F668A7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BDC2ED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±3.63%</w:t>
            </w:r>
          </w:p>
        </w:tc>
        <w:tc>
          <w:tcPr>
            <w:tcW w:w="1436" w:type="dxa"/>
            <w:tcBorders>
              <w:top w:val="nil"/>
              <w:left w:val="nil"/>
              <w:bottom w:val="nil"/>
              <w:right w:val="nil"/>
            </w:tcBorders>
            <w:shd w:val="clear" w:color="auto" w:fill="auto"/>
            <w:noWrap/>
            <w:vAlign w:val="center"/>
          </w:tcPr>
          <w:p w14:paraId="68FD9597"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360B77E"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06C3D5C"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37AAB12"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3401914E"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65170B64" w14:textId="77777777">
        <w:trPr>
          <w:trHeight w:val="278"/>
        </w:trPr>
        <w:tc>
          <w:tcPr>
            <w:tcW w:w="519" w:type="pct"/>
            <w:vMerge w:val="restart"/>
            <w:tcBorders>
              <w:top w:val="nil"/>
              <w:left w:val="nil"/>
              <w:bottom w:val="nil"/>
              <w:right w:val="nil"/>
            </w:tcBorders>
            <w:shd w:val="clear" w:color="auto" w:fill="auto"/>
            <w:noWrap/>
            <w:vAlign w:val="center"/>
          </w:tcPr>
          <w:p w14:paraId="4151C715"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794F55EE"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3A07B7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EADE6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06E3EEA"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07063F6"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2B79CC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905370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681E14F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4E906AA4" w14:textId="77777777">
        <w:trPr>
          <w:trHeight w:val="278"/>
        </w:trPr>
        <w:tc>
          <w:tcPr>
            <w:tcW w:w="519" w:type="pct"/>
            <w:vMerge/>
            <w:tcBorders>
              <w:top w:val="nil"/>
              <w:left w:val="nil"/>
              <w:bottom w:val="nil"/>
              <w:right w:val="nil"/>
            </w:tcBorders>
            <w:shd w:val="clear" w:color="auto" w:fill="auto"/>
            <w:noWrap/>
            <w:vAlign w:val="center"/>
          </w:tcPr>
          <w:p w14:paraId="401CD5FE" w14:textId="77777777" w:rsidR="0074478A" w:rsidRDefault="0074478A">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2D4A42DF"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4F43770"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7FF6FA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/0.978</w:t>
            </w:r>
          </w:p>
        </w:tc>
        <w:tc>
          <w:tcPr>
            <w:tcW w:w="1436" w:type="dxa"/>
            <w:tcBorders>
              <w:top w:val="nil"/>
              <w:left w:val="nil"/>
              <w:bottom w:val="nil"/>
              <w:right w:val="nil"/>
            </w:tcBorders>
            <w:shd w:val="clear" w:color="auto" w:fill="auto"/>
            <w:noWrap/>
            <w:vAlign w:val="center"/>
          </w:tcPr>
          <w:p w14:paraId="1D6BE4DD"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F37C1E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917CAE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0CF30D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77929CA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1A4D5801" w14:textId="77777777">
        <w:trPr>
          <w:trHeight w:val="278"/>
        </w:trPr>
        <w:tc>
          <w:tcPr>
            <w:tcW w:w="519" w:type="pct"/>
            <w:vMerge/>
            <w:tcBorders>
              <w:top w:val="nil"/>
              <w:left w:val="nil"/>
              <w:bottom w:val="nil"/>
              <w:right w:val="nil"/>
            </w:tcBorders>
            <w:shd w:val="clear" w:color="auto" w:fill="auto"/>
            <w:noWrap/>
            <w:vAlign w:val="center"/>
          </w:tcPr>
          <w:p w14:paraId="1557E36E" w14:textId="77777777" w:rsidR="0074478A" w:rsidRDefault="0074478A">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67BCC23C" w14:textId="77777777" w:rsidR="0074478A" w:rsidRDefault="00690393">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F74586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D6F603F"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-0.024/0.334</w:t>
            </w:r>
          </w:p>
        </w:tc>
        <w:tc>
          <w:tcPr>
            <w:tcW w:w="1436" w:type="dxa"/>
            <w:tcBorders>
              <w:top w:val="nil"/>
              <w:left w:val="nil"/>
              <w:bottom w:val="nil"/>
              <w:right w:val="nil"/>
            </w:tcBorders>
            <w:shd w:val="clear" w:color="auto" w:fill="auto"/>
            <w:noWrap/>
            <w:vAlign w:val="center"/>
          </w:tcPr>
          <w:p w14:paraId="74CC3703"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9675E08"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D8F4121"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BC2823B" w14:textId="77777777" w:rsidR="0074478A" w:rsidRDefault="00690393">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600AD2F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74478A" w14:paraId="3D077681"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2435F043" w14:textId="77777777" w:rsidR="0074478A" w:rsidRDefault="00690393">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444F0245"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2616F94B"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89.13%</w:t>
            </w:r>
          </w:p>
        </w:tc>
        <w:tc>
          <w:tcPr>
            <w:tcW w:w="1436" w:type="dxa"/>
            <w:tcBorders>
              <w:top w:val="nil"/>
              <w:left w:val="nil"/>
              <w:bottom w:val="single" w:sz="12" w:space="0" w:color="auto"/>
              <w:right w:val="nil"/>
            </w:tcBorders>
            <w:shd w:val="clear" w:color="auto" w:fill="auto"/>
            <w:noWrap/>
            <w:vAlign w:val="center"/>
          </w:tcPr>
          <w:p w14:paraId="5A667F1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2927B00A"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299390F"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B2EF4F3"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9" w:type="dxa"/>
            <w:tcBorders>
              <w:top w:val="nil"/>
              <w:left w:val="nil"/>
              <w:bottom w:val="single" w:sz="12" w:space="0" w:color="auto"/>
              <w:right w:val="nil"/>
            </w:tcBorders>
            <w:shd w:val="clear" w:color="auto" w:fill="auto"/>
            <w:noWrap/>
            <w:vAlign w:val="center"/>
          </w:tcPr>
          <w:p w14:paraId="5377FBE6" w14:textId="77777777" w:rsidR="0074478A" w:rsidRDefault="00690393">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625A056F" w14:textId="77777777" w:rsidR="0074478A" w:rsidRDefault="00690393">
      <w:pPr>
        <w:spacing w:afterLines="100" w:after="312" w:line="240" w:lineRule="atLeast"/>
        <w:rPr>
          <w:rFonts w:ascii="Times New Roman" w:hAnsi="Times New Roman" w:cs="Times New Roman"/>
        </w:rPr>
        <w:sectPr w:rsidR="0074478A">
          <w:pgSz w:w="16838" w:h="11906" w:orient="landscape"/>
          <w:pgMar w:top="1800" w:right="1440" w:bottom="1800" w:left="1440" w:header="851" w:footer="992" w:gutter="0"/>
          <w:cols w:space="425"/>
          <w:docGrid w:type="lines" w:linePitch="312"/>
        </w:sectPr>
      </w:pPr>
      <w:r>
        <w:rPr>
          <w:rFonts w:ascii="Times New Roman" w:hAnsi="Times New Roman" w:cs="Times New Roman" w:hint="eastAsia"/>
          <w:i/>
          <w:iCs/>
        </w:rPr>
        <w:t>Notes</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 xml:space="preserve">This table reports estimation results </w:t>
      </w:r>
      <w:r>
        <w:rPr>
          <w:rFonts w:ascii="Times New Roman" w:hAnsi="Times New Roman" w:cs="Times New Roman"/>
        </w:rPr>
        <w:t>for the</w:t>
      </w:r>
      <w:r>
        <w:rPr>
          <w:rFonts w:ascii="Times New Roman" w:hAnsi="Times New Roman" w:cs="Times New Roman" w:hint="eastAsia"/>
        </w:rPr>
        <w:t xml:space="preserve"> basket of currencies and target zone. The basket weights are estimated by the regression of the form </w:t>
      </w:r>
      <m:oMath>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 </m:t>
        </m:r>
        <m:nary>
          <m:naryPr>
            <m:chr m:val="∑"/>
            <m:limLoc m:val="subSup"/>
            <m:ctrlPr>
              <w:rPr>
                <w:rFonts w:ascii="Cambria Math" w:hAnsi="Cambria Math" w:cs="Times New Roman"/>
                <w:i/>
                <w:szCs w:val="21"/>
              </w:rPr>
            </m:ctrlPr>
          </m:naryPr>
          <m:sub>
            <m:r>
              <w:rPr>
                <w:rFonts w:ascii="Cambria Math" w:hAnsi="Cambria Math" w:cs="Times New Roman"/>
                <w:szCs w:val="21"/>
              </w:rPr>
              <m:t>j=1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i,j</m:t>
                </m:r>
              </m:sub>
            </m:sSub>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X</m:t>
                </m:r>
              </m:e>
              <m:sub>
                <m:r>
                  <w:rPr>
                    <w:rFonts w:ascii="Cambria Math" w:hAnsi="Cambria Math" w:cs="Times New Roman"/>
                    <w:szCs w:val="21"/>
                  </w:rPr>
                  <m:t>j,t</m:t>
                </m:r>
              </m:sub>
            </m:sSub>
          </m:e>
        </m:nary>
        <m:r>
          <w:rPr>
            <w:rFonts w:ascii="Cambria Math" w:hAnsi="Cambria Math" w:cs="Times New Roman"/>
            <w:szCs w:val="21"/>
          </w:rPr>
          <m:t>+ </m:t>
        </m:r>
        <m:sSub>
          <m:sSubPr>
            <m:ctrlPr>
              <w:rPr>
                <w:rFonts w:ascii="Cambria Math" w:hAnsi="Cambria Math" w:cs="Times New Roman"/>
                <w:i/>
                <w:iCs/>
                <w:szCs w:val="21"/>
              </w:rPr>
            </m:ctrlPr>
          </m:sSubPr>
          <m:e>
            <m:r>
              <w:rPr>
                <w:rFonts w:ascii="Cambria Math" w:hAnsi="Cambria Math" w:cs="Times New Roman"/>
                <w:szCs w:val="21"/>
              </w:rPr>
              <m:t>ε</m:t>
            </m:r>
          </m:e>
          <m:sub>
            <m:r>
              <w:rPr>
                <w:rFonts w:ascii="Cambria Math" w:hAnsi="Cambria Math" w:cs="Times New Roman"/>
                <w:szCs w:val="21"/>
              </w:rPr>
              <m:t>t</m:t>
            </m:r>
          </m:sub>
        </m:sSub>
      </m:oMath>
      <w:r>
        <w:rPr>
          <w:rFonts w:hAnsi="Cambria Math" w:cs="Times New Roman" w:hint="eastAsia"/>
          <w:iCs/>
          <w:szCs w:val="21"/>
        </w:rPr>
        <w:t xml:space="preserve">, </w:t>
      </w:r>
      <w:r>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oMath>
      <w:r>
        <w:rPr>
          <w:rFonts w:ascii="Times New Roman" w:hAnsi="Times New Roman" w:cs="Times New Roman"/>
        </w:rPr>
        <w:t xml:space="preserve"> denotes the value of the home currency at time </w:t>
      </w:r>
      <w:r>
        <w:rPr>
          <w:rFonts w:ascii="Times New Roman" w:hAnsi="Times New Roman" w:cs="Times New Roman"/>
          <w:i/>
          <w:iCs/>
        </w:rPr>
        <w:t>t</w:t>
      </w:r>
      <w:r>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k,t</m:t>
            </m:r>
          </m:sub>
        </m:sSub>
      </m:oMath>
      <w:r>
        <w:rPr>
          <w:rFonts w:ascii="Times New Roman" w:hAnsi="Times New Roman" w:cs="Times New Roman"/>
        </w:rPr>
        <w:t xml:space="preserve"> represents the value of currency </w:t>
      </w:r>
      <w:r>
        <w:rPr>
          <w:rFonts w:ascii="Times New Roman" w:hAnsi="Times New Roman" w:cs="Times New Roman"/>
          <w:i/>
          <w:iCs/>
        </w:rPr>
        <w:t>k</w:t>
      </w:r>
      <w:r>
        <w:rPr>
          <w:rFonts w:ascii="Times New Roman" w:hAnsi="Times New Roman" w:cs="Times New Roman" w:hint="eastAsia"/>
        </w:rPr>
        <w:t xml:space="preserve"> </w:t>
      </w:r>
      <w:r>
        <w:rPr>
          <w:rFonts w:ascii="Times New Roman" w:hAnsi="Times New Roman" w:cs="Times New Roman"/>
        </w:rPr>
        <w:t xml:space="preserve">at time </w:t>
      </w:r>
      <w:r>
        <w:rPr>
          <w:rFonts w:ascii="Times New Roman" w:hAnsi="Times New Roman" w:cs="Times New Roman"/>
          <w:i/>
          <w:iCs/>
        </w:rPr>
        <w:t>t</w:t>
      </w:r>
      <w:r>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i,k</m:t>
            </m:r>
          </m:sub>
        </m:sSub>
      </m:oMath>
      <w:r>
        <w:rPr>
          <w:rFonts w:ascii="Times New Roman" w:hAnsi="Times New Roman" w:cs="Times New Roman"/>
        </w:rPr>
        <w:t xml:space="preserve"> denotes the weight of currency </w:t>
      </w:r>
      <w:r>
        <w:rPr>
          <w:rFonts w:ascii="Times New Roman" w:hAnsi="Times New Roman" w:cs="Times New Roman"/>
          <w:i/>
          <w:iCs/>
        </w:rPr>
        <w:t>k</w:t>
      </w:r>
      <w:r>
        <w:rPr>
          <w:rFonts w:ascii="Times New Roman" w:hAnsi="Times New Roman" w:cs="Times New Roman"/>
        </w:rPr>
        <w:t xml:space="preserve"> in the basket</w:t>
      </w:r>
      <w:r>
        <w:rPr>
          <w:rFonts w:ascii="Times New Roman" w:hAnsi="Times New Roman" w:cs="Times New Roman" w:hint="eastAsia"/>
        </w:rPr>
        <w:t xml:space="preserve"> within time period </w:t>
      </w:r>
      <w:r>
        <w:rPr>
          <w:rFonts w:ascii="Times New Roman" w:hAnsi="Times New Roman" w:cs="Times New Roman"/>
          <w:i/>
          <w:iCs/>
        </w:rPr>
        <w:t>i</w:t>
      </w:r>
      <w:r>
        <w:rPr>
          <w:rFonts w:ascii="Times New Roman" w:hAnsi="Times New Roman" w:cs="Times New Roman" w:hint="eastAsia"/>
        </w:rPr>
        <w:t xml:space="preserve">. Specifically,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w:r>
        <w:rPr>
          <w:rFonts w:eastAsia="SimSun" w:hAnsi="Cambria Math" w:cs="Times New Roman" w:hint="eastAsia"/>
          <w:iCs/>
          <w:color w:val="000000"/>
          <w:kern w:val="0"/>
          <w:szCs w:val="21"/>
          <w:lang w:bidi="ar"/>
        </w:rPr>
        <w:t xml:space="preserve">,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w:r>
        <w:rPr>
          <w:rFonts w:eastAsia="SimSun" w:hAnsi="Cambria Math" w:cs="Times New Roman" w:hint="eastAsia"/>
          <w:iCs/>
          <w:color w:val="000000"/>
          <w:kern w:val="0"/>
          <w:szCs w:val="21"/>
          <w:lang w:bidi="ar"/>
        </w:rPr>
        <w:t xml:space="preserve">,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w:r>
        <w:rPr>
          <w:rFonts w:eastAsia="SimSun" w:hAnsi="Cambria Math" w:cs="Times New Roman"/>
          <w:iCs/>
          <w:color w:val="000000"/>
          <w:kern w:val="0"/>
          <w:szCs w:val="21"/>
          <w:lang w:bidi="ar"/>
        </w:rPr>
        <w:t xml:space="preserve">, </w:t>
      </w:r>
      <w:r>
        <w:rPr>
          <w:rFonts w:eastAsia="SimSun" w:hAnsi="Cambria Math" w:cs="Times New Roman" w:hint="eastAsia"/>
          <w:iCs/>
          <w:color w:val="000000"/>
          <w:kern w:val="0"/>
          <w:szCs w:val="21"/>
          <w:lang w:bidi="ar"/>
        </w:rPr>
        <w:t xml:space="preserve">and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w:r>
        <w:rPr>
          <w:rFonts w:ascii="Times New Roman" w:hAnsi="Times New Roman" w:cs="Times New Roman" w:hint="eastAsia"/>
        </w:rPr>
        <w:t xml:space="preserve"> stand for the weights of</w:t>
      </w:r>
      <w:r>
        <w:rPr>
          <w:rFonts w:ascii="Times New Roman" w:hAnsi="Times New Roman" w:cs="Times New Roman"/>
        </w:rPr>
        <w:t xml:space="preserve"> the</w:t>
      </w:r>
      <w:r>
        <w:rPr>
          <w:rFonts w:ascii="Times New Roman" w:hAnsi="Times New Roman" w:cs="Times New Roman" w:hint="eastAsia"/>
        </w:rPr>
        <w:t xml:space="preserve"> dollar, euro, pound, and yen within time period </w:t>
      </w:r>
      <w:r>
        <w:rPr>
          <w:rFonts w:ascii="Times New Roman" w:hAnsi="Times New Roman" w:cs="Times New Roman"/>
          <w:i/>
          <w:iCs/>
        </w:rPr>
        <w:t>i</w:t>
      </w:r>
      <w:r>
        <w:rPr>
          <w:rFonts w:ascii="Times New Roman" w:hAnsi="Times New Roman" w:cs="Times New Roman" w:hint="eastAsia"/>
        </w:rPr>
        <w:t xml:space="preserve"> separately. The target zone is estimated piecewise by the algorithm described in Figure 1. For each segment split by inferred structural breaks, we first classify the exchange rate regime the country follows within the segment. If the country floats or fixes its exchange rate or maintains a managed floating regime, we end the estimation procedure. Otherwise, we further infer the upper and lower limit</w:t>
      </w:r>
      <w:r>
        <w:rPr>
          <w:rFonts w:ascii="Times New Roman" w:hAnsi="Times New Roman" w:cs="Times New Roman"/>
        </w:rPr>
        <w:t>s</w:t>
      </w:r>
      <w:r>
        <w:rPr>
          <w:rFonts w:ascii="Times New Roman" w:hAnsi="Times New Roman" w:cs="Times New Roman" w:hint="eastAsia"/>
        </w:rPr>
        <w:t xml:space="preserve"> of the target zone </w:t>
      </w:r>
      <w:r>
        <w:rPr>
          <w:rFonts w:ascii="Times New Roman" w:eastAsia="SimSun" w:hAnsi="Times New Roman" w:cs="Times New Roman"/>
          <w:color w:val="000000"/>
          <w:kern w:val="0"/>
          <w:szCs w:val="21"/>
          <w:lang w:bidi="ar"/>
        </w:rPr>
        <w:t>±max{</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r>
        <w:rPr>
          <w:rFonts w:ascii="Times New Roman" w:hAnsi="Times New Roman" w:cs="Times New Roman" w:hint="eastAsia"/>
        </w:rPr>
        <w:t>, and estimate the coefficients of</w:t>
      </w:r>
      <w:r>
        <w:rPr>
          <w:rFonts w:ascii="Times New Roman" w:hAnsi="Times New Roman" w:cs="Times New Roman"/>
        </w:rPr>
        <w:t xml:space="preserve"> the</w:t>
      </w:r>
      <w:r>
        <w:rPr>
          <w:rFonts w:ascii="Times New Roman" w:hAnsi="Times New Roman" w:cs="Times New Roman" w:hint="eastAsia"/>
        </w:rPr>
        <w:t xml:space="preserve"> AR(1) model within each regime (</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i,j,0</m:t>
            </m:r>
          </m:sub>
        </m:sSub>
        <m:r>
          <w:rPr>
            <w:rFonts w:ascii="Cambria Math" w:hAnsi="Cambria Math" w:cs="Times New Roman"/>
            <w:szCs w:val="21"/>
          </w:rPr>
          <m:t xml:space="preserve">, </m:t>
        </m:r>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i,j,1</m:t>
            </m:r>
          </m:sub>
        </m:sSub>
        <m:r>
          <w:rPr>
            <w:rFonts w:ascii="Cambria Math" w:hAnsi="Cambria Math" w:cs="Times New Roman"/>
            <w:szCs w:val="21"/>
          </w:rPr>
          <m:t>)</m:t>
        </m:r>
      </m:oMath>
      <w:r>
        <w:rPr>
          <w:rFonts w:hAnsi="Cambria Math" w:cs="Times New Roman" w:hint="eastAsia"/>
          <w:szCs w:val="21"/>
        </w:rPr>
        <w:t xml:space="preserve"> </w:t>
      </w:r>
      <w:r>
        <w:rPr>
          <w:rFonts w:ascii="Times New Roman" w:hAnsi="Times New Roman" w:cs="Times New Roman" w:hint="eastAsia"/>
        </w:rPr>
        <w:t>separately through the regressio</w:t>
      </w:r>
      <w:r>
        <w:rPr>
          <w:rFonts w:ascii="Times New Roman" w:eastAsia="SimSun" w:hAnsi="Times New Roman" w:cs="Times New Roman"/>
        </w:rPr>
        <w:t xml:space="preserve">n of the form </w:t>
      </w:r>
      <m:oMath>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X</m:t>
            </m:r>
          </m:e>
          <m:sub>
            <m:r>
              <w:rPr>
                <w:rFonts w:ascii="Cambria Math" w:eastAsia="SimSun" w:hAnsi="Cambria Math" w:cs="Times New Roman"/>
                <w:sz w:val="18"/>
                <w:szCs w:val="18"/>
              </w:rPr>
              <m:t>t</m:t>
            </m:r>
          </m:sub>
        </m:sSub>
        <m:r>
          <w:rPr>
            <w:rFonts w:ascii="Cambria Math" w:eastAsia="SimSun" w:hAnsi="Cambria Math" w:cs="Times New Roman"/>
            <w:sz w:val="18"/>
            <w:szCs w:val="18"/>
          </w:rPr>
          <m:t>=</m:t>
        </m:r>
        <m:nary>
          <m:naryPr>
            <m:chr m:val="∑"/>
            <m:limLoc m:val="subSup"/>
            <m:ctrlPr>
              <w:rPr>
                <w:rFonts w:ascii="Cambria Math" w:eastAsia="SimSun" w:hAnsi="Cambria Math" w:cs="Times New Roman"/>
                <w:i/>
                <w:sz w:val="18"/>
                <w:szCs w:val="18"/>
              </w:rPr>
            </m:ctrlPr>
          </m:naryPr>
          <m:sub>
            <m:r>
              <w:rPr>
                <w:rFonts w:ascii="Cambria Math" w:eastAsia="SimSun" w:hAnsi="Cambria Math" w:cs="Times New Roman"/>
                <w:sz w:val="18"/>
                <w:szCs w:val="18"/>
              </w:rPr>
              <m:t>j=1</m:t>
            </m:r>
          </m:sub>
          <m:sup>
            <m:r>
              <w:rPr>
                <w:rFonts w:ascii="Cambria Math" w:eastAsia="SimSun" w:hAnsi="Cambria Math" w:cs="Times New Roman"/>
                <w:sz w:val="18"/>
                <w:szCs w:val="18"/>
              </w:rPr>
              <m:t>3</m:t>
            </m:r>
          </m:sup>
          <m:e>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ϕ</m:t>
                </m:r>
              </m:e>
              <m:sub>
                <m:r>
                  <w:rPr>
                    <w:rFonts w:ascii="Cambria Math" w:eastAsia="SimSun" w:hAnsi="Cambria Math" w:cs="Times New Roman"/>
                    <w:sz w:val="18"/>
                    <w:szCs w:val="18"/>
                  </w:rPr>
                  <m:t>i,j,0</m:t>
                </m:r>
              </m:sub>
            </m:sSub>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ϕ</m:t>
                </m:r>
              </m:e>
              <m:sub>
                <m:r>
                  <w:rPr>
                    <w:rFonts w:ascii="Cambria Math" w:eastAsia="SimSun" w:hAnsi="Cambria Math" w:cs="Times New Roman"/>
                    <w:sz w:val="18"/>
                    <w:szCs w:val="18"/>
                  </w:rPr>
                  <m:t>i,j,1</m:t>
                </m:r>
              </m:sub>
            </m:sSub>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X</m:t>
                </m:r>
              </m:e>
              <m:sub>
                <m:r>
                  <w:rPr>
                    <w:rFonts w:ascii="Cambria Math" w:eastAsia="SimSun" w:hAnsi="Cambria Math" w:cs="Times New Roman"/>
                    <w:sz w:val="18"/>
                    <w:szCs w:val="18"/>
                  </w:rPr>
                  <m:t>t-1</m:t>
                </m:r>
              </m:sub>
            </m:sSub>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σ</m:t>
                </m:r>
              </m:e>
              <m:sub>
                <m:r>
                  <w:rPr>
                    <w:rFonts w:ascii="Cambria Math" w:eastAsia="SimSun" w:hAnsi="Cambria Math" w:cs="Times New Roman"/>
                    <w:sz w:val="18"/>
                    <w:szCs w:val="18"/>
                  </w:rPr>
                  <m:t>i,j</m:t>
                </m:r>
              </m:sub>
            </m:sSub>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e</m:t>
                </m:r>
              </m:e>
              <m:sub>
                <m:r>
                  <w:rPr>
                    <w:rFonts w:ascii="Cambria Math" w:eastAsia="SimSun" w:hAnsi="Cambria Math" w:cs="Times New Roman"/>
                    <w:sz w:val="18"/>
                    <w:szCs w:val="18"/>
                  </w:rPr>
                  <m:t>t</m:t>
                </m:r>
              </m:sub>
            </m:sSub>
            <m:r>
              <w:rPr>
                <w:rFonts w:ascii="Cambria Math" w:eastAsia="SimSun" w:hAnsi="Cambria Math" w:cs="Times New Roman"/>
                <w:sz w:val="18"/>
                <w:szCs w:val="18"/>
              </w:rPr>
              <m:t>)</m:t>
            </m:r>
            <m:r>
              <m:rPr>
                <m:sty m:val="bi"/>
              </m:rPr>
              <w:rPr>
                <w:rFonts w:ascii="Cambria Math" w:eastAsia="SimSun" w:hAnsi="Cambria Math" w:cs="Times New Roman"/>
                <w:sz w:val="18"/>
                <w:szCs w:val="18"/>
              </w:rPr>
              <m:t>I</m:t>
            </m:r>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i,j-1</m:t>
                </m:r>
              </m:sub>
            </m:sSub>
            <m:r>
              <w:rPr>
                <w:rFonts w:ascii="Cambria Math" w:eastAsia="SimSun" w:hAnsi="Cambria Math" w:cs="Times New Roman"/>
                <w:sz w:val="18"/>
                <w:szCs w:val="18"/>
              </w:rPr>
              <m:t>&lt;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X</m:t>
                </m:r>
              </m:e>
              <m:sub>
                <m:r>
                  <w:rPr>
                    <w:rFonts w:ascii="Cambria Math" w:eastAsia="SimSun" w:hAnsi="Cambria Math" w:cs="Times New Roman"/>
                    <w:sz w:val="18"/>
                    <w:szCs w:val="18"/>
                  </w:rPr>
                  <m:t>t-1</m:t>
                </m:r>
              </m:sub>
            </m:sSub>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i,j</m:t>
                </m:r>
              </m:sub>
            </m:sSub>
            <m:r>
              <w:rPr>
                <w:rFonts w:ascii="Cambria Math" w:eastAsia="SimSun" w:hAnsi="Cambria Math" w:cs="Times New Roman"/>
                <w:sz w:val="18"/>
                <w:szCs w:val="18"/>
              </w:rPr>
              <m:t>)</m:t>
            </m:r>
          </m:e>
        </m:nary>
        <m:r>
          <w:rPr>
            <w:rFonts w:ascii="Cambria Math" w:eastAsia="SimSun" w:hAnsi="Cambria Math" w:cs="Times New Roman"/>
            <w:sz w:val="18"/>
            <w:szCs w:val="18"/>
          </w:rPr>
          <m:t xml:space="preserve">, </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e</m:t>
            </m:r>
          </m:e>
          <m:sub>
            <m:r>
              <w:rPr>
                <w:rFonts w:ascii="Cambria Math" w:eastAsia="SimSun" w:hAnsi="Cambria Math" w:cs="Times New Roman"/>
                <w:sz w:val="18"/>
                <w:szCs w:val="18"/>
              </w:rPr>
              <m:t>t</m:t>
            </m:r>
          </m:sub>
        </m:sSub>
        <m:r>
          <w:rPr>
            <w:rFonts w:ascii="Cambria Math" w:eastAsia="SimSun" w:hAnsi="Cambria Math" w:cs="Times New Roman"/>
            <w:sz w:val="18"/>
            <w:szCs w:val="18"/>
          </w:rPr>
          <m:t>~</m:t>
        </m:r>
        <m:r>
          <m:rPr>
            <m:sty m:val="p"/>
          </m:rPr>
          <w:rPr>
            <w:rFonts w:ascii="Cambria Math" w:eastAsia="SimSun" w:hAnsi="Cambria Math" w:cs="Times New Roman"/>
            <w:sz w:val="18"/>
            <w:szCs w:val="18"/>
          </w:rPr>
          <m:t>IID</m:t>
        </m:r>
        <m:r>
          <w:rPr>
            <w:rFonts w:ascii="Cambria Math" w:eastAsia="SimSun" w:hAnsi="Cambria Math" w:cs="Times New Roman"/>
            <w:sz w:val="18"/>
            <w:szCs w:val="18"/>
          </w:rPr>
          <m:t>(0,1),-∞=</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i,0</m:t>
            </m:r>
          </m:sub>
        </m:sSub>
        <m:r>
          <w:rPr>
            <w:rFonts w:ascii="Cambria Math" w:eastAsia="SimSun" w:hAnsi="Cambria Math" w:cs="Times New Roman"/>
            <w:sz w:val="18"/>
            <w:szCs w:val="18"/>
          </w:rPr>
          <m:t>&lt;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i,1</m:t>
            </m:r>
          </m:sub>
        </m:sSub>
        <m:r>
          <w:rPr>
            <w:rFonts w:ascii="Cambria Math" w:eastAsia="SimSun" w:hAnsi="Cambria Math" w:cs="Times New Roman"/>
            <w:sz w:val="18"/>
            <w:szCs w:val="18"/>
          </w:rPr>
          <m:t>&lt;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i,2</m:t>
            </m:r>
          </m:sub>
        </m:sSub>
        <m:r>
          <w:rPr>
            <w:rFonts w:ascii="Cambria Math" w:eastAsia="SimSun" w:hAnsi="Cambria Math" w:cs="Times New Roman"/>
            <w:sz w:val="18"/>
            <w:szCs w:val="18"/>
          </w:rPr>
          <m:t>&lt;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i,3</m:t>
            </m:r>
          </m:sub>
        </m:sSub>
        <m:r>
          <w:rPr>
            <w:rFonts w:ascii="Cambria Math" w:eastAsia="SimSun" w:hAnsi="Cambria Math" w:cs="Times New Roman"/>
            <w:sz w:val="18"/>
            <w:szCs w:val="18"/>
          </w:rPr>
          <m:t>=∞,</m:t>
        </m:r>
        <m:sSub>
          <m:sSubPr>
            <m:ctrlPr>
              <w:rPr>
                <w:rFonts w:ascii="Cambria Math" w:eastAsia="SimSun" w:hAnsi="Cambria Math" w:cs="Times New Roman"/>
                <w:i/>
                <w:iCs/>
                <w:sz w:val="18"/>
                <w:szCs w:val="18"/>
              </w:rPr>
            </m:ctrlPr>
          </m:sSubPr>
          <m:e>
            <m:r>
              <w:rPr>
                <w:rFonts w:ascii="Cambria Math" w:eastAsia="SimSun" w:hAnsi="Cambria Math" w:cs="Times New Roman"/>
                <w:sz w:val="18"/>
                <w:szCs w:val="18"/>
              </w:rPr>
              <m:t>τ</m:t>
            </m:r>
          </m:e>
          <m:sub>
            <m:r>
              <w:rPr>
                <w:rFonts w:ascii="Cambria Math" w:eastAsia="SimSun" w:hAnsi="Cambria Math" w:cs="Times New Roman"/>
                <w:sz w:val="18"/>
                <w:szCs w:val="18"/>
              </w:rPr>
              <m:t>i-1</m:t>
            </m:r>
          </m:sub>
        </m:sSub>
        <m:r>
          <w:rPr>
            <w:rFonts w:ascii="Cambria Math" w:eastAsia="SimSun" w:hAnsi="Cambria Math" w:cs="Times New Roman"/>
            <w:sz w:val="18"/>
            <w:szCs w:val="18"/>
          </w:rPr>
          <m:t>≤t&lt;</m:t>
        </m:r>
        <m:sSub>
          <m:sSubPr>
            <m:ctrlPr>
              <w:rPr>
                <w:rFonts w:ascii="Cambria Math" w:eastAsia="SimSun" w:hAnsi="Cambria Math" w:cs="Times New Roman"/>
                <w:i/>
                <w:iCs/>
                <w:sz w:val="18"/>
                <w:szCs w:val="18"/>
              </w:rPr>
            </m:ctrlPr>
          </m:sSubPr>
          <m:e>
            <m:r>
              <w:rPr>
                <w:rFonts w:ascii="Cambria Math" w:eastAsia="SimSun" w:hAnsi="Cambria Math" w:cs="Times New Roman"/>
                <w:sz w:val="18"/>
                <w:szCs w:val="18"/>
              </w:rPr>
              <m:t>τ</m:t>
            </m:r>
          </m:e>
          <m:sub>
            <m:r>
              <w:rPr>
                <w:rFonts w:ascii="Cambria Math" w:eastAsia="SimSun" w:hAnsi="Cambria Math" w:cs="Times New Roman"/>
                <w:sz w:val="18"/>
                <w:szCs w:val="18"/>
              </w:rPr>
              <m:t>i</m:t>
            </m:r>
          </m:sub>
        </m:sSub>
        <m:r>
          <w:rPr>
            <w:rFonts w:ascii="Cambria Math" w:eastAsia="SimSun" w:hAnsi="Cambria Math" w:cs="Times New Roman"/>
            <w:sz w:val="18"/>
            <w:szCs w:val="18"/>
          </w:rPr>
          <m:t xml:space="preserve"> (i=1,2,...,m)</m:t>
        </m:r>
      </m:oMath>
      <w:r>
        <w:rPr>
          <w:rFonts w:ascii="Times New Roman" w:eastAsia="SimSun" w:hAnsi="Times New Roman" w:cs="Times New Roman"/>
        </w:rPr>
        <w:t xml:space="preserve">, where </w:t>
      </w:r>
      <w:r>
        <w:rPr>
          <w:rFonts w:ascii="Times New Roman" w:eastAsia="SimSun" w:hAnsi="Times New Roman" w:cs="Times New Roman" w:hint="eastAsia"/>
        </w:rPr>
        <w:t>a</w:t>
      </w:r>
      <w:r>
        <w:rPr>
          <w:rFonts w:ascii="Times New Roman" w:eastAsia="SimSun" w:hAnsi="Times New Roman" w:cs="Times New Roman"/>
        </w:rPr>
        <w:t xml:space="preserve"> set of structural breaks </w:t>
      </w:r>
      <m:oMath>
        <m:r>
          <w:rPr>
            <w:rFonts w:ascii="Cambria Math" w:eastAsia="SimSun" w:hAnsi="Cambria Math" w:cs="Times New Roman"/>
          </w:rPr>
          <m:t>(</m:t>
        </m:r>
        <m:sSub>
          <m:sSubPr>
            <m:ctrlPr>
              <w:rPr>
                <w:rFonts w:ascii="Cambria Math" w:eastAsia="SimSun" w:hAnsi="Cambria Math" w:cs="Times New Roman"/>
                <w:i/>
                <w:iCs/>
              </w:rPr>
            </m:ctrlPr>
          </m:sSubPr>
          <m:e>
            <m:r>
              <w:rPr>
                <w:rFonts w:ascii="Cambria Math" w:eastAsia="SimSun" w:hAnsi="Cambria Math" w:cs="Times New Roman"/>
              </w:rPr>
              <m:t>τ</m:t>
            </m:r>
          </m:e>
          <m:sub>
            <m:r>
              <w:rPr>
                <w:rFonts w:ascii="Cambria Math" w:eastAsia="SimSun" w:hAnsi="Cambria Math" w:cs="Times New Roman"/>
              </w:rPr>
              <m:t>1</m:t>
            </m:r>
          </m:sub>
        </m:sSub>
        <m:r>
          <w:rPr>
            <w:rFonts w:ascii="Cambria Math" w:eastAsia="SimSun" w:hAnsi="Cambria Math" w:cs="Times New Roman"/>
          </w:rPr>
          <m:t>,...,</m:t>
        </m:r>
        <m:sSub>
          <m:sSubPr>
            <m:ctrlPr>
              <w:rPr>
                <w:rFonts w:ascii="Cambria Math" w:eastAsia="SimSun" w:hAnsi="Cambria Math" w:cs="Times New Roman"/>
                <w:i/>
                <w:iCs/>
              </w:rPr>
            </m:ctrlPr>
          </m:sSubPr>
          <m:e>
            <m:r>
              <w:rPr>
                <w:rFonts w:ascii="Cambria Math" w:eastAsia="SimSun" w:hAnsi="Cambria Math" w:cs="Times New Roman"/>
              </w:rPr>
              <m:t>τ</m:t>
            </m:r>
          </m:e>
          <m:sub>
            <m:r>
              <w:rPr>
                <w:rFonts w:ascii="Cambria Math" w:eastAsia="SimSun" w:hAnsi="Cambria Math" w:cs="Times New Roman"/>
              </w:rPr>
              <m:t>m</m:t>
            </m:r>
          </m:sub>
        </m:sSub>
        <m:r>
          <w:rPr>
            <w:rFonts w:ascii="Cambria Math" w:eastAsia="SimSun" w:hAnsi="Cambria Math" w:cs="Times New Roman"/>
          </w:rPr>
          <m:t>)</m:t>
        </m:r>
      </m:oMath>
      <w:r>
        <w:rPr>
          <w:rFonts w:ascii="Times New Roman" w:eastAsia="SimSun" w:hAnsi="Times New Roman" w:cs="Times New Roman"/>
        </w:rPr>
        <w:t xml:space="preserve"> split the</w:t>
      </w:r>
      <w:r>
        <w:rPr>
          <w:rFonts w:ascii="Times New Roman" w:eastAsia="SimSun" w:hAnsi="Times New Roman" w:cs="Times New Roman" w:hint="eastAsia"/>
        </w:rPr>
        <w:t xml:space="preserve"> series of the percentage deviation of the exchange rate from its central parity </w:t>
      </w:r>
      <m:oMath>
        <m:r>
          <w:rPr>
            <w:rFonts w:ascii="Cambria Math" w:eastAsia="SimSun" w:hAnsi="Cambria Math" w:cs="Times New Roman"/>
          </w:rPr>
          <m:t>{</m:t>
        </m:r>
        <m:sSub>
          <m:sSubPr>
            <m:ctrlPr>
              <w:rPr>
                <w:rFonts w:ascii="Cambria Math" w:eastAsia="SimSun" w:hAnsi="Cambria Math" w:cs="Times New Roman"/>
                <w:i/>
                <w:iCs/>
              </w:rPr>
            </m:ctrlPr>
          </m:sSubPr>
          <m:e>
            <m:r>
              <w:rPr>
                <w:rFonts w:ascii="Cambria Math" w:eastAsia="SimSun" w:hAnsi="Cambria Math" w:cs="Times New Roman"/>
              </w:rPr>
              <m:t>X</m:t>
            </m:r>
          </m:e>
          <m:sub>
            <m:r>
              <w:rPr>
                <w:rFonts w:ascii="Cambria Math" w:eastAsia="SimSun" w:hAnsi="Cambria Math" w:cs="Times New Roman"/>
              </w:rPr>
              <m:t>t</m:t>
            </m:r>
          </m:sub>
        </m:sSub>
        <m:r>
          <w:rPr>
            <w:rFonts w:ascii="Cambria Math" w:eastAsia="SimSun" w:hAnsi="Cambria Math" w:cs="Times New Roman"/>
          </w:rPr>
          <m:t>}</m:t>
        </m:r>
      </m:oMath>
      <w:r>
        <w:rPr>
          <w:rFonts w:ascii="Times New Roman" w:eastAsia="SimSun" w:hAnsi="Times New Roman" w:cs="Times New Roman"/>
        </w:rPr>
        <w:t xml:space="preserve"> into </w:t>
      </w:r>
      <m:oMath>
        <m:r>
          <w:rPr>
            <w:rFonts w:ascii="Cambria Math" w:eastAsia="SimSun" w:hAnsi="Cambria Math" w:cs="Times New Roman"/>
          </w:rPr>
          <m:t>m+1</m:t>
        </m:r>
      </m:oMath>
      <w:r>
        <w:rPr>
          <w:rFonts w:ascii="Times New Roman" w:eastAsia="SimSun" w:hAnsi="Times New Roman" w:cs="Times New Roman"/>
        </w:rPr>
        <w:t xml:space="preserve"> segments, and the two thresholds </w:t>
      </w:r>
      <m:oMath>
        <m:r>
          <w:rPr>
            <w:rFonts w:ascii="Cambria Math" w:eastAsia="SimSun" w:hAnsi="Cambria Math" w:cs="Times New Roman"/>
          </w:rPr>
          <m:t>(</m:t>
        </m:r>
        <m:sSub>
          <m:sSubPr>
            <m:ctrlPr>
              <w:rPr>
                <w:rFonts w:ascii="Cambria Math" w:eastAsia="SimSun" w:hAnsi="Cambria Math" w:cs="Times New Roman"/>
                <w:i/>
              </w:rPr>
            </m:ctrlPr>
          </m:sSubPr>
          <m:e>
            <m:r>
              <w:rPr>
                <w:rFonts w:ascii="Cambria Math" w:eastAsia="SimSun" w:hAnsi="Cambria Math" w:cs="Times New Roman"/>
              </w:rPr>
              <m:t>θ</m:t>
            </m:r>
          </m:e>
          <m:sub>
            <m:r>
              <w:rPr>
                <w:rFonts w:ascii="Cambria Math" w:eastAsia="SimSun" w:hAnsi="Cambria Math" w:cs="Times New Roman"/>
              </w:rPr>
              <m:t>i,1</m:t>
            </m:r>
          </m:sub>
        </m:sSub>
        <m:r>
          <w:rPr>
            <w:rFonts w:ascii="Cambria Math" w:eastAsia="SimSun" w:hAnsi="Cambria Math" w:cs="Times New Roman"/>
          </w:rPr>
          <m:t>,</m:t>
        </m:r>
        <m:sSub>
          <m:sSubPr>
            <m:ctrlPr>
              <w:rPr>
                <w:rFonts w:ascii="Cambria Math" w:eastAsia="SimSun" w:hAnsi="Cambria Math" w:cs="Times New Roman"/>
                <w:i/>
              </w:rPr>
            </m:ctrlPr>
          </m:sSubPr>
          <m:e>
            <m:r>
              <w:rPr>
                <w:rFonts w:ascii="Cambria Math" w:eastAsia="SimSun" w:hAnsi="Cambria Math" w:cs="Times New Roman"/>
              </w:rPr>
              <m:t>θ</m:t>
            </m:r>
          </m:e>
          <m:sub>
            <m:r>
              <w:rPr>
                <w:rFonts w:ascii="Cambria Math" w:eastAsia="SimSun" w:hAnsi="Cambria Math" w:cs="Times New Roman"/>
              </w:rPr>
              <m:t>i,2</m:t>
            </m:r>
          </m:sub>
        </m:sSub>
        <m:r>
          <w:rPr>
            <w:rFonts w:ascii="Cambria Math" w:eastAsia="SimSun" w:hAnsi="Cambria Math" w:cs="Times New Roman"/>
          </w:rPr>
          <m:t>)</m:t>
        </m:r>
      </m:oMath>
      <w:r>
        <w:rPr>
          <w:rFonts w:ascii="Times New Roman" w:eastAsia="SimSun" w:hAnsi="Times New Roman" w:cs="Times New Roman"/>
        </w:rPr>
        <w:t xml:space="preserve"> further partition each segment into three regimes by the value of </w:t>
      </w:r>
      <m:oMath>
        <m:sSub>
          <m:sSubPr>
            <m:ctrlPr>
              <w:rPr>
                <w:rFonts w:ascii="Cambria Math" w:eastAsia="SimSun" w:hAnsi="Cambria Math" w:cs="Times New Roman"/>
                <w:i/>
              </w:rPr>
            </m:ctrlPr>
          </m:sSubPr>
          <m:e>
            <m:r>
              <w:rPr>
                <w:rFonts w:ascii="Cambria Math" w:eastAsia="SimSun" w:hAnsi="Cambria Math" w:cs="Times New Roman"/>
              </w:rPr>
              <m:t>X</m:t>
            </m:r>
          </m:e>
          <m:sub>
            <m:r>
              <w:rPr>
                <w:rFonts w:ascii="Cambria Math" w:eastAsia="SimSun" w:hAnsi="Cambria Math" w:cs="Times New Roman"/>
              </w:rPr>
              <m:t>t-1</m:t>
            </m:r>
          </m:sub>
        </m:sSub>
      </m:oMath>
      <w:r>
        <w:rPr>
          <w:rFonts w:ascii="Times New Roman" w:eastAsia="SimSun" w:hAnsi="Times New Roman" w:cs="Times New Roman"/>
        </w:rPr>
        <w:t xml:space="preserve">, in which the </w:t>
      </w:r>
      <m:oMath>
        <m:r>
          <w:rPr>
            <w:rFonts w:ascii="Cambria Math" w:eastAsia="SimSun" w:hAnsi="Cambria Math" w:cs="Times New Roman"/>
          </w:rPr>
          <m:t>j</m:t>
        </m:r>
      </m:oMath>
      <w:r>
        <w:rPr>
          <w:rFonts w:ascii="Times New Roman" w:eastAsia="SimSun" w:hAnsi="Times New Roman" w:cs="Times New Roman"/>
          <w:iCs/>
        </w:rPr>
        <w:t>-</w:t>
      </w:r>
      <w:proofErr w:type="spellStart"/>
      <w:r>
        <w:rPr>
          <w:rFonts w:ascii="Times New Roman" w:eastAsia="SimSun" w:hAnsi="Times New Roman" w:cs="Times New Roman"/>
        </w:rPr>
        <w:t>th</w:t>
      </w:r>
      <w:proofErr w:type="spellEnd"/>
      <w:r>
        <w:rPr>
          <w:rFonts w:ascii="Times New Roman" w:eastAsia="SimSun" w:hAnsi="Times New Roman" w:cs="Times New Roman"/>
        </w:rPr>
        <w:t xml:space="preserve"> regime </w:t>
      </w:r>
      <w:r>
        <w:rPr>
          <w:rFonts w:ascii="Times New Roman" w:eastAsia="SimSun" w:hAnsi="Times New Roman" w:cs="Times New Roman"/>
        </w:rPr>
        <w:lastRenderedPageBreak/>
        <w:t xml:space="preserve">follows an AR(1) model with coefficient parameters </w:t>
      </w:r>
      <m:oMath>
        <m:r>
          <m:rPr>
            <m:sty m:val="p"/>
          </m:rPr>
          <w:rPr>
            <w:rFonts w:ascii="Cambria Math" w:eastAsia="SimSun" w:hAnsi="Cambria Math" w:cs="Times New Roman"/>
          </w:rPr>
          <m:t>(</m:t>
        </m:r>
        <m:sSub>
          <m:sSubPr>
            <m:ctrlPr>
              <w:rPr>
                <w:rFonts w:ascii="Cambria Math" w:eastAsia="SimSun" w:hAnsi="Cambria Math" w:cs="Times New Roman"/>
                <w:i/>
              </w:rPr>
            </m:ctrlPr>
          </m:sSubPr>
          <m:e>
            <m:r>
              <w:rPr>
                <w:rFonts w:ascii="Cambria Math" w:eastAsia="SimSun" w:hAnsi="Cambria Math" w:cs="Times New Roman"/>
              </w:rPr>
              <m:t>ϕ</m:t>
            </m:r>
          </m:e>
          <m:sub>
            <m:r>
              <w:rPr>
                <w:rFonts w:ascii="Cambria Math" w:eastAsia="SimSun" w:hAnsi="Cambria Math" w:cs="Times New Roman"/>
              </w:rPr>
              <m:t>i,j,0</m:t>
            </m:r>
          </m:sub>
        </m:sSub>
        <m:r>
          <w:rPr>
            <w:rFonts w:ascii="Cambria Math" w:eastAsia="SimSun" w:hAnsi="Cambria Math" w:cs="Times New Roman"/>
          </w:rPr>
          <m:t xml:space="preserve">, </m:t>
        </m:r>
        <m:sSub>
          <m:sSubPr>
            <m:ctrlPr>
              <w:rPr>
                <w:rFonts w:ascii="Cambria Math" w:eastAsia="SimSun" w:hAnsi="Cambria Math" w:cs="Times New Roman"/>
                <w:i/>
              </w:rPr>
            </m:ctrlPr>
          </m:sSubPr>
          <m:e>
            <m:r>
              <w:rPr>
                <w:rFonts w:ascii="Cambria Math" w:eastAsia="SimSun" w:hAnsi="Cambria Math" w:cs="Times New Roman"/>
              </w:rPr>
              <m:t>ϕ</m:t>
            </m:r>
          </m:e>
          <m:sub>
            <m:r>
              <w:rPr>
                <w:rFonts w:ascii="Cambria Math" w:eastAsia="SimSun" w:hAnsi="Cambria Math" w:cs="Times New Roman"/>
              </w:rPr>
              <m:t>i,j,1</m:t>
            </m:r>
          </m:sub>
        </m:sSub>
        <m:r>
          <w:rPr>
            <w:rFonts w:ascii="Cambria Math" w:eastAsia="SimSun" w:hAnsi="Cambria Math" w:cs="Times New Roman"/>
          </w:rPr>
          <m:t>)</m:t>
        </m:r>
      </m:oMath>
      <w:r>
        <w:rPr>
          <w:rFonts w:ascii="Times New Roman" w:eastAsia="SimSun" w:hAnsi="Times New Roman" w:cs="Times New Roman"/>
        </w:rPr>
        <w:t xml:space="preserve"> and white noise variance </w:t>
      </w:r>
      <m:oMath>
        <m:sSubSup>
          <m:sSubSupPr>
            <m:ctrlPr>
              <w:rPr>
                <w:rFonts w:ascii="Cambria Math" w:eastAsia="SimSun" w:hAnsi="Cambria Math" w:cs="Times New Roman"/>
                <w:i/>
              </w:rPr>
            </m:ctrlPr>
          </m:sSubSupPr>
          <m:e>
            <m:r>
              <w:rPr>
                <w:rFonts w:ascii="Cambria Math" w:eastAsia="SimSun" w:hAnsi="Cambria Math" w:cs="Times New Roman"/>
              </w:rPr>
              <m:t>σ</m:t>
            </m:r>
          </m:e>
          <m:sub>
            <m:r>
              <w:rPr>
                <w:rFonts w:ascii="Cambria Math" w:eastAsia="SimSun" w:hAnsi="Cambria Math" w:cs="Times New Roman"/>
              </w:rPr>
              <m:t>i,j</m:t>
            </m:r>
          </m:sub>
          <m:sup>
            <m:r>
              <w:rPr>
                <w:rFonts w:ascii="Cambria Math" w:eastAsia="SimSun" w:hAnsi="Cambria Math" w:cs="Times New Roman"/>
              </w:rPr>
              <m:t>2</m:t>
            </m:r>
          </m:sup>
        </m:sSubSup>
      </m:oMath>
      <w:r>
        <w:rPr>
          <w:rFonts w:ascii="Times New Roman" w:eastAsia="SimSun" w:hAnsi="Times New Roman" w:cs="Times New Roman"/>
        </w:rPr>
        <w:t xml:space="preserve">. If there is no observation in one regime within a segment, the estimates of the </w:t>
      </w:r>
      <w:proofErr w:type="gramStart"/>
      <w:r>
        <w:rPr>
          <w:rFonts w:ascii="Times New Roman" w:eastAsia="SimSun" w:hAnsi="Times New Roman" w:cs="Times New Roman"/>
        </w:rPr>
        <w:t>AR(</w:t>
      </w:r>
      <w:proofErr w:type="gramEnd"/>
      <w:r>
        <w:rPr>
          <w:rFonts w:ascii="Times New Roman" w:eastAsia="SimSun" w:hAnsi="Times New Roman" w:cs="Times New Roman"/>
        </w:rPr>
        <w:t>1) model’s coefficient</w:t>
      </w:r>
      <w:r>
        <w:rPr>
          <w:rFonts w:ascii="Times New Roman" w:hAnsi="Times New Roman" w:cs="Times New Roman" w:hint="eastAsia"/>
        </w:rPr>
        <w:t xml:space="preserve">s within this regime </w:t>
      </w:r>
      <w:r>
        <w:rPr>
          <w:rFonts w:ascii="Times New Roman" w:hAnsi="Times New Roman" w:cs="Times New Roman"/>
        </w:rPr>
        <w:t>are not</w:t>
      </w:r>
      <w:r>
        <w:rPr>
          <w:rFonts w:ascii="Times New Roman" w:hAnsi="Times New Roman" w:cs="Times New Roman" w:hint="eastAsia"/>
        </w:rPr>
        <w:t xml:space="preserve"> reported. Intensity of out-of-band intervention is defined as </w:t>
      </w:r>
      <w:bookmarkStart w:id="112" w:name="OLE_LINK56"/>
      <w:r>
        <w:rPr>
          <w:rFonts w:ascii="Times New Roman" w:hAnsi="Times New Roman" w:cs="Times New Roman" w:hint="eastAsia"/>
        </w:rPr>
        <w:t>the percentage decrease in exchange rate volatility</w:t>
      </w:r>
      <w:bookmarkEnd w:id="112"/>
      <w:r>
        <w:rPr>
          <w:rFonts w:ascii="Times New Roman" w:hAnsi="Times New Roman" w:cs="Times New Roman" w:hint="eastAsia"/>
        </w:rPr>
        <w:t xml:space="preserve">, i.e. </w:t>
      </w:r>
      <w:bookmarkStart w:id="113" w:name="OLE_LINK49"/>
      <w:r>
        <w:rPr>
          <w:rFonts w:ascii="Times New Roman" w:hAnsi="Times New Roman" w:cs="Times New Roman" w:hint="eastAsia"/>
        </w:rPr>
        <w:t>the standard deviation of the difference between the exchange rate in current period and the lagged one, when the exchange rate goes outside the band</w:t>
      </w:r>
      <w:bookmarkEnd w:id="113"/>
      <w:r>
        <w:rPr>
          <w:rFonts w:ascii="Times New Roman" w:hAnsi="Times New Roman" w:cs="Times New Roman" w:hint="eastAsia"/>
        </w:rPr>
        <w:t>.</w:t>
      </w:r>
    </w:p>
    <w:p w14:paraId="328F539C" w14:textId="77777777" w:rsidR="0074478A" w:rsidRDefault="00690393">
      <w:pPr>
        <w:widowControl/>
        <w:spacing w:afterLines="50" w:after="156"/>
        <w:rPr>
          <w:rFonts w:ascii="Times New Roman" w:hAnsi="Times New Roman" w:cs="Times New Roman"/>
          <w:b/>
          <w:bCs/>
          <w:szCs w:val="21"/>
        </w:rPr>
      </w:pPr>
      <w:r>
        <w:rPr>
          <w:rFonts w:ascii="Times New Roman" w:hAnsi="Times New Roman" w:cs="Times New Roman" w:hint="eastAsia"/>
          <w:b/>
          <w:bCs/>
          <w:szCs w:val="21"/>
        </w:rPr>
        <w:lastRenderedPageBreak/>
        <w:t>Figures</w:t>
      </w:r>
    </w:p>
    <w:p w14:paraId="3F874ACF" w14:textId="77777777" w:rsidR="0074478A" w:rsidRDefault="00690393">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070E13DC" wp14:editId="421C9459">
            <wp:extent cx="5270500" cy="6830695"/>
            <wp:effectExtent l="0" t="0" r="0" b="1905"/>
            <wp:docPr id="1" name="图片 1"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1"/>
                    <pic:cNvPicPr>
                      <a:picLocks noChangeAspect="1"/>
                    </pic:cNvPicPr>
                  </pic:nvPicPr>
                  <pic:blipFill>
                    <a:blip r:embed="rId14"/>
                    <a:stretch>
                      <a:fillRect/>
                    </a:stretch>
                  </pic:blipFill>
                  <pic:spPr>
                    <a:xfrm>
                      <a:off x="0" y="0"/>
                      <a:ext cx="5270500" cy="6830695"/>
                    </a:xfrm>
                    <a:prstGeom prst="rect">
                      <a:avLst/>
                    </a:prstGeom>
                  </pic:spPr>
                </pic:pic>
              </a:graphicData>
            </a:graphic>
          </wp:inline>
        </w:drawing>
      </w:r>
    </w:p>
    <w:p w14:paraId="444DB773" w14:textId="77777777" w:rsidR="0074478A" w:rsidRDefault="00690393">
      <w:pPr>
        <w:spacing w:afterLines="100" w:after="312"/>
        <w:jc w:val="center"/>
        <w:rPr>
          <w:rFonts w:ascii="Times New Roman" w:hAnsi="Times New Roman" w:cs="Times New Roman"/>
        </w:rPr>
      </w:pPr>
      <w:r>
        <w:rPr>
          <w:rFonts w:ascii="Times New Roman" w:hAnsi="Times New Roman" w:cs="Times New Roman"/>
        </w:rPr>
        <w:t xml:space="preserve">Figure 1 Algorithm for </w:t>
      </w:r>
      <w:r>
        <w:rPr>
          <w:rFonts w:ascii="Times New Roman" w:hAnsi="Times New Roman" w:cs="Times New Roman" w:hint="eastAsia"/>
        </w:rPr>
        <w:t>Exchange Rate Regime</w:t>
      </w:r>
      <w:r>
        <w:rPr>
          <w:rFonts w:ascii="Times New Roman" w:hAnsi="Times New Roman" w:cs="Times New Roman"/>
        </w:rPr>
        <w:t xml:space="preserve"> Estimation</w:t>
      </w:r>
    </w:p>
    <w:p w14:paraId="74837EDB" w14:textId="77777777" w:rsidR="0074478A" w:rsidRDefault="0074478A">
      <w:pPr>
        <w:spacing w:afterLines="100" w:after="312"/>
        <w:jc w:val="center"/>
        <w:rPr>
          <w:rFonts w:ascii="Times New Roman" w:hAnsi="Times New Roman" w:cs="Times New Roman"/>
        </w:rPr>
      </w:pPr>
    </w:p>
    <w:p w14:paraId="73A68DB8" w14:textId="77777777" w:rsidR="0074478A" w:rsidRDefault="0074478A">
      <w:pPr>
        <w:spacing w:afterLines="100" w:after="312"/>
        <w:rPr>
          <w:rFonts w:ascii="Times New Roman" w:hAnsi="Times New Roman" w:cs="Times New Roman"/>
        </w:rPr>
      </w:pPr>
    </w:p>
    <w:p w14:paraId="5797B6EA"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noProof/>
        </w:rPr>
        <w:lastRenderedPageBreak/>
        <w:drawing>
          <wp:inline distT="0" distB="0" distL="114300" distR="114300" wp14:anchorId="5D73E15D" wp14:editId="41998E1E">
            <wp:extent cx="2286000" cy="2286000"/>
            <wp:effectExtent l="0" t="0" r="0" b="0"/>
            <wp:docPr id="2" name="图片 2" descr="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_1"/>
                    <pic:cNvPicPr>
                      <a:picLocks noChangeAspect="1"/>
                    </pic:cNvPicPr>
                  </pic:nvPicPr>
                  <pic:blipFill>
                    <a:blip r:embed="rId15"/>
                    <a:stretch>
                      <a:fillRect/>
                    </a:stretch>
                  </pic:blipFill>
                  <pic:spPr>
                    <a:xfrm>
                      <a:off x="0" y="0"/>
                      <a:ext cx="2286000" cy="2286000"/>
                    </a:xfrm>
                    <a:prstGeom prst="rect">
                      <a:avLst/>
                    </a:prstGeom>
                  </pic:spPr>
                </pic:pic>
              </a:graphicData>
            </a:graphic>
          </wp:inline>
        </w:drawing>
      </w:r>
      <w:r>
        <w:rPr>
          <w:rFonts w:ascii="Times New Roman" w:hAnsi="Times New Roman" w:cs="Times New Roman" w:hint="eastAsia"/>
          <w:noProof/>
        </w:rPr>
        <w:drawing>
          <wp:inline distT="0" distB="0" distL="114300" distR="114300" wp14:anchorId="3AEDECDD" wp14:editId="54A4BD90">
            <wp:extent cx="2286000" cy="2286000"/>
            <wp:effectExtent l="0" t="0" r="0" b="0"/>
            <wp:docPr id="3" name="图片 3" descr="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_1"/>
                    <pic:cNvPicPr>
                      <a:picLocks noChangeAspect="1"/>
                    </pic:cNvPicPr>
                  </pic:nvPicPr>
                  <pic:blipFill>
                    <a:blip r:embed="rId16"/>
                    <a:stretch>
                      <a:fillRect/>
                    </a:stretch>
                  </pic:blipFill>
                  <pic:spPr>
                    <a:xfrm>
                      <a:off x="0" y="0"/>
                      <a:ext cx="2286000" cy="2286000"/>
                    </a:xfrm>
                    <a:prstGeom prst="rect">
                      <a:avLst/>
                    </a:prstGeom>
                  </pic:spPr>
                </pic:pic>
              </a:graphicData>
            </a:graphic>
          </wp:inline>
        </w:drawing>
      </w:r>
    </w:p>
    <w:p w14:paraId="72511E93" w14:textId="77777777" w:rsidR="0074478A" w:rsidRDefault="00690393">
      <w:pPr>
        <w:numPr>
          <w:ilvl w:val="0"/>
          <w:numId w:val="3"/>
        </w:numPr>
        <w:spacing w:afterLines="100" w:after="312"/>
        <w:jc w:val="center"/>
        <w:rPr>
          <w:rFonts w:ascii="Times New Roman" w:hAnsi="Times New Roman" w:cs="Times New Roman"/>
        </w:rPr>
      </w:pPr>
      <w:r>
        <w:rPr>
          <w:rFonts w:ascii="Times New Roman" w:hAnsi="Times New Roman" w:cs="Times New Roman" w:hint="eastAsia"/>
        </w:rPr>
        <w:t xml:space="preserve">                  (b)</w:t>
      </w:r>
    </w:p>
    <w:p w14:paraId="2D0ED900" w14:textId="77777777" w:rsidR="0074478A" w:rsidRDefault="00690393">
      <w:pPr>
        <w:jc w:val="center"/>
        <w:rPr>
          <w:rFonts w:ascii="Times New Roman" w:hAnsi="Times New Roman" w:cs="Times New Roman"/>
        </w:rPr>
      </w:pPr>
      <w:r>
        <w:rPr>
          <w:rFonts w:ascii="Times New Roman" w:hAnsi="Times New Roman" w:cs="Times New Roman"/>
          <w:noProof/>
        </w:rPr>
        <w:drawing>
          <wp:inline distT="0" distB="0" distL="114300" distR="114300" wp14:anchorId="4F093100" wp14:editId="2EA9B839">
            <wp:extent cx="2286000" cy="2286000"/>
            <wp:effectExtent l="0" t="0" r="0" b="0"/>
            <wp:docPr id="5" name="图片 5" descr="1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_1"/>
                    <pic:cNvPicPr>
                      <a:picLocks noChangeAspect="1"/>
                    </pic:cNvPicPr>
                  </pic:nvPicPr>
                  <pic:blipFill>
                    <a:blip r:embed="rId17"/>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400D39C6" wp14:editId="566E3D51">
            <wp:extent cx="2286000" cy="2286000"/>
            <wp:effectExtent l="0" t="0" r="0" b="0"/>
            <wp:docPr id="6" name="图片 6"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_1"/>
                    <pic:cNvPicPr>
                      <a:picLocks noChangeAspect="1"/>
                    </pic:cNvPicPr>
                  </pic:nvPicPr>
                  <pic:blipFill>
                    <a:blip r:embed="rId18"/>
                    <a:stretch>
                      <a:fillRect/>
                    </a:stretch>
                  </pic:blipFill>
                  <pic:spPr>
                    <a:xfrm>
                      <a:off x="0" y="0"/>
                      <a:ext cx="2286000" cy="2286000"/>
                    </a:xfrm>
                    <a:prstGeom prst="rect">
                      <a:avLst/>
                    </a:prstGeom>
                  </pic:spPr>
                </pic:pic>
              </a:graphicData>
            </a:graphic>
          </wp:inline>
        </w:drawing>
      </w:r>
    </w:p>
    <w:p w14:paraId="2DA7A88C" w14:textId="77777777" w:rsidR="0074478A" w:rsidRDefault="00690393">
      <w:pPr>
        <w:jc w:val="center"/>
        <w:rPr>
          <w:rFonts w:ascii="Times New Roman" w:hAnsi="Times New Roman" w:cs="Times New Roman"/>
        </w:rPr>
      </w:pPr>
      <w:r>
        <w:rPr>
          <w:rFonts w:ascii="Times New Roman" w:hAnsi="Times New Roman" w:cs="Times New Roman" w:hint="eastAsia"/>
        </w:rPr>
        <w:t xml:space="preserve">(c)               </w:t>
      </w:r>
      <w:proofErr w:type="gramStart"/>
      <w:r>
        <w:rPr>
          <w:rFonts w:ascii="Times New Roman" w:hAnsi="Times New Roman" w:cs="Times New Roman" w:hint="eastAsia"/>
        </w:rPr>
        <w:t xml:space="preserve">   (</w:t>
      </w:r>
      <w:proofErr w:type="gramEnd"/>
      <w:r>
        <w:rPr>
          <w:rFonts w:ascii="Times New Roman" w:hAnsi="Times New Roman" w:cs="Times New Roman" w:hint="eastAsia"/>
        </w:rPr>
        <w:t>d)</w:t>
      </w:r>
    </w:p>
    <w:p w14:paraId="13F9CAA5" w14:textId="77777777" w:rsidR="0074478A" w:rsidRDefault="00690393">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5E3324D7" wp14:editId="6B1932D4">
            <wp:extent cx="2286000" cy="2286000"/>
            <wp:effectExtent l="0" t="0" r="0" b="0"/>
            <wp:docPr id="8" name="图片 8" descr="1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4_1"/>
                    <pic:cNvPicPr>
                      <a:picLocks noChangeAspect="1"/>
                    </pic:cNvPicPr>
                  </pic:nvPicPr>
                  <pic:blipFill>
                    <a:blip r:embed="rId19"/>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40BFF058" wp14:editId="1E74273A">
            <wp:extent cx="2286000" cy="2286000"/>
            <wp:effectExtent l="0" t="0" r="0" b="0"/>
            <wp:docPr id="7" name="图片 7" descr="1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_1"/>
                    <pic:cNvPicPr>
                      <a:picLocks noChangeAspect="1"/>
                    </pic:cNvPicPr>
                  </pic:nvPicPr>
                  <pic:blipFill>
                    <a:blip r:embed="rId20"/>
                    <a:stretch>
                      <a:fillRect/>
                    </a:stretch>
                  </pic:blipFill>
                  <pic:spPr>
                    <a:xfrm>
                      <a:off x="0" y="0"/>
                      <a:ext cx="2286000" cy="2286000"/>
                    </a:xfrm>
                    <a:prstGeom prst="rect">
                      <a:avLst/>
                    </a:prstGeom>
                  </pic:spPr>
                </pic:pic>
              </a:graphicData>
            </a:graphic>
          </wp:inline>
        </w:drawing>
      </w:r>
    </w:p>
    <w:p w14:paraId="70DFCFDD"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(e)               </w:t>
      </w:r>
      <w:proofErr w:type="gramStart"/>
      <w:r>
        <w:rPr>
          <w:rFonts w:ascii="Times New Roman" w:hAnsi="Times New Roman" w:cs="Times New Roman" w:hint="eastAsia"/>
        </w:rPr>
        <w:t xml:space="preserve">   (</w:t>
      </w:r>
      <w:proofErr w:type="gramEnd"/>
      <w:r>
        <w:rPr>
          <w:rFonts w:ascii="Times New Roman" w:hAnsi="Times New Roman" w:cs="Times New Roman" w:hint="eastAsia"/>
        </w:rPr>
        <w:t>f)</w:t>
      </w:r>
    </w:p>
    <w:p w14:paraId="55364CC4" w14:textId="77777777" w:rsidR="0074478A" w:rsidRDefault="00690393">
      <w:pPr>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6911ABF1" wp14:editId="65FE2E84">
            <wp:extent cx="2286000" cy="2286000"/>
            <wp:effectExtent l="0" t="0" r="0" b="0"/>
            <wp:docPr id="9" name="图片 9" descr="1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8_1"/>
                    <pic:cNvPicPr>
                      <a:picLocks noChangeAspect="1"/>
                    </pic:cNvPicPr>
                  </pic:nvPicPr>
                  <pic:blipFill>
                    <a:blip r:embed="rId21"/>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634B625B" wp14:editId="5E09262E">
            <wp:extent cx="2286000" cy="2286000"/>
            <wp:effectExtent l="0" t="0" r="0" b="0"/>
            <wp:docPr id="28" name="图片 28" descr="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32_1"/>
                    <pic:cNvPicPr>
                      <a:picLocks noChangeAspect="1"/>
                    </pic:cNvPicPr>
                  </pic:nvPicPr>
                  <pic:blipFill>
                    <a:blip r:embed="rId22"/>
                    <a:stretch>
                      <a:fillRect/>
                    </a:stretch>
                  </pic:blipFill>
                  <pic:spPr>
                    <a:xfrm>
                      <a:off x="0" y="0"/>
                      <a:ext cx="2286000" cy="2286000"/>
                    </a:xfrm>
                    <a:prstGeom prst="rect">
                      <a:avLst/>
                    </a:prstGeom>
                  </pic:spPr>
                </pic:pic>
              </a:graphicData>
            </a:graphic>
          </wp:inline>
        </w:drawing>
      </w:r>
    </w:p>
    <w:p w14:paraId="1F2BE23B" w14:textId="77777777" w:rsidR="0074478A" w:rsidRDefault="00690393">
      <w:pPr>
        <w:jc w:val="center"/>
        <w:rPr>
          <w:rFonts w:ascii="Times New Roman" w:hAnsi="Times New Roman" w:cs="Times New Roman"/>
        </w:rPr>
      </w:pPr>
      <w:r>
        <w:rPr>
          <w:rFonts w:ascii="Times New Roman" w:hAnsi="Times New Roman" w:cs="Times New Roman" w:hint="eastAsia"/>
        </w:rPr>
        <w:t xml:space="preserve">(g)               </w:t>
      </w:r>
      <w:proofErr w:type="gramStart"/>
      <w:r>
        <w:rPr>
          <w:rFonts w:ascii="Times New Roman" w:hAnsi="Times New Roman" w:cs="Times New Roman" w:hint="eastAsia"/>
        </w:rPr>
        <w:t xml:space="preserve">   (</w:t>
      </w:r>
      <w:proofErr w:type="gramEnd"/>
      <w:r>
        <w:rPr>
          <w:rFonts w:ascii="Times New Roman" w:hAnsi="Times New Roman" w:cs="Times New Roman" w:hint="eastAsia"/>
        </w:rPr>
        <w:t>h)</w:t>
      </w:r>
    </w:p>
    <w:p w14:paraId="7192C1E7" w14:textId="77777777" w:rsidR="0074478A" w:rsidRDefault="00690393">
      <w:pPr>
        <w:jc w:val="center"/>
        <w:rPr>
          <w:rFonts w:ascii="Times New Roman" w:hAnsi="Times New Roman" w:cs="Times New Roman"/>
        </w:rPr>
      </w:pPr>
      <w:r>
        <w:rPr>
          <w:rFonts w:ascii="Times New Roman" w:hAnsi="Times New Roman" w:cs="Times New Roman"/>
          <w:noProof/>
        </w:rPr>
        <w:drawing>
          <wp:inline distT="0" distB="0" distL="114300" distR="114300" wp14:anchorId="200AACD9" wp14:editId="5495B727">
            <wp:extent cx="2286000" cy="2286000"/>
            <wp:effectExtent l="0" t="0" r="0" b="0"/>
            <wp:docPr id="10" name="图片 10" descr="3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_1"/>
                    <pic:cNvPicPr>
                      <a:picLocks noChangeAspect="1"/>
                    </pic:cNvPicPr>
                  </pic:nvPicPr>
                  <pic:blipFill>
                    <a:blip r:embed="rId23"/>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0EA04776" wp14:editId="35E229BF">
            <wp:extent cx="2286000" cy="2286000"/>
            <wp:effectExtent l="0" t="0" r="0" b="0"/>
            <wp:docPr id="11" name="图片 11" descr="3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4_1"/>
                    <pic:cNvPicPr>
                      <a:picLocks noChangeAspect="1"/>
                    </pic:cNvPicPr>
                  </pic:nvPicPr>
                  <pic:blipFill>
                    <a:blip r:embed="rId24"/>
                    <a:stretch>
                      <a:fillRect/>
                    </a:stretch>
                  </pic:blipFill>
                  <pic:spPr>
                    <a:xfrm>
                      <a:off x="0" y="0"/>
                      <a:ext cx="2286000" cy="2286000"/>
                    </a:xfrm>
                    <a:prstGeom prst="rect">
                      <a:avLst/>
                    </a:prstGeom>
                  </pic:spPr>
                </pic:pic>
              </a:graphicData>
            </a:graphic>
          </wp:inline>
        </w:drawing>
      </w:r>
    </w:p>
    <w:p w14:paraId="2625BE45" w14:textId="77777777" w:rsidR="0074478A" w:rsidRDefault="00690393">
      <w:pPr>
        <w:jc w:val="center"/>
        <w:rPr>
          <w:rFonts w:ascii="Times New Roman" w:hAnsi="Times New Roman" w:cs="Times New Roman"/>
        </w:rPr>
      </w:pPr>
      <w:r>
        <w:rPr>
          <w:rFonts w:ascii="Times New Roman" w:hAnsi="Times New Roman" w:cs="Times New Roman" w:hint="eastAsia"/>
        </w:rPr>
        <w:t xml:space="preserve">(i)               </w:t>
      </w:r>
      <w:proofErr w:type="gramStart"/>
      <w:r>
        <w:rPr>
          <w:rFonts w:ascii="Times New Roman" w:hAnsi="Times New Roman" w:cs="Times New Roman" w:hint="eastAsia"/>
        </w:rPr>
        <w:t xml:space="preserve">   (</w:t>
      </w:r>
      <w:proofErr w:type="gramEnd"/>
      <w:r>
        <w:rPr>
          <w:rFonts w:ascii="Times New Roman" w:hAnsi="Times New Roman" w:cs="Times New Roman" w:hint="eastAsia"/>
        </w:rPr>
        <w:t>j)</w:t>
      </w:r>
    </w:p>
    <w:p w14:paraId="11012094" w14:textId="77777777" w:rsidR="0074478A" w:rsidRDefault="00690393">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406860D9" wp14:editId="7F584436">
            <wp:extent cx="2286000" cy="2286000"/>
            <wp:effectExtent l="0" t="0" r="0" b="0"/>
            <wp:docPr id="12" name="图片 12" descr="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5_1"/>
                    <pic:cNvPicPr>
                      <a:picLocks noChangeAspect="1"/>
                    </pic:cNvPicPr>
                  </pic:nvPicPr>
                  <pic:blipFill>
                    <a:blip r:embed="rId25"/>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783DD495" wp14:editId="771159D4">
            <wp:extent cx="2286000" cy="2286000"/>
            <wp:effectExtent l="0" t="0" r="0" b="0"/>
            <wp:docPr id="13" name="图片 13" descr="4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6_1"/>
                    <pic:cNvPicPr>
                      <a:picLocks noChangeAspect="1"/>
                    </pic:cNvPicPr>
                  </pic:nvPicPr>
                  <pic:blipFill>
                    <a:blip r:embed="rId26"/>
                    <a:stretch>
                      <a:fillRect/>
                    </a:stretch>
                  </pic:blipFill>
                  <pic:spPr>
                    <a:xfrm>
                      <a:off x="0" y="0"/>
                      <a:ext cx="2286000" cy="2286000"/>
                    </a:xfrm>
                    <a:prstGeom prst="rect">
                      <a:avLst/>
                    </a:prstGeom>
                  </pic:spPr>
                </pic:pic>
              </a:graphicData>
            </a:graphic>
          </wp:inline>
        </w:drawing>
      </w:r>
    </w:p>
    <w:p w14:paraId="734B9A7D"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(k)               </w:t>
      </w:r>
      <w:proofErr w:type="gramStart"/>
      <w:r>
        <w:rPr>
          <w:rFonts w:ascii="Times New Roman" w:hAnsi="Times New Roman" w:cs="Times New Roman" w:hint="eastAsia"/>
        </w:rPr>
        <w:t xml:space="preserve">   (</w:t>
      </w:r>
      <w:proofErr w:type="gramEnd"/>
      <w:r>
        <w:rPr>
          <w:rFonts w:ascii="Times New Roman" w:hAnsi="Times New Roman" w:cs="Times New Roman" w:hint="eastAsia"/>
        </w:rPr>
        <w:t>l)</w:t>
      </w:r>
    </w:p>
    <w:p w14:paraId="3672AD9D" w14:textId="77777777" w:rsidR="0074478A" w:rsidRDefault="00690393">
      <w:pPr>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6FB00409" wp14:editId="4E97CE5F">
            <wp:extent cx="2286000" cy="2286000"/>
            <wp:effectExtent l="0" t="0" r="0" b="0"/>
            <wp:docPr id="14" name="图片 14" descr="4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8_1"/>
                    <pic:cNvPicPr>
                      <a:picLocks noChangeAspect="1"/>
                    </pic:cNvPicPr>
                  </pic:nvPicPr>
                  <pic:blipFill>
                    <a:blip r:embed="rId27"/>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30D4EB27" wp14:editId="734E0C6F">
            <wp:extent cx="2286000" cy="2286000"/>
            <wp:effectExtent l="0" t="0" r="0" b="0"/>
            <wp:docPr id="15" name="图片 15" descr="4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9_1"/>
                    <pic:cNvPicPr>
                      <a:picLocks noChangeAspect="1"/>
                    </pic:cNvPicPr>
                  </pic:nvPicPr>
                  <pic:blipFill>
                    <a:blip r:embed="rId28"/>
                    <a:stretch>
                      <a:fillRect/>
                    </a:stretch>
                  </pic:blipFill>
                  <pic:spPr>
                    <a:xfrm>
                      <a:off x="0" y="0"/>
                      <a:ext cx="2286000" cy="2286000"/>
                    </a:xfrm>
                    <a:prstGeom prst="rect">
                      <a:avLst/>
                    </a:prstGeom>
                  </pic:spPr>
                </pic:pic>
              </a:graphicData>
            </a:graphic>
          </wp:inline>
        </w:drawing>
      </w:r>
    </w:p>
    <w:p w14:paraId="687B31C8" w14:textId="77777777" w:rsidR="0074478A" w:rsidRDefault="00690393">
      <w:pPr>
        <w:jc w:val="center"/>
        <w:rPr>
          <w:rFonts w:ascii="Times New Roman" w:hAnsi="Times New Roman" w:cs="Times New Roman"/>
        </w:rPr>
      </w:pPr>
      <w:r>
        <w:rPr>
          <w:rFonts w:ascii="Times New Roman" w:hAnsi="Times New Roman" w:cs="Times New Roman" w:hint="eastAsia"/>
        </w:rPr>
        <w:t xml:space="preserve">(m)               </w:t>
      </w:r>
      <w:proofErr w:type="gramStart"/>
      <w:r>
        <w:rPr>
          <w:rFonts w:ascii="Times New Roman" w:hAnsi="Times New Roman" w:cs="Times New Roman" w:hint="eastAsia"/>
        </w:rPr>
        <w:t xml:space="preserve">   (</w:t>
      </w:r>
      <w:proofErr w:type="gramEnd"/>
      <w:r>
        <w:rPr>
          <w:rFonts w:ascii="Times New Roman" w:hAnsi="Times New Roman" w:cs="Times New Roman" w:hint="eastAsia"/>
        </w:rPr>
        <w:t>n)</w:t>
      </w:r>
    </w:p>
    <w:p w14:paraId="5931A603" w14:textId="77777777" w:rsidR="0074478A" w:rsidRDefault="00690393">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143FF34A" wp14:editId="74652630">
            <wp:extent cx="2286000" cy="2286000"/>
            <wp:effectExtent l="0" t="0" r="0" b="0"/>
            <wp:docPr id="16" name="图片 16" descr="5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2_1"/>
                    <pic:cNvPicPr>
                      <a:picLocks noChangeAspect="1"/>
                    </pic:cNvPicPr>
                  </pic:nvPicPr>
                  <pic:blipFill>
                    <a:blip r:embed="rId29"/>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6776E424" wp14:editId="571B17B6">
            <wp:extent cx="2286000" cy="2286000"/>
            <wp:effectExtent l="0" t="0" r="0" b="0"/>
            <wp:docPr id="17" name="图片 17" descr="5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3_1"/>
                    <pic:cNvPicPr>
                      <a:picLocks noChangeAspect="1"/>
                    </pic:cNvPicPr>
                  </pic:nvPicPr>
                  <pic:blipFill>
                    <a:blip r:embed="rId30"/>
                    <a:stretch>
                      <a:fillRect/>
                    </a:stretch>
                  </pic:blipFill>
                  <pic:spPr>
                    <a:xfrm>
                      <a:off x="0" y="0"/>
                      <a:ext cx="2286000" cy="2286000"/>
                    </a:xfrm>
                    <a:prstGeom prst="rect">
                      <a:avLst/>
                    </a:prstGeom>
                  </pic:spPr>
                </pic:pic>
              </a:graphicData>
            </a:graphic>
          </wp:inline>
        </w:drawing>
      </w:r>
    </w:p>
    <w:p w14:paraId="60BAB18E"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(o)               </w:t>
      </w:r>
      <w:proofErr w:type="gramStart"/>
      <w:r>
        <w:rPr>
          <w:rFonts w:ascii="Times New Roman" w:hAnsi="Times New Roman" w:cs="Times New Roman" w:hint="eastAsia"/>
        </w:rPr>
        <w:t xml:space="preserve">   (</w:t>
      </w:r>
      <w:proofErr w:type="gramEnd"/>
      <w:r>
        <w:rPr>
          <w:rFonts w:ascii="Times New Roman" w:hAnsi="Times New Roman" w:cs="Times New Roman" w:hint="eastAsia"/>
        </w:rPr>
        <w:t>p)</w:t>
      </w:r>
      <w:r>
        <w:rPr>
          <w:rFonts w:ascii="Times New Roman" w:hAnsi="Times New Roman" w:cs="Times New Roman"/>
        </w:rPr>
        <w:br/>
      </w:r>
      <w:r>
        <w:rPr>
          <w:rFonts w:ascii="Times New Roman" w:hAnsi="Times New Roman" w:cs="Times New Roman"/>
          <w:noProof/>
        </w:rPr>
        <w:drawing>
          <wp:inline distT="0" distB="0" distL="114300" distR="114300" wp14:anchorId="45698AC4" wp14:editId="7CFD5F62">
            <wp:extent cx="2286000" cy="2286000"/>
            <wp:effectExtent l="0" t="0" r="0" b="0"/>
            <wp:docPr id="18" name="图片 18" descr="5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4_1"/>
                    <pic:cNvPicPr>
                      <a:picLocks noChangeAspect="1"/>
                    </pic:cNvPicPr>
                  </pic:nvPicPr>
                  <pic:blipFill>
                    <a:blip r:embed="rId31"/>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1F413F2B" wp14:editId="2521252C">
            <wp:extent cx="2286000" cy="2286000"/>
            <wp:effectExtent l="0" t="0" r="0" b="0"/>
            <wp:docPr id="27" name="图片 27" descr="5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56_1"/>
                    <pic:cNvPicPr>
                      <a:picLocks noChangeAspect="1"/>
                    </pic:cNvPicPr>
                  </pic:nvPicPr>
                  <pic:blipFill>
                    <a:blip r:embed="rId32"/>
                    <a:stretch>
                      <a:fillRect/>
                    </a:stretch>
                  </pic:blipFill>
                  <pic:spPr>
                    <a:xfrm>
                      <a:off x="0" y="0"/>
                      <a:ext cx="2286000" cy="2286000"/>
                    </a:xfrm>
                    <a:prstGeom prst="rect">
                      <a:avLst/>
                    </a:prstGeom>
                  </pic:spPr>
                </pic:pic>
              </a:graphicData>
            </a:graphic>
          </wp:inline>
        </w:drawing>
      </w:r>
    </w:p>
    <w:p w14:paraId="753A8713"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(q)               </w:t>
      </w:r>
      <w:proofErr w:type="gramStart"/>
      <w:r>
        <w:rPr>
          <w:rFonts w:ascii="Times New Roman" w:hAnsi="Times New Roman" w:cs="Times New Roman" w:hint="eastAsia"/>
        </w:rPr>
        <w:t xml:space="preserve">   (</w:t>
      </w:r>
      <w:proofErr w:type="gramEnd"/>
      <w:r>
        <w:rPr>
          <w:rFonts w:ascii="Times New Roman" w:hAnsi="Times New Roman" w:cs="Times New Roman" w:hint="eastAsia"/>
        </w:rPr>
        <w:t>r)</w:t>
      </w:r>
    </w:p>
    <w:p w14:paraId="615CD2B8" w14:textId="77777777" w:rsidR="0074478A" w:rsidRDefault="00690393">
      <w:pPr>
        <w:spacing w:afterLines="100" w:after="312"/>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039BC694" wp14:editId="0A1DDB15">
            <wp:extent cx="2286000" cy="2286000"/>
            <wp:effectExtent l="0" t="0" r="0" b="0"/>
            <wp:docPr id="19" name="图片 19" descr="5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7_1"/>
                    <pic:cNvPicPr>
                      <a:picLocks noChangeAspect="1"/>
                    </pic:cNvPicPr>
                  </pic:nvPicPr>
                  <pic:blipFill>
                    <a:blip r:embed="rId33"/>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366A7AC3" wp14:editId="2DF46548">
            <wp:extent cx="2286000" cy="2286000"/>
            <wp:effectExtent l="0" t="0" r="0" b="0"/>
            <wp:docPr id="20" name="图片 20" descr="5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58_1"/>
                    <pic:cNvPicPr>
                      <a:picLocks noChangeAspect="1"/>
                    </pic:cNvPicPr>
                  </pic:nvPicPr>
                  <pic:blipFill>
                    <a:blip r:embed="rId34"/>
                    <a:stretch>
                      <a:fillRect/>
                    </a:stretch>
                  </pic:blipFill>
                  <pic:spPr>
                    <a:xfrm>
                      <a:off x="0" y="0"/>
                      <a:ext cx="2286000" cy="2286000"/>
                    </a:xfrm>
                    <a:prstGeom prst="rect">
                      <a:avLst/>
                    </a:prstGeom>
                  </pic:spPr>
                </pic:pic>
              </a:graphicData>
            </a:graphic>
          </wp:inline>
        </w:drawing>
      </w:r>
    </w:p>
    <w:p w14:paraId="410CCF8F"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(s)               </w:t>
      </w:r>
      <w:proofErr w:type="gramStart"/>
      <w:r>
        <w:rPr>
          <w:rFonts w:ascii="Times New Roman" w:hAnsi="Times New Roman" w:cs="Times New Roman" w:hint="eastAsia"/>
        </w:rPr>
        <w:t xml:space="preserve">   (</w:t>
      </w:r>
      <w:proofErr w:type="gramEnd"/>
      <w:r>
        <w:rPr>
          <w:rFonts w:ascii="Times New Roman" w:hAnsi="Times New Roman" w:cs="Times New Roman" w:hint="eastAsia"/>
        </w:rPr>
        <w:t>t)</w:t>
      </w:r>
    </w:p>
    <w:p w14:paraId="23837E50"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noProof/>
        </w:rPr>
        <w:drawing>
          <wp:inline distT="0" distB="0" distL="114300" distR="114300" wp14:anchorId="13DE37DA" wp14:editId="4F115E9E">
            <wp:extent cx="2286000" cy="2286000"/>
            <wp:effectExtent l="0" t="0" r="0" b="0"/>
            <wp:docPr id="21" name="图片 21" descr="6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0_1"/>
                    <pic:cNvPicPr>
                      <a:picLocks noChangeAspect="1"/>
                    </pic:cNvPicPr>
                  </pic:nvPicPr>
                  <pic:blipFill>
                    <a:blip r:embed="rId35"/>
                    <a:stretch>
                      <a:fillRect/>
                    </a:stretch>
                  </pic:blipFill>
                  <pic:spPr>
                    <a:xfrm>
                      <a:off x="0" y="0"/>
                      <a:ext cx="2286000" cy="2286000"/>
                    </a:xfrm>
                    <a:prstGeom prst="rect">
                      <a:avLst/>
                    </a:prstGeom>
                  </pic:spPr>
                </pic:pic>
              </a:graphicData>
            </a:graphic>
          </wp:inline>
        </w:drawing>
      </w:r>
      <w:r>
        <w:rPr>
          <w:rFonts w:ascii="Times New Roman" w:hAnsi="Times New Roman" w:cs="Times New Roman" w:hint="eastAsia"/>
          <w:noProof/>
        </w:rPr>
        <w:drawing>
          <wp:inline distT="0" distB="0" distL="114300" distR="114300" wp14:anchorId="6867A49E" wp14:editId="6B233DB4">
            <wp:extent cx="2286000" cy="2286000"/>
            <wp:effectExtent l="0" t="0" r="0" b="0"/>
            <wp:docPr id="22" name="图片 22" descr="6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63_1"/>
                    <pic:cNvPicPr>
                      <a:picLocks noChangeAspect="1"/>
                    </pic:cNvPicPr>
                  </pic:nvPicPr>
                  <pic:blipFill>
                    <a:blip r:embed="rId36"/>
                    <a:stretch>
                      <a:fillRect/>
                    </a:stretch>
                  </pic:blipFill>
                  <pic:spPr>
                    <a:xfrm>
                      <a:off x="0" y="0"/>
                      <a:ext cx="2286000" cy="2286000"/>
                    </a:xfrm>
                    <a:prstGeom prst="rect">
                      <a:avLst/>
                    </a:prstGeom>
                  </pic:spPr>
                </pic:pic>
              </a:graphicData>
            </a:graphic>
          </wp:inline>
        </w:drawing>
      </w:r>
    </w:p>
    <w:p w14:paraId="069182FB"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(u)               </w:t>
      </w:r>
      <w:proofErr w:type="gramStart"/>
      <w:r>
        <w:rPr>
          <w:rFonts w:ascii="Times New Roman" w:hAnsi="Times New Roman" w:cs="Times New Roman" w:hint="eastAsia"/>
        </w:rPr>
        <w:t xml:space="preserve">   (</w:t>
      </w:r>
      <w:proofErr w:type="gramEnd"/>
      <w:r>
        <w:rPr>
          <w:rFonts w:ascii="Times New Roman" w:hAnsi="Times New Roman" w:cs="Times New Roman" w:hint="eastAsia"/>
        </w:rPr>
        <w:t>v)</w:t>
      </w:r>
    </w:p>
    <w:p w14:paraId="175A8857"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noProof/>
        </w:rPr>
        <w:drawing>
          <wp:inline distT="0" distB="0" distL="114300" distR="114300" wp14:anchorId="42030958" wp14:editId="098A3EA0">
            <wp:extent cx="2286000" cy="2286000"/>
            <wp:effectExtent l="0" t="0" r="0" b="0"/>
            <wp:docPr id="23" name="图片 23" descr="6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4_1"/>
                    <pic:cNvPicPr>
                      <a:picLocks noChangeAspect="1"/>
                    </pic:cNvPicPr>
                  </pic:nvPicPr>
                  <pic:blipFill>
                    <a:blip r:embed="rId37"/>
                    <a:stretch>
                      <a:fillRect/>
                    </a:stretch>
                  </pic:blipFill>
                  <pic:spPr>
                    <a:xfrm>
                      <a:off x="0" y="0"/>
                      <a:ext cx="2286000" cy="2286000"/>
                    </a:xfrm>
                    <a:prstGeom prst="rect">
                      <a:avLst/>
                    </a:prstGeom>
                  </pic:spPr>
                </pic:pic>
              </a:graphicData>
            </a:graphic>
          </wp:inline>
        </w:drawing>
      </w:r>
      <w:r>
        <w:rPr>
          <w:rFonts w:ascii="Times New Roman" w:hAnsi="Times New Roman" w:cs="Times New Roman" w:hint="eastAsia"/>
          <w:noProof/>
        </w:rPr>
        <w:drawing>
          <wp:inline distT="0" distB="0" distL="114300" distR="114300" wp14:anchorId="179148CF" wp14:editId="3BA2E805">
            <wp:extent cx="2286000" cy="2286000"/>
            <wp:effectExtent l="0" t="0" r="0" b="0"/>
            <wp:docPr id="24" name="图片 24" descr="6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68_1"/>
                    <pic:cNvPicPr>
                      <a:picLocks noChangeAspect="1"/>
                    </pic:cNvPicPr>
                  </pic:nvPicPr>
                  <pic:blipFill>
                    <a:blip r:embed="rId38"/>
                    <a:stretch>
                      <a:fillRect/>
                    </a:stretch>
                  </pic:blipFill>
                  <pic:spPr>
                    <a:xfrm>
                      <a:off x="0" y="0"/>
                      <a:ext cx="2286000" cy="2286000"/>
                    </a:xfrm>
                    <a:prstGeom prst="rect">
                      <a:avLst/>
                    </a:prstGeom>
                  </pic:spPr>
                </pic:pic>
              </a:graphicData>
            </a:graphic>
          </wp:inline>
        </w:drawing>
      </w:r>
    </w:p>
    <w:p w14:paraId="072D2B14"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(w)               </w:t>
      </w:r>
      <w:proofErr w:type="gramStart"/>
      <w:r>
        <w:rPr>
          <w:rFonts w:ascii="Times New Roman" w:hAnsi="Times New Roman" w:cs="Times New Roman" w:hint="eastAsia"/>
        </w:rPr>
        <w:t xml:space="preserve">   (</w:t>
      </w:r>
      <w:proofErr w:type="gramEnd"/>
      <w:r>
        <w:rPr>
          <w:rFonts w:ascii="Times New Roman" w:hAnsi="Times New Roman" w:cs="Times New Roman" w:hint="eastAsia"/>
        </w:rPr>
        <w:t>x)</w:t>
      </w:r>
    </w:p>
    <w:p w14:paraId="6ADA5DF4"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noProof/>
        </w:rPr>
        <w:lastRenderedPageBreak/>
        <w:drawing>
          <wp:inline distT="0" distB="0" distL="114300" distR="114300" wp14:anchorId="73ABD1D8" wp14:editId="219E36FE">
            <wp:extent cx="2286000" cy="2286000"/>
            <wp:effectExtent l="0" t="0" r="0" b="0"/>
            <wp:docPr id="25" name="图片 25" descr="7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70_1"/>
                    <pic:cNvPicPr>
                      <a:picLocks noChangeAspect="1"/>
                    </pic:cNvPicPr>
                  </pic:nvPicPr>
                  <pic:blipFill>
                    <a:blip r:embed="rId39"/>
                    <a:stretch>
                      <a:fillRect/>
                    </a:stretch>
                  </pic:blipFill>
                  <pic:spPr>
                    <a:xfrm>
                      <a:off x="0" y="0"/>
                      <a:ext cx="2286000" cy="2286000"/>
                    </a:xfrm>
                    <a:prstGeom prst="rect">
                      <a:avLst/>
                    </a:prstGeom>
                  </pic:spPr>
                </pic:pic>
              </a:graphicData>
            </a:graphic>
          </wp:inline>
        </w:drawing>
      </w:r>
      <w:r>
        <w:rPr>
          <w:rFonts w:ascii="Times New Roman" w:hAnsi="Times New Roman" w:cs="Times New Roman" w:hint="eastAsia"/>
          <w:noProof/>
        </w:rPr>
        <w:drawing>
          <wp:inline distT="0" distB="0" distL="114300" distR="114300" wp14:anchorId="4DB07AED" wp14:editId="0668A8F9">
            <wp:extent cx="2286000" cy="2286000"/>
            <wp:effectExtent l="0" t="0" r="0" b="0"/>
            <wp:docPr id="26" name="图片 26" descr="7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74_1"/>
                    <pic:cNvPicPr>
                      <a:picLocks noChangeAspect="1"/>
                    </pic:cNvPicPr>
                  </pic:nvPicPr>
                  <pic:blipFill>
                    <a:blip r:embed="rId40"/>
                    <a:stretch>
                      <a:fillRect/>
                    </a:stretch>
                  </pic:blipFill>
                  <pic:spPr>
                    <a:xfrm>
                      <a:off x="0" y="0"/>
                      <a:ext cx="2286000" cy="2286000"/>
                    </a:xfrm>
                    <a:prstGeom prst="rect">
                      <a:avLst/>
                    </a:prstGeom>
                  </pic:spPr>
                </pic:pic>
              </a:graphicData>
            </a:graphic>
          </wp:inline>
        </w:drawing>
      </w:r>
    </w:p>
    <w:p w14:paraId="5653429D" w14:textId="77777777" w:rsidR="0074478A" w:rsidRDefault="00690393">
      <w:pPr>
        <w:spacing w:afterLines="100" w:after="312"/>
        <w:jc w:val="center"/>
        <w:rPr>
          <w:rFonts w:ascii="Times New Roman" w:hAnsi="Times New Roman" w:cs="Times New Roman"/>
        </w:rPr>
      </w:pPr>
      <w:r>
        <w:rPr>
          <w:rFonts w:ascii="Times New Roman" w:hAnsi="Times New Roman" w:cs="Times New Roman" w:hint="eastAsia"/>
        </w:rPr>
        <w:t xml:space="preserve">(y)               </w:t>
      </w:r>
      <w:proofErr w:type="gramStart"/>
      <w:r>
        <w:rPr>
          <w:rFonts w:ascii="Times New Roman" w:hAnsi="Times New Roman" w:cs="Times New Roman" w:hint="eastAsia"/>
        </w:rPr>
        <w:t xml:space="preserve">   (</w:t>
      </w:r>
      <w:proofErr w:type="gramEnd"/>
      <w:r>
        <w:rPr>
          <w:rFonts w:ascii="Times New Roman" w:hAnsi="Times New Roman" w:cs="Times New Roman" w:hint="eastAsia"/>
        </w:rPr>
        <w:t>z)</w:t>
      </w:r>
    </w:p>
    <w:p w14:paraId="532F6D4E" w14:textId="77777777" w:rsidR="0074478A" w:rsidRDefault="00690393">
      <w:pPr>
        <w:jc w:val="center"/>
        <w:rPr>
          <w:rFonts w:ascii="Times New Roman" w:hAnsi="Times New Roman" w:cs="Times New Roman"/>
        </w:rPr>
      </w:pPr>
      <w:r>
        <w:rPr>
          <w:rFonts w:ascii="Times New Roman" w:hAnsi="Times New Roman" w:cs="Times New Roman" w:hint="eastAsia"/>
        </w:rPr>
        <w:t xml:space="preserve">Figure </w:t>
      </w:r>
      <w:r>
        <w:rPr>
          <w:rFonts w:ascii="Times New Roman" w:hAnsi="Times New Roman" w:cs="Times New Roman"/>
        </w:rPr>
        <w:t>2</w:t>
      </w:r>
      <w:r>
        <w:rPr>
          <w:rFonts w:ascii="Times New Roman" w:hAnsi="Times New Roman" w:cs="Times New Roman" w:hint="eastAsia"/>
        </w:rPr>
        <w:t xml:space="preserve"> Cumulative Deviation from Central Parity, Structural Break</w:t>
      </w:r>
      <w:r>
        <w:rPr>
          <w:rFonts w:ascii="Times New Roman" w:hAnsi="Times New Roman" w:cs="Times New Roman"/>
        </w:rPr>
        <w:t>s,</w:t>
      </w:r>
      <w:r>
        <w:rPr>
          <w:rFonts w:ascii="Times New Roman" w:hAnsi="Times New Roman" w:cs="Times New Roman" w:hint="eastAsia"/>
        </w:rPr>
        <w:t xml:space="preserve"> and Target Zone</w:t>
      </w:r>
    </w:p>
    <w:p w14:paraId="5D81353B" w14:textId="77777777" w:rsidR="0074478A" w:rsidRDefault="00690393">
      <w:pPr>
        <w:spacing w:afterLines="100" w:after="312"/>
        <w:rPr>
          <w:rFonts w:ascii="Times New Roman" w:hAnsi="Times New Roman" w:cs="Times New Roman"/>
        </w:rPr>
      </w:pPr>
      <w:r>
        <w:rPr>
          <w:rFonts w:ascii="Times New Roman" w:hAnsi="Times New Roman" w:cs="Times New Roman" w:hint="eastAsia"/>
          <w:i/>
          <w:iCs/>
        </w:rPr>
        <w:t>Note</w:t>
      </w:r>
      <w:r>
        <w:rPr>
          <w:rFonts w:ascii="Times New Roman" w:hAnsi="Times New Roman" w:cs="Times New Roman"/>
          <w:i/>
          <w:iCs/>
        </w:rPr>
        <w:t>:</w:t>
      </w:r>
      <w:r>
        <w:rPr>
          <w:rFonts w:ascii="Times New Roman" w:hAnsi="Times New Roman" w:cs="Times New Roman" w:hint="eastAsia"/>
        </w:rPr>
        <w:t xml:space="preserve"> The black lines plot the series of the exchange rate</w:t>
      </w:r>
      <w:r>
        <w:rPr>
          <w:rFonts w:ascii="Times New Roman" w:hAnsi="Times New Roman" w:cs="Times New Roman"/>
        </w:rPr>
        <w:t>’</w:t>
      </w:r>
      <w:r>
        <w:rPr>
          <w:rFonts w:ascii="Times New Roman" w:hAnsi="Times New Roman" w:cs="Times New Roman" w:hint="eastAsia"/>
        </w:rPr>
        <w:t>s cumulative deviation from the central parity. The vertical dash</w:t>
      </w:r>
      <w:r>
        <w:rPr>
          <w:rFonts w:ascii="Times New Roman" w:hAnsi="Times New Roman" w:cs="Times New Roman"/>
        </w:rPr>
        <w:t>ed</w:t>
      </w:r>
      <w:r>
        <w:rPr>
          <w:rFonts w:ascii="Times New Roman" w:hAnsi="Times New Roman" w:cs="Times New Roman" w:hint="eastAsia"/>
        </w:rPr>
        <w:t xml:space="preserve"> lines correspond to the estimates of structural breaks, </w:t>
      </w:r>
      <w:r>
        <w:rPr>
          <w:rFonts w:ascii="Times New Roman" w:hAnsi="Times New Roman" w:cs="Times New Roman"/>
        </w:rPr>
        <w:t>and</w:t>
      </w:r>
      <w:r>
        <w:rPr>
          <w:rFonts w:ascii="Times New Roman" w:hAnsi="Times New Roman" w:cs="Times New Roman" w:hint="eastAsia"/>
        </w:rPr>
        <w:t xml:space="preserve"> the horizontal dash</w:t>
      </w:r>
      <w:r>
        <w:rPr>
          <w:rFonts w:ascii="Times New Roman" w:hAnsi="Times New Roman" w:cs="Times New Roman"/>
        </w:rPr>
        <w:t>ed</w:t>
      </w:r>
      <w:r>
        <w:rPr>
          <w:rFonts w:ascii="Times New Roman" w:hAnsi="Times New Roman" w:cs="Times New Roman" w:hint="eastAsia"/>
        </w:rPr>
        <w:t xml:space="preserve"> lines correspond to the threshold estimates. If a country </w:t>
      </w:r>
      <w:r>
        <w:rPr>
          <w:rFonts w:ascii="Times New Roman" w:hAnsi="Times New Roman" w:cs="Times New Roman"/>
        </w:rPr>
        <w:t xml:space="preserve">is </w:t>
      </w:r>
      <w:proofErr w:type="gramStart"/>
      <w:r>
        <w:rPr>
          <w:rFonts w:ascii="Times New Roman" w:hAnsi="Times New Roman" w:cs="Times New Roman"/>
        </w:rPr>
        <w:t>fount</w:t>
      </w:r>
      <w:proofErr w:type="gramEnd"/>
      <w:r>
        <w:rPr>
          <w:rFonts w:ascii="Times New Roman" w:hAnsi="Times New Roman" w:cs="Times New Roman"/>
        </w:rPr>
        <w:t xml:space="preserve"> to </w:t>
      </w:r>
      <w:r>
        <w:rPr>
          <w:rFonts w:ascii="Times New Roman" w:hAnsi="Times New Roman" w:cs="Times New Roman" w:hint="eastAsia"/>
        </w:rPr>
        <w:t xml:space="preserve">follow a fixed regime or a floating regime, the thresholds </w:t>
      </w:r>
      <w:r>
        <w:rPr>
          <w:rFonts w:ascii="Times New Roman" w:hAnsi="Times New Roman" w:cs="Times New Roman"/>
        </w:rPr>
        <w:t>are not</w:t>
      </w:r>
      <w:r>
        <w:rPr>
          <w:rFonts w:ascii="Times New Roman" w:hAnsi="Times New Roman" w:cs="Times New Roman" w:hint="eastAsia"/>
        </w:rPr>
        <w:t xml:space="preserve"> reported.</w:t>
      </w:r>
    </w:p>
    <w:p w14:paraId="40E407DA" w14:textId="77777777" w:rsidR="0074478A" w:rsidRDefault="0074478A"/>
    <w:sectPr w:rsidR="007447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56851" w14:textId="77777777" w:rsidR="00690393" w:rsidRDefault="00690393">
      <w:r>
        <w:separator/>
      </w:r>
    </w:p>
  </w:endnote>
  <w:endnote w:type="continuationSeparator" w:id="0">
    <w:p w14:paraId="2B046F2A" w14:textId="77777777" w:rsidR="00690393" w:rsidRDefault="0069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965791"/>
    </w:sdtPr>
    <w:sdtEndPr/>
    <w:sdtContent>
      <w:p w14:paraId="256CEEB4" w14:textId="77777777" w:rsidR="0074478A" w:rsidRDefault="00690393">
        <w:pPr>
          <w:pStyle w:val="Footer"/>
          <w:jc w:val="center"/>
        </w:pPr>
        <w:r>
          <w:fldChar w:fldCharType="begin"/>
        </w:r>
        <w:r>
          <w:instrText xml:space="preserve"> PAGE   \* MERGEFORMAT </w:instrText>
        </w:r>
        <w:r>
          <w:fldChar w:fldCharType="separate"/>
        </w:r>
        <w:r w:rsidR="006B0661">
          <w:rPr>
            <w:noProof/>
          </w:rPr>
          <w:t>20</w:t>
        </w:r>
        <w:r>
          <w:fldChar w:fldCharType="end"/>
        </w:r>
      </w:p>
    </w:sdtContent>
  </w:sdt>
  <w:p w14:paraId="5F0E4688" w14:textId="77777777" w:rsidR="0074478A" w:rsidRDefault="0074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6687C" w14:textId="77777777" w:rsidR="00690393" w:rsidRDefault="00690393">
      <w:r>
        <w:separator/>
      </w:r>
    </w:p>
  </w:footnote>
  <w:footnote w:type="continuationSeparator" w:id="0">
    <w:p w14:paraId="08274453" w14:textId="77777777" w:rsidR="00690393" w:rsidRDefault="00690393">
      <w:r>
        <w:continuationSeparator/>
      </w:r>
    </w:p>
  </w:footnote>
  <w:footnote w:id="1">
    <w:p w14:paraId="03907A75" w14:textId="77777777" w:rsidR="0074478A" w:rsidRDefault="00690393">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Jeffrey Frankel, </w:t>
      </w:r>
      <w:bookmarkStart w:id="4" w:name="OLE_LINK34"/>
      <w:r>
        <w:rPr>
          <w:rFonts w:ascii="Times New Roman" w:hAnsi="Times New Roman" w:cs="Times New Roman"/>
          <w:sz w:val="16"/>
          <w:szCs w:val="16"/>
        </w:rPr>
        <w:t>Harvard Kennedy School, Harvard University</w:t>
      </w:r>
      <w:bookmarkEnd w:id="4"/>
      <w:r>
        <w:rPr>
          <w:rFonts w:ascii="Times New Roman" w:hAnsi="Times New Roman" w:cs="Times New Roman"/>
          <w:sz w:val="16"/>
          <w:szCs w:val="16"/>
        </w:rPr>
        <w:t xml:space="preserve">, Cambridge, MA, USA. Email: </w:t>
      </w:r>
      <w:hyperlink r:id="rId1" w:history="1">
        <w:r>
          <w:rPr>
            <w:rStyle w:val="Hyperlink"/>
            <w:rFonts w:ascii="Times New Roman" w:hAnsi="Times New Roman" w:cs="Times New Roman"/>
            <w:sz w:val="16"/>
            <w:szCs w:val="16"/>
          </w:rPr>
          <w:t>jeffrey_frankel@harvard.edu</w:t>
        </w:r>
      </w:hyperlink>
      <w:r>
        <w:rPr>
          <w:rStyle w:val="Hyperlink"/>
          <w:rFonts w:ascii="Times New Roman" w:hAnsi="Times New Roman" w:cs="Times New Roman"/>
          <w:sz w:val="16"/>
          <w:szCs w:val="16"/>
        </w:rPr>
        <w:t>.</w:t>
      </w:r>
    </w:p>
  </w:footnote>
  <w:footnote w:id="2">
    <w:p w14:paraId="58B68B95" w14:textId="77777777" w:rsidR="0074478A" w:rsidRDefault="00690393">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hint="eastAsia"/>
          <w:sz w:val="16"/>
          <w:szCs w:val="16"/>
        </w:rPr>
        <w:t>Yao Hou,</w:t>
      </w:r>
      <w:r>
        <w:rPr>
          <w:rFonts w:ascii="Times New Roman" w:hAnsi="Times New Roman" w:cs="Times New Roman"/>
          <w:sz w:val="16"/>
          <w:szCs w:val="16"/>
        </w:rPr>
        <w:t xml:space="preserve"> </w:t>
      </w:r>
      <w:r>
        <w:rPr>
          <w:rFonts w:ascii="Times New Roman" w:hAnsi="Times New Roman" w:cs="Times New Roman" w:hint="eastAsia"/>
          <w:sz w:val="16"/>
          <w:szCs w:val="16"/>
        </w:rPr>
        <w:t>Department</w:t>
      </w:r>
      <w:r>
        <w:rPr>
          <w:rFonts w:ascii="Times New Roman" w:hAnsi="Times New Roman" w:cs="Times New Roman"/>
          <w:sz w:val="16"/>
          <w:szCs w:val="16"/>
        </w:rPr>
        <w:t xml:space="preserve"> of Economics, University</w:t>
      </w:r>
      <w:r>
        <w:rPr>
          <w:rFonts w:ascii="Times New Roman" w:hAnsi="Times New Roman" w:cs="Times New Roman" w:hint="eastAsia"/>
          <w:sz w:val="16"/>
          <w:szCs w:val="16"/>
        </w:rPr>
        <w:t xml:space="preserve"> of Rochester</w:t>
      </w:r>
      <w:r>
        <w:rPr>
          <w:rFonts w:ascii="Times New Roman" w:hAnsi="Times New Roman" w:cs="Times New Roman"/>
          <w:sz w:val="16"/>
          <w:szCs w:val="16"/>
        </w:rPr>
        <w:t xml:space="preserve">, </w:t>
      </w:r>
      <w:r>
        <w:rPr>
          <w:rFonts w:ascii="Times New Roman" w:hAnsi="Times New Roman" w:cs="Times New Roman" w:hint="eastAsia"/>
          <w:sz w:val="16"/>
          <w:szCs w:val="16"/>
        </w:rPr>
        <w:t>Rochester</w:t>
      </w:r>
      <w:r>
        <w:rPr>
          <w:rFonts w:ascii="Times New Roman" w:hAnsi="Times New Roman" w:cs="Times New Roman"/>
          <w:sz w:val="16"/>
          <w:szCs w:val="16"/>
        </w:rPr>
        <w:t xml:space="preserve">, </w:t>
      </w:r>
      <w:r>
        <w:rPr>
          <w:rFonts w:ascii="Times New Roman" w:hAnsi="Times New Roman" w:cs="Times New Roman" w:hint="eastAsia"/>
          <w:sz w:val="16"/>
          <w:szCs w:val="16"/>
        </w:rPr>
        <w:t>NY</w:t>
      </w:r>
      <w:r>
        <w:rPr>
          <w:rFonts w:ascii="Times New Roman" w:hAnsi="Times New Roman" w:cs="Times New Roman"/>
          <w:sz w:val="16"/>
          <w:szCs w:val="16"/>
        </w:rPr>
        <w:t>, USA. Email:</w:t>
      </w:r>
      <w:r>
        <w:rPr>
          <w:rFonts w:ascii="Times New Roman" w:hAnsi="Times New Roman" w:cs="Times New Roman" w:hint="eastAsia"/>
          <w:sz w:val="16"/>
          <w:szCs w:val="16"/>
        </w:rPr>
        <w:t xml:space="preserve"> </w:t>
      </w:r>
      <w:hyperlink r:id="rId2" w:history="1">
        <w:r>
          <w:rPr>
            <w:rStyle w:val="Hyperlink"/>
            <w:rFonts w:ascii="Times New Roman" w:hAnsi="Times New Roman" w:cs="Times New Roman" w:hint="eastAsia"/>
            <w:sz w:val="16"/>
            <w:szCs w:val="16"/>
          </w:rPr>
          <w:t>yhou16@ur.rochester.edu</w:t>
        </w:r>
      </w:hyperlink>
      <w:r>
        <w:rPr>
          <w:rStyle w:val="Hyperlink"/>
          <w:rFonts w:ascii="Times New Roman" w:hAnsi="Times New Roman" w:cs="Times New Roman"/>
          <w:sz w:val="16"/>
          <w:szCs w:val="16"/>
        </w:rPr>
        <w:t>.</w:t>
      </w:r>
    </w:p>
  </w:footnote>
  <w:footnote w:id="3">
    <w:p w14:paraId="6E15ABFE" w14:textId="77777777" w:rsidR="0074478A" w:rsidRDefault="00690393">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Danxia Xie, </w:t>
      </w:r>
      <w:bookmarkStart w:id="5" w:name="OLE_LINK36"/>
      <w:r>
        <w:rPr>
          <w:rFonts w:ascii="Times New Roman" w:hAnsi="Times New Roman" w:cs="Times New Roman"/>
          <w:sz w:val="16"/>
          <w:szCs w:val="16"/>
        </w:rPr>
        <w:t>Institute of Economics, Tsinghua University</w:t>
      </w:r>
      <w:bookmarkEnd w:id="5"/>
      <w:r>
        <w:rPr>
          <w:rFonts w:ascii="Times New Roman" w:hAnsi="Times New Roman" w:cs="Times New Roman"/>
          <w:sz w:val="16"/>
          <w:szCs w:val="16"/>
        </w:rPr>
        <w:t>, Beijing, China, 100084. Email:</w:t>
      </w:r>
      <w:r w:rsidR="006B0661">
        <w:rPr>
          <w:rFonts w:ascii="Times New Roman" w:hAnsi="Times New Roman" w:cs="Times New Roman"/>
          <w:sz w:val="16"/>
          <w:szCs w:val="16"/>
        </w:rPr>
        <w:t xml:space="preserve"> </w:t>
      </w:r>
      <w:hyperlink r:id="rId3" w:history="1">
        <w:r w:rsidR="006B0661" w:rsidRPr="00333528">
          <w:rPr>
            <w:rStyle w:val="Hyperlink"/>
            <w:rFonts w:ascii="Times New Roman" w:hAnsi="Times New Roman" w:cs="Times New Roman"/>
            <w:sz w:val="16"/>
            <w:szCs w:val="16"/>
          </w:rPr>
          <w:t>xiedanxia@tsinghua.edu.cn</w:t>
        </w:r>
      </w:hyperlink>
      <w:r w:rsidR="006B0661">
        <w:rPr>
          <w:rFonts w:ascii="Times New Roman" w:hAnsi="Times New Roman" w:cs="Times New Roman"/>
          <w:sz w:val="16"/>
          <w:szCs w:val="16"/>
        </w:rPr>
        <w:t xml:space="preserve"> </w:t>
      </w:r>
    </w:p>
  </w:footnote>
  <w:footnote w:id="4">
    <w:p w14:paraId="50741972"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Dubbed a BBC regime by Williamson (2001).</w:t>
      </w:r>
    </w:p>
  </w:footnote>
  <w:footnote w:id="5">
    <w:p w14:paraId="11011318" w14:textId="22868EB9"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These attempts include Zhu and Ling (2012) and Gao and Ling (2019).</w:t>
      </w:r>
      <w:r>
        <w:rPr>
          <w:rFonts w:ascii="Times New Roman" w:hAnsi="Times New Roman" w:cs="Times New Roman" w:hint="eastAsia"/>
        </w:rPr>
        <w:t xml:space="preserve"> Their methods apply only to cases where the number of structural breaks is known, wh</w:t>
      </w:r>
      <w:r w:rsidR="009F7484">
        <w:rPr>
          <w:rFonts w:ascii="Times New Roman" w:hAnsi="Times New Roman" w:cs="Times New Roman"/>
        </w:rPr>
        <w:t>ereas</w:t>
      </w:r>
      <w:r>
        <w:rPr>
          <w:rFonts w:ascii="Times New Roman" w:hAnsi="Times New Roman" w:cs="Times New Roman" w:hint="eastAsia"/>
        </w:rPr>
        <w:t xml:space="preserve"> we usually have no prior knowledge on the number of exchange rate regime changes a country experienced over a certain period.</w:t>
      </w:r>
    </w:p>
  </w:footnote>
  <w:footnote w:id="6">
    <w:p w14:paraId="714629AD"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8"/>
        </w:rPr>
        <w:t xml:space="preserve">See </w:t>
      </w:r>
      <w:r>
        <w:rPr>
          <w:rFonts w:ascii="Times New Roman" w:hAnsi="Times New Roman" w:cs="Times New Roman" w:hint="eastAsia"/>
          <w:szCs w:val="18"/>
        </w:rPr>
        <w:t>Flood</w:t>
      </w:r>
      <w:r>
        <w:rPr>
          <w:rFonts w:ascii="Times New Roman" w:hAnsi="Times New Roman" w:cs="Times New Roman"/>
          <w:szCs w:val="18"/>
        </w:rPr>
        <w:t xml:space="preserve"> and Garber</w:t>
      </w:r>
      <w:r>
        <w:rPr>
          <w:rFonts w:ascii="Times New Roman" w:hAnsi="Times New Roman" w:cs="Times New Roman" w:hint="eastAsia"/>
          <w:szCs w:val="18"/>
        </w:rPr>
        <w:t xml:space="preserve"> (1991), Bertola </w:t>
      </w:r>
      <w:r>
        <w:rPr>
          <w:rFonts w:ascii="Times New Roman" w:hAnsi="Times New Roman" w:cs="Times New Roman"/>
          <w:szCs w:val="18"/>
        </w:rPr>
        <w:t>and</w:t>
      </w:r>
      <w:r>
        <w:rPr>
          <w:rFonts w:ascii="Times New Roman" w:hAnsi="Times New Roman" w:cs="Times New Roman" w:hint="eastAsia"/>
          <w:szCs w:val="18"/>
        </w:rPr>
        <w:t xml:space="preserve"> Caballero (1992), Anthony </w:t>
      </w:r>
      <w:r>
        <w:rPr>
          <w:rFonts w:ascii="Times New Roman" w:hAnsi="Times New Roman" w:cs="Times New Roman"/>
          <w:szCs w:val="18"/>
        </w:rPr>
        <w:t>and</w:t>
      </w:r>
      <w:r>
        <w:rPr>
          <w:rFonts w:ascii="Times New Roman" w:hAnsi="Times New Roman" w:cs="Times New Roman" w:hint="eastAsia"/>
          <w:szCs w:val="18"/>
        </w:rPr>
        <w:t xml:space="preserve"> MacDonald (1998), and Lundbergh </w:t>
      </w:r>
      <w:r>
        <w:rPr>
          <w:rFonts w:ascii="Times New Roman" w:hAnsi="Times New Roman" w:cs="Times New Roman"/>
          <w:szCs w:val="18"/>
        </w:rPr>
        <w:t>and</w:t>
      </w:r>
      <w:r>
        <w:rPr>
          <w:rFonts w:ascii="Times New Roman" w:hAnsi="Times New Roman" w:cs="Times New Roman" w:hint="eastAsia"/>
          <w:szCs w:val="18"/>
        </w:rPr>
        <w:t xml:space="preserve"> </w:t>
      </w:r>
      <w:proofErr w:type="spellStart"/>
      <w:r>
        <w:rPr>
          <w:rFonts w:ascii="Times New Roman" w:hAnsi="Times New Roman" w:cs="Times New Roman" w:hint="eastAsia"/>
          <w:szCs w:val="18"/>
        </w:rPr>
        <w:t>Terasvirta</w:t>
      </w:r>
      <w:proofErr w:type="spellEnd"/>
      <w:r>
        <w:rPr>
          <w:rFonts w:ascii="Times New Roman" w:hAnsi="Times New Roman" w:cs="Times New Roman" w:hint="eastAsia"/>
          <w:szCs w:val="18"/>
        </w:rPr>
        <w:t xml:space="preserve"> (2006).</w:t>
      </w:r>
    </w:p>
  </w:footnote>
  <w:footnote w:id="7">
    <w:p w14:paraId="2BB9C743"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numeraire for the “value” of currencies is here measured in </w:t>
      </w:r>
      <w:r>
        <w:rPr>
          <w:rFonts w:ascii="Times New Roman" w:hAnsi="Times New Roman" w:cs="Times New Roman" w:hint="eastAsia"/>
        </w:rPr>
        <w:t xml:space="preserve">Special Drawing Rights, </w:t>
      </w:r>
      <w:r>
        <w:rPr>
          <w:rFonts w:ascii="Times New Roman" w:hAnsi="Times New Roman" w:cs="Times New Roman"/>
        </w:rPr>
        <w:t>following</w:t>
      </w:r>
      <w:r>
        <w:rPr>
          <w:rFonts w:ascii="Times New Roman" w:hAnsi="Times New Roman" w:cs="Times New Roman" w:hint="eastAsia"/>
        </w:rPr>
        <w:t xml:space="preserve"> </w:t>
      </w:r>
      <w:r>
        <w:rPr>
          <w:rFonts w:ascii="Times New Roman" w:hAnsi="Times New Roman" w:cs="Times New Roman"/>
        </w:rPr>
        <w:t>Frankel and Wei (</w:t>
      </w:r>
      <w:r>
        <w:rPr>
          <w:rFonts w:ascii="Times New Roman" w:hAnsi="Times New Roman" w:cs="Times New Roman" w:hint="eastAsia"/>
        </w:rPr>
        <w:t>2008</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Alternative numeraires are also possible. Under a pure basket peg, the choice of numeraire makes no difference.</w:t>
      </w:r>
    </w:p>
  </w:footnote>
  <w:footnote w:id="8">
    <w:p w14:paraId="111E2118"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keeping with the practice that, when the monetary authority starts a</w:t>
      </w:r>
      <w:r>
        <w:rPr>
          <w:rFonts w:ascii="Times New Roman" w:hAnsi="Times New Roman" w:cs="Times New Roman" w:hint="eastAsia"/>
        </w:rPr>
        <w:t xml:space="preserve"> new exchange rate</w:t>
      </w:r>
      <w:r>
        <w:rPr>
          <w:rFonts w:ascii="Times New Roman" w:hAnsi="Times New Roman" w:cs="Times New Roman"/>
        </w:rPr>
        <w:t xml:space="preserve"> regime, it typically sets the central parity equal to the actual exchange rate (Brooks and </w:t>
      </w:r>
      <w:proofErr w:type="spellStart"/>
      <w:r>
        <w:rPr>
          <w:rFonts w:ascii="Times New Roman" w:hAnsi="Times New Roman" w:cs="Times New Roman"/>
        </w:rPr>
        <w:t>Revéiz</w:t>
      </w:r>
      <w:proofErr w:type="spellEnd"/>
      <w:r>
        <w:rPr>
          <w:rFonts w:ascii="Times New Roman" w:hAnsi="Times New Roman" w:cs="Times New Roman"/>
        </w:rPr>
        <w:t xml:space="preserve"> 2002; Lundbergh and </w:t>
      </w:r>
      <w:proofErr w:type="spellStart"/>
      <w:r>
        <w:rPr>
          <w:rFonts w:ascii="Times New Roman" w:hAnsi="Times New Roman" w:cs="Times New Roman"/>
        </w:rPr>
        <w:t>Terasvirta</w:t>
      </w:r>
      <w:proofErr w:type="spellEnd"/>
      <w:r>
        <w:rPr>
          <w:rFonts w:ascii="Times New Roman" w:hAnsi="Times New Roman" w:cs="Times New Roman"/>
        </w:rPr>
        <w:t xml:space="preserve"> 2006), we assume that the two are equal at the start. Thus, the sum of the residuals from the start of a regime to the current trading day accurately captures the cumulative percentage deviation from the central parity.</w:t>
      </w:r>
    </w:p>
  </w:footnote>
  <w:footnote w:id="9">
    <w:p w14:paraId="4BE861B2" w14:textId="1F1E1CE9" w:rsidR="0074478A" w:rsidRDefault="00690393">
      <w:pPr>
        <w:pStyle w:val="FootnoteText"/>
        <w:jc w:val="both"/>
      </w:pPr>
      <w:r>
        <w:rPr>
          <w:rStyle w:val="FootnoteReference"/>
        </w:rPr>
        <w:footnoteRef/>
      </w:r>
      <w:r>
        <w:rPr>
          <w:rFonts w:ascii="Times New Roman" w:hAnsi="Times New Roman" w:cs="Times New Roman" w:hint="eastAsia"/>
        </w:rPr>
        <w:t xml:space="preserve"> The specification of exchange rate dynamics within a target band we adopt here differs from the Krugman target zone model. In his model, rational expectations imply a distribution that is not a random walk inside the band, because speculators face a one-sided bet as the exchange rate draws close to the margin of the target zone. However, in our definition, the exchange rate can wander outside the margins, and so it is not a one-sided bet, </w:t>
      </w:r>
      <w:r w:rsidR="00C941BB">
        <w:rPr>
          <w:rFonts w:ascii="Times New Roman" w:hAnsi="Times New Roman" w:cs="Times New Roman"/>
        </w:rPr>
        <w:t>allowing us</w:t>
      </w:r>
      <w:r>
        <w:rPr>
          <w:rFonts w:ascii="Times New Roman" w:hAnsi="Times New Roman" w:cs="Times New Roman" w:hint="eastAsia"/>
        </w:rPr>
        <w:t xml:space="preserve"> to model exchange rate changes inside the target band with a random walk.</w:t>
      </w:r>
    </w:p>
  </w:footnote>
  <w:footnote w:id="10">
    <w:p w14:paraId="2CF8CA8C"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Frankel (2019) notes, in addition to the</w:t>
      </w:r>
      <w:r>
        <w:rPr>
          <w:rFonts w:ascii="Times New Roman" w:hAnsi="Times New Roman" w:cs="Times New Roman" w:hint="eastAsia"/>
        </w:rPr>
        <w:t xml:space="preserve"> systematic managed floating regime explicitly defined here, </w:t>
      </w:r>
      <w:r>
        <w:rPr>
          <w:rFonts w:ascii="Times New Roman" w:hAnsi="Times New Roman" w:cs="Times New Roman"/>
        </w:rPr>
        <w:t>there are murky</w:t>
      </w:r>
      <w:r>
        <w:rPr>
          <w:rFonts w:ascii="Times New Roman" w:hAnsi="Times New Roman" w:cs="Times New Roman" w:hint="eastAsia"/>
        </w:rPr>
        <w:t xml:space="preserve"> intermediate</w:t>
      </w:r>
      <w:r>
        <w:rPr>
          <w:rFonts w:ascii="Times New Roman" w:hAnsi="Times New Roman" w:cs="Times New Roman"/>
        </w:rPr>
        <w:t xml:space="preserve"> regimes</w:t>
      </w:r>
      <w:r>
        <w:rPr>
          <w:rFonts w:ascii="Times New Roman" w:hAnsi="Times New Roman" w:cs="Times New Roman" w:hint="eastAsia"/>
        </w:rPr>
        <w:t xml:space="preserve">. </w:t>
      </w:r>
      <w:r>
        <w:rPr>
          <w:rFonts w:ascii="Times New Roman" w:hAnsi="Times New Roman" w:cs="Times New Roman"/>
        </w:rPr>
        <w:t xml:space="preserve">Unlike under </w:t>
      </w:r>
      <w:r>
        <w:rPr>
          <w:rFonts w:ascii="Times New Roman" w:hAnsi="Times New Roman" w:cs="Times New Roman" w:hint="eastAsia"/>
        </w:rPr>
        <w:t>systematic managed</w:t>
      </w:r>
      <w:r>
        <w:rPr>
          <w:rFonts w:ascii="Times New Roman" w:hAnsi="Times New Roman" w:cs="Times New Roman"/>
        </w:rPr>
        <w:t xml:space="preserve"> floating regimes, under </w:t>
      </w:r>
      <w:r>
        <w:rPr>
          <w:rFonts w:ascii="Times New Roman" w:hAnsi="Times New Roman" w:cs="Times New Roman" w:hint="eastAsia"/>
        </w:rPr>
        <w:t>murky regimes,</w:t>
      </w:r>
      <w:r>
        <w:rPr>
          <w:rFonts w:ascii="Times New Roman" w:hAnsi="Times New Roman" w:cs="Times New Roman"/>
        </w:rPr>
        <w:t xml:space="preserve"> </w:t>
      </w:r>
      <w:r>
        <w:rPr>
          <w:rFonts w:ascii="Times New Roman" w:hAnsi="Times New Roman" w:cs="Times New Roman" w:hint="eastAsia"/>
        </w:rPr>
        <w:t>the authority intervenes in the foreign exchange market without a clear rule</w:t>
      </w:r>
      <w:r>
        <w:rPr>
          <w:rFonts w:ascii="Times New Roman" w:hAnsi="Times New Roman" w:cs="Times New Roman"/>
        </w:rPr>
        <w:t>.</w:t>
      </w:r>
      <w:r>
        <w:rPr>
          <w:rFonts w:ascii="Times New Roman" w:hAnsi="Times New Roman" w:cs="Times New Roman" w:hint="eastAsia"/>
        </w:rPr>
        <w:t xml:space="preserve"> Though this kind of regime</w:t>
      </w:r>
      <w:r>
        <w:rPr>
          <w:rFonts w:ascii="Times New Roman" w:hAnsi="Times New Roman" w:cs="Times New Roman"/>
        </w:rPr>
        <w:t xml:space="preserve"> </w:t>
      </w:r>
      <w:r>
        <w:rPr>
          <w:rFonts w:ascii="Times New Roman" w:hAnsi="Times New Roman" w:cs="Times New Roman" w:hint="eastAsia"/>
        </w:rPr>
        <w:t>can</w:t>
      </w:r>
      <w:r>
        <w:rPr>
          <w:rFonts w:ascii="Times New Roman" w:hAnsi="Times New Roman" w:cs="Times New Roman"/>
        </w:rPr>
        <w:t xml:space="preserve"> </w:t>
      </w:r>
      <w:r>
        <w:rPr>
          <w:rFonts w:ascii="Times New Roman" w:hAnsi="Times New Roman" w:cs="Times New Roman" w:hint="eastAsia"/>
        </w:rPr>
        <w:t>scarcely</w:t>
      </w:r>
      <w:r>
        <w:rPr>
          <w:rFonts w:ascii="Times New Roman" w:hAnsi="Times New Roman" w:cs="Times New Roman"/>
        </w:rPr>
        <w:t xml:space="preserve"> be parameterized</w:t>
      </w:r>
      <w:r>
        <w:rPr>
          <w:rFonts w:ascii="Times New Roman" w:hAnsi="Times New Roman" w:cs="Times New Roman" w:hint="eastAsia"/>
        </w:rPr>
        <w:t>, the authority</w:t>
      </w:r>
      <w:r>
        <w:rPr>
          <w:rFonts w:ascii="Times New Roman" w:hAnsi="Times New Roman" w:cs="Times New Roman"/>
        </w:rPr>
        <w:t>’</w:t>
      </w:r>
      <w:r>
        <w:rPr>
          <w:rFonts w:ascii="Times New Roman" w:hAnsi="Times New Roman" w:cs="Times New Roman" w:hint="eastAsia"/>
        </w:rPr>
        <w:t>s intervention under this regime may still make the dynamics of the exchange rate depart from a random walk and lead to the rejection of the null hypothesis of the unit root test. In the estimation procedure we will discuss later, we utilize this fact to distinguish murky regimes from BBC regimes, just as we similarly do for systematic managed floating, and group together these regimes and systematic managed floating regimes into managed floating regimes.</w:t>
      </w:r>
    </w:p>
  </w:footnote>
  <w:footnote w:id="11">
    <w:p w14:paraId="5F7F3160" w14:textId="402F5BB8"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intensity of intervention can also be </w:t>
      </w:r>
      <w:r>
        <w:rPr>
          <w:rFonts w:ascii="Times New Roman" w:hAnsi="Times New Roman" w:cs="Times New Roman" w:hint="eastAsia"/>
        </w:rPr>
        <w:t>inferred</w:t>
      </w:r>
      <w:r>
        <w:rPr>
          <w:rFonts w:ascii="Times New Roman" w:hAnsi="Times New Roman" w:cs="Times New Roman"/>
        </w:rPr>
        <w:t xml:space="preserve"> </w:t>
      </w:r>
      <w:r>
        <w:rPr>
          <w:rFonts w:ascii="Times New Roman" w:hAnsi="Times New Roman" w:cs="Times New Roman" w:hint="eastAsia"/>
        </w:rPr>
        <w:t>by</w:t>
      </w:r>
      <w:r>
        <w:rPr>
          <w:rFonts w:ascii="Times New Roman" w:hAnsi="Times New Roman" w:cs="Times New Roman"/>
        </w:rPr>
        <w:t xml:space="preserve"> the </w:t>
      </w:r>
      <w:r>
        <w:rPr>
          <w:rFonts w:ascii="Times New Roman" w:hAnsi="Times New Roman" w:cs="Times New Roman" w:hint="eastAsia"/>
        </w:rPr>
        <w:t xml:space="preserve">estimated </w:t>
      </w:r>
      <w:r>
        <w:rPr>
          <w:rFonts w:ascii="Times New Roman" w:hAnsi="Times New Roman" w:cs="Times New Roman"/>
        </w:rPr>
        <w:t xml:space="preserve">coefficient of the lagged term of the autoregressive process outside the band. </w:t>
      </w:r>
      <w:r>
        <w:rPr>
          <w:rFonts w:ascii="Times New Roman" w:hAnsi="Times New Roman" w:cs="Times New Roman" w:hint="eastAsia"/>
        </w:rPr>
        <w:t xml:space="preserve">However, throughout this paper, we choose to use </w:t>
      </w:r>
      <w:proofErr w:type="gramStart"/>
      <w:r>
        <w:rPr>
          <w:rFonts w:ascii="Times New Roman" w:hAnsi="Times New Roman" w:cs="Times New Roman" w:hint="eastAsia"/>
        </w:rPr>
        <w:t>the  standard</w:t>
      </w:r>
      <w:proofErr w:type="gramEnd"/>
      <w:r>
        <w:rPr>
          <w:rFonts w:ascii="Times New Roman" w:hAnsi="Times New Roman" w:cs="Times New Roman" w:hint="eastAsia"/>
        </w:rPr>
        <w:t xml:space="preserve"> deviation of the error term as </w:t>
      </w:r>
      <w:r w:rsidR="00E5001C">
        <w:rPr>
          <w:rFonts w:ascii="Times New Roman" w:hAnsi="Times New Roman" w:cs="Times New Roman"/>
        </w:rPr>
        <w:t>an (inverse)</w:t>
      </w:r>
      <w:r>
        <w:rPr>
          <w:rFonts w:ascii="Times New Roman" w:hAnsi="Times New Roman" w:cs="Times New Roman" w:hint="eastAsia"/>
        </w:rPr>
        <w:t xml:space="preserve"> proxy for intensity of intervention</w:t>
      </w:r>
      <w:r w:rsidR="00D71EF2">
        <w:rPr>
          <w:rFonts w:ascii="Times New Roman" w:hAnsi="Times New Roman" w:cs="Times New Roman"/>
        </w:rPr>
        <w:t>,</w:t>
      </w:r>
      <w:r>
        <w:rPr>
          <w:rFonts w:ascii="Times New Roman" w:hAnsi="Times New Roman" w:cs="Times New Roman" w:hint="eastAsia"/>
        </w:rPr>
        <w:t xml:space="preserve"> because the estimates of the </w:t>
      </w:r>
      <w:r>
        <w:rPr>
          <w:rFonts w:ascii="Times New Roman" w:hAnsi="Times New Roman" w:cs="Times New Roman"/>
        </w:rPr>
        <w:t>coefficient of the lagged term</w:t>
      </w:r>
      <w:r>
        <w:rPr>
          <w:rFonts w:ascii="Times New Roman" w:hAnsi="Times New Roman" w:cs="Times New Roman" w:hint="eastAsia"/>
        </w:rPr>
        <w:t xml:space="preserve"> we obtain are sometimes misleading. The misidentification is particularly evident when the intervention targets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rPr>
        <w:t xml:space="preserve"> </w:t>
      </w:r>
      <w:r>
        <w:rPr>
          <w:rFonts w:ascii="Times New Roman" w:hAnsi="Times New Roman" w:cs="Times New Roman" w:hint="eastAsia"/>
        </w:rPr>
        <w:t xml:space="preserve">the authority sets are close to the value of </w:t>
      </w:r>
      <w:r>
        <w:rPr>
          <w:rFonts w:ascii="Times New Roman" w:hAnsi="Times New Roman" w:cs="Times New Roman"/>
        </w:rPr>
        <w:t xml:space="preserve">the </w:t>
      </w:r>
      <w:r>
        <w:rPr>
          <w:rFonts w:ascii="Times New Roman" w:hAnsi="Times New Roman" w:cs="Times New Roman" w:hint="eastAsia"/>
        </w:rPr>
        <w:t xml:space="preserve">lagged term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oMath>
      <w:r>
        <w:rPr>
          <w:rFonts w:ascii="Times New Roman" w:hAnsi="Times New Roman" w:cs="Times New Roman"/>
        </w:rPr>
        <w:t xml:space="preserve"> outside the band</w:t>
      </w:r>
      <w:r>
        <w:rPr>
          <w:rFonts w:ascii="Times New Roman" w:hAnsi="Times New Roman" w:cs="Times New Roman" w:hint="eastAsia"/>
        </w:rPr>
        <w:t xml:space="preserve">, under which </w:t>
      </w:r>
      <w:r>
        <w:rPr>
          <w:rFonts w:ascii="Times New Roman" w:hAnsi="Times New Roman" w:cs="Times New Roman"/>
        </w:rPr>
        <w:t xml:space="preserve">the </w:t>
      </w:r>
      <w:r>
        <w:rPr>
          <w:rFonts w:ascii="Times New Roman" w:hAnsi="Times New Roman" w:cs="Times New Roman" w:hint="eastAsia"/>
        </w:rPr>
        <w:t xml:space="preserve">econometric procedure typically overestimates the coefficient of the lagged term and underestimates the intercept term, as much of the intercept term is now mistaken for a part of the autoregressive term. In the extreme case, the estimated coefficient of the lagged term can be close to 1 though the intensity of intervention is </w:t>
      </w:r>
      <w:proofErr w:type="gramStart"/>
      <w:r>
        <w:rPr>
          <w:rFonts w:ascii="Times New Roman" w:hAnsi="Times New Roman" w:cs="Times New Roman" w:hint="eastAsia"/>
        </w:rPr>
        <w:t xml:space="preserve">actually </w:t>
      </w:r>
      <w:r>
        <w:rPr>
          <w:rFonts w:ascii="Times New Roman" w:hAnsi="Times New Roman" w:cs="Times New Roman"/>
        </w:rPr>
        <w:t>substantial</w:t>
      </w:r>
      <w:proofErr w:type="gramEnd"/>
      <w:r>
        <w:rPr>
          <w:rFonts w:ascii="Times New Roman" w:hAnsi="Times New Roman" w:cs="Times New Roman" w:hint="eastAsia"/>
        </w:rPr>
        <w:t>. (We will see th</w:t>
      </w:r>
      <w:r>
        <w:rPr>
          <w:rFonts w:ascii="Times New Roman" w:hAnsi="Times New Roman" w:cs="Times New Roman"/>
        </w:rPr>
        <w:t>is</w:t>
      </w:r>
      <w:r>
        <w:rPr>
          <w:rFonts w:ascii="Times New Roman" w:hAnsi="Times New Roman" w:cs="Times New Roman" w:hint="eastAsia"/>
        </w:rPr>
        <w:t xml:space="preserve"> scenario in the section describing the estimation results.) However, no matter whether this misspecification emerges, we can always correctly </w:t>
      </w:r>
      <w:r>
        <w:rPr>
          <w:rFonts w:ascii="Times New Roman" w:hAnsi="Times New Roman" w:cs="Times New Roman"/>
        </w:rPr>
        <w:t>detect</w:t>
      </w:r>
      <w:r>
        <w:rPr>
          <w:rFonts w:ascii="Times New Roman" w:hAnsi="Times New Roman" w:cs="Times New Roman" w:hint="eastAsia"/>
        </w:rPr>
        <w:t xml:space="preserve"> </w:t>
      </w:r>
      <w:r w:rsidR="006D7BA0">
        <w:rPr>
          <w:rFonts w:ascii="Times New Roman" w:hAnsi="Times New Roman" w:cs="Times New Roman"/>
        </w:rPr>
        <w:t>higher</w:t>
      </w:r>
      <w:r>
        <w:rPr>
          <w:rFonts w:ascii="Times New Roman" w:hAnsi="Times New Roman" w:cs="Times New Roman" w:hint="eastAsia"/>
        </w:rPr>
        <w:t xml:space="preserve"> intensity of intervention by </w:t>
      </w:r>
      <w:r w:rsidR="006D7BA0">
        <w:rPr>
          <w:rFonts w:ascii="Times New Roman" w:hAnsi="Times New Roman" w:cs="Times New Roman"/>
        </w:rPr>
        <w:t xml:space="preserve">lower </w:t>
      </w:r>
      <w:r>
        <w:rPr>
          <w:rFonts w:ascii="Times New Roman" w:hAnsi="Times New Roman" w:cs="Times New Roman" w:hint="eastAsia"/>
        </w:rPr>
        <w:t xml:space="preserve">volatility of the error term. </w:t>
      </w:r>
    </w:p>
  </w:footnote>
  <w:footnote w:id="12">
    <w:p w14:paraId="2D962BE2" w14:textId="37393165"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One potential solution </w:t>
      </w:r>
      <w:r>
        <w:rPr>
          <w:rFonts w:ascii="Times New Roman" w:hAnsi="Times New Roman" w:cs="Times New Roman" w:hint="eastAsia"/>
        </w:rPr>
        <w:t xml:space="preserve">is to decompose the two-dimensional inference problem into two subproblems of one-dimensional inference. For instance, we may first identify structural breaks of exchange rate regimes in the time </w:t>
      </w:r>
      <w:r>
        <w:rPr>
          <w:rFonts w:ascii="Times New Roman" w:hAnsi="Times New Roman" w:cs="Times New Roman"/>
        </w:rPr>
        <w:t>dimension</w:t>
      </w:r>
      <w:r>
        <w:rPr>
          <w:rFonts w:ascii="Times New Roman" w:hAnsi="Times New Roman" w:cs="Times New Roman" w:hint="eastAsia"/>
        </w:rPr>
        <w:t xml:space="preserve"> by using breakpoint detection techniques like that used by Frankel and Xie (2010), and then estimate a three-regime TAR model within the segment between two adjacent break points in the state dimension. However, the drawback of this solution is notable. The Frankel-Xie method allows us to identify two types of exchange regime changes, changes in the basket of currencies a country pegs </w:t>
      </w:r>
      <w:r>
        <w:rPr>
          <w:rFonts w:ascii="Times New Roman" w:hAnsi="Times New Roman" w:cs="Times New Roman"/>
        </w:rPr>
        <w:t xml:space="preserve">its exchange rate to </w:t>
      </w:r>
      <w:r>
        <w:rPr>
          <w:rFonts w:ascii="Times New Roman" w:hAnsi="Times New Roman" w:cs="Times New Roman" w:hint="eastAsia"/>
        </w:rPr>
        <w:t>and changes in exchange rate flexibility. Nevertheless, as we show before, there are other types of regime changes, such as changes in the pattern of intervention, that cannot be detected by observing the variation in exchange rate flexibility or the pegged basket. For example, if the monetary authority keeps the pegged basket unchanged and switches between two regimes with similar exchange rate flexibility (e.g.</w:t>
      </w:r>
      <w:r w:rsidR="00496922">
        <w:rPr>
          <w:rFonts w:ascii="Times New Roman" w:hAnsi="Times New Roman" w:cs="Times New Roman"/>
        </w:rPr>
        <w:t>,</w:t>
      </w:r>
      <w:r>
        <w:rPr>
          <w:rFonts w:ascii="Times New Roman" w:hAnsi="Times New Roman" w:cs="Times New Roman" w:hint="eastAsia"/>
        </w:rPr>
        <w:t xml:space="preserve"> from a managed float to a BBC regime or from a BBC regime with a loose</w:t>
      </w:r>
      <w:r w:rsidR="003C3101">
        <w:rPr>
          <w:rFonts w:ascii="Times New Roman" w:hAnsi="Times New Roman" w:cs="Times New Roman"/>
        </w:rPr>
        <w:t>ly</w:t>
      </w:r>
      <w:r>
        <w:rPr>
          <w:rFonts w:ascii="Times New Roman" w:hAnsi="Times New Roman" w:cs="Times New Roman" w:hint="eastAsia"/>
        </w:rPr>
        <w:t xml:space="preserve">-managed narrow band to a BBC regime with a strict but wide band), the Frankel-Xie method will not detect a regime change </w:t>
      </w:r>
      <w:r w:rsidR="003C3101">
        <w:rPr>
          <w:rFonts w:ascii="Times New Roman" w:hAnsi="Times New Roman" w:cs="Times New Roman"/>
        </w:rPr>
        <w:t>even though</w:t>
      </w:r>
      <w:r w:rsidR="00DB67DB">
        <w:rPr>
          <w:rFonts w:ascii="Times New Roman" w:hAnsi="Times New Roman" w:cs="Times New Roman"/>
        </w:rPr>
        <w:t xml:space="preserve"> it takes place</w:t>
      </w:r>
      <w:r>
        <w:rPr>
          <w:rFonts w:ascii="Times New Roman" w:hAnsi="Times New Roman" w:cs="Times New Roman" w:hint="eastAsia"/>
        </w:rPr>
        <w:t>.</w:t>
      </w:r>
    </w:p>
  </w:footnote>
  <w:footnote w:id="13">
    <w:p w14:paraId="751E482D"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rPr>
        <w:t>Yau et al. (2015)</w:t>
      </w:r>
      <w:r>
        <w:rPr>
          <w:rFonts w:ascii="Times New Roman" w:hAnsi="Times New Roman" w:cs="Times New Roman"/>
        </w:rPr>
        <w:t xml:space="preserve"> </w:t>
      </w:r>
      <w:proofErr w:type="gramStart"/>
      <w:r>
        <w:rPr>
          <w:rFonts w:ascii="Times New Roman" w:hAnsi="Times New Roman" w:cs="Times New Roman"/>
        </w:rPr>
        <w:t>infer</w:t>
      </w:r>
      <w:proofErr w:type="gramEnd"/>
      <w:r>
        <w:rPr>
          <w:rFonts w:ascii="Times New Roman" w:hAnsi="Times New Roman" w:cs="Times New Roman"/>
        </w:rPr>
        <w:t xml:space="preserve"> the number of r</w:t>
      </w:r>
      <w:r>
        <w:rPr>
          <w:rFonts w:ascii="Times New Roman" w:hAnsi="Times New Roman" w:cs="Times New Roman" w:hint="eastAsia"/>
        </w:rPr>
        <w:t>egimes and the lagged order of each regime</w:t>
      </w:r>
      <w:r>
        <w:rPr>
          <w:rFonts w:ascii="Times New Roman" w:hAnsi="Times New Roman" w:cs="Times New Roman"/>
        </w:rPr>
        <w:t xml:space="preserve"> in a TAR model via statistical </w:t>
      </w:r>
      <w:r>
        <w:rPr>
          <w:rFonts w:ascii="Times New Roman" w:hAnsi="Times New Roman" w:cs="Times New Roman" w:hint="eastAsia"/>
        </w:rPr>
        <w:t>inference. In contrast,</w:t>
      </w:r>
      <w:r>
        <w:rPr>
          <w:rFonts w:ascii="Times New Roman" w:hAnsi="Times New Roman" w:cs="Times New Roman"/>
        </w:rPr>
        <w:t xml:space="preserve"> we restricted </w:t>
      </w:r>
      <w:r>
        <w:rPr>
          <w:rFonts w:ascii="Times New Roman" w:hAnsi="Times New Roman" w:cs="Times New Roman" w:hint="eastAsia"/>
        </w:rPr>
        <w:t>the number of regimes</w:t>
      </w:r>
      <w:r>
        <w:rPr>
          <w:rFonts w:ascii="Times New Roman" w:hAnsi="Times New Roman" w:cs="Times New Roman"/>
        </w:rPr>
        <w:t xml:space="preserve"> to three</w:t>
      </w:r>
      <w:r>
        <w:rPr>
          <w:rFonts w:ascii="Times New Roman" w:hAnsi="Times New Roman" w:cs="Times New Roman" w:hint="eastAsia"/>
        </w:rPr>
        <w:t xml:space="preserve"> and the lagged order to </w:t>
      </w:r>
      <w:r>
        <w:rPr>
          <w:rFonts w:ascii="Times New Roman" w:hAnsi="Times New Roman" w:cs="Times New Roman"/>
        </w:rPr>
        <w:t xml:space="preserve">one, to accord with </w:t>
      </w:r>
      <w:r>
        <w:rPr>
          <w:rFonts w:ascii="Times New Roman" w:hAnsi="Times New Roman" w:cs="Times New Roman" w:hint="eastAsia"/>
        </w:rPr>
        <w:t>the practice that a monetary authority running a BBC regime typically follows</w:t>
      </w:r>
      <w:r>
        <w:rPr>
          <w:rFonts w:ascii="Times New Roman" w:hAnsi="Times New Roman" w:cs="Times New Roman"/>
        </w:rPr>
        <w:t>.</w:t>
      </w:r>
    </w:p>
  </w:footnote>
  <w:footnote w:id="14">
    <w:p w14:paraId="25C3E6B4"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rPr>
        <w:t>The PACIFIC Exchange Rate Service database provides daily exchange rate data from 79 economies</w:t>
      </w:r>
      <w:r>
        <w:rPr>
          <w:rFonts w:ascii="Times New Roman" w:hAnsi="Times New Roman" w:cs="Times New Roman"/>
        </w:rPr>
        <w:t>. We</w:t>
      </w:r>
      <w:r>
        <w:rPr>
          <w:rFonts w:ascii="Times New Roman" w:hAnsi="Times New Roman" w:cs="Times New Roman" w:hint="eastAsia"/>
        </w:rPr>
        <w:t xml:space="preserve"> </w:t>
      </w:r>
      <w:r>
        <w:rPr>
          <w:rFonts w:ascii="Times New Roman" w:hAnsi="Times New Roman" w:cs="Times New Roman"/>
        </w:rPr>
        <w:t>report</w:t>
      </w:r>
      <w:r>
        <w:rPr>
          <w:rFonts w:ascii="Times New Roman" w:hAnsi="Times New Roman" w:cs="Times New Roman" w:hint="eastAsia"/>
        </w:rPr>
        <w:t xml:space="preserve"> the estimation results of</w:t>
      </w:r>
      <w:r>
        <w:rPr>
          <w:rFonts w:ascii="Times New Roman" w:hAnsi="Times New Roman" w:cs="Times New Roman"/>
        </w:rPr>
        <w:t xml:space="preserve"> </w:t>
      </w:r>
      <w:r>
        <w:rPr>
          <w:rFonts w:ascii="Times New Roman" w:hAnsi="Times New Roman" w:cs="Times New Roman" w:hint="eastAsia"/>
        </w:rPr>
        <w:t xml:space="preserve">only </w:t>
      </w:r>
      <w:r>
        <w:rPr>
          <w:rFonts w:ascii="Times New Roman" w:hAnsi="Times New Roman" w:cs="Times New Roman"/>
        </w:rPr>
        <w:t>some of the</w:t>
      </w:r>
      <w:r>
        <w:rPr>
          <w:rFonts w:ascii="Times New Roman" w:hAnsi="Times New Roman" w:cs="Times New Roman" w:hint="eastAsia"/>
        </w:rPr>
        <w:t>se economies</w:t>
      </w:r>
      <w:r>
        <w:rPr>
          <w:rFonts w:ascii="Times New Roman" w:hAnsi="Times New Roman" w:cs="Times New Roman"/>
        </w:rPr>
        <w:t xml:space="preserve"> due to space limitation</w:t>
      </w:r>
      <w:r>
        <w:rPr>
          <w:rFonts w:ascii="Times New Roman" w:hAnsi="Times New Roman" w:cs="Times New Roman" w:hint="eastAsia"/>
        </w:rPr>
        <w:t>s</w:t>
      </w:r>
      <w:r>
        <w:rPr>
          <w:rFonts w:ascii="Times New Roman" w:hAnsi="Times New Roman" w:cs="Times New Roman"/>
        </w:rPr>
        <w:t>.</w:t>
      </w:r>
    </w:p>
  </w:footnote>
  <w:footnote w:id="15">
    <w:p w14:paraId="677640B5"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Some estimates of the coefficient of the lagged term outside the band </w:t>
      </w:r>
      <w:r>
        <w:rPr>
          <w:rFonts w:ascii="Times New Roman" w:hAnsi="Times New Roman" w:cs="Times New Roman" w:hint="eastAsia"/>
        </w:rPr>
        <w:t>are</w:t>
      </w:r>
      <w:r>
        <w:rPr>
          <w:rFonts w:ascii="Times New Roman" w:hAnsi="Times New Roman" w:cs="Times New Roman"/>
        </w:rPr>
        <w:t xml:space="preserve"> close to 1</w:t>
      </w:r>
      <w:r>
        <w:rPr>
          <w:rFonts w:ascii="Times New Roman" w:hAnsi="Times New Roman" w:cs="Times New Roman" w:hint="eastAsia"/>
        </w:rPr>
        <w:t>, thus contradicting the corresponding intensity estimated by our procedure. We attribute the inconsistency to the misidentification we point out in Footnote 11.</w:t>
      </w:r>
    </w:p>
  </w:footnote>
  <w:footnote w:id="16">
    <w:p w14:paraId="3E9D5E3C" w14:textId="77777777" w:rsidR="0074478A" w:rsidRDefault="006903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w:t>
      </w:r>
      <w:r>
        <w:rPr>
          <w:rFonts w:ascii="Times New Roman" w:hAnsi="Times New Roman" w:cs="Times New Roman" w:hint="eastAsia"/>
        </w:rPr>
        <w:t>Rajan (2010)</w:t>
      </w:r>
      <w:r>
        <w:rPr>
          <w:rFonts w:ascii="Times New Roman" w:hAnsi="Times New Roman" w:cs="Times New Roman"/>
        </w:rPr>
        <w:t>, Frankel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6A8E68"/>
    <w:multiLevelType w:val="multilevel"/>
    <w:tmpl w:val="966A8E68"/>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9ECBE40"/>
    <w:multiLevelType w:val="singleLevel"/>
    <w:tmpl w:val="39ECBE40"/>
    <w:lvl w:ilvl="0">
      <w:start w:val="1"/>
      <w:numFmt w:val="decimal"/>
      <w:suff w:val="space"/>
      <w:lvlText w:val="%1."/>
      <w:lvlJc w:val="left"/>
    </w:lvl>
  </w:abstractNum>
  <w:abstractNum w:abstractNumId="2" w15:restartNumberingAfterBreak="0">
    <w:nsid w:val="685506E1"/>
    <w:multiLevelType w:val="singleLevel"/>
    <w:tmpl w:val="685506E1"/>
    <w:lvl w:ilvl="0">
      <w:start w:val="1"/>
      <w:numFmt w:val="lowerLetter"/>
      <w:suff w:val="space"/>
      <w:lvlText w:val="(%1)"/>
      <w:lvlJc w:val="left"/>
    </w:lvl>
  </w:abstractNum>
  <w:num w:numId="1" w16cid:durableId="1045300165">
    <w:abstractNumId w:val="1"/>
  </w:num>
  <w:num w:numId="2" w16cid:durableId="1844005417">
    <w:abstractNumId w:val="0"/>
  </w:num>
  <w:num w:numId="3" w16cid:durableId="88841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4ZWE1OWEwMDNiYzM2MWRjODUzZWY4ZWRlODA4OWIifQ=="/>
  </w:docVars>
  <w:rsids>
    <w:rsidRoot w:val="313E2F61"/>
    <w:rsid w:val="000209D8"/>
    <w:rsid w:val="00031740"/>
    <w:rsid w:val="000363ED"/>
    <w:rsid w:val="00051FE6"/>
    <w:rsid w:val="00052B27"/>
    <w:rsid w:val="00066BC6"/>
    <w:rsid w:val="00067438"/>
    <w:rsid w:val="00071539"/>
    <w:rsid w:val="000728F3"/>
    <w:rsid w:val="0007576F"/>
    <w:rsid w:val="00080C11"/>
    <w:rsid w:val="00087215"/>
    <w:rsid w:val="00094CE9"/>
    <w:rsid w:val="00095A04"/>
    <w:rsid w:val="000B0E56"/>
    <w:rsid w:val="000B118F"/>
    <w:rsid w:val="000C7CF9"/>
    <w:rsid w:val="000D3754"/>
    <w:rsid w:val="000D416A"/>
    <w:rsid w:val="001000F5"/>
    <w:rsid w:val="00103A58"/>
    <w:rsid w:val="0011468C"/>
    <w:rsid w:val="001153D4"/>
    <w:rsid w:val="001226D8"/>
    <w:rsid w:val="00126095"/>
    <w:rsid w:val="001301B7"/>
    <w:rsid w:val="001349C7"/>
    <w:rsid w:val="0014615D"/>
    <w:rsid w:val="00155AE5"/>
    <w:rsid w:val="00190179"/>
    <w:rsid w:val="001921DF"/>
    <w:rsid w:val="001A2119"/>
    <w:rsid w:val="001A45D1"/>
    <w:rsid w:val="001A5798"/>
    <w:rsid w:val="001A7646"/>
    <w:rsid w:val="001C187A"/>
    <w:rsid w:val="001C34D9"/>
    <w:rsid w:val="001C4D3A"/>
    <w:rsid w:val="001F4887"/>
    <w:rsid w:val="001F53CC"/>
    <w:rsid w:val="00211718"/>
    <w:rsid w:val="0022352F"/>
    <w:rsid w:val="00225C70"/>
    <w:rsid w:val="002264B8"/>
    <w:rsid w:val="00236405"/>
    <w:rsid w:val="0024272B"/>
    <w:rsid w:val="002442A7"/>
    <w:rsid w:val="00277A3B"/>
    <w:rsid w:val="002A0225"/>
    <w:rsid w:val="002A336D"/>
    <w:rsid w:val="002A42E2"/>
    <w:rsid w:val="002A7CF6"/>
    <w:rsid w:val="002E2F42"/>
    <w:rsid w:val="002E52F2"/>
    <w:rsid w:val="002E6127"/>
    <w:rsid w:val="002E76B9"/>
    <w:rsid w:val="002F13F9"/>
    <w:rsid w:val="002F4CF4"/>
    <w:rsid w:val="002F51F3"/>
    <w:rsid w:val="003015EF"/>
    <w:rsid w:val="003076EE"/>
    <w:rsid w:val="00326039"/>
    <w:rsid w:val="003449E1"/>
    <w:rsid w:val="003529A4"/>
    <w:rsid w:val="003531C9"/>
    <w:rsid w:val="00357C26"/>
    <w:rsid w:val="00364A1F"/>
    <w:rsid w:val="00370558"/>
    <w:rsid w:val="00370E3F"/>
    <w:rsid w:val="003759E9"/>
    <w:rsid w:val="00376656"/>
    <w:rsid w:val="0038263C"/>
    <w:rsid w:val="00397D96"/>
    <w:rsid w:val="003A1AAD"/>
    <w:rsid w:val="003A3431"/>
    <w:rsid w:val="003A6A45"/>
    <w:rsid w:val="003A6E58"/>
    <w:rsid w:val="003B1DAC"/>
    <w:rsid w:val="003B1DC3"/>
    <w:rsid w:val="003B680B"/>
    <w:rsid w:val="003C3101"/>
    <w:rsid w:val="003C5463"/>
    <w:rsid w:val="003C6E4A"/>
    <w:rsid w:val="003D0C0E"/>
    <w:rsid w:val="003E249D"/>
    <w:rsid w:val="003E2824"/>
    <w:rsid w:val="003F0AE4"/>
    <w:rsid w:val="003F2717"/>
    <w:rsid w:val="003F2CE6"/>
    <w:rsid w:val="003F4F7E"/>
    <w:rsid w:val="003F5FCD"/>
    <w:rsid w:val="003F6FA5"/>
    <w:rsid w:val="00401023"/>
    <w:rsid w:val="00403B55"/>
    <w:rsid w:val="00406502"/>
    <w:rsid w:val="00411E9F"/>
    <w:rsid w:val="0041327B"/>
    <w:rsid w:val="004145F9"/>
    <w:rsid w:val="0042043D"/>
    <w:rsid w:val="00424DDA"/>
    <w:rsid w:val="00434665"/>
    <w:rsid w:val="004415F5"/>
    <w:rsid w:val="00451078"/>
    <w:rsid w:val="004710EF"/>
    <w:rsid w:val="00476308"/>
    <w:rsid w:val="004809BF"/>
    <w:rsid w:val="0048100B"/>
    <w:rsid w:val="0048724B"/>
    <w:rsid w:val="00496922"/>
    <w:rsid w:val="004B15AB"/>
    <w:rsid w:val="004B3CA3"/>
    <w:rsid w:val="004B7AA5"/>
    <w:rsid w:val="004C53FC"/>
    <w:rsid w:val="004D0A73"/>
    <w:rsid w:val="004D5AEB"/>
    <w:rsid w:val="004E01F8"/>
    <w:rsid w:val="004E2D6D"/>
    <w:rsid w:val="004F0359"/>
    <w:rsid w:val="004F0BAD"/>
    <w:rsid w:val="005136F7"/>
    <w:rsid w:val="005142BA"/>
    <w:rsid w:val="0051799B"/>
    <w:rsid w:val="005227B3"/>
    <w:rsid w:val="00523CA7"/>
    <w:rsid w:val="00530715"/>
    <w:rsid w:val="00540413"/>
    <w:rsid w:val="00543DE5"/>
    <w:rsid w:val="0054647D"/>
    <w:rsid w:val="00551179"/>
    <w:rsid w:val="005513F5"/>
    <w:rsid w:val="00561DDD"/>
    <w:rsid w:val="005636C1"/>
    <w:rsid w:val="00564FF2"/>
    <w:rsid w:val="005707F0"/>
    <w:rsid w:val="00570FC7"/>
    <w:rsid w:val="0058044A"/>
    <w:rsid w:val="0059114D"/>
    <w:rsid w:val="005A0595"/>
    <w:rsid w:val="005C22F9"/>
    <w:rsid w:val="005D0FBD"/>
    <w:rsid w:val="005E610B"/>
    <w:rsid w:val="005E7498"/>
    <w:rsid w:val="005F4776"/>
    <w:rsid w:val="005F4BE2"/>
    <w:rsid w:val="00605CD2"/>
    <w:rsid w:val="00615F13"/>
    <w:rsid w:val="006212D2"/>
    <w:rsid w:val="00624D00"/>
    <w:rsid w:val="00630B8B"/>
    <w:rsid w:val="00651706"/>
    <w:rsid w:val="00654FEE"/>
    <w:rsid w:val="006572A7"/>
    <w:rsid w:val="00661E7F"/>
    <w:rsid w:val="006774DB"/>
    <w:rsid w:val="00681558"/>
    <w:rsid w:val="006856BF"/>
    <w:rsid w:val="00686BEA"/>
    <w:rsid w:val="00690393"/>
    <w:rsid w:val="006975BA"/>
    <w:rsid w:val="00697D78"/>
    <w:rsid w:val="006A0F25"/>
    <w:rsid w:val="006B0661"/>
    <w:rsid w:val="006B0B56"/>
    <w:rsid w:val="006D225E"/>
    <w:rsid w:val="006D2D03"/>
    <w:rsid w:val="006D51E2"/>
    <w:rsid w:val="006D7BA0"/>
    <w:rsid w:val="006E0D61"/>
    <w:rsid w:val="006E27D6"/>
    <w:rsid w:val="006F286D"/>
    <w:rsid w:val="00703FDA"/>
    <w:rsid w:val="00707389"/>
    <w:rsid w:val="00722599"/>
    <w:rsid w:val="00734935"/>
    <w:rsid w:val="0074478A"/>
    <w:rsid w:val="00745B63"/>
    <w:rsid w:val="00751754"/>
    <w:rsid w:val="00763A27"/>
    <w:rsid w:val="00765AFE"/>
    <w:rsid w:val="00786FCE"/>
    <w:rsid w:val="00787A10"/>
    <w:rsid w:val="00790AB2"/>
    <w:rsid w:val="007A25FF"/>
    <w:rsid w:val="007A4502"/>
    <w:rsid w:val="007C2509"/>
    <w:rsid w:val="007C3589"/>
    <w:rsid w:val="007C3EF0"/>
    <w:rsid w:val="007C6158"/>
    <w:rsid w:val="007D0CF2"/>
    <w:rsid w:val="007F05D8"/>
    <w:rsid w:val="007F3806"/>
    <w:rsid w:val="007F5E09"/>
    <w:rsid w:val="0081304F"/>
    <w:rsid w:val="00814624"/>
    <w:rsid w:val="00820493"/>
    <w:rsid w:val="00832C1D"/>
    <w:rsid w:val="00833EC0"/>
    <w:rsid w:val="00836213"/>
    <w:rsid w:val="0084083A"/>
    <w:rsid w:val="00840D77"/>
    <w:rsid w:val="00851C3E"/>
    <w:rsid w:val="00852E34"/>
    <w:rsid w:val="0085556F"/>
    <w:rsid w:val="008616F6"/>
    <w:rsid w:val="0086278D"/>
    <w:rsid w:val="00894285"/>
    <w:rsid w:val="008A66D9"/>
    <w:rsid w:val="008B10F5"/>
    <w:rsid w:val="008C0C42"/>
    <w:rsid w:val="008D421F"/>
    <w:rsid w:val="008E1AD0"/>
    <w:rsid w:val="008E42DA"/>
    <w:rsid w:val="008E4DC0"/>
    <w:rsid w:val="008F2F12"/>
    <w:rsid w:val="0090568B"/>
    <w:rsid w:val="00915087"/>
    <w:rsid w:val="00922D90"/>
    <w:rsid w:val="00922F16"/>
    <w:rsid w:val="0092426C"/>
    <w:rsid w:val="00925C60"/>
    <w:rsid w:val="00942CC4"/>
    <w:rsid w:val="00943174"/>
    <w:rsid w:val="009437F0"/>
    <w:rsid w:val="0096354D"/>
    <w:rsid w:val="0096630B"/>
    <w:rsid w:val="009705BD"/>
    <w:rsid w:val="00973B6D"/>
    <w:rsid w:val="00977ACF"/>
    <w:rsid w:val="00980819"/>
    <w:rsid w:val="009A1405"/>
    <w:rsid w:val="009A4A81"/>
    <w:rsid w:val="009A4BB9"/>
    <w:rsid w:val="009A69D3"/>
    <w:rsid w:val="009A76BC"/>
    <w:rsid w:val="009B6A0D"/>
    <w:rsid w:val="009C1386"/>
    <w:rsid w:val="009C77DC"/>
    <w:rsid w:val="009D75A3"/>
    <w:rsid w:val="009E1142"/>
    <w:rsid w:val="009E11C6"/>
    <w:rsid w:val="009E64BF"/>
    <w:rsid w:val="009F3ADB"/>
    <w:rsid w:val="009F7484"/>
    <w:rsid w:val="00A01659"/>
    <w:rsid w:val="00A05E95"/>
    <w:rsid w:val="00A1491D"/>
    <w:rsid w:val="00A239C9"/>
    <w:rsid w:val="00A26238"/>
    <w:rsid w:val="00A3150C"/>
    <w:rsid w:val="00A3373B"/>
    <w:rsid w:val="00A3645F"/>
    <w:rsid w:val="00A40110"/>
    <w:rsid w:val="00A42C3E"/>
    <w:rsid w:val="00A72EE8"/>
    <w:rsid w:val="00A87FDA"/>
    <w:rsid w:val="00A90C14"/>
    <w:rsid w:val="00AA6AE1"/>
    <w:rsid w:val="00AA7ED7"/>
    <w:rsid w:val="00AC10FD"/>
    <w:rsid w:val="00AC664B"/>
    <w:rsid w:val="00AE5A9A"/>
    <w:rsid w:val="00AE6963"/>
    <w:rsid w:val="00AF427E"/>
    <w:rsid w:val="00AF7722"/>
    <w:rsid w:val="00B00AE2"/>
    <w:rsid w:val="00B11807"/>
    <w:rsid w:val="00B17FC5"/>
    <w:rsid w:val="00B25671"/>
    <w:rsid w:val="00B3062C"/>
    <w:rsid w:val="00B41CCE"/>
    <w:rsid w:val="00B4270E"/>
    <w:rsid w:val="00B43014"/>
    <w:rsid w:val="00B53903"/>
    <w:rsid w:val="00B53916"/>
    <w:rsid w:val="00B65227"/>
    <w:rsid w:val="00B80A83"/>
    <w:rsid w:val="00B8157C"/>
    <w:rsid w:val="00B83B17"/>
    <w:rsid w:val="00B871F1"/>
    <w:rsid w:val="00B91D30"/>
    <w:rsid w:val="00BB08C4"/>
    <w:rsid w:val="00BB3C0B"/>
    <w:rsid w:val="00BB42E8"/>
    <w:rsid w:val="00BB50D6"/>
    <w:rsid w:val="00BC0210"/>
    <w:rsid w:val="00BD06FA"/>
    <w:rsid w:val="00BE3B58"/>
    <w:rsid w:val="00BE6BED"/>
    <w:rsid w:val="00BE7A9B"/>
    <w:rsid w:val="00BF1BDB"/>
    <w:rsid w:val="00BF5D42"/>
    <w:rsid w:val="00C219C1"/>
    <w:rsid w:val="00C358E1"/>
    <w:rsid w:val="00C5298F"/>
    <w:rsid w:val="00C61E20"/>
    <w:rsid w:val="00C654B9"/>
    <w:rsid w:val="00C73139"/>
    <w:rsid w:val="00C7792A"/>
    <w:rsid w:val="00C82A74"/>
    <w:rsid w:val="00C87A63"/>
    <w:rsid w:val="00C92671"/>
    <w:rsid w:val="00C941BB"/>
    <w:rsid w:val="00C9615E"/>
    <w:rsid w:val="00CA4EE3"/>
    <w:rsid w:val="00CA75D6"/>
    <w:rsid w:val="00CB078C"/>
    <w:rsid w:val="00CB53A5"/>
    <w:rsid w:val="00CD6CCE"/>
    <w:rsid w:val="00CD6F08"/>
    <w:rsid w:val="00CE4926"/>
    <w:rsid w:val="00CF2E4F"/>
    <w:rsid w:val="00D001FE"/>
    <w:rsid w:val="00D04009"/>
    <w:rsid w:val="00D042B6"/>
    <w:rsid w:val="00D07EBF"/>
    <w:rsid w:val="00D15FAE"/>
    <w:rsid w:val="00D2302E"/>
    <w:rsid w:val="00D30261"/>
    <w:rsid w:val="00D46478"/>
    <w:rsid w:val="00D51903"/>
    <w:rsid w:val="00D71EF2"/>
    <w:rsid w:val="00D749CC"/>
    <w:rsid w:val="00D77970"/>
    <w:rsid w:val="00D9118A"/>
    <w:rsid w:val="00D95584"/>
    <w:rsid w:val="00D96F74"/>
    <w:rsid w:val="00DA1DEB"/>
    <w:rsid w:val="00DA3999"/>
    <w:rsid w:val="00DA487E"/>
    <w:rsid w:val="00DB5DCE"/>
    <w:rsid w:val="00DB67DB"/>
    <w:rsid w:val="00DC1F2E"/>
    <w:rsid w:val="00DC2430"/>
    <w:rsid w:val="00DE3AD4"/>
    <w:rsid w:val="00DE714E"/>
    <w:rsid w:val="00E0274C"/>
    <w:rsid w:val="00E358F7"/>
    <w:rsid w:val="00E35C98"/>
    <w:rsid w:val="00E40F46"/>
    <w:rsid w:val="00E43CD3"/>
    <w:rsid w:val="00E47A53"/>
    <w:rsid w:val="00E47E84"/>
    <w:rsid w:val="00E5001C"/>
    <w:rsid w:val="00E53176"/>
    <w:rsid w:val="00E55361"/>
    <w:rsid w:val="00E60E61"/>
    <w:rsid w:val="00E6352D"/>
    <w:rsid w:val="00E75F24"/>
    <w:rsid w:val="00E8140C"/>
    <w:rsid w:val="00E84F10"/>
    <w:rsid w:val="00E92972"/>
    <w:rsid w:val="00E94CC6"/>
    <w:rsid w:val="00EA1A84"/>
    <w:rsid w:val="00EA1ED3"/>
    <w:rsid w:val="00EA4A79"/>
    <w:rsid w:val="00EC6323"/>
    <w:rsid w:val="00ED0E68"/>
    <w:rsid w:val="00ED654B"/>
    <w:rsid w:val="00EE5935"/>
    <w:rsid w:val="00EE5AC5"/>
    <w:rsid w:val="00EF0FC3"/>
    <w:rsid w:val="00EF7E05"/>
    <w:rsid w:val="00F1531F"/>
    <w:rsid w:val="00F204BC"/>
    <w:rsid w:val="00F246BA"/>
    <w:rsid w:val="00F272D4"/>
    <w:rsid w:val="00F30304"/>
    <w:rsid w:val="00F4229E"/>
    <w:rsid w:val="00F42F44"/>
    <w:rsid w:val="00F438F2"/>
    <w:rsid w:val="00F504C5"/>
    <w:rsid w:val="00F51B69"/>
    <w:rsid w:val="00F52746"/>
    <w:rsid w:val="00F56555"/>
    <w:rsid w:val="00F61F02"/>
    <w:rsid w:val="00F62F39"/>
    <w:rsid w:val="00F72B5B"/>
    <w:rsid w:val="00F732C2"/>
    <w:rsid w:val="00F83FD0"/>
    <w:rsid w:val="00F94DF5"/>
    <w:rsid w:val="00FA03F9"/>
    <w:rsid w:val="00FA3119"/>
    <w:rsid w:val="00FB0F03"/>
    <w:rsid w:val="00FB29AB"/>
    <w:rsid w:val="00FB34A4"/>
    <w:rsid w:val="00FC62B8"/>
    <w:rsid w:val="00FD0A72"/>
    <w:rsid w:val="00FD23CC"/>
    <w:rsid w:val="00FD4139"/>
    <w:rsid w:val="00FE0BC2"/>
    <w:rsid w:val="00FE5E5C"/>
    <w:rsid w:val="00FF0369"/>
    <w:rsid w:val="00FF0706"/>
    <w:rsid w:val="0106640A"/>
    <w:rsid w:val="011B77F6"/>
    <w:rsid w:val="013B3111"/>
    <w:rsid w:val="01536985"/>
    <w:rsid w:val="016B039A"/>
    <w:rsid w:val="01705FBE"/>
    <w:rsid w:val="01745915"/>
    <w:rsid w:val="018067FB"/>
    <w:rsid w:val="01872D8D"/>
    <w:rsid w:val="01894E0B"/>
    <w:rsid w:val="01A12C1D"/>
    <w:rsid w:val="01BC6F48"/>
    <w:rsid w:val="01C66EEA"/>
    <w:rsid w:val="01D10876"/>
    <w:rsid w:val="01F072A7"/>
    <w:rsid w:val="020568E7"/>
    <w:rsid w:val="021E0353"/>
    <w:rsid w:val="0221279F"/>
    <w:rsid w:val="022A6766"/>
    <w:rsid w:val="02306473"/>
    <w:rsid w:val="024F36AF"/>
    <w:rsid w:val="0284056C"/>
    <w:rsid w:val="02A35776"/>
    <w:rsid w:val="02D03AD2"/>
    <w:rsid w:val="02D338A2"/>
    <w:rsid w:val="02ED6112"/>
    <w:rsid w:val="03095879"/>
    <w:rsid w:val="03212738"/>
    <w:rsid w:val="03261479"/>
    <w:rsid w:val="03285D7E"/>
    <w:rsid w:val="033C15F2"/>
    <w:rsid w:val="034F225F"/>
    <w:rsid w:val="03696871"/>
    <w:rsid w:val="03BC13E1"/>
    <w:rsid w:val="03C846BC"/>
    <w:rsid w:val="03CC4C6E"/>
    <w:rsid w:val="03D0360B"/>
    <w:rsid w:val="03D13232"/>
    <w:rsid w:val="040A6E9A"/>
    <w:rsid w:val="04240D62"/>
    <w:rsid w:val="04780290"/>
    <w:rsid w:val="047D5EC6"/>
    <w:rsid w:val="04871514"/>
    <w:rsid w:val="048F77C2"/>
    <w:rsid w:val="049A02B8"/>
    <w:rsid w:val="04A9302F"/>
    <w:rsid w:val="04CA261A"/>
    <w:rsid w:val="04CD7667"/>
    <w:rsid w:val="04EB57C5"/>
    <w:rsid w:val="05173A0B"/>
    <w:rsid w:val="0527621E"/>
    <w:rsid w:val="053379D2"/>
    <w:rsid w:val="0558173E"/>
    <w:rsid w:val="055B48B8"/>
    <w:rsid w:val="055F38AD"/>
    <w:rsid w:val="056629F7"/>
    <w:rsid w:val="05671134"/>
    <w:rsid w:val="057507E7"/>
    <w:rsid w:val="05784549"/>
    <w:rsid w:val="0594055C"/>
    <w:rsid w:val="059C7D12"/>
    <w:rsid w:val="059F567A"/>
    <w:rsid w:val="05B0269E"/>
    <w:rsid w:val="05B12164"/>
    <w:rsid w:val="05C85957"/>
    <w:rsid w:val="05D62331"/>
    <w:rsid w:val="05FA400A"/>
    <w:rsid w:val="060F01A2"/>
    <w:rsid w:val="061A70EC"/>
    <w:rsid w:val="06220B00"/>
    <w:rsid w:val="06394E41"/>
    <w:rsid w:val="063C6BBF"/>
    <w:rsid w:val="067E75F0"/>
    <w:rsid w:val="06817055"/>
    <w:rsid w:val="06A05616"/>
    <w:rsid w:val="06AF5BC6"/>
    <w:rsid w:val="06B32328"/>
    <w:rsid w:val="06F85085"/>
    <w:rsid w:val="07043A2A"/>
    <w:rsid w:val="070659F4"/>
    <w:rsid w:val="07073062"/>
    <w:rsid w:val="0749198A"/>
    <w:rsid w:val="07740BAF"/>
    <w:rsid w:val="078E1F89"/>
    <w:rsid w:val="07B50BB2"/>
    <w:rsid w:val="07BF3446"/>
    <w:rsid w:val="07EA6037"/>
    <w:rsid w:val="07F41A51"/>
    <w:rsid w:val="08166F6F"/>
    <w:rsid w:val="08341483"/>
    <w:rsid w:val="083D3697"/>
    <w:rsid w:val="083F07EC"/>
    <w:rsid w:val="08404388"/>
    <w:rsid w:val="085544C6"/>
    <w:rsid w:val="08587246"/>
    <w:rsid w:val="087B728C"/>
    <w:rsid w:val="088323FA"/>
    <w:rsid w:val="08886642"/>
    <w:rsid w:val="0889683A"/>
    <w:rsid w:val="0894219D"/>
    <w:rsid w:val="08D01D0D"/>
    <w:rsid w:val="08E95B52"/>
    <w:rsid w:val="08EA16AB"/>
    <w:rsid w:val="08F37D47"/>
    <w:rsid w:val="090B75AF"/>
    <w:rsid w:val="090B7AC6"/>
    <w:rsid w:val="09110F1B"/>
    <w:rsid w:val="09255DE0"/>
    <w:rsid w:val="095B2A47"/>
    <w:rsid w:val="096523A0"/>
    <w:rsid w:val="096B5EB7"/>
    <w:rsid w:val="09726C50"/>
    <w:rsid w:val="09835173"/>
    <w:rsid w:val="09866F3F"/>
    <w:rsid w:val="098A120F"/>
    <w:rsid w:val="09A60EBA"/>
    <w:rsid w:val="09F24D40"/>
    <w:rsid w:val="0A016EB8"/>
    <w:rsid w:val="0A06535C"/>
    <w:rsid w:val="0A495196"/>
    <w:rsid w:val="0A7B0535"/>
    <w:rsid w:val="0A805E94"/>
    <w:rsid w:val="0A82040D"/>
    <w:rsid w:val="0A853C5D"/>
    <w:rsid w:val="0AA3019F"/>
    <w:rsid w:val="0ABA1871"/>
    <w:rsid w:val="0ADA19FD"/>
    <w:rsid w:val="0AFD1CCE"/>
    <w:rsid w:val="0B075489"/>
    <w:rsid w:val="0B1C75DC"/>
    <w:rsid w:val="0B350656"/>
    <w:rsid w:val="0B5E2B41"/>
    <w:rsid w:val="0B883382"/>
    <w:rsid w:val="0BAC7578"/>
    <w:rsid w:val="0BC30012"/>
    <w:rsid w:val="0BD901E6"/>
    <w:rsid w:val="0BE24560"/>
    <w:rsid w:val="0BE62EB1"/>
    <w:rsid w:val="0BE92345"/>
    <w:rsid w:val="0BEF2FE1"/>
    <w:rsid w:val="0BFD4612"/>
    <w:rsid w:val="0C035345"/>
    <w:rsid w:val="0C0D57A7"/>
    <w:rsid w:val="0C0F4146"/>
    <w:rsid w:val="0C1217F0"/>
    <w:rsid w:val="0C1612E2"/>
    <w:rsid w:val="0C2176F5"/>
    <w:rsid w:val="0C275966"/>
    <w:rsid w:val="0C6D1E47"/>
    <w:rsid w:val="0C8B77DE"/>
    <w:rsid w:val="0CBE020D"/>
    <w:rsid w:val="0CC42B8F"/>
    <w:rsid w:val="0CDA2110"/>
    <w:rsid w:val="0D1E53D4"/>
    <w:rsid w:val="0D342CDB"/>
    <w:rsid w:val="0D695898"/>
    <w:rsid w:val="0D6E60A1"/>
    <w:rsid w:val="0D8A7FC5"/>
    <w:rsid w:val="0D8C2E62"/>
    <w:rsid w:val="0D9B2C64"/>
    <w:rsid w:val="0DBF27B3"/>
    <w:rsid w:val="0DC016F2"/>
    <w:rsid w:val="0DF43183"/>
    <w:rsid w:val="0E1D1107"/>
    <w:rsid w:val="0E42592F"/>
    <w:rsid w:val="0E5F65FA"/>
    <w:rsid w:val="0E675CD8"/>
    <w:rsid w:val="0E6C1354"/>
    <w:rsid w:val="0E7311E9"/>
    <w:rsid w:val="0E8E1F68"/>
    <w:rsid w:val="0EBF58A7"/>
    <w:rsid w:val="0EE6027E"/>
    <w:rsid w:val="0EFF3899"/>
    <w:rsid w:val="0F0C6A59"/>
    <w:rsid w:val="0F14570A"/>
    <w:rsid w:val="0F1F2C31"/>
    <w:rsid w:val="0F297392"/>
    <w:rsid w:val="0F481935"/>
    <w:rsid w:val="0F813640"/>
    <w:rsid w:val="0F822BEF"/>
    <w:rsid w:val="0F991E6C"/>
    <w:rsid w:val="0FA159FA"/>
    <w:rsid w:val="0FB43678"/>
    <w:rsid w:val="0FB514A2"/>
    <w:rsid w:val="0FB74F98"/>
    <w:rsid w:val="0FC226D4"/>
    <w:rsid w:val="0FCA0B3B"/>
    <w:rsid w:val="0FCA54D9"/>
    <w:rsid w:val="0FD55E28"/>
    <w:rsid w:val="0FED2356"/>
    <w:rsid w:val="100C2CF2"/>
    <w:rsid w:val="101B5079"/>
    <w:rsid w:val="106B09F3"/>
    <w:rsid w:val="106F2979"/>
    <w:rsid w:val="10841436"/>
    <w:rsid w:val="10972EDF"/>
    <w:rsid w:val="10B603A4"/>
    <w:rsid w:val="10CE40CE"/>
    <w:rsid w:val="10DF4EB4"/>
    <w:rsid w:val="10E17A3A"/>
    <w:rsid w:val="10EB57CE"/>
    <w:rsid w:val="10EB7A46"/>
    <w:rsid w:val="11071B50"/>
    <w:rsid w:val="11152D90"/>
    <w:rsid w:val="11353AF1"/>
    <w:rsid w:val="114514F1"/>
    <w:rsid w:val="116843BC"/>
    <w:rsid w:val="119C7CB7"/>
    <w:rsid w:val="11D91C8C"/>
    <w:rsid w:val="11F91965"/>
    <w:rsid w:val="11FE674A"/>
    <w:rsid w:val="12103515"/>
    <w:rsid w:val="122134A8"/>
    <w:rsid w:val="12525F91"/>
    <w:rsid w:val="125431BE"/>
    <w:rsid w:val="12661379"/>
    <w:rsid w:val="12773605"/>
    <w:rsid w:val="12904037"/>
    <w:rsid w:val="1294298F"/>
    <w:rsid w:val="12946AC3"/>
    <w:rsid w:val="12B97DBE"/>
    <w:rsid w:val="12F613FC"/>
    <w:rsid w:val="13107898"/>
    <w:rsid w:val="132A0CBC"/>
    <w:rsid w:val="132C12D1"/>
    <w:rsid w:val="133A6C6A"/>
    <w:rsid w:val="133D4986"/>
    <w:rsid w:val="13641FB0"/>
    <w:rsid w:val="13710699"/>
    <w:rsid w:val="137B0943"/>
    <w:rsid w:val="137B3A70"/>
    <w:rsid w:val="13BC7592"/>
    <w:rsid w:val="140E20B3"/>
    <w:rsid w:val="142B3373"/>
    <w:rsid w:val="143570DB"/>
    <w:rsid w:val="14510606"/>
    <w:rsid w:val="14893728"/>
    <w:rsid w:val="148A5DA0"/>
    <w:rsid w:val="14AE00E8"/>
    <w:rsid w:val="14AE11B4"/>
    <w:rsid w:val="14EF41AB"/>
    <w:rsid w:val="14FE28BE"/>
    <w:rsid w:val="15004185"/>
    <w:rsid w:val="152520A8"/>
    <w:rsid w:val="155D7127"/>
    <w:rsid w:val="15745FA6"/>
    <w:rsid w:val="15B805DE"/>
    <w:rsid w:val="15C40BAB"/>
    <w:rsid w:val="15C56064"/>
    <w:rsid w:val="15C92F40"/>
    <w:rsid w:val="15FD6556"/>
    <w:rsid w:val="1638243A"/>
    <w:rsid w:val="163D672D"/>
    <w:rsid w:val="165C7B68"/>
    <w:rsid w:val="168A5153"/>
    <w:rsid w:val="169418B8"/>
    <w:rsid w:val="16A93D7E"/>
    <w:rsid w:val="16AB47E1"/>
    <w:rsid w:val="16C117E9"/>
    <w:rsid w:val="16C83542"/>
    <w:rsid w:val="16F06836"/>
    <w:rsid w:val="16F2498C"/>
    <w:rsid w:val="17015DD0"/>
    <w:rsid w:val="170A4A62"/>
    <w:rsid w:val="174D510E"/>
    <w:rsid w:val="175D68EA"/>
    <w:rsid w:val="176B6CBD"/>
    <w:rsid w:val="178412FF"/>
    <w:rsid w:val="179A7204"/>
    <w:rsid w:val="17CC32A1"/>
    <w:rsid w:val="17EB794E"/>
    <w:rsid w:val="18030B70"/>
    <w:rsid w:val="18192EA5"/>
    <w:rsid w:val="185645B1"/>
    <w:rsid w:val="18602A8A"/>
    <w:rsid w:val="18CA2F74"/>
    <w:rsid w:val="18DC7F88"/>
    <w:rsid w:val="18E873AA"/>
    <w:rsid w:val="18EF0DB6"/>
    <w:rsid w:val="18F32100"/>
    <w:rsid w:val="18F35065"/>
    <w:rsid w:val="191320CB"/>
    <w:rsid w:val="1929289B"/>
    <w:rsid w:val="196B05AD"/>
    <w:rsid w:val="19A075E2"/>
    <w:rsid w:val="19B52A1D"/>
    <w:rsid w:val="19E62AF5"/>
    <w:rsid w:val="19E6401D"/>
    <w:rsid w:val="19FE202A"/>
    <w:rsid w:val="1A1208CA"/>
    <w:rsid w:val="1A197E8F"/>
    <w:rsid w:val="1A5A119A"/>
    <w:rsid w:val="1A5D3284"/>
    <w:rsid w:val="1A6B5E42"/>
    <w:rsid w:val="1A763BF2"/>
    <w:rsid w:val="1A857966"/>
    <w:rsid w:val="1A952529"/>
    <w:rsid w:val="1A9F40C7"/>
    <w:rsid w:val="1AAC08B9"/>
    <w:rsid w:val="1AAD2373"/>
    <w:rsid w:val="1AE032C5"/>
    <w:rsid w:val="1AE91D80"/>
    <w:rsid w:val="1AEB6F83"/>
    <w:rsid w:val="1B0440C8"/>
    <w:rsid w:val="1B1A0BF2"/>
    <w:rsid w:val="1B5327CB"/>
    <w:rsid w:val="1B553178"/>
    <w:rsid w:val="1B555DB8"/>
    <w:rsid w:val="1B5567AE"/>
    <w:rsid w:val="1B77364C"/>
    <w:rsid w:val="1B7E1117"/>
    <w:rsid w:val="1BA523AF"/>
    <w:rsid w:val="1BAE6339"/>
    <w:rsid w:val="1BDF0FE6"/>
    <w:rsid w:val="1BE74603"/>
    <w:rsid w:val="1BEF3F02"/>
    <w:rsid w:val="1C0929CF"/>
    <w:rsid w:val="1C0F34C1"/>
    <w:rsid w:val="1C487C90"/>
    <w:rsid w:val="1C4F1E60"/>
    <w:rsid w:val="1C670678"/>
    <w:rsid w:val="1C7404F9"/>
    <w:rsid w:val="1C7B42DF"/>
    <w:rsid w:val="1CA22CC3"/>
    <w:rsid w:val="1CAC03C3"/>
    <w:rsid w:val="1CC052B0"/>
    <w:rsid w:val="1CD721EA"/>
    <w:rsid w:val="1D022362"/>
    <w:rsid w:val="1D1F5938"/>
    <w:rsid w:val="1D537178"/>
    <w:rsid w:val="1D5E1C8E"/>
    <w:rsid w:val="1D6B069C"/>
    <w:rsid w:val="1D6E0BBB"/>
    <w:rsid w:val="1D784F01"/>
    <w:rsid w:val="1D7F321E"/>
    <w:rsid w:val="1D8A4C32"/>
    <w:rsid w:val="1DA63B56"/>
    <w:rsid w:val="1DB016A6"/>
    <w:rsid w:val="1DB06C45"/>
    <w:rsid w:val="1DBA5DAA"/>
    <w:rsid w:val="1DE0709D"/>
    <w:rsid w:val="1DFA6E31"/>
    <w:rsid w:val="1E2B77D1"/>
    <w:rsid w:val="1E683B0F"/>
    <w:rsid w:val="1E714DFA"/>
    <w:rsid w:val="1E731741"/>
    <w:rsid w:val="1E884065"/>
    <w:rsid w:val="1E934D1A"/>
    <w:rsid w:val="1E966B91"/>
    <w:rsid w:val="1EBB2488"/>
    <w:rsid w:val="1ECB5101"/>
    <w:rsid w:val="1ED61495"/>
    <w:rsid w:val="1EE07E8F"/>
    <w:rsid w:val="1EEA30C7"/>
    <w:rsid w:val="1F1846F2"/>
    <w:rsid w:val="1F235465"/>
    <w:rsid w:val="1F4C5B16"/>
    <w:rsid w:val="1F533E88"/>
    <w:rsid w:val="1F66307C"/>
    <w:rsid w:val="1F7044CB"/>
    <w:rsid w:val="1F9D622D"/>
    <w:rsid w:val="1F9E68C5"/>
    <w:rsid w:val="1FA63975"/>
    <w:rsid w:val="1FAC6F24"/>
    <w:rsid w:val="1FFB7DEC"/>
    <w:rsid w:val="201A75F8"/>
    <w:rsid w:val="205013E1"/>
    <w:rsid w:val="20504566"/>
    <w:rsid w:val="20515DD9"/>
    <w:rsid w:val="205E47E3"/>
    <w:rsid w:val="207833EB"/>
    <w:rsid w:val="207978BD"/>
    <w:rsid w:val="2082284A"/>
    <w:rsid w:val="20B214DE"/>
    <w:rsid w:val="20B8497B"/>
    <w:rsid w:val="20DE1ACB"/>
    <w:rsid w:val="20E62CA6"/>
    <w:rsid w:val="20F33DD9"/>
    <w:rsid w:val="211508B6"/>
    <w:rsid w:val="212270C1"/>
    <w:rsid w:val="21250FA1"/>
    <w:rsid w:val="213379FC"/>
    <w:rsid w:val="213C1AB8"/>
    <w:rsid w:val="214708A0"/>
    <w:rsid w:val="216A69AE"/>
    <w:rsid w:val="216D64B9"/>
    <w:rsid w:val="217736B4"/>
    <w:rsid w:val="217E0732"/>
    <w:rsid w:val="21800523"/>
    <w:rsid w:val="218F66FC"/>
    <w:rsid w:val="21D80555"/>
    <w:rsid w:val="21EA54EC"/>
    <w:rsid w:val="21F116AE"/>
    <w:rsid w:val="21F13FBA"/>
    <w:rsid w:val="22133FCF"/>
    <w:rsid w:val="223E6A33"/>
    <w:rsid w:val="2277324C"/>
    <w:rsid w:val="227923B4"/>
    <w:rsid w:val="22794E74"/>
    <w:rsid w:val="227B6DEC"/>
    <w:rsid w:val="22972FA7"/>
    <w:rsid w:val="22C1116A"/>
    <w:rsid w:val="23065032"/>
    <w:rsid w:val="23624E4D"/>
    <w:rsid w:val="23706277"/>
    <w:rsid w:val="237212D4"/>
    <w:rsid w:val="237245AC"/>
    <w:rsid w:val="2376222A"/>
    <w:rsid w:val="2378320C"/>
    <w:rsid w:val="238649FE"/>
    <w:rsid w:val="238926EA"/>
    <w:rsid w:val="23943967"/>
    <w:rsid w:val="23985AB5"/>
    <w:rsid w:val="23B40CE6"/>
    <w:rsid w:val="23BD4055"/>
    <w:rsid w:val="23C73EA4"/>
    <w:rsid w:val="23D4475F"/>
    <w:rsid w:val="23E260ED"/>
    <w:rsid w:val="24056574"/>
    <w:rsid w:val="24071F67"/>
    <w:rsid w:val="240C4D53"/>
    <w:rsid w:val="24373239"/>
    <w:rsid w:val="243A2682"/>
    <w:rsid w:val="24571AA7"/>
    <w:rsid w:val="24841C60"/>
    <w:rsid w:val="24885EDD"/>
    <w:rsid w:val="2496083E"/>
    <w:rsid w:val="24986C62"/>
    <w:rsid w:val="24A43EEE"/>
    <w:rsid w:val="24BC671B"/>
    <w:rsid w:val="24BD417A"/>
    <w:rsid w:val="24CF3471"/>
    <w:rsid w:val="24D5602C"/>
    <w:rsid w:val="24E3031C"/>
    <w:rsid w:val="2507514C"/>
    <w:rsid w:val="250B3879"/>
    <w:rsid w:val="2530735B"/>
    <w:rsid w:val="253E38AE"/>
    <w:rsid w:val="255A12F6"/>
    <w:rsid w:val="257E6393"/>
    <w:rsid w:val="259828BA"/>
    <w:rsid w:val="259C4130"/>
    <w:rsid w:val="25B01198"/>
    <w:rsid w:val="25B90CEE"/>
    <w:rsid w:val="25C52624"/>
    <w:rsid w:val="25E210E2"/>
    <w:rsid w:val="25E44EC8"/>
    <w:rsid w:val="26165E8A"/>
    <w:rsid w:val="26553CC5"/>
    <w:rsid w:val="266307E6"/>
    <w:rsid w:val="26642391"/>
    <w:rsid w:val="268D0EEE"/>
    <w:rsid w:val="270E26F7"/>
    <w:rsid w:val="270F7B55"/>
    <w:rsid w:val="27150E3B"/>
    <w:rsid w:val="272D6743"/>
    <w:rsid w:val="273A4313"/>
    <w:rsid w:val="27546DD2"/>
    <w:rsid w:val="27CC1EEA"/>
    <w:rsid w:val="27E11A0E"/>
    <w:rsid w:val="27E40F56"/>
    <w:rsid w:val="281C69CE"/>
    <w:rsid w:val="2830219A"/>
    <w:rsid w:val="284A6763"/>
    <w:rsid w:val="28534927"/>
    <w:rsid w:val="28595695"/>
    <w:rsid w:val="286345FC"/>
    <w:rsid w:val="287F3804"/>
    <w:rsid w:val="28971514"/>
    <w:rsid w:val="28C41B02"/>
    <w:rsid w:val="28DD29BA"/>
    <w:rsid w:val="28E82859"/>
    <w:rsid w:val="28F44C0C"/>
    <w:rsid w:val="29004569"/>
    <w:rsid w:val="293E646B"/>
    <w:rsid w:val="295A51DB"/>
    <w:rsid w:val="298A0B46"/>
    <w:rsid w:val="2997462F"/>
    <w:rsid w:val="29986528"/>
    <w:rsid w:val="29A77D54"/>
    <w:rsid w:val="29B91B84"/>
    <w:rsid w:val="29BC5D43"/>
    <w:rsid w:val="29FE7C20"/>
    <w:rsid w:val="2A037A52"/>
    <w:rsid w:val="2A0F191E"/>
    <w:rsid w:val="2A24635A"/>
    <w:rsid w:val="2A327FDD"/>
    <w:rsid w:val="2A330F41"/>
    <w:rsid w:val="2A4318EC"/>
    <w:rsid w:val="2A452C08"/>
    <w:rsid w:val="2A724604"/>
    <w:rsid w:val="2A750C22"/>
    <w:rsid w:val="2A7B23D3"/>
    <w:rsid w:val="2A823C72"/>
    <w:rsid w:val="2A9076F1"/>
    <w:rsid w:val="2A9A0D10"/>
    <w:rsid w:val="2AA01118"/>
    <w:rsid w:val="2AB85FA6"/>
    <w:rsid w:val="2AC12D7D"/>
    <w:rsid w:val="2AE651BE"/>
    <w:rsid w:val="2AE76E1A"/>
    <w:rsid w:val="2B103BB5"/>
    <w:rsid w:val="2B1E20AE"/>
    <w:rsid w:val="2B2624CC"/>
    <w:rsid w:val="2B3E208C"/>
    <w:rsid w:val="2B427760"/>
    <w:rsid w:val="2B58096B"/>
    <w:rsid w:val="2B76113B"/>
    <w:rsid w:val="2B897E07"/>
    <w:rsid w:val="2B9856AF"/>
    <w:rsid w:val="2BA62A7F"/>
    <w:rsid w:val="2BC221BC"/>
    <w:rsid w:val="2BE654DE"/>
    <w:rsid w:val="2C102AD3"/>
    <w:rsid w:val="2C373321"/>
    <w:rsid w:val="2C47541F"/>
    <w:rsid w:val="2C652B8C"/>
    <w:rsid w:val="2C6629F1"/>
    <w:rsid w:val="2CA22D91"/>
    <w:rsid w:val="2CC412BB"/>
    <w:rsid w:val="2CDE67CE"/>
    <w:rsid w:val="2CED5168"/>
    <w:rsid w:val="2D09464E"/>
    <w:rsid w:val="2D2B0BA2"/>
    <w:rsid w:val="2D33701F"/>
    <w:rsid w:val="2D651B17"/>
    <w:rsid w:val="2D8079FF"/>
    <w:rsid w:val="2D8B00C8"/>
    <w:rsid w:val="2D8D1C1A"/>
    <w:rsid w:val="2D9D2A33"/>
    <w:rsid w:val="2DA302EE"/>
    <w:rsid w:val="2DAF4735"/>
    <w:rsid w:val="2DBA1E8B"/>
    <w:rsid w:val="2DC96585"/>
    <w:rsid w:val="2DCB381D"/>
    <w:rsid w:val="2DF217B0"/>
    <w:rsid w:val="2E197A2A"/>
    <w:rsid w:val="2E201057"/>
    <w:rsid w:val="2E243C6F"/>
    <w:rsid w:val="2E2A483F"/>
    <w:rsid w:val="2E3751D5"/>
    <w:rsid w:val="2E6623F6"/>
    <w:rsid w:val="2E6D0944"/>
    <w:rsid w:val="2E7067FF"/>
    <w:rsid w:val="2E70752A"/>
    <w:rsid w:val="2E964E73"/>
    <w:rsid w:val="2E9A2C28"/>
    <w:rsid w:val="2EC81282"/>
    <w:rsid w:val="2ED22200"/>
    <w:rsid w:val="2ED33B5E"/>
    <w:rsid w:val="2F124B18"/>
    <w:rsid w:val="2F4354F8"/>
    <w:rsid w:val="2F684F0C"/>
    <w:rsid w:val="2F702D34"/>
    <w:rsid w:val="2F8229A1"/>
    <w:rsid w:val="2F922285"/>
    <w:rsid w:val="2FBE6050"/>
    <w:rsid w:val="300A33CA"/>
    <w:rsid w:val="30174BD8"/>
    <w:rsid w:val="3027674D"/>
    <w:rsid w:val="30391203"/>
    <w:rsid w:val="30405223"/>
    <w:rsid w:val="309C3D61"/>
    <w:rsid w:val="30B261CA"/>
    <w:rsid w:val="30B80664"/>
    <w:rsid w:val="30E81BEA"/>
    <w:rsid w:val="30F153FC"/>
    <w:rsid w:val="30F901D2"/>
    <w:rsid w:val="30FA09C4"/>
    <w:rsid w:val="313E2F61"/>
    <w:rsid w:val="315F6905"/>
    <w:rsid w:val="31654123"/>
    <w:rsid w:val="316C0C5A"/>
    <w:rsid w:val="318A554A"/>
    <w:rsid w:val="318B6972"/>
    <w:rsid w:val="31A74A79"/>
    <w:rsid w:val="31E01110"/>
    <w:rsid w:val="31F009C7"/>
    <w:rsid w:val="31FE2B90"/>
    <w:rsid w:val="320D4248"/>
    <w:rsid w:val="321D6111"/>
    <w:rsid w:val="321F6F3E"/>
    <w:rsid w:val="322362B6"/>
    <w:rsid w:val="32480CC5"/>
    <w:rsid w:val="324B1621"/>
    <w:rsid w:val="32985CEA"/>
    <w:rsid w:val="32AF26EF"/>
    <w:rsid w:val="32D92F4E"/>
    <w:rsid w:val="32F47B98"/>
    <w:rsid w:val="32FA7BBF"/>
    <w:rsid w:val="33004055"/>
    <w:rsid w:val="330A163C"/>
    <w:rsid w:val="33415086"/>
    <w:rsid w:val="337634BA"/>
    <w:rsid w:val="337B3841"/>
    <w:rsid w:val="33A30209"/>
    <w:rsid w:val="33A84BAB"/>
    <w:rsid w:val="33CB3A09"/>
    <w:rsid w:val="33DC3D09"/>
    <w:rsid w:val="33DF587A"/>
    <w:rsid w:val="33E10ACB"/>
    <w:rsid w:val="33F62357"/>
    <w:rsid w:val="33F933C0"/>
    <w:rsid w:val="33FB39F4"/>
    <w:rsid w:val="3413511E"/>
    <w:rsid w:val="344F23EF"/>
    <w:rsid w:val="345D45F6"/>
    <w:rsid w:val="3466477E"/>
    <w:rsid w:val="349C04FD"/>
    <w:rsid w:val="34AE23E8"/>
    <w:rsid w:val="34D43778"/>
    <w:rsid w:val="34E84DF9"/>
    <w:rsid w:val="35172D00"/>
    <w:rsid w:val="3518051D"/>
    <w:rsid w:val="3520552B"/>
    <w:rsid w:val="35225A3C"/>
    <w:rsid w:val="3549760E"/>
    <w:rsid w:val="355D5A31"/>
    <w:rsid w:val="355D79CA"/>
    <w:rsid w:val="357A25D7"/>
    <w:rsid w:val="358703ED"/>
    <w:rsid w:val="35B93AAE"/>
    <w:rsid w:val="35BA1CA5"/>
    <w:rsid w:val="35D32A23"/>
    <w:rsid w:val="35E058EF"/>
    <w:rsid w:val="35FE488A"/>
    <w:rsid w:val="36053EDC"/>
    <w:rsid w:val="36200231"/>
    <w:rsid w:val="363478F9"/>
    <w:rsid w:val="36423C8D"/>
    <w:rsid w:val="364D0E2F"/>
    <w:rsid w:val="367C5B9A"/>
    <w:rsid w:val="369D19AD"/>
    <w:rsid w:val="36B801C0"/>
    <w:rsid w:val="36CE7C5D"/>
    <w:rsid w:val="36EC28F3"/>
    <w:rsid w:val="36F12E8F"/>
    <w:rsid w:val="370125A7"/>
    <w:rsid w:val="375259EE"/>
    <w:rsid w:val="3768006D"/>
    <w:rsid w:val="37822E6D"/>
    <w:rsid w:val="37854A26"/>
    <w:rsid w:val="37887B39"/>
    <w:rsid w:val="37AF09A0"/>
    <w:rsid w:val="37C66C9B"/>
    <w:rsid w:val="37D42E21"/>
    <w:rsid w:val="37D521F7"/>
    <w:rsid w:val="37DC1327"/>
    <w:rsid w:val="37FB0D3B"/>
    <w:rsid w:val="380C39A6"/>
    <w:rsid w:val="380D39E2"/>
    <w:rsid w:val="38156112"/>
    <w:rsid w:val="38167C02"/>
    <w:rsid w:val="382F62A9"/>
    <w:rsid w:val="38373F3D"/>
    <w:rsid w:val="383F6B91"/>
    <w:rsid w:val="38676D65"/>
    <w:rsid w:val="386B6B83"/>
    <w:rsid w:val="388F1BFC"/>
    <w:rsid w:val="38984A6C"/>
    <w:rsid w:val="38C035F0"/>
    <w:rsid w:val="38D97BDA"/>
    <w:rsid w:val="38EF6B8F"/>
    <w:rsid w:val="38F76C83"/>
    <w:rsid w:val="390F6665"/>
    <w:rsid w:val="39217848"/>
    <w:rsid w:val="395A3B9C"/>
    <w:rsid w:val="396F39FB"/>
    <w:rsid w:val="398576F9"/>
    <w:rsid w:val="398E7ADC"/>
    <w:rsid w:val="3991256D"/>
    <w:rsid w:val="39972C38"/>
    <w:rsid w:val="39BA6656"/>
    <w:rsid w:val="39D45C91"/>
    <w:rsid w:val="39F06157"/>
    <w:rsid w:val="3A080B70"/>
    <w:rsid w:val="3A306308"/>
    <w:rsid w:val="3A315AFD"/>
    <w:rsid w:val="3A3210CA"/>
    <w:rsid w:val="3A3F74F3"/>
    <w:rsid w:val="3A510BEB"/>
    <w:rsid w:val="3A5A53C3"/>
    <w:rsid w:val="3A812CA7"/>
    <w:rsid w:val="3A8521B0"/>
    <w:rsid w:val="3AC52EF5"/>
    <w:rsid w:val="3AD70EB2"/>
    <w:rsid w:val="3AE21BD0"/>
    <w:rsid w:val="3AF235BE"/>
    <w:rsid w:val="3AF45569"/>
    <w:rsid w:val="3B001587"/>
    <w:rsid w:val="3B080BF7"/>
    <w:rsid w:val="3B0F229E"/>
    <w:rsid w:val="3B311798"/>
    <w:rsid w:val="3B342B1A"/>
    <w:rsid w:val="3B367780"/>
    <w:rsid w:val="3B3B1F30"/>
    <w:rsid w:val="3B520363"/>
    <w:rsid w:val="3B6E70E3"/>
    <w:rsid w:val="3B7E71C6"/>
    <w:rsid w:val="3B8D2760"/>
    <w:rsid w:val="3B9A6B59"/>
    <w:rsid w:val="3BB51CAD"/>
    <w:rsid w:val="3BED5090"/>
    <w:rsid w:val="3BFA68F8"/>
    <w:rsid w:val="3BFB34A2"/>
    <w:rsid w:val="3C0C3D45"/>
    <w:rsid w:val="3C5268C3"/>
    <w:rsid w:val="3C53560C"/>
    <w:rsid w:val="3C5B3C6C"/>
    <w:rsid w:val="3C754361"/>
    <w:rsid w:val="3C7E4895"/>
    <w:rsid w:val="3C9361D9"/>
    <w:rsid w:val="3C9A5CBB"/>
    <w:rsid w:val="3C9B7431"/>
    <w:rsid w:val="3C9D2A00"/>
    <w:rsid w:val="3CA648EA"/>
    <w:rsid w:val="3CAB6274"/>
    <w:rsid w:val="3CD967E3"/>
    <w:rsid w:val="3CDD376E"/>
    <w:rsid w:val="3D143929"/>
    <w:rsid w:val="3D182627"/>
    <w:rsid w:val="3D195C35"/>
    <w:rsid w:val="3D3D667C"/>
    <w:rsid w:val="3D4C593D"/>
    <w:rsid w:val="3D634FA2"/>
    <w:rsid w:val="3D6C7862"/>
    <w:rsid w:val="3DA22BAF"/>
    <w:rsid w:val="3DDB10E8"/>
    <w:rsid w:val="3E265623"/>
    <w:rsid w:val="3E30750E"/>
    <w:rsid w:val="3E531111"/>
    <w:rsid w:val="3E585DAC"/>
    <w:rsid w:val="3E5D21AA"/>
    <w:rsid w:val="3E670555"/>
    <w:rsid w:val="3EB13006"/>
    <w:rsid w:val="3EB16BD6"/>
    <w:rsid w:val="3EBB3A37"/>
    <w:rsid w:val="3ED11017"/>
    <w:rsid w:val="3EE60BC9"/>
    <w:rsid w:val="3F137CD4"/>
    <w:rsid w:val="3F15187B"/>
    <w:rsid w:val="3F165287"/>
    <w:rsid w:val="3F1C50AD"/>
    <w:rsid w:val="3F200B74"/>
    <w:rsid w:val="3F391233"/>
    <w:rsid w:val="3F4731AE"/>
    <w:rsid w:val="3F5841D9"/>
    <w:rsid w:val="3F602F82"/>
    <w:rsid w:val="3F6B12A8"/>
    <w:rsid w:val="3F944283"/>
    <w:rsid w:val="3F984734"/>
    <w:rsid w:val="3FA14FCA"/>
    <w:rsid w:val="3FB5717E"/>
    <w:rsid w:val="3FC03C8B"/>
    <w:rsid w:val="3FC104B3"/>
    <w:rsid w:val="3FCD18EC"/>
    <w:rsid w:val="3FD54027"/>
    <w:rsid w:val="3FDE207D"/>
    <w:rsid w:val="3FEA1F7B"/>
    <w:rsid w:val="402A56B4"/>
    <w:rsid w:val="402B5D55"/>
    <w:rsid w:val="402E30FF"/>
    <w:rsid w:val="40385F17"/>
    <w:rsid w:val="407D758A"/>
    <w:rsid w:val="407F07E3"/>
    <w:rsid w:val="409161DF"/>
    <w:rsid w:val="409F5F96"/>
    <w:rsid w:val="40A50CA5"/>
    <w:rsid w:val="40AF442B"/>
    <w:rsid w:val="40CE2428"/>
    <w:rsid w:val="41065ABD"/>
    <w:rsid w:val="410736AF"/>
    <w:rsid w:val="411B2D24"/>
    <w:rsid w:val="41345494"/>
    <w:rsid w:val="413B2087"/>
    <w:rsid w:val="41451A67"/>
    <w:rsid w:val="41551531"/>
    <w:rsid w:val="415D4EE9"/>
    <w:rsid w:val="417B48F0"/>
    <w:rsid w:val="418F3542"/>
    <w:rsid w:val="41CF5789"/>
    <w:rsid w:val="42100583"/>
    <w:rsid w:val="423035BC"/>
    <w:rsid w:val="423D7EF3"/>
    <w:rsid w:val="42417305"/>
    <w:rsid w:val="42550DA5"/>
    <w:rsid w:val="42DF1E28"/>
    <w:rsid w:val="43151B78"/>
    <w:rsid w:val="432B2035"/>
    <w:rsid w:val="43386ACF"/>
    <w:rsid w:val="434555AC"/>
    <w:rsid w:val="436021E5"/>
    <w:rsid w:val="43611D90"/>
    <w:rsid w:val="43652D72"/>
    <w:rsid w:val="437227AF"/>
    <w:rsid w:val="4380310C"/>
    <w:rsid w:val="43913941"/>
    <w:rsid w:val="43F15DB8"/>
    <w:rsid w:val="43F839F3"/>
    <w:rsid w:val="443A170F"/>
    <w:rsid w:val="444B48D4"/>
    <w:rsid w:val="44713986"/>
    <w:rsid w:val="448249AA"/>
    <w:rsid w:val="44B042CE"/>
    <w:rsid w:val="44B61F89"/>
    <w:rsid w:val="44BD1347"/>
    <w:rsid w:val="44C2581B"/>
    <w:rsid w:val="44D426B2"/>
    <w:rsid w:val="44DB5ACF"/>
    <w:rsid w:val="45265C36"/>
    <w:rsid w:val="455C58CE"/>
    <w:rsid w:val="45BB21D7"/>
    <w:rsid w:val="45C2075D"/>
    <w:rsid w:val="45C376A4"/>
    <w:rsid w:val="45D93CF8"/>
    <w:rsid w:val="45F60406"/>
    <w:rsid w:val="460335A0"/>
    <w:rsid w:val="46181FF4"/>
    <w:rsid w:val="46593155"/>
    <w:rsid w:val="465B6D77"/>
    <w:rsid w:val="46603F09"/>
    <w:rsid w:val="46951943"/>
    <w:rsid w:val="46A412A5"/>
    <w:rsid w:val="46A80CE4"/>
    <w:rsid w:val="46DC0F45"/>
    <w:rsid w:val="46F82F2B"/>
    <w:rsid w:val="472D3F16"/>
    <w:rsid w:val="475C26E7"/>
    <w:rsid w:val="47600FAC"/>
    <w:rsid w:val="4771041A"/>
    <w:rsid w:val="47861CF8"/>
    <w:rsid w:val="47913E1C"/>
    <w:rsid w:val="47E40BED"/>
    <w:rsid w:val="47F96FE2"/>
    <w:rsid w:val="48042C33"/>
    <w:rsid w:val="481A0D8A"/>
    <w:rsid w:val="483C1250"/>
    <w:rsid w:val="48545600"/>
    <w:rsid w:val="485A65C1"/>
    <w:rsid w:val="4876582E"/>
    <w:rsid w:val="48900A5F"/>
    <w:rsid w:val="48A7775F"/>
    <w:rsid w:val="48D211C8"/>
    <w:rsid w:val="48F73EC0"/>
    <w:rsid w:val="49061650"/>
    <w:rsid w:val="49133B31"/>
    <w:rsid w:val="49410108"/>
    <w:rsid w:val="49471F18"/>
    <w:rsid w:val="494F2C1A"/>
    <w:rsid w:val="49551FA6"/>
    <w:rsid w:val="49604D3E"/>
    <w:rsid w:val="496D644C"/>
    <w:rsid w:val="49787384"/>
    <w:rsid w:val="498874E4"/>
    <w:rsid w:val="49AE6329"/>
    <w:rsid w:val="49C210BB"/>
    <w:rsid w:val="49C55C8A"/>
    <w:rsid w:val="49DE597B"/>
    <w:rsid w:val="49E06A82"/>
    <w:rsid w:val="49EF5E86"/>
    <w:rsid w:val="4A1A69D5"/>
    <w:rsid w:val="4A555D0A"/>
    <w:rsid w:val="4A857B7B"/>
    <w:rsid w:val="4A9732F5"/>
    <w:rsid w:val="4A9B1346"/>
    <w:rsid w:val="4AAF21C5"/>
    <w:rsid w:val="4ABF4AEE"/>
    <w:rsid w:val="4ACD5DE8"/>
    <w:rsid w:val="4AD4501A"/>
    <w:rsid w:val="4B3B2117"/>
    <w:rsid w:val="4B4C7970"/>
    <w:rsid w:val="4B4E6D09"/>
    <w:rsid w:val="4B8C1C4B"/>
    <w:rsid w:val="4B9A1CC3"/>
    <w:rsid w:val="4BB2438A"/>
    <w:rsid w:val="4BB60EDD"/>
    <w:rsid w:val="4BC3332E"/>
    <w:rsid w:val="4BC52D55"/>
    <w:rsid w:val="4BE4331E"/>
    <w:rsid w:val="4C3862DD"/>
    <w:rsid w:val="4C3970C7"/>
    <w:rsid w:val="4C520360"/>
    <w:rsid w:val="4C673C1D"/>
    <w:rsid w:val="4C6F171C"/>
    <w:rsid w:val="4CB12573"/>
    <w:rsid w:val="4D022532"/>
    <w:rsid w:val="4D0E782E"/>
    <w:rsid w:val="4D141E56"/>
    <w:rsid w:val="4D1A5BAF"/>
    <w:rsid w:val="4D28102B"/>
    <w:rsid w:val="4D317387"/>
    <w:rsid w:val="4D3B0EF1"/>
    <w:rsid w:val="4D3F358E"/>
    <w:rsid w:val="4D4B4DB1"/>
    <w:rsid w:val="4D5676F1"/>
    <w:rsid w:val="4D6E00C6"/>
    <w:rsid w:val="4D90538A"/>
    <w:rsid w:val="4D9071B5"/>
    <w:rsid w:val="4D96017C"/>
    <w:rsid w:val="4DBF727F"/>
    <w:rsid w:val="4DC47D0E"/>
    <w:rsid w:val="4DCB5086"/>
    <w:rsid w:val="4DDF5C24"/>
    <w:rsid w:val="4DE40675"/>
    <w:rsid w:val="4DFE42FC"/>
    <w:rsid w:val="4E072501"/>
    <w:rsid w:val="4E0F5B81"/>
    <w:rsid w:val="4E0F70F7"/>
    <w:rsid w:val="4E5B25A8"/>
    <w:rsid w:val="4E5F4AE5"/>
    <w:rsid w:val="4E6F1E31"/>
    <w:rsid w:val="4E74648B"/>
    <w:rsid w:val="4E7B188C"/>
    <w:rsid w:val="4E815A2A"/>
    <w:rsid w:val="4E835949"/>
    <w:rsid w:val="4E854F81"/>
    <w:rsid w:val="4EA25828"/>
    <w:rsid w:val="4EC27071"/>
    <w:rsid w:val="4EE21D1D"/>
    <w:rsid w:val="4EF97D42"/>
    <w:rsid w:val="4EFA0E15"/>
    <w:rsid w:val="4F2B12E0"/>
    <w:rsid w:val="4F6C5333"/>
    <w:rsid w:val="4F8747D0"/>
    <w:rsid w:val="4F93383E"/>
    <w:rsid w:val="4F9C215E"/>
    <w:rsid w:val="4FA9473B"/>
    <w:rsid w:val="4FD712A8"/>
    <w:rsid w:val="50094FC1"/>
    <w:rsid w:val="503867CE"/>
    <w:rsid w:val="50454464"/>
    <w:rsid w:val="504B2073"/>
    <w:rsid w:val="50595DAE"/>
    <w:rsid w:val="506B50DF"/>
    <w:rsid w:val="508059D4"/>
    <w:rsid w:val="50836D3A"/>
    <w:rsid w:val="50984D85"/>
    <w:rsid w:val="509935DF"/>
    <w:rsid w:val="509C744F"/>
    <w:rsid w:val="50AC44E3"/>
    <w:rsid w:val="50B33B40"/>
    <w:rsid w:val="50CB120A"/>
    <w:rsid w:val="50D86361"/>
    <w:rsid w:val="50DD469C"/>
    <w:rsid w:val="50F55C84"/>
    <w:rsid w:val="511562D8"/>
    <w:rsid w:val="512108D9"/>
    <w:rsid w:val="514E1D8A"/>
    <w:rsid w:val="51560FC2"/>
    <w:rsid w:val="51632E76"/>
    <w:rsid w:val="517106AF"/>
    <w:rsid w:val="51752722"/>
    <w:rsid w:val="51B1149B"/>
    <w:rsid w:val="51CB4ADD"/>
    <w:rsid w:val="51DC65E5"/>
    <w:rsid w:val="51E55829"/>
    <w:rsid w:val="5251742F"/>
    <w:rsid w:val="52745A90"/>
    <w:rsid w:val="52887ADE"/>
    <w:rsid w:val="528C64F8"/>
    <w:rsid w:val="528E7F02"/>
    <w:rsid w:val="52AF2244"/>
    <w:rsid w:val="52B94DF7"/>
    <w:rsid w:val="52C258BB"/>
    <w:rsid w:val="52C9681F"/>
    <w:rsid w:val="52DC37C0"/>
    <w:rsid w:val="530E3233"/>
    <w:rsid w:val="53116998"/>
    <w:rsid w:val="532260B4"/>
    <w:rsid w:val="532B163B"/>
    <w:rsid w:val="534676AE"/>
    <w:rsid w:val="53467E19"/>
    <w:rsid w:val="5372637E"/>
    <w:rsid w:val="53752B00"/>
    <w:rsid w:val="538E690A"/>
    <w:rsid w:val="53A92F5C"/>
    <w:rsid w:val="53AD64E3"/>
    <w:rsid w:val="53CE4770"/>
    <w:rsid w:val="53E929A3"/>
    <w:rsid w:val="53EB02CF"/>
    <w:rsid w:val="540B596A"/>
    <w:rsid w:val="540B740F"/>
    <w:rsid w:val="541923EC"/>
    <w:rsid w:val="543A2CBB"/>
    <w:rsid w:val="545F01D3"/>
    <w:rsid w:val="54691E94"/>
    <w:rsid w:val="548138FD"/>
    <w:rsid w:val="54AF7716"/>
    <w:rsid w:val="54CB0CB0"/>
    <w:rsid w:val="54E628A3"/>
    <w:rsid w:val="54FE2E33"/>
    <w:rsid w:val="550D34F8"/>
    <w:rsid w:val="55135114"/>
    <w:rsid w:val="55271042"/>
    <w:rsid w:val="555111B5"/>
    <w:rsid w:val="556472E9"/>
    <w:rsid w:val="5574674D"/>
    <w:rsid w:val="55A72244"/>
    <w:rsid w:val="55B3229F"/>
    <w:rsid w:val="55BB356E"/>
    <w:rsid w:val="55DD1F9D"/>
    <w:rsid w:val="55DE521E"/>
    <w:rsid w:val="55FF29E5"/>
    <w:rsid w:val="560034F9"/>
    <w:rsid w:val="56021865"/>
    <w:rsid w:val="56131B99"/>
    <w:rsid w:val="56187781"/>
    <w:rsid w:val="56240C8B"/>
    <w:rsid w:val="563034C0"/>
    <w:rsid w:val="56546315"/>
    <w:rsid w:val="56BF3D04"/>
    <w:rsid w:val="56DA1216"/>
    <w:rsid w:val="56F55B83"/>
    <w:rsid w:val="570B34BD"/>
    <w:rsid w:val="57150BE7"/>
    <w:rsid w:val="571B041C"/>
    <w:rsid w:val="573B7EDA"/>
    <w:rsid w:val="575B3965"/>
    <w:rsid w:val="57821E3F"/>
    <w:rsid w:val="57B3788F"/>
    <w:rsid w:val="57C979EB"/>
    <w:rsid w:val="57D85BBE"/>
    <w:rsid w:val="5804123F"/>
    <w:rsid w:val="5806384B"/>
    <w:rsid w:val="580B636A"/>
    <w:rsid w:val="581C64AC"/>
    <w:rsid w:val="58226E39"/>
    <w:rsid w:val="583306A5"/>
    <w:rsid w:val="583567CE"/>
    <w:rsid w:val="5861280E"/>
    <w:rsid w:val="58F37819"/>
    <w:rsid w:val="58FB638B"/>
    <w:rsid w:val="5940615B"/>
    <w:rsid w:val="594E481B"/>
    <w:rsid w:val="5971594F"/>
    <w:rsid w:val="598402E6"/>
    <w:rsid w:val="5984033B"/>
    <w:rsid w:val="598C03AC"/>
    <w:rsid w:val="598D56C3"/>
    <w:rsid w:val="59957B15"/>
    <w:rsid w:val="59C10F36"/>
    <w:rsid w:val="59DB26BE"/>
    <w:rsid w:val="59E51865"/>
    <w:rsid w:val="59EE01C4"/>
    <w:rsid w:val="5A12290E"/>
    <w:rsid w:val="5A231763"/>
    <w:rsid w:val="5A5B1960"/>
    <w:rsid w:val="5A72314A"/>
    <w:rsid w:val="5A9D0004"/>
    <w:rsid w:val="5AA848BE"/>
    <w:rsid w:val="5AE4253B"/>
    <w:rsid w:val="5AF55674"/>
    <w:rsid w:val="5AFF324B"/>
    <w:rsid w:val="5B2F7E56"/>
    <w:rsid w:val="5B525EF4"/>
    <w:rsid w:val="5B64553B"/>
    <w:rsid w:val="5B693CAF"/>
    <w:rsid w:val="5B787A9F"/>
    <w:rsid w:val="5B8306AD"/>
    <w:rsid w:val="5B8B07EA"/>
    <w:rsid w:val="5B90055D"/>
    <w:rsid w:val="5B9E5F44"/>
    <w:rsid w:val="5BB25DF0"/>
    <w:rsid w:val="5BBA7C26"/>
    <w:rsid w:val="5BE360AB"/>
    <w:rsid w:val="5BEA172E"/>
    <w:rsid w:val="5BFB5BB6"/>
    <w:rsid w:val="5C072C5F"/>
    <w:rsid w:val="5C164F06"/>
    <w:rsid w:val="5C205796"/>
    <w:rsid w:val="5C3931AC"/>
    <w:rsid w:val="5C406893"/>
    <w:rsid w:val="5C4D48EF"/>
    <w:rsid w:val="5C78063D"/>
    <w:rsid w:val="5C7A30D6"/>
    <w:rsid w:val="5C7B46F1"/>
    <w:rsid w:val="5CB41FAA"/>
    <w:rsid w:val="5CDA55CD"/>
    <w:rsid w:val="5CFB4F24"/>
    <w:rsid w:val="5D0759CE"/>
    <w:rsid w:val="5D4355DE"/>
    <w:rsid w:val="5D473307"/>
    <w:rsid w:val="5D5A0A8A"/>
    <w:rsid w:val="5D62726E"/>
    <w:rsid w:val="5D695340"/>
    <w:rsid w:val="5D727A23"/>
    <w:rsid w:val="5D892F2C"/>
    <w:rsid w:val="5DBE3E21"/>
    <w:rsid w:val="5DC40847"/>
    <w:rsid w:val="5DF74F06"/>
    <w:rsid w:val="5E096B64"/>
    <w:rsid w:val="5E115DF9"/>
    <w:rsid w:val="5E195A86"/>
    <w:rsid w:val="5E2104C5"/>
    <w:rsid w:val="5E9B6038"/>
    <w:rsid w:val="5EC450EE"/>
    <w:rsid w:val="5EE50BC0"/>
    <w:rsid w:val="5F004588"/>
    <w:rsid w:val="5F48187B"/>
    <w:rsid w:val="5F5404FA"/>
    <w:rsid w:val="5F5B374B"/>
    <w:rsid w:val="5F7F1144"/>
    <w:rsid w:val="5F9C6237"/>
    <w:rsid w:val="5FC37230"/>
    <w:rsid w:val="5FC752E1"/>
    <w:rsid w:val="5FC829BC"/>
    <w:rsid w:val="5FE04F8A"/>
    <w:rsid w:val="5FF64227"/>
    <w:rsid w:val="5FF805A4"/>
    <w:rsid w:val="600B2A99"/>
    <w:rsid w:val="60115EEC"/>
    <w:rsid w:val="602A3D29"/>
    <w:rsid w:val="602B6AA7"/>
    <w:rsid w:val="605B76D7"/>
    <w:rsid w:val="605C2615"/>
    <w:rsid w:val="605D601C"/>
    <w:rsid w:val="60894B58"/>
    <w:rsid w:val="60AA067F"/>
    <w:rsid w:val="60BA76DA"/>
    <w:rsid w:val="60D9117D"/>
    <w:rsid w:val="60EF749A"/>
    <w:rsid w:val="612E4AA0"/>
    <w:rsid w:val="61353CEE"/>
    <w:rsid w:val="61832254"/>
    <w:rsid w:val="6189157B"/>
    <w:rsid w:val="618D2FE3"/>
    <w:rsid w:val="61B161A1"/>
    <w:rsid w:val="61BB1E73"/>
    <w:rsid w:val="61FF46F2"/>
    <w:rsid w:val="621F60C3"/>
    <w:rsid w:val="62247735"/>
    <w:rsid w:val="624F5C68"/>
    <w:rsid w:val="62656F80"/>
    <w:rsid w:val="62676A11"/>
    <w:rsid w:val="627272D1"/>
    <w:rsid w:val="627272E3"/>
    <w:rsid w:val="627B20C7"/>
    <w:rsid w:val="62CC2D0D"/>
    <w:rsid w:val="62EB7874"/>
    <w:rsid w:val="62F55245"/>
    <w:rsid w:val="63164A0E"/>
    <w:rsid w:val="631806DF"/>
    <w:rsid w:val="63295DBF"/>
    <w:rsid w:val="63395BC4"/>
    <w:rsid w:val="635561D4"/>
    <w:rsid w:val="635968AC"/>
    <w:rsid w:val="63A80F12"/>
    <w:rsid w:val="63AC6228"/>
    <w:rsid w:val="63B831F9"/>
    <w:rsid w:val="63CC5F5A"/>
    <w:rsid w:val="63F07E01"/>
    <w:rsid w:val="63F604E6"/>
    <w:rsid w:val="63F74842"/>
    <w:rsid w:val="641C0A42"/>
    <w:rsid w:val="641E3595"/>
    <w:rsid w:val="6424234F"/>
    <w:rsid w:val="642F3009"/>
    <w:rsid w:val="6432343B"/>
    <w:rsid w:val="643C37BE"/>
    <w:rsid w:val="645C597C"/>
    <w:rsid w:val="646A4702"/>
    <w:rsid w:val="646F5E87"/>
    <w:rsid w:val="64865B65"/>
    <w:rsid w:val="64AC3D1F"/>
    <w:rsid w:val="64BA0C2F"/>
    <w:rsid w:val="64BB6ECF"/>
    <w:rsid w:val="64C32A10"/>
    <w:rsid w:val="64C43FC7"/>
    <w:rsid w:val="64D703F2"/>
    <w:rsid w:val="64E355D5"/>
    <w:rsid w:val="64F42145"/>
    <w:rsid w:val="651F288D"/>
    <w:rsid w:val="653E549D"/>
    <w:rsid w:val="656509F3"/>
    <w:rsid w:val="659D4A57"/>
    <w:rsid w:val="65A74B2E"/>
    <w:rsid w:val="65BB39CF"/>
    <w:rsid w:val="65E21B73"/>
    <w:rsid w:val="65EE0063"/>
    <w:rsid w:val="6608095D"/>
    <w:rsid w:val="667016B7"/>
    <w:rsid w:val="667B0256"/>
    <w:rsid w:val="67422907"/>
    <w:rsid w:val="67424798"/>
    <w:rsid w:val="67716BB0"/>
    <w:rsid w:val="67756B46"/>
    <w:rsid w:val="67AE693B"/>
    <w:rsid w:val="67C5088E"/>
    <w:rsid w:val="67F8712A"/>
    <w:rsid w:val="680227E3"/>
    <w:rsid w:val="682A2BA3"/>
    <w:rsid w:val="683055A2"/>
    <w:rsid w:val="68327D40"/>
    <w:rsid w:val="683E5EB1"/>
    <w:rsid w:val="68520E2A"/>
    <w:rsid w:val="68AE5B58"/>
    <w:rsid w:val="68D14265"/>
    <w:rsid w:val="68DC4DE2"/>
    <w:rsid w:val="691D561C"/>
    <w:rsid w:val="69427E9F"/>
    <w:rsid w:val="694B3073"/>
    <w:rsid w:val="694F2DEB"/>
    <w:rsid w:val="698F1179"/>
    <w:rsid w:val="699E5F8B"/>
    <w:rsid w:val="69A91B40"/>
    <w:rsid w:val="69B95C33"/>
    <w:rsid w:val="69C95CCE"/>
    <w:rsid w:val="69F03962"/>
    <w:rsid w:val="6A0A22CF"/>
    <w:rsid w:val="6A183813"/>
    <w:rsid w:val="6A196138"/>
    <w:rsid w:val="6A1B2DD0"/>
    <w:rsid w:val="6A247C73"/>
    <w:rsid w:val="6A2F3C27"/>
    <w:rsid w:val="6A367C56"/>
    <w:rsid w:val="6A37343E"/>
    <w:rsid w:val="6A3D50CF"/>
    <w:rsid w:val="6A590DE0"/>
    <w:rsid w:val="6A972B4B"/>
    <w:rsid w:val="6AB5588C"/>
    <w:rsid w:val="6AC04FB4"/>
    <w:rsid w:val="6AC21DD9"/>
    <w:rsid w:val="6AF0075E"/>
    <w:rsid w:val="6B2454F8"/>
    <w:rsid w:val="6B4F3EDF"/>
    <w:rsid w:val="6B5F2AEC"/>
    <w:rsid w:val="6B616002"/>
    <w:rsid w:val="6B866DA8"/>
    <w:rsid w:val="6BA63FA9"/>
    <w:rsid w:val="6BBD7824"/>
    <w:rsid w:val="6BCD5C76"/>
    <w:rsid w:val="6BD94144"/>
    <w:rsid w:val="6C04323D"/>
    <w:rsid w:val="6C09751B"/>
    <w:rsid w:val="6C0A256A"/>
    <w:rsid w:val="6C1D218A"/>
    <w:rsid w:val="6C5354EE"/>
    <w:rsid w:val="6CB528B8"/>
    <w:rsid w:val="6CDD063E"/>
    <w:rsid w:val="6CDF2897"/>
    <w:rsid w:val="6CEC7515"/>
    <w:rsid w:val="6D020D31"/>
    <w:rsid w:val="6D0456FB"/>
    <w:rsid w:val="6D407F66"/>
    <w:rsid w:val="6D4D77FB"/>
    <w:rsid w:val="6D582424"/>
    <w:rsid w:val="6D582E4F"/>
    <w:rsid w:val="6D751523"/>
    <w:rsid w:val="6D7E3010"/>
    <w:rsid w:val="6D930726"/>
    <w:rsid w:val="6DBC2EA3"/>
    <w:rsid w:val="6DD05E92"/>
    <w:rsid w:val="6DD80F51"/>
    <w:rsid w:val="6DFE2B59"/>
    <w:rsid w:val="6E14757F"/>
    <w:rsid w:val="6E1A7838"/>
    <w:rsid w:val="6E2C308D"/>
    <w:rsid w:val="6E4232AA"/>
    <w:rsid w:val="6E6552CB"/>
    <w:rsid w:val="6E764A18"/>
    <w:rsid w:val="6E7C5857"/>
    <w:rsid w:val="6E80497E"/>
    <w:rsid w:val="6E8318F6"/>
    <w:rsid w:val="6E846A90"/>
    <w:rsid w:val="6E9920C2"/>
    <w:rsid w:val="6EA97922"/>
    <w:rsid w:val="6EB27A64"/>
    <w:rsid w:val="6EB76F23"/>
    <w:rsid w:val="6EBC3D02"/>
    <w:rsid w:val="6EEC22EA"/>
    <w:rsid w:val="6F034B29"/>
    <w:rsid w:val="6FAA79E8"/>
    <w:rsid w:val="6FC21C81"/>
    <w:rsid w:val="6FCA276E"/>
    <w:rsid w:val="6FF96212"/>
    <w:rsid w:val="6FFB275C"/>
    <w:rsid w:val="701D5B31"/>
    <w:rsid w:val="702F11D4"/>
    <w:rsid w:val="70330AA8"/>
    <w:rsid w:val="70374E38"/>
    <w:rsid w:val="703F19D6"/>
    <w:rsid w:val="70592901"/>
    <w:rsid w:val="706E24DB"/>
    <w:rsid w:val="707B6D0A"/>
    <w:rsid w:val="70A672AD"/>
    <w:rsid w:val="70D3426C"/>
    <w:rsid w:val="70D5301A"/>
    <w:rsid w:val="70E114AA"/>
    <w:rsid w:val="712348DE"/>
    <w:rsid w:val="712E0CB5"/>
    <w:rsid w:val="71453D30"/>
    <w:rsid w:val="71496E32"/>
    <w:rsid w:val="716F2A52"/>
    <w:rsid w:val="717A163C"/>
    <w:rsid w:val="718879CB"/>
    <w:rsid w:val="71962CFF"/>
    <w:rsid w:val="719F4FEE"/>
    <w:rsid w:val="71AD7C63"/>
    <w:rsid w:val="71BB3875"/>
    <w:rsid w:val="71E0178C"/>
    <w:rsid w:val="72214331"/>
    <w:rsid w:val="72326BCE"/>
    <w:rsid w:val="725922C0"/>
    <w:rsid w:val="725C7993"/>
    <w:rsid w:val="7260194B"/>
    <w:rsid w:val="72654A20"/>
    <w:rsid w:val="728463E0"/>
    <w:rsid w:val="72AB7D1D"/>
    <w:rsid w:val="72AD6EB2"/>
    <w:rsid w:val="72D07EA7"/>
    <w:rsid w:val="72F37062"/>
    <w:rsid w:val="72F67975"/>
    <w:rsid w:val="73123C2B"/>
    <w:rsid w:val="73223D39"/>
    <w:rsid w:val="732E2C0E"/>
    <w:rsid w:val="73352305"/>
    <w:rsid w:val="73444BA9"/>
    <w:rsid w:val="73695AE2"/>
    <w:rsid w:val="737E5413"/>
    <w:rsid w:val="738B3071"/>
    <w:rsid w:val="73924E07"/>
    <w:rsid w:val="739801DE"/>
    <w:rsid w:val="73981034"/>
    <w:rsid w:val="73AF3F96"/>
    <w:rsid w:val="73BA25D0"/>
    <w:rsid w:val="73BA2BEB"/>
    <w:rsid w:val="73C1756A"/>
    <w:rsid w:val="73D03795"/>
    <w:rsid w:val="73EB555E"/>
    <w:rsid w:val="73ED7B66"/>
    <w:rsid w:val="741D18B1"/>
    <w:rsid w:val="742556B5"/>
    <w:rsid w:val="743312A4"/>
    <w:rsid w:val="74350B7F"/>
    <w:rsid w:val="74757A15"/>
    <w:rsid w:val="74A328AE"/>
    <w:rsid w:val="74D56D1C"/>
    <w:rsid w:val="74F25FF7"/>
    <w:rsid w:val="74F43BE7"/>
    <w:rsid w:val="74FD15B7"/>
    <w:rsid w:val="75053CC3"/>
    <w:rsid w:val="75121A5A"/>
    <w:rsid w:val="75306661"/>
    <w:rsid w:val="75457CF0"/>
    <w:rsid w:val="754A72B5"/>
    <w:rsid w:val="754B1472"/>
    <w:rsid w:val="75900212"/>
    <w:rsid w:val="7599120C"/>
    <w:rsid w:val="75B55338"/>
    <w:rsid w:val="75D75034"/>
    <w:rsid w:val="75DC1172"/>
    <w:rsid w:val="75F02EE5"/>
    <w:rsid w:val="761B163F"/>
    <w:rsid w:val="762141CE"/>
    <w:rsid w:val="766D176F"/>
    <w:rsid w:val="76715E56"/>
    <w:rsid w:val="768A574F"/>
    <w:rsid w:val="768C258F"/>
    <w:rsid w:val="769D0325"/>
    <w:rsid w:val="76A2692F"/>
    <w:rsid w:val="76BC394D"/>
    <w:rsid w:val="76F81533"/>
    <w:rsid w:val="7703733C"/>
    <w:rsid w:val="77044580"/>
    <w:rsid w:val="7710618D"/>
    <w:rsid w:val="773E3500"/>
    <w:rsid w:val="77532C0E"/>
    <w:rsid w:val="775A1C92"/>
    <w:rsid w:val="775E48B2"/>
    <w:rsid w:val="778A20CC"/>
    <w:rsid w:val="77933457"/>
    <w:rsid w:val="77AB472C"/>
    <w:rsid w:val="77DB2171"/>
    <w:rsid w:val="77E85A87"/>
    <w:rsid w:val="77EF5C8A"/>
    <w:rsid w:val="77F6678A"/>
    <w:rsid w:val="78195565"/>
    <w:rsid w:val="78293F09"/>
    <w:rsid w:val="78616D35"/>
    <w:rsid w:val="7864675B"/>
    <w:rsid w:val="786E20AC"/>
    <w:rsid w:val="78A34650"/>
    <w:rsid w:val="78B11E6D"/>
    <w:rsid w:val="78CD1AD8"/>
    <w:rsid w:val="78EF49DB"/>
    <w:rsid w:val="78F31E56"/>
    <w:rsid w:val="78F764A3"/>
    <w:rsid w:val="78FE08CF"/>
    <w:rsid w:val="79435ABD"/>
    <w:rsid w:val="7944478A"/>
    <w:rsid w:val="79634716"/>
    <w:rsid w:val="79722C07"/>
    <w:rsid w:val="79A35ACC"/>
    <w:rsid w:val="79A91CA7"/>
    <w:rsid w:val="79B70F1F"/>
    <w:rsid w:val="79B82FDB"/>
    <w:rsid w:val="79D93F6E"/>
    <w:rsid w:val="79E0793B"/>
    <w:rsid w:val="79E81BBC"/>
    <w:rsid w:val="79F07FB4"/>
    <w:rsid w:val="7A1039E0"/>
    <w:rsid w:val="7A105CD5"/>
    <w:rsid w:val="7A426F67"/>
    <w:rsid w:val="7A4E15F9"/>
    <w:rsid w:val="7A7A3A48"/>
    <w:rsid w:val="7AA33B3A"/>
    <w:rsid w:val="7AA468BB"/>
    <w:rsid w:val="7AB32C5E"/>
    <w:rsid w:val="7ABE1631"/>
    <w:rsid w:val="7B22169F"/>
    <w:rsid w:val="7B2743B3"/>
    <w:rsid w:val="7B7030EB"/>
    <w:rsid w:val="7BB24448"/>
    <w:rsid w:val="7BE0142F"/>
    <w:rsid w:val="7BE74CD1"/>
    <w:rsid w:val="7C3B1360"/>
    <w:rsid w:val="7C5414A1"/>
    <w:rsid w:val="7C674A75"/>
    <w:rsid w:val="7C7B13D9"/>
    <w:rsid w:val="7C855E98"/>
    <w:rsid w:val="7C8D5A4E"/>
    <w:rsid w:val="7CA1320E"/>
    <w:rsid w:val="7CAF2090"/>
    <w:rsid w:val="7CBF7E53"/>
    <w:rsid w:val="7CC87C1A"/>
    <w:rsid w:val="7CD03092"/>
    <w:rsid w:val="7CD51E1C"/>
    <w:rsid w:val="7CD71033"/>
    <w:rsid w:val="7D077714"/>
    <w:rsid w:val="7D2F776A"/>
    <w:rsid w:val="7D310B30"/>
    <w:rsid w:val="7D700CB3"/>
    <w:rsid w:val="7D836C18"/>
    <w:rsid w:val="7D8C240C"/>
    <w:rsid w:val="7DAD4199"/>
    <w:rsid w:val="7DB95776"/>
    <w:rsid w:val="7DC56571"/>
    <w:rsid w:val="7DCB0743"/>
    <w:rsid w:val="7DCC327D"/>
    <w:rsid w:val="7DEE565F"/>
    <w:rsid w:val="7E20508F"/>
    <w:rsid w:val="7E492AC2"/>
    <w:rsid w:val="7E7B5830"/>
    <w:rsid w:val="7E85594F"/>
    <w:rsid w:val="7EAA0DCD"/>
    <w:rsid w:val="7EBD001F"/>
    <w:rsid w:val="7EDA6659"/>
    <w:rsid w:val="7EF0081A"/>
    <w:rsid w:val="7F222BDC"/>
    <w:rsid w:val="7F2260D6"/>
    <w:rsid w:val="7F3250E8"/>
    <w:rsid w:val="7F361298"/>
    <w:rsid w:val="7F3F7705"/>
    <w:rsid w:val="7F7205B4"/>
    <w:rsid w:val="7F7A5DBC"/>
    <w:rsid w:val="7F7F2C3F"/>
    <w:rsid w:val="7FA37A53"/>
    <w:rsid w:val="7FCB3154"/>
    <w:rsid w:val="7FF571DF"/>
    <w:rsid w:val="7FF9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B4EB9"/>
  <w15:docId w15:val="{EC8A5880-7DE0-40D7-A4DA-809D4588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autoRedefine/>
    <w:semiHidden/>
    <w:unhideWhenUsed/>
    <w:qFormat/>
    <w:rPr>
      <w:rFonts w:ascii="Segoe UI" w:hAnsi="Segoe UI" w:cs="Segoe UI"/>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autoRedefine/>
    <w:qFormat/>
    <w:pPr>
      <w:tabs>
        <w:tab w:val="center" w:pos="4680"/>
        <w:tab w:val="right" w:pos="9360"/>
      </w:tabs>
    </w:pPr>
  </w:style>
  <w:style w:type="paragraph" w:styleId="FootnoteText">
    <w:name w:val="footnote text"/>
    <w:basedOn w:val="Normal"/>
    <w:autoRedefine/>
    <w:qFormat/>
    <w:pPr>
      <w:snapToGrid w:val="0"/>
      <w:jc w:val="left"/>
    </w:pPr>
    <w:rPr>
      <w:sz w:val="18"/>
    </w:rPr>
  </w:style>
  <w:style w:type="paragraph" w:styleId="NormalWeb">
    <w:name w:val="Normal (Web)"/>
    <w:basedOn w:val="Normal"/>
    <w:autoRedefine/>
    <w:uiPriority w:val="99"/>
    <w:unhideWhenUsed/>
    <w:qFormat/>
    <w:pPr>
      <w:widowControl/>
      <w:spacing w:before="100" w:beforeAutospacing="1" w:after="100" w:afterAutospacing="1"/>
      <w:jc w:val="left"/>
    </w:pPr>
    <w:rPr>
      <w:rFonts w:ascii="Times New Roman" w:eastAsia="Times New Roman" w:hAnsi="Times New Roman" w:cs="Times New Roman"/>
      <w:kern w:val="0"/>
      <w:sz w:val="24"/>
      <w:lang w:eastAsia="en-US"/>
    </w:rPr>
  </w:style>
  <w:style w:type="paragraph" w:styleId="CommentSubject">
    <w:name w:val="annotation subject"/>
    <w:basedOn w:val="CommentText"/>
    <w:next w:val="CommentText"/>
    <w:link w:val="CommentSubjectChar"/>
    <w:autoRedefine/>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autoRedefine/>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autoRedefine/>
    <w:qFormat/>
    <w:rPr>
      <w:vertAlign w:val="superscript"/>
    </w:rPr>
  </w:style>
  <w:style w:type="character" w:styleId="PlaceholderText">
    <w:name w:val="Placeholder Text"/>
    <w:basedOn w:val="DefaultParagraphFont"/>
    <w:autoRedefine/>
    <w:uiPriority w:val="99"/>
    <w:semiHidden/>
    <w:qFormat/>
    <w:rPr>
      <w:color w:val="808080"/>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ommentTextChar">
    <w:name w:val="Comment Text Char"/>
    <w:basedOn w:val="DefaultParagraphFont"/>
    <w:link w:val="CommentText"/>
    <w:autoRedefine/>
    <w:qFormat/>
    <w:rPr>
      <w:rFonts w:asciiTheme="minorHAnsi" w:eastAsiaTheme="minorEastAsia" w:hAnsiTheme="minorHAnsi" w:cstheme="minorBidi"/>
      <w:kern w:val="2"/>
    </w:rPr>
  </w:style>
  <w:style w:type="character" w:customStyle="1" w:styleId="CommentSubjectChar">
    <w:name w:val="Comment Subject Char"/>
    <w:basedOn w:val="CommentTextChar"/>
    <w:link w:val="CommentSubject"/>
    <w:autoRedefine/>
    <w:semiHidden/>
    <w:qFormat/>
    <w:rPr>
      <w:rFonts w:asciiTheme="minorHAnsi" w:eastAsiaTheme="minorEastAsia" w:hAnsiTheme="minorHAnsi" w:cstheme="minorBidi"/>
      <w:b/>
      <w:bCs/>
      <w:kern w:val="2"/>
    </w:rPr>
  </w:style>
  <w:style w:type="character" w:customStyle="1" w:styleId="BalloonTextChar">
    <w:name w:val="Balloon Text Char"/>
    <w:basedOn w:val="DefaultParagraphFont"/>
    <w:link w:val="BalloonText"/>
    <w:semiHidden/>
    <w:qFormat/>
    <w:rPr>
      <w:rFonts w:ascii="Segoe UI" w:eastAsiaTheme="minorEastAsia" w:hAnsi="Segoe UI" w:cs="Segoe UI"/>
      <w:kern w:val="2"/>
      <w:sz w:val="18"/>
      <w:szCs w:val="18"/>
    </w:rPr>
  </w:style>
  <w:style w:type="character" w:customStyle="1" w:styleId="HeaderChar">
    <w:name w:val="Header Char"/>
    <w:basedOn w:val="DefaultParagraphFont"/>
    <w:link w:val="Header"/>
    <w:autoRedefine/>
    <w:qFormat/>
    <w:rPr>
      <w:rFonts w:asciiTheme="minorHAnsi" w:eastAsiaTheme="minorEastAsia" w:hAnsiTheme="minorHAnsi" w:cstheme="minorBidi"/>
      <w:kern w:val="2"/>
      <w:sz w:val="21"/>
      <w:szCs w:val="24"/>
    </w:rPr>
  </w:style>
  <w:style w:type="character" w:customStyle="1" w:styleId="FooterChar">
    <w:name w:val="Footer Char"/>
    <w:basedOn w:val="DefaultParagraphFont"/>
    <w:link w:val="Footer"/>
    <w:autoRedefine/>
    <w:uiPriority w:val="99"/>
    <w:qFormat/>
    <w:rPr>
      <w:rFonts w:asciiTheme="minorHAnsi" w:eastAsiaTheme="minorEastAsia" w:hAnsiTheme="minorHAnsi" w:cstheme="minorBidi"/>
      <w:kern w:val="2"/>
      <w:sz w:val="21"/>
      <w:szCs w:val="24"/>
    </w:rPr>
  </w:style>
  <w:style w:type="paragraph" w:customStyle="1" w:styleId="Revision1">
    <w:name w:val="Revision1"/>
    <w:autoRedefine/>
    <w:hidden/>
    <w:uiPriority w:val="99"/>
    <w:semiHidden/>
    <w:qFormat/>
    <w:rPr>
      <w:rFonts w:asciiTheme="minorHAnsi" w:eastAsiaTheme="minorEastAsia" w:hAnsiTheme="minorHAnsi" w:cstheme="minorBidi"/>
      <w:kern w:val="2"/>
      <w:sz w:val="21"/>
      <w:szCs w:val="24"/>
    </w:rPr>
  </w:style>
  <w:style w:type="paragraph" w:styleId="Revision">
    <w:name w:val="Revision"/>
    <w:hidden/>
    <w:uiPriority w:val="99"/>
    <w:semiHidden/>
    <w:rsid w:val="003F271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304387801001675"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https://www.sciencedirect.com/journal/journal-of-development-economics"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scholar.harvard.edu/files/frankel/files/verifying-frankel_et_al-jde.pdf" TargetMode="Externa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yperlink" Target="https://www.jstor.org/stable/2696430" TargetMode="External"/><Relationship Id="rId3" Type="http://schemas.openxmlformats.org/officeDocument/2006/relationships/styles" Target="styles.xml"/><Relationship Id="rId12" Type="http://schemas.openxmlformats.org/officeDocument/2006/relationships/hyperlink" Target="https://link.springer.com/article/10.1057/imfsp.2008.18"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s>
</file>

<file path=word/_rels/footnotes.xml.rels><?xml version="1.0" encoding="UTF-8" standalone="yes"?>
<Relationships xmlns="http://schemas.openxmlformats.org/package/2006/relationships"><Relationship Id="rId3" Type="http://schemas.openxmlformats.org/officeDocument/2006/relationships/hyperlink" Target="mailto:xiedanxia@tsinghua.edu.cn" TargetMode="External"/><Relationship Id="rId2" Type="http://schemas.openxmlformats.org/officeDocument/2006/relationships/hyperlink" Target="mailto:houy20@mails.tsinghua.edu.cn" TargetMode="External"/><Relationship Id="rId1" Type="http://schemas.openxmlformats.org/officeDocument/2006/relationships/hyperlink" Target="mailto:jeffrey_frankel@harvard.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6190-0FE6-4ED3-8D12-EBB4644E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13353</Words>
  <Characters>76116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侯尧</dc:creator>
  <cp:lastModifiedBy>Frankel, Jeffrey A.</cp:lastModifiedBy>
  <cp:revision>2</cp:revision>
  <dcterms:created xsi:type="dcterms:W3CDTF">2024-06-22T16:23:00Z</dcterms:created>
  <dcterms:modified xsi:type="dcterms:W3CDTF">2024-06-22T16:23:00Z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C09D567236374AFEBD9EE11CA81FDD3B</vt:lpwstr>
  </property>
  <property fmtid="{D5CDD505-2E9C-101B-9397-08002B2CF9AE}" pid="4" name="commondata">
    <vt:lpwstr>eyJoZGlkIjoiOTA4ZWE1OWEwMDNiYzM2MWRjODUzZWY4ZWRlODA4OWIifQ==</vt:lpwstr>
  </property>
</Properties>
</file>