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7CAD" w14:textId="4FC78FEA" w:rsidR="002B195B" w:rsidRDefault="00431061" w:rsidP="00431061">
      <w:pPr>
        <w:jc w:val="center"/>
        <w:rPr>
          <w:sz w:val="24"/>
          <w:szCs w:val="24"/>
        </w:rPr>
      </w:pPr>
      <w:r>
        <w:rPr>
          <w:sz w:val="24"/>
          <w:szCs w:val="24"/>
        </w:rPr>
        <w:t xml:space="preserve">                                                                                                   </w:t>
      </w:r>
      <w:r w:rsidR="00D567CF">
        <w:rPr>
          <w:sz w:val="24"/>
          <w:szCs w:val="24"/>
        </w:rPr>
        <w:t>May</w:t>
      </w:r>
      <w:r w:rsidR="005831B6">
        <w:rPr>
          <w:sz w:val="24"/>
          <w:szCs w:val="24"/>
        </w:rPr>
        <w:t xml:space="preserve"> </w:t>
      </w:r>
      <w:r w:rsidR="000073CF">
        <w:rPr>
          <w:sz w:val="24"/>
          <w:szCs w:val="24"/>
        </w:rPr>
        <w:t>1</w:t>
      </w:r>
      <w:r w:rsidR="00D814C9">
        <w:rPr>
          <w:sz w:val="24"/>
          <w:szCs w:val="24"/>
        </w:rPr>
        <w:t>6</w:t>
      </w:r>
      <w:r w:rsidR="000073CF">
        <w:rPr>
          <w:sz w:val="24"/>
          <w:szCs w:val="24"/>
        </w:rPr>
        <w:t>,</w:t>
      </w:r>
      <w:r w:rsidR="002B195B">
        <w:rPr>
          <w:sz w:val="24"/>
          <w:szCs w:val="24"/>
        </w:rPr>
        <w:t xml:space="preserve"> 2017</w:t>
      </w:r>
      <w:r w:rsidR="001F2CF3">
        <w:rPr>
          <w:sz w:val="24"/>
          <w:szCs w:val="24"/>
        </w:rPr>
        <w:t xml:space="preserve"> </w:t>
      </w:r>
      <w:r w:rsidR="00C20D95">
        <w:rPr>
          <w:sz w:val="18"/>
          <w:szCs w:val="18"/>
        </w:rPr>
        <w:t>revised June</w:t>
      </w:r>
      <w:r w:rsidR="00585218">
        <w:rPr>
          <w:sz w:val="18"/>
          <w:szCs w:val="18"/>
        </w:rPr>
        <w:t xml:space="preserve"> 21</w:t>
      </w:r>
    </w:p>
    <w:p w14:paraId="58DAA9ED" w14:textId="77777777" w:rsidR="00FF7318" w:rsidRPr="00220F25" w:rsidRDefault="00FF7318" w:rsidP="002B195B">
      <w:pPr>
        <w:jc w:val="right"/>
        <w:rPr>
          <w:sz w:val="2"/>
          <w:szCs w:val="2"/>
        </w:rPr>
      </w:pPr>
    </w:p>
    <w:p w14:paraId="57B5C1F6" w14:textId="3CFD2896" w:rsidR="002B195B" w:rsidRPr="00FF7318" w:rsidRDefault="00FF7318" w:rsidP="002B195B">
      <w:pPr>
        <w:jc w:val="center"/>
        <w:rPr>
          <w:b/>
          <w:sz w:val="28"/>
          <w:szCs w:val="28"/>
        </w:rPr>
      </w:pPr>
      <w:r w:rsidRPr="00FF7318">
        <w:rPr>
          <w:b/>
          <w:sz w:val="28"/>
          <w:szCs w:val="28"/>
        </w:rPr>
        <w:t xml:space="preserve"> </w:t>
      </w:r>
      <w:r w:rsidR="00A33315" w:rsidRPr="00FF7318">
        <w:rPr>
          <w:b/>
          <w:sz w:val="28"/>
          <w:szCs w:val="28"/>
        </w:rPr>
        <w:t>Systematic Managed Floating</w:t>
      </w:r>
      <w:r w:rsidR="006A3367" w:rsidRPr="00FF7318">
        <w:rPr>
          <w:b/>
          <w:sz w:val="28"/>
          <w:szCs w:val="28"/>
        </w:rPr>
        <w:t xml:space="preserve"> </w:t>
      </w:r>
      <w:r w:rsidR="00016656">
        <w:rPr>
          <w:b/>
          <w:sz w:val="28"/>
          <w:szCs w:val="28"/>
        </w:rPr>
        <w:t xml:space="preserve">    </w:t>
      </w:r>
      <w:r w:rsidR="0046189C">
        <w:rPr>
          <w:b/>
          <w:sz w:val="28"/>
          <w:szCs w:val="28"/>
        </w:rPr>
        <w:t xml:space="preserve"> </w:t>
      </w:r>
    </w:p>
    <w:p w14:paraId="72DEE48A" w14:textId="77777777" w:rsidR="006A3367" w:rsidRPr="00FF7318" w:rsidRDefault="006A3367" w:rsidP="002B195B">
      <w:pPr>
        <w:jc w:val="center"/>
        <w:rPr>
          <w:rFonts w:cs="Arial"/>
          <w:color w:val="1E1E1E"/>
          <w:sz w:val="24"/>
          <w:szCs w:val="24"/>
          <w:shd w:val="clear" w:color="auto" w:fill="FFFFFF"/>
        </w:rPr>
      </w:pPr>
      <w:r w:rsidRPr="00FF7318">
        <w:rPr>
          <w:sz w:val="24"/>
          <w:szCs w:val="24"/>
        </w:rPr>
        <w:t>Jeffrey Frankel, Harpel Professor of Capital Formation and Growth, Harvard Kennedy School</w:t>
      </w:r>
    </w:p>
    <w:p w14:paraId="4DF577A7" w14:textId="16725A14" w:rsidR="006A3367" w:rsidRPr="00A7379F" w:rsidRDefault="00620720" w:rsidP="00A7379F">
      <w:pPr>
        <w:spacing w:line="240" w:lineRule="auto"/>
        <w:jc w:val="center"/>
        <w:rPr>
          <w:rFonts w:cs="Arial"/>
          <w:color w:val="1E1E1E"/>
          <w:sz w:val="24"/>
          <w:szCs w:val="24"/>
          <w:shd w:val="clear" w:color="auto" w:fill="FFFFFF"/>
        </w:rPr>
      </w:pPr>
      <w:r>
        <w:rPr>
          <w:rFonts w:cs="Arial"/>
          <w:color w:val="1E1E1E"/>
          <w:sz w:val="24"/>
          <w:szCs w:val="24"/>
          <w:shd w:val="clear" w:color="auto" w:fill="FFFFFF"/>
        </w:rPr>
        <w:t>Paper w</w:t>
      </w:r>
      <w:r w:rsidR="006A3367" w:rsidRPr="00FF7318">
        <w:rPr>
          <w:rFonts w:cs="Arial"/>
          <w:color w:val="1E1E1E"/>
          <w:sz w:val="24"/>
          <w:szCs w:val="24"/>
          <w:shd w:val="clear" w:color="auto" w:fill="FFFFFF"/>
        </w:rPr>
        <w:t xml:space="preserve">ritten for </w:t>
      </w:r>
      <w:r w:rsidR="000D119D">
        <w:rPr>
          <w:rFonts w:cs="Arial"/>
          <w:color w:val="1E1E1E"/>
          <w:sz w:val="24"/>
          <w:szCs w:val="24"/>
          <w:shd w:val="clear" w:color="auto" w:fill="FFFFFF"/>
        </w:rPr>
        <w:t xml:space="preserve">the </w:t>
      </w:r>
      <w:r w:rsidR="00702A92" w:rsidRPr="00FF7318">
        <w:rPr>
          <w:rFonts w:cs="Arial"/>
          <w:color w:val="1E1E1E"/>
          <w:sz w:val="24"/>
          <w:szCs w:val="24"/>
          <w:shd w:val="clear" w:color="auto" w:fill="FFFFFF"/>
        </w:rPr>
        <w:t>4</w:t>
      </w:r>
      <w:r w:rsidR="006A3367" w:rsidRPr="00FF7318">
        <w:rPr>
          <w:rFonts w:cs="Arial"/>
          <w:color w:val="1E1E1E"/>
          <w:sz w:val="24"/>
          <w:szCs w:val="24"/>
          <w:shd w:val="clear" w:color="auto" w:fill="FFFFFF"/>
        </w:rPr>
        <w:t xml:space="preserve">th Asian Monetary Policy Forum, </w:t>
      </w:r>
      <w:r w:rsidR="00431061">
        <w:rPr>
          <w:rFonts w:cs="Arial"/>
          <w:color w:val="1E1E1E"/>
          <w:sz w:val="24"/>
          <w:szCs w:val="24"/>
          <w:shd w:val="clear" w:color="auto" w:fill="FFFFFF"/>
        </w:rPr>
        <w:t>Singapore, 26 May, 2017,</w:t>
      </w:r>
      <w:r w:rsidR="006A3367" w:rsidRPr="00FF7318">
        <w:rPr>
          <w:rFonts w:cs="Arial"/>
          <w:color w:val="1E1E1E"/>
          <w:sz w:val="24"/>
          <w:szCs w:val="24"/>
          <w:shd w:val="clear" w:color="auto" w:fill="FFFFFF"/>
        </w:rPr>
        <w:br/>
      </w:r>
      <w:r w:rsidR="00702A92"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00FF7318" w:rsidRPr="00FF7318">
        <w:rPr>
          <w:sz w:val="24"/>
          <w:szCs w:val="24"/>
        </w:rPr>
        <w:t xml:space="preserve"> *</w:t>
      </w:r>
      <w:r w:rsidR="00702A92">
        <w:rPr>
          <w:rFonts w:cs="Arial"/>
          <w:color w:val="1E1E1E"/>
          <w:sz w:val="24"/>
          <w:szCs w:val="24"/>
          <w:shd w:val="clear" w:color="auto" w:fill="FFFFFF"/>
        </w:rPr>
        <w:br/>
      </w:r>
    </w:p>
    <w:p w14:paraId="5CFC14E9" w14:textId="77777777" w:rsidR="001C3BD5" w:rsidRPr="00FF7318" w:rsidRDefault="001C3BD5" w:rsidP="002B195B">
      <w:pPr>
        <w:jc w:val="center"/>
        <w:rPr>
          <w:rFonts w:cs="Arial"/>
          <w:color w:val="1E1E1E"/>
          <w:sz w:val="24"/>
          <w:szCs w:val="24"/>
          <w:shd w:val="clear" w:color="auto" w:fill="FFFFFF"/>
        </w:rPr>
      </w:pPr>
    </w:p>
    <w:p w14:paraId="4DBB2747" w14:textId="77777777" w:rsidR="00FF7318" w:rsidRDefault="003A4D45" w:rsidP="00FF7318">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1FDEB991" w14:textId="035A53C5" w:rsidR="001C3BD5" w:rsidRPr="00FF7318" w:rsidRDefault="003A4D45" w:rsidP="00FF7318">
      <w:pPr>
        <w:rPr>
          <w:rFonts w:cs="Arial"/>
          <w:color w:val="1E1E1E"/>
          <w:sz w:val="24"/>
          <w:szCs w:val="24"/>
          <w:shd w:val="clear" w:color="auto" w:fill="FFFFFF"/>
        </w:rPr>
      </w:pPr>
      <w:r w:rsidRPr="00FF7318">
        <w:rPr>
          <w:rFonts w:cs="Arial"/>
          <w:color w:val="1E1E1E"/>
          <w:sz w:val="24"/>
          <w:szCs w:val="24"/>
          <w:shd w:val="clear" w:color="auto" w:fill="FFFFFF"/>
        </w:rPr>
        <w:t xml:space="preserve">A majority of countries neither freely float their currencies nor firmly peg.  But most of the remainder </w:t>
      </w:r>
      <w:r w:rsidR="00625964" w:rsidRPr="00FF7318">
        <w:rPr>
          <w:rFonts w:cs="Arial"/>
          <w:color w:val="1E1E1E"/>
          <w:sz w:val="24"/>
          <w:szCs w:val="24"/>
          <w:shd w:val="clear" w:color="auto" w:fill="FFFFFF"/>
        </w:rPr>
        <w:t xml:space="preserve">in practice </w:t>
      </w:r>
      <w:r w:rsidRPr="00FF7318">
        <w:rPr>
          <w:rFonts w:cs="Arial"/>
          <w:color w:val="1E1E1E"/>
          <w:sz w:val="24"/>
          <w:szCs w:val="24"/>
          <w:shd w:val="clear" w:color="auto" w:fill="FFFFFF"/>
        </w:rPr>
        <w:t xml:space="preserve">also don’t obey such well-defined intermediate </w:t>
      </w:r>
      <w:r w:rsidR="00625964">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sidR="00D814C9">
        <w:rPr>
          <w:rFonts w:cs="Arial"/>
          <w:color w:val="1E1E1E"/>
          <w:sz w:val="24"/>
          <w:szCs w:val="24"/>
          <w:shd w:val="clear" w:color="auto" w:fill="FFFFFF"/>
        </w:rPr>
        <w:t>s target zones</w:t>
      </w:r>
      <w:r w:rsidR="009D1D0D">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 This p</w:t>
      </w:r>
      <w:r w:rsidR="00625964">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sidR="00660A4B">
        <w:rPr>
          <w:rFonts w:cs="Arial"/>
          <w:color w:val="1E1E1E"/>
          <w:sz w:val="24"/>
          <w:szCs w:val="24"/>
          <w:shd w:val="clear" w:color="auto" w:fill="FFFFFF"/>
        </w:rPr>
        <w:t>r</w:t>
      </w:r>
      <w:r w:rsidR="00C54149">
        <w:rPr>
          <w:rFonts w:cs="Arial"/>
          <w:color w:val="1E1E1E"/>
          <w:sz w:val="24"/>
          <w:szCs w:val="24"/>
          <w:shd w:val="clear" w:color="auto" w:fill="FFFFFF"/>
        </w:rPr>
        <w:t>e</w:t>
      </w:r>
      <w:r w:rsidR="00660A4B">
        <w:rPr>
          <w:rFonts w:cs="Arial"/>
          <w:color w:val="1E1E1E"/>
          <w:sz w:val="24"/>
          <w:szCs w:val="24"/>
          <w:shd w:val="clear" w:color="auto" w:fill="FFFFFF"/>
        </w:rPr>
        <w:t>gime</w:t>
      </w:r>
      <w:r w:rsidR="00D814C9">
        <w:rPr>
          <w:rFonts w:cs="Arial"/>
          <w:color w:val="1E1E1E"/>
          <w:sz w:val="24"/>
          <w:szCs w:val="24"/>
          <w:shd w:val="clear" w:color="auto" w:fill="FFFFFF"/>
        </w:rPr>
        <w:t>,</w:t>
      </w:r>
      <w:r w:rsidRPr="00FF7318">
        <w:rPr>
          <w:rFonts w:cs="Arial"/>
          <w:color w:val="1E1E1E"/>
          <w:sz w:val="24"/>
          <w:szCs w:val="24"/>
          <w:shd w:val="clear" w:color="auto" w:fill="FFFFFF"/>
        </w:rPr>
        <w:t xml:space="preserve"> to be called “systematic managed floating,” as </w:t>
      </w:r>
      <w:r w:rsidR="00660A4B">
        <w:rPr>
          <w:rFonts w:cs="Arial"/>
          <w:color w:val="1E1E1E"/>
          <w:sz w:val="24"/>
          <w:szCs w:val="24"/>
          <w:shd w:val="clear" w:color="auto" w:fill="FFFFFF"/>
        </w:rPr>
        <w:t>an arrangement</w:t>
      </w:r>
      <w:r w:rsidRPr="00FF7318">
        <w:rPr>
          <w:rFonts w:cs="Arial"/>
          <w:color w:val="1E1E1E"/>
          <w:sz w:val="24"/>
          <w:szCs w:val="24"/>
          <w:shd w:val="clear" w:color="auto" w:fill="FFFFFF"/>
        </w:rPr>
        <w:t xml:space="preserve"> where the central bank regularly responds to changes in total exchange market pressure by all</w:t>
      </w:r>
      <w:r w:rsidR="00957B3A" w:rsidRPr="00FF7318">
        <w:rPr>
          <w:rFonts w:cs="Arial"/>
          <w:color w:val="1E1E1E"/>
          <w:sz w:val="24"/>
          <w:szCs w:val="24"/>
          <w:shd w:val="clear" w:color="auto" w:fill="FFFFFF"/>
        </w:rPr>
        <w:t>owing some fraction to be reflect</w:t>
      </w:r>
      <w:r w:rsidRPr="00FF7318">
        <w:rPr>
          <w:rFonts w:cs="Arial"/>
          <w:color w:val="1E1E1E"/>
          <w:sz w:val="24"/>
          <w:szCs w:val="24"/>
          <w:shd w:val="clear" w:color="auto" w:fill="FFFFFF"/>
        </w:rPr>
        <w:t>ed as a change in the exchange rate and the remainin</w:t>
      </w:r>
      <w:r w:rsidR="00EB2F23" w:rsidRPr="00FF7318">
        <w:rPr>
          <w:rFonts w:cs="Arial"/>
          <w:color w:val="1E1E1E"/>
          <w:sz w:val="24"/>
          <w:szCs w:val="24"/>
          <w:shd w:val="clear" w:color="auto" w:fill="FFFFFF"/>
        </w:rPr>
        <w:t xml:space="preserve">g fraction to be absorbed as a </w:t>
      </w:r>
      <w:r w:rsidRPr="00FF7318">
        <w:rPr>
          <w:rFonts w:cs="Arial"/>
          <w:color w:val="1E1E1E"/>
          <w:sz w:val="24"/>
          <w:szCs w:val="24"/>
          <w:shd w:val="clear" w:color="auto" w:fill="FFFFFF"/>
        </w:rPr>
        <w:t>change in foreign exchange reserves.</w:t>
      </w:r>
      <w:r w:rsidR="00FF7318" w:rsidRPr="00FF7318">
        <w:rPr>
          <w:rFonts w:cs="Arial"/>
          <w:color w:val="1E1E1E"/>
          <w:sz w:val="24"/>
          <w:szCs w:val="24"/>
          <w:shd w:val="clear" w:color="auto" w:fill="FFFFFF"/>
        </w:rPr>
        <w:t xml:space="preserve">  </w:t>
      </w:r>
      <w:r w:rsidR="008341F9">
        <w:rPr>
          <w:rFonts w:cs="Arial"/>
          <w:color w:val="1E1E1E"/>
          <w:sz w:val="24"/>
          <w:szCs w:val="24"/>
          <w:shd w:val="clear" w:color="auto" w:fill="FFFFFF"/>
        </w:rPr>
        <w:t xml:space="preserve">An operational criterion for judging </w:t>
      </w:r>
      <w:r w:rsidR="00431061">
        <w:rPr>
          <w:rFonts w:cs="Arial"/>
          <w:color w:val="1E1E1E"/>
          <w:sz w:val="24"/>
          <w:szCs w:val="24"/>
          <w:shd w:val="clear" w:color="auto" w:fill="FFFFFF"/>
        </w:rPr>
        <w:t xml:space="preserve">systematic managed </w:t>
      </w:r>
      <w:r w:rsidR="008341F9">
        <w:rPr>
          <w:rFonts w:cs="Arial"/>
          <w:color w:val="1E1E1E"/>
          <w:sz w:val="24"/>
          <w:szCs w:val="24"/>
          <w:shd w:val="clear" w:color="auto" w:fill="FFFFFF"/>
        </w:rPr>
        <w:t>float</w:t>
      </w:r>
      <w:r w:rsidR="00431061">
        <w:rPr>
          <w:rFonts w:cs="Arial"/>
          <w:color w:val="1E1E1E"/>
          <w:sz w:val="24"/>
          <w:szCs w:val="24"/>
          <w:shd w:val="clear" w:color="auto" w:fill="FFFFFF"/>
        </w:rPr>
        <w:t>ers</w:t>
      </w:r>
      <w:r w:rsidR="008341F9">
        <w:rPr>
          <w:rFonts w:cs="Arial"/>
          <w:color w:val="1E1E1E"/>
          <w:sz w:val="24"/>
          <w:szCs w:val="24"/>
          <w:shd w:val="clear" w:color="auto" w:fill="FFFFFF"/>
        </w:rPr>
        <w:t xml:space="preserve"> is a high correlation between exchange rate changes and reserve changes.  </w:t>
      </w:r>
      <w:r w:rsidR="00660A4B">
        <w:rPr>
          <w:rFonts w:cs="Arial"/>
          <w:color w:val="1E1E1E"/>
          <w:sz w:val="24"/>
          <w:szCs w:val="24"/>
          <w:shd w:val="clear" w:color="auto" w:fill="FFFFFF"/>
        </w:rPr>
        <w:t>The paper</w:t>
      </w:r>
      <w:r w:rsidR="00FF7318" w:rsidRPr="00FF7318">
        <w:rPr>
          <w:rFonts w:cs="Arial"/>
          <w:color w:val="1E1E1E"/>
          <w:sz w:val="24"/>
          <w:szCs w:val="24"/>
          <w:shd w:val="clear" w:color="auto" w:fill="FFFFFF"/>
        </w:rPr>
        <w:t xml:space="preserve"> reject</w:t>
      </w:r>
      <w:r w:rsidR="00660A4B">
        <w:rPr>
          <w:rFonts w:cs="Arial"/>
          <w:color w:val="1E1E1E"/>
          <w:sz w:val="24"/>
          <w:szCs w:val="24"/>
          <w:shd w:val="clear" w:color="auto" w:fill="FFFFFF"/>
        </w:rPr>
        <w:t>s</w:t>
      </w:r>
      <w:r w:rsidR="00FF7318" w:rsidRPr="00FF7318">
        <w:rPr>
          <w:rFonts w:cs="Arial"/>
          <w:color w:val="1E1E1E"/>
          <w:sz w:val="24"/>
          <w:szCs w:val="24"/>
          <w:shd w:val="clear" w:color="auto" w:fill="FFFFFF"/>
        </w:rPr>
        <w:t xml:space="preserve"> the view that exchange rate regimes make no difference.  In regressions to test effects on real exchange rates, we find that positive external shocks tend to cause real appreciation for </w:t>
      </w:r>
      <w:r w:rsidR="00E721AA">
        <w:rPr>
          <w:rFonts w:cs="Arial"/>
          <w:color w:val="1E1E1E"/>
          <w:sz w:val="24"/>
          <w:szCs w:val="24"/>
          <w:shd w:val="clear" w:color="auto" w:fill="FFFFFF"/>
        </w:rPr>
        <w:t xml:space="preserve">most </w:t>
      </w:r>
      <w:r w:rsidR="008341F9">
        <w:rPr>
          <w:rFonts w:cs="Arial"/>
          <w:color w:val="1E1E1E"/>
          <w:sz w:val="24"/>
          <w:szCs w:val="24"/>
          <w:shd w:val="clear" w:color="auto" w:fill="FFFFFF"/>
        </w:rPr>
        <w:t xml:space="preserve">systematic </w:t>
      </w:r>
      <w:r w:rsidR="00FF7318" w:rsidRPr="00FF7318">
        <w:rPr>
          <w:rFonts w:cs="Arial"/>
          <w:color w:val="1E1E1E"/>
          <w:sz w:val="24"/>
          <w:szCs w:val="24"/>
          <w:shd w:val="clear" w:color="auto" w:fill="FFFFFF"/>
        </w:rPr>
        <w:t>managed-floaters;</w:t>
      </w:r>
      <w:r w:rsidR="00625964">
        <w:rPr>
          <w:rFonts w:cs="Arial"/>
          <w:color w:val="1E1E1E"/>
          <w:sz w:val="24"/>
          <w:szCs w:val="24"/>
          <w:shd w:val="clear" w:color="auto" w:fill="FFFFFF"/>
        </w:rPr>
        <w:t xml:space="preserve"> </w:t>
      </w:r>
      <w:r w:rsidR="00FF7318" w:rsidRPr="00FF7318">
        <w:rPr>
          <w:rFonts w:cs="Arial"/>
          <w:color w:val="1E1E1E"/>
          <w:sz w:val="24"/>
          <w:szCs w:val="24"/>
          <w:shd w:val="clear" w:color="auto" w:fill="FFFFFF"/>
        </w:rPr>
        <w:t>more strongly so for pure floaters; and not at all for most firm peggers.</w:t>
      </w:r>
      <w:r w:rsidR="008341F9">
        <w:rPr>
          <w:rFonts w:cs="Arial"/>
          <w:color w:val="1E1E1E"/>
          <w:sz w:val="24"/>
          <w:szCs w:val="24"/>
          <w:shd w:val="clear" w:color="auto" w:fill="FFFFFF"/>
        </w:rPr>
        <w:t xml:space="preserve">  </w:t>
      </w:r>
      <w:r w:rsidR="008341F9" w:rsidRPr="00FF7318">
        <w:rPr>
          <w:rFonts w:cs="Arial"/>
          <w:color w:val="1E1E1E"/>
          <w:sz w:val="24"/>
          <w:szCs w:val="24"/>
          <w:shd w:val="clear" w:color="auto" w:fill="FFFFFF"/>
        </w:rPr>
        <w:t xml:space="preserve">Two </w:t>
      </w:r>
      <w:r w:rsidR="008341F9">
        <w:rPr>
          <w:rFonts w:cs="Arial"/>
          <w:color w:val="1E1E1E"/>
          <w:sz w:val="24"/>
          <w:szCs w:val="24"/>
          <w:shd w:val="clear" w:color="auto" w:fill="FFFFFF"/>
        </w:rPr>
        <w:t xml:space="preserve">measures </w:t>
      </w:r>
      <w:r w:rsidR="008341F9" w:rsidRPr="00FF7318">
        <w:rPr>
          <w:rFonts w:cs="Arial"/>
          <w:color w:val="1E1E1E"/>
          <w:sz w:val="24"/>
          <w:szCs w:val="24"/>
          <w:shd w:val="clear" w:color="auto" w:fill="FFFFFF"/>
        </w:rPr>
        <w:t xml:space="preserve">of exogenous external shocks are </w:t>
      </w:r>
      <w:r w:rsidR="008341F9">
        <w:rPr>
          <w:rFonts w:cs="Arial"/>
          <w:color w:val="1E1E1E"/>
          <w:sz w:val="24"/>
          <w:szCs w:val="24"/>
          <w:shd w:val="clear" w:color="auto" w:fill="FFFFFF"/>
        </w:rPr>
        <w:t>us</w:t>
      </w:r>
      <w:r w:rsidR="008341F9" w:rsidRPr="00FF7318">
        <w:rPr>
          <w:rFonts w:cs="Arial"/>
          <w:color w:val="1E1E1E"/>
          <w:sz w:val="24"/>
          <w:szCs w:val="24"/>
          <w:shd w:val="clear" w:color="auto" w:fill="FFFFFF"/>
        </w:rPr>
        <w:t>ed:  (i) for commodity-exporters, a country-specific index of global prices of the export commodities and (ii) for other Asian emerging market economies, the V</w:t>
      </w:r>
      <w:r w:rsidR="008341F9">
        <w:rPr>
          <w:rFonts w:cs="Arial"/>
          <w:color w:val="1E1E1E"/>
          <w:sz w:val="24"/>
          <w:szCs w:val="24"/>
          <w:shd w:val="clear" w:color="auto" w:fill="FFFFFF"/>
        </w:rPr>
        <w:t>IX</w:t>
      </w:r>
      <w:r w:rsidR="008341F9" w:rsidRPr="00FF7318">
        <w:rPr>
          <w:rFonts w:cs="Arial"/>
          <w:color w:val="1E1E1E"/>
          <w:sz w:val="24"/>
          <w:szCs w:val="24"/>
          <w:shd w:val="clear" w:color="auto" w:fill="FFFFFF"/>
        </w:rPr>
        <w:t xml:space="preserve">.  </w:t>
      </w:r>
    </w:p>
    <w:p w14:paraId="3E81C34C" w14:textId="77777777" w:rsidR="005708E3" w:rsidRDefault="005708E3" w:rsidP="008341F9">
      <w:pPr>
        <w:rPr>
          <w:rFonts w:ascii="Arial" w:hAnsi="Arial" w:cs="Arial"/>
          <w:color w:val="1E1E1E"/>
          <w:sz w:val="21"/>
          <w:szCs w:val="21"/>
          <w:shd w:val="clear" w:color="auto" w:fill="FFFFFF"/>
        </w:rPr>
      </w:pPr>
    </w:p>
    <w:p w14:paraId="132E095D" w14:textId="77777777" w:rsidR="005708E3" w:rsidRDefault="005708E3" w:rsidP="00FF7318">
      <w:pPr>
        <w:rPr>
          <w:rFonts w:ascii="Arial" w:hAnsi="Arial" w:cs="Arial"/>
          <w:color w:val="1E1E1E"/>
          <w:sz w:val="21"/>
          <w:szCs w:val="21"/>
          <w:shd w:val="clear" w:color="auto" w:fill="FFFFFF"/>
        </w:rPr>
      </w:pPr>
    </w:p>
    <w:p w14:paraId="6829E496" w14:textId="77777777" w:rsidR="005708E3" w:rsidRDefault="005708E3" w:rsidP="002B195B">
      <w:pPr>
        <w:jc w:val="center"/>
        <w:rPr>
          <w:rFonts w:ascii="Arial" w:hAnsi="Arial" w:cs="Arial"/>
          <w:color w:val="1E1E1E"/>
          <w:sz w:val="21"/>
          <w:szCs w:val="21"/>
          <w:shd w:val="clear" w:color="auto" w:fill="FFFFFF"/>
        </w:rPr>
      </w:pPr>
    </w:p>
    <w:p w14:paraId="2A334A5A" w14:textId="77777777" w:rsidR="005708E3" w:rsidRPr="00882489" w:rsidRDefault="005708E3" w:rsidP="005708E3">
      <w:pPr>
        <w:pStyle w:val="ListParagraph"/>
        <w:ind w:left="0"/>
        <w:rPr>
          <w:sz w:val="24"/>
          <w:szCs w:val="24"/>
        </w:rPr>
      </w:pPr>
      <w:r>
        <w:rPr>
          <w:sz w:val="24"/>
          <w:szCs w:val="24"/>
        </w:rPr>
        <w:t>___________________________________________________________________________</w:t>
      </w:r>
    </w:p>
    <w:p w14:paraId="0CB81BD7" w14:textId="0ADC91C0" w:rsidR="00A7379F" w:rsidRDefault="005708E3" w:rsidP="005708E3">
      <w:pPr>
        <w:pStyle w:val="ListParagraph"/>
        <w:ind w:left="0"/>
        <w:rPr>
          <w:sz w:val="24"/>
          <w:szCs w:val="24"/>
        </w:rPr>
      </w:pPr>
      <w:r w:rsidRPr="00FF7318">
        <w:rPr>
          <w:sz w:val="24"/>
          <w:szCs w:val="24"/>
        </w:rPr>
        <w:t>*  The author would like to thank Shruti Lakhtakia and Tilahun Emiru for assiduous research assistance</w:t>
      </w:r>
      <w:r w:rsidR="00BC6F0E">
        <w:rPr>
          <w:sz w:val="24"/>
          <w:szCs w:val="24"/>
        </w:rPr>
        <w:t xml:space="preserve">, </w:t>
      </w:r>
      <w:r w:rsidRPr="00FF7318">
        <w:rPr>
          <w:sz w:val="24"/>
          <w:szCs w:val="24"/>
        </w:rPr>
        <w:t>Andrew Rose for useful discussion</w:t>
      </w:r>
      <w:r w:rsidR="00BC6F0E">
        <w:rPr>
          <w:sz w:val="24"/>
          <w:szCs w:val="24"/>
        </w:rPr>
        <w:t>, and Rose and Assaf Razin for discussant comments at the AMPF conference</w:t>
      </w:r>
      <w:r w:rsidRPr="00FF7318">
        <w:rPr>
          <w:sz w:val="24"/>
          <w:szCs w:val="24"/>
        </w:rPr>
        <w:t xml:space="preserve">.  </w:t>
      </w:r>
      <w:r w:rsidR="0032379A">
        <w:rPr>
          <w:sz w:val="24"/>
          <w:szCs w:val="24"/>
        </w:rPr>
        <w:t xml:space="preserve"> T</w:t>
      </w:r>
      <w:r w:rsidR="00BF1460">
        <w:rPr>
          <w:sz w:val="24"/>
          <w:szCs w:val="24"/>
        </w:rPr>
        <w:t>ables</w:t>
      </w:r>
      <w:r w:rsidR="0032379A">
        <w:rPr>
          <w:sz w:val="24"/>
          <w:szCs w:val="24"/>
        </w:rPr>
        <w:t xml:space="preserve"> 2.1-2.4</w:t>
      </w:r>
      <w:r w:rsidR="00BF1460">
        <w:rPr>
          <w:sz w:val="24"/>
          <w:szCs w:val="24"/>
        </w:rPr>
        <w:t xml:space="preserve"> draw on new joint research with Danxia Xie.  </w:t>
      </w:r>
      <w:r w:rsidRPr="00FF7318">
        <w:rPr>
          <w:sz w:val="24"/>
          <w:szCs w:val="24"/>
        </w:rPr>
        <w:t>Faults of the paper are the author’s alone.</w:t>
      </w:r>
    </w:p>
    <w:p w14:paraId="3414A951" w14:textId="225ADFB1" w:rsidR="00FE3B45" w:rsidRPr="00FE3B45" w:rsidRDefault="00A7379F" w:rsidP="00F24089">
      <w:pPr>
        <w:jc w:val="center"/>
        <w:rPr>
          <w:b/>
          <w:sz w:val="28"/>
          <w:szCs w:val="28"/>
        </w:rPr>
      </w:pPr>
      <w:r>
        <w:rPr>
          <w:sz w:val="24"/>
          <w:szCs w:val="24"/>
        </w:rPr>
        <w:br w:type="page"/>
      </w:r>
      <w:r w:rsidR="00FE3B45" w:rsidRPr="00FF7318">
        <w:rPr>
          <w:b/>
          <w:sz w:val="28"/>
          <w:szCs w:val="28"/>
        </w:rPr>
        <w:lastRenderedPageBreak/>
        <w:t>Systematic Managed Floating</w:t>
      </w:r>
    </w:p>
    <w:p w14:paraId="17B0609F" w14:textId="77777777" w:rsidR="00FE3B45" w:rsidRDefault="00FE3B45"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1E3DD6CE"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oose their exchange rate regime</w:t>
      </w:r>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006C2A51">
        <w:rPr>
          <w:sz w:val="24"/>
          <w:szCs w:val="24"/>
        </w:rPr>
        <w:t xml:space="preserve">gives up the </w:t>
      </w:r>
      <w:r w:rsidRPr="00882489">
        <w:rPr>
          <w:sz w:val="24"/>
          <w:szCs w:val="24"/>
        </w:rPr>
        <w:t>abili</w:t>
      </w:r>
      <w:r w:rsidR="006C2A51">
        <w:rPr>
          <w:sz w:val="24"/>
          <w:szCs w:val="24"/>
        </w:rPr>
        <w:t>t</w:t>
      </w:r>
      <w:r w:rsidRPr="00882489">
        <w:rPr>
          <w:sz w:val="24"/>
          <w:szCs w:val="24"/>
        </w:rPr>
        <w: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what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sidR="00431061">
        <w:rPr>
          <w:sz w:val="24"/>
          <w:szCs w:val="24"/>
        </w:rPr>
        <w:t>.  In</w:t>
      </w:r>
      <w:r>
        <w:rPr>
          <w:sz w:val="24"/>
          <w:szCs w:val="24"/>
        </w:rPr>
        <w:t xml:space="preserv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29079F13"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w:t>
      </w:r>
      <w:r w:rsidR="00431061">
        <w:rPr>
          <w:sz w:val="24"/>
          <w:szCs w:val="24"/>
        </w:rPr>
        <w:t>ing</w:t>
      </w:r>
      <w:r>
        <w:rPr>
          <w:sz w:val="24"/>
          <w:szCs w:val="24"/>
        </w:rPr>
        <w:t xml:space="preserve">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Pr="00882489">
        <w:rPr>
          <w:sz w:val="24"/>
          <w:szCs w:val="24"/>
        </w:rPr>
        <w:t xml:space="preserve"> </w:t>
      </w:r>
      <w:r>
        <w:rPr>
          <w:sz w:val="24"/>
          <w:szCs w:val="24"/>
        </w:rPr>
        <w:t xml:space="preserve">  The argument for the intermediate regimes is that they allow an intermediate degree of monetary independence in return for an intermediate degree of exchange rate flexibility.</w:t>
      </w:r>
    </w:p>
    <w:p w14:paraId="278B6219" w14:textId="77777777" w:rsidR="001C3BD5" w:rsidRDefault="001C3BD5" w:rsidP="001C3BD5">
      <w:pPr>
        <w:pStyle w:val="ListParagraph"/>
        <w:ind w:left="0" w:firstLine="360"/>
        <w:rPr>
          <w:sz w:val="24"/>
          <w:szCs w:val="24"/>
        </w:rPr>
      </w:pPr>
    </w:p>
    <w:p w14:paraId="293F1E18" w14:textId="4A17A6D0" w:rsidR="001C3BD5" w:rsidRDefault="00431061" w:rsidP="001C3BD5">
      <w:pPr>
        <w:pStyle w:val="ListParagraph"/>
        <w:ind w:left="0" w:firstLine="360"/>
        <w:rPr>
          <w:sz w:val="24"/>
          <w:szCs w:val="24"/>
        </w:rPr>
      </w:pPr>
      <w:r>
        <w:rPr>
          <w:sz w:val="24"/>
          <w:szCs w:val="24"/>
        </w:rPr>
        <w:t xml:space="preserve">For concreteness, consider the history of </w:t>
      </w:r>
      <w:r w:rsidR="001C3BD5">
        <w:rPr>
          <w:sz w:val="24"/>
          <w:szCs w:val="24"/>
        </w:rPr>
        <w:t xml:space="preserve">emerging market economies (EMs) </w:t>
      </w:r>
      <w:r>
        <w:rPr>
          <w:sz w:val="24"/>
          <w:szCs w:val="24"/>
        </w:rPr>
        <w:t>since the turn of the century.  A</w:t>
      </w:r>
      <w:r w:rsidR="001C3BD5">
        <w:rPr>
          <w:sz w:val="24"/>
          <w:szCs w:val="24"/>
        </w:rPr>
        <w:t xml:space="preserve">s an aggregate class </w:t>
      </w:r>
      <w:r>
        <w:rPr>
          <w:sz w:val="24"/>
          <w:szCs w:val="24"/>
        </w:rPr>
        <w:t xml:space="preserve">they </w:t>
      </w:r>
      <w:r w:rsidR="001C3BD5">
        <w:rPr>
          <w:sz w:val="24"/>
          <w:szCs w:val="24"/>
        </w:rPr>
        <w:t xml:space="preserve">have, broadly speaking, experienced four periods of </w:t>
      </w:r>
      <w:r w:rsidR="004D6A93">
        <w:rPr>
          <w:sz w:val="24"/>
          <w:szCs w:val="24"/>
        </w:rPr>
        <w:t xml:space="preserve">big </w:t>
      </w:r>
      <w:r>
        <w:rPr>
          <w:sz w:val="24"/>
          <w:szCs w:val="24"/>
        </w:rPr>
        <w:t xml:space="preserve">alternating </w:t>
      </w:r>
      <w:r w:rsidR="001C3BD5">
        <w:rPr>
          <w:sz w:val="24"/>
          <w:szCs w:val="24"/>
        </w:rPr>
        <w:t xml:space="preserve">shifts in the external environment </w:t>
      </w:r>
      <w:r w:rsidR="00510B3C">
        <w:rPr>
          <w:sz w:val="24"/>
          <w:szCs w:val="24"/>
        </w:rPr>
        <w:t xml:space="preserve">for their balance of payments. </w:t>
      </w:r>
      <w:r w:rsidR="001C3BD5">
        <w:rPr>
          <w:sz w:val="24"/>
          <w:szCs w:val="24"/>
        </w:rPr>
        <w:t xml:space="preserve"> In the first period from 2003 to mid-2008, the external environment was  positive, as US monetary policy was easy, commodity prices were rising, and international investors were not especially concerned about risk as they reached for</w:t>
      </w:r>
      <w:r w:rsidR="004D6A93">
        <w:rPr>
          <w:sz w:val="24"/>
          <w:szCs w:val="24"/>
        </w:rPr>
        <w:t xml:space="preserve"> EM</w:t>
      </w:r>
      <w:r w:rsidR="001C3BD5">
        <w:rPr>
          <w:sz w:val="24"/>
          <w:szCs w:val="24"/>
        </w:rPr>
        <w:t xml:space="preserve"> returns that were even a little higher than those on offer in the advanced countries.  The second period was the Global Financial Crises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w:t>
      </w:r>
      <w:r w:rsidR="004D6A93">
        <w:rPr>
          <w:sz w:val="24"/>
          <w:szCs w:val="24"/>
        </w:rPr>
        <w:t>perceptions</w:t>
      </w:r>
      <w:r w:rsidR="00033D04">
        <w:rPr>
          <w:sz w:val="24"/>
          <w:szCs w:val="24"/>
        </w:rPr>
        <w:t xml:space="preserve"> leap</w:t>
      </w:r>
      <w:r w:rsidR="00047BD7">
        <w:rPr>
          <w:sz w:val="24"/>
          <w:szCs w:val="24"/>
        </w:rPr>
        <w:t>t</w:t>
      </w:r>
      <w:r w:rsidR="00033D04">
        <w:rPr>
          <w:sz w:val="24"/>
          <w:szCs w:val="24"/>
        </w:rPr>
        <w:t xml:space="preserve">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with a favorable financial environment and a recovery in commodity prices leading to substantial</w:t>
      </w:r>
      <w:r w:rsidR="00C141A5">
        <w:rPr>
          <w:sz w:val="24"/>
          <w:szCs w:val="24"/>
        </w:rPr>
        <w:t xml:space="preserve"> EM</w:t>
      </w:r>
      <w:r w:rsidR="00FB0D2C">
        <w:rPr>
          <w:sz w:val="24"/>
          <w:szCs w:val="24"/>
        </w:rPr>
        <w:t xml:space="preserve"> inflows</w:t>
      </w:r>
      <w:r w:rsidR="00033D04">
        <w:rPr>
          <w:sz w:val="24"/>
          <w:szCs w:val="24"/>
        </w:rPr>
        <w:t>.</w:t>
      </w:r>
      <w:r w:rsidR="00FB0D2C">
        <w:rPr>
          <w:sz w:val="24"/>
          <w:szCs w:val="24"/>
        </w:rPr>
        <w:t xml:space="preserve">   Fourth was the period that began with the Taper Tantrum of May 2013 and continued at least through the China Tantrum of the second half of 2015: the first stages of a reversal in US monetary policy and a new fall in commodity prices leading to EM outflows.</w:t>
      </w:r>
    </w:p>
    <w:p w14:paraId="75723D5B" w14:textId="5542AEB6" w:rsidR="004A53DD" w:rsidRDefault="004102DD" w:rsidP="004A53DD">
      <w:pPr>
        <w:rPr>
          <w:sz w:val="24"/>
          <w:szCs w:val="24"/>
        </w:rPr>
      </w:pPr>
      <w:r>
        <w:rPr>
          <w:sz w:val="24"/>
          <w:szCs w:val="24"/>
        </w:rPr>
        <w:lastRenderedPageBreak/>
        <w:tab/>
        <w:t>C</w:t>
      </w:r>
      <w:r w:rsidR="00FB0D2C" w:rsidRPr="004A53DD">
        <w:rPr>
          <w:sz w:val="24"/>
          <w:szCs w:val="24"/>
        </w:rPr>
        <w:t>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w:t>
      </w:r>
      <w:r w:rsidR="008710A7">
        <w:rPr>
          <w:sz w:val="24"/>
          <w:szCs w:val="24"/>
        </w:rPr>
        <w:t>. R</w:t>
      </w:r>
      <w:r w:rsidR="004A53DD">
        <w:rPr>
          <w:sz w:val="24"/>
          <w:szCs w:val="24"/>
        </w:rPr>
        <w:t xml:space="preserve">eserve accumulation </w:t>
      </w:r>
      <w:r w:rsidR="008710A7">
        <w:rPr>
          <w:sz w:val="24"/>
          <w:szCs w:val="24"/>
        </w:rPr>
        <w:t xml:space="preserve">is </w:t>
      </w:r>
      <w:r w:rsidR="004A53DD">
        <w:rPr>
          <w:sz w:val="24"/>
          <w:szCs w:val="24"/>
        </w:rPr>
        <w:t>on the vertical axis and currency appreciation on the horizontal axis.  On the one hand, Korea and Singapore appear as relatively more-managed floaters, intervening in the foreign exchange market</w:t>
      </w:r>
      <w:r w:rsidR="00EB59AF">
        <w:rPr>
          <w:sz w:val="24"/>
          <w:szCs w:val="24"/>
        </w:rPr>
        <w:t xml:space="preserve"> somewhat more</w:t>
      </w:r>
      <w:r w:rsidR="004A53DD">
        <w:rPr>
          <w:sz w:val="24"/>
          <w:szCs w:val="24"/>
        </w:rPr>
        <w:t xml:space="preserve"> and appreciating less.  </w:t>
      </w:r>
      <w:r w:rsidR="00D57DDC">
        <w:rPr>
          <w:sz w:val="24"/>
          <w:szCs w:val="24"/>
        </w:rPr>
        <w:t>On the other hand</w:t>
      </w:r>
      <w:r w:rsidR="00950E4F">
        <w:rPr>
          <w:sz w:val="24"/>
          <w:szCs w:val="24"/>
        </w:rPr>
        <w:t>,</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the positive shock mostly in the form of increases in the value of their currencies</w:t>
      </w:r>
      <w:r w:rsidR="00950E4F">
        <w:rPr>
          <w:sz w:val="24"/>
          <w:szCs w:val="24"/>
        </w:rPr>
        <w:t xml:space="preserve"> and not primarily as increased reserves</w:t>
      </w:r>
      <w:r w:rsidR="004A53DD">
        <w:rPr>
          <w:sz w:val="24"/>
          <w:szCs w:val="24"/>
        </w:rPr>
        <w:t xml:space="preserve">. </w:t>
      </w:r>
    </w:p>
    <w:p w14:paraId="7FD52DEA" w14:textId="1858FDC1" w:rsidR="002D33F4" w:rsidRDefault="00D57DDC" w:rsidP="002D33F4">
      <w:pPr>
        <w:jc w:val="center"/>
        <w:rPr>
          <w:sz w:val="24"/>
          <w:szCs w:val="24"/>
        </w:rPr>
      </w:pPr>
      <w:r w:rsidRPr="00D57DDC">
        <w:rPr>
          <w:noProof/>
          <w:sz w:val="24"/>
          <w:szCs w:val="24"/>
        </w:rPr>
        <w:drawing>
          <wp:inline distT="0" distB="0" distL="0" distR="0" wp14:anchorId="20AA2B7E" wp14:editId="6722FDB1">
            <wp:extent cx="5206999" cy="390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4748" cy="3911062"/>
                    </a:xfrm>
                    <a:prstGeom prst="rect">
                      <a:avLst/>
                    </a:prstGeom>
                  </pic:spPr>
                </pic:pic>
              </a:graphicData>
            </a:graphic>
          </wp:inline>
        </w:drawing>
      </w:r>
      <w:r w:rsidR="004B7426">
        <w:rPr>
          <w:sz w:val="24"/>
          <w:szCs w:val="24"/>
        </w:rPr>
        <w:br/>
      </w:r>
      <w:r w:rsidR="004B7426" w:rsidRPr="004B7426">
        <w:rPr>
          <w:b/>
          <w:sz w:val="24"/>
          <w:szCs w:val="24"/>
        </w:rPr>
        <w:t>Figure 1:  Reactions of Asian central banks to 2010 inflows</w:t>
      </w:r>
    </w:p>
    <w:p w14:paraId="6EF88A66" w14:textId="77777777" w:rsidR="002D33F4" w:rsidRDefault="002D33F4" w:rsidP="002D33F4">
      <w:pPr>
        <w:jc w:val="center"/>
        <w:rPr>
          <w:sz w:val="24"/>
          <w:szCs w:val="24"/>
        </w:rPr>
      </w:pPr>
    </w:p>
    <w:p w14:paraId="77D681EA" w14:textId="2A908CCB" w:rsidR="00305452" w:rsidRPr="002D33F4" w:rsidRDefault="00AE1D30" w:rsidP="002D33F4">
      <w:pPr>
        <w:ind w:firstLine="360"/>
        <w:rPr>
          <w:sz w:val="24"/>
          <w:szCs w:val="24"/>
        </w:rPr>
      </w:pPr>
      <w:r>
        <w:rPr>
          <w:sz w:val="24"/>
          <w:szCs w:val="24"/>
        </w:rPr>
        <w:t>Figure 2 shows responses to the “taper tantrum” of May-August 2013, when Federal Reserve Chairman Ben Bernanke announced the intention to begin phasing down US quantitative easing by the end of the year, which produced an immedi</w:t>
      </w:r>
      <w:r w:rsidR="00CD596D">
        <w:rPr>
          <w:sz w:val="24"/>
          <w:szCs w:val="24"/>
        </w:rPr>
        <w:t xml:space="preserve">ate rise in US interest </w:t>
      </w:r>
      <w:r w:rsidR="00CD596D" w:rsidRPr="00950E4F">
        <w:rPr>
          <w:sz w:val="24"/>
          <w:szCs w:val="24"/>
        </w:rPr>
        <w:t>rates and a reversal of EM capital flows.</w:t>
      </w:r>
      <w:r w:rsidR="00305452" w:rsidRPr="00950E4F">
        <w:rPr>
          <w:sz w:val="24"/>
          <w:szCs w:val="24"/>
        </w:rPr>
        <w:t xml:space="preserve">  </w:t>
      </w:r>
      <w:r w:rsidR="00BB2308" w:rsidRPr="00950E4F">
        <w:rPr>
          <w:sz w:val="24"/>
          <w:szCs w:val="24"/>
        </w:rPr>
        <w:t>A</w:t>
      </w:r>
      <w:r w:rsidR="00305452" w:rsidRPr="00950E4F">
        <w:rPr>
          <w:sz w:val="24"/>
          <w:szCs w:val="24"/>
        </w:rPr>
        <w:t xml:space="preserve">gain, Singapore mostly intervened while India </w:t>
      </w:r>
      <w:r w:rsidR="00C622A2">
        <w:rPr>
          <w:sz w:val="24"/>
          <w:szCs w:val="24"/>
        </w:rPr>
        <w:t xml:space="preserve">and the Philippines </w:t>
      </w:r>
      <w:r w:rsidR="00305452" w:rsidRPr="00950E4F">
        <w:rPr>
          <w:sz w:val="24"/>
          <w:szCs w:val="24"/>
        </w:rPr>
        <w:t xml:space="preserve">mostly took </w:t>
      </w:r>
      <w:r w:rsidR="002D33F4">
        <w:rPr>
          <w:sz w:val="24"/>
          <w:szCs w:val="24"/>
        </w:rPr>
        <w:t xml:space="preserve">the </w:t>
      </w:r>
      <w:r w:rsidR="00305452" w:rsidRPr="00950E4F">
        <w:rPr>
          <w:sz w:val="24"/>
          <w:szCs w:val="24"/>
        </w:rPr>
        <w:t>adverse shock as a change in the exchange rate, that is, a depreciation</w:t>
      </w:r>
      <w:r w:rsidR="00C622A2">
        <w:rPr>
          <w:sz w:val="24"/>
          <w:szCs w:val="24"/>
        </w:rPr>
        <w:t xml:space="preserve">. </w:t>
      </w:r>
    </w:p>
    <w:p w14:paraId="7B42D4A8" w14:textId="77777777" w:rsidR="00AE1D30" w:rsidRDefault="00AE1D30" w:rsidP="00AE1D30">
      <w:pPr>
        <w:rPr>
          <w:sz w:val="24"/>
          <w:szCs w:val="24"/>
        </w:rPr>
      </w:pPr>
    </w:p>
    <w:p w14:paraId="47CE057B" w14:textId="1BFBB269" w:rsidR="004B7426" w:rsidRPr="008D3999" w:rsidRDefault="009075E6" w:rsidP="004B7426">
      <w:pPr>
        <w:spacing w:after="0"/>
        <w:ind w:firstLine="720"/>
        <w:rPr>
          <w:b/>
        </w:rPr>
      </w:pPr>
      <w:r>
        <w:rPr>
          <w:b/>
        </w:rPr>
        <w:lastRenderedPageBreak/>
        <w:t xml:space="preserve">              </w:t>
      </w:r>
      <w:r w:rsidR="00A74828" w:rsidRPr="00A74828">
        <w:rPr>
          <w:noProof/>
          <w:sz w:val="24"/>
          <w:szCs w:val="24"/>
        </w:rPr>
        <w:drawing>
          <wp:inline distT="0" distB="0" distL="0" distR="0" wp14:anchorId="04165542" wp14:editId="34C6E2AA">
            <wp:extent cx="4571997" cy="327758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278048"/>
                    </a:xfrm>
                    <a:prstGeom prst="rect">
                      <a:avLst/>
                    </a:prstGeom>
                  </pic:spPr>
                </pic:pic>
              </a:graphicData>
            </a:graphic>
          </wp:inline>
        </w:drawing>
      </w:r>
      <w:r w:rsidR="004B7426">
        <w:rPr>
          <w:sz w:val="24"/>
          <w:szCs w:val="24"/>
        </w:rPr>
        <w:br/>
      </w:r>
      <w:r w:rsidR="004B7426">
        <w:rPr>
          <w:b/>
        </w:rPr>
        <w:t xml:space="preserve">                </w:t>
      </w:r>
      <w:r w:rsidR="004B7426" w:rsidRPr="008D3999">
        <w:rPr>
          <w:b/>
        </w:rPr>
        <w:t>Figure 2: Reactions of central banks to outflows of May-Aug., 2013, taper tantrum</w:t>
      </w:r>
    </w:p>
    <w:p w14:paraId="4230AC67" w14:textId="2432B171" w:rsidR="00A74828" w:rsidRDefault="00A74828" w:rsidP="004A53DD">
      <w:pPr>
        <w:pStyle w:val="ListParagraph"/>
        <w:ind w:left="0" w:firstLine="360"/>
        <w:jc w:val="center"/>
        <w:rPr>
          <w:sz w:val="24"/>
          <w:szCs w:val="24"/>
        </w:rPr>
      </w:pPr>
    </w:p>
    <w:p w14:paraId="296FBFB2" w14:textId="05D79768" w:rsidR="008D3999" w:rsidRPr="008D3999" w:rsidRDefault="00305452" w:rsidP="004B7426">
      <w:pPr>
        <w:spacing w:after="0"/>
        <w:ind w:firstLine="360"/>
        <w:rPr>
          <w:sz w:val="2"/>
          <w:szCs w:val="2"/>
        </w:rPr>
      </w:pPr>
      <w:r>
        <w:rPr>
          <w:sz w:val="24"/>
          <w:szCs w:val="24"/>
        </w:rPr>
        <w:t xml:space="preserve">Finally, Figure 3 shows responses to the “China tantrum” of May-August 2013.  </w:t>
      </w:r>
      <w:r w:rsidR="00BB2308">
        <w:rPr>
          <w:sz w:val="24"/>
          <w:szCs w:val="24"/>
        </w:rPr>
        <w:t>Once a</w:t>
      </w:r>
      <w:r>
        <w:rPr>
          <w:sz w:val="24"/>
          <w:szCs w:val="24"/>
        </w:rPr>
        <w:t>gain,</w:t>
      </w:r>
      <w:r w:rsidR="00B31C20">
        <w:rPr>
          <w:sz w:val="24"/>
          <w:szCs w:val="24"/>
        </w:rPr>
        <w:t xml:space="preserve"> </w:t>
      </w:r>
      <w:r w:rsidR="00F13E62">
        <w:rPr>
          <w:sz w:val="24"/>
          <w:szCs w:val="24"/>
        </w:rPr>
        <w:t xml:space="preserve">Singapore intervened in the foreign exchange market, while the Philippines </w:t>
      </w:r>
      <w:r w:rsidR="00B31C20">
        <w:rPr>
          <w:sz w:val="24"/>
          <w:szCs w:val="24"/>
        </w:rPr>
        <w:t xml:space="preserve">took the negative shock more in the form of </w:t>
      </w:r>
      <w:r w:rsidR="00F13E62">
        <w:rPr>
          <w:sz w:val="24"/>
          <w:szCs w:val="24"/>
        </w:rPr>
        <w:t>a depreciation of its currency.</w:t>
      </w:r>
      <w:r w:rsidR="008D3999">
        <w:rPr>
          <w:sz w:val="24"/>
          <w:szCs w:val="24"/>
        </w:rPr>
        <w:br/>
      </w:r>
    </w:p>
    <w:p w14:paraId="28376EAE" w14:textId="72241641" w:rsidR="00305452" w:rsidRDefault="00856706" w:rsidP="008D3999">
      <w:pPr>
        <w:ind w:firstLine="360"/>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rPr>
        <w:drawing>
          <wp:inline distT="0" distB="0" distL="0" distR="0" wp14:anchorId="6BEC95F4" wp14:editId="5F8971CD">
            <wp:extent cx="4572000" cy="328946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0" cy="3289465"/>
                    </a:xfrm>
                    <a:prstGeom prst="rect">
                      <a:avLst/>
                    </a:prstGeom>
                  </pic:spPr>
                </pic:pic>
              </a:graphicData>
            </a:graphic>
          </wp:inline>
        </w:drawing>
      </w:r>
      <w:r w:rsidR="004B7426">
        <w:rPr>
          <w:b/>
        </w:rPr>
        <w:br/>
        <w:t xml:space="preserve"> </w:t>
      </w:r>
      <w:r w:rsidR="004B7426" w:rsidRPr="008D3999">
        <w:rPr>
          <w:b/>
        </w:rPr>
        <w:t>Figure 3: Reactions of central banks to outflows of May-Aug., 2013, taper tantrum</w:t>
      </w:r>
    </w:p>
    <w:p w14:paraId="719DD410" w14:textId="75A32CB5" w:rsidR="00305452" w:rsidRDefault="0015649F" w:rsidP="0015649F">
      <w:pPr>
        <w:ind w:firstLine="720"/>
        <w:rPr>
          <w:sz w:val="24"/>
          <w:szCs w:val="24"/>
        </w:rPr>
      </w:pPr>
      <w:r w:rsidRPr="0015649F">
        <w:rPr>
          <w:rFonts w:cs="Arial"/>
          <w:color w:val="1E1E1E"/>
          <w:sz w:val="24"/>
          <w:szCs w:val="24"/>
          <w:shd w:val="clear" w:color="auto" w:fill="FFFFFF"/>
        </w:rPr>
        <w:lastRenderedPageBreak/>
        <w:t xml:space="preserve">These are just three episodes.  But they illustrate </w:t>
      </w:r>
      <w:r w:rsidR="004B7426">
        <w:rPr>
          <w:rFonts w:cs="Arial"/>
          <w:color w:val="1E1E1E"/>
          <w:sz w:val="24"/>
          <w:szCs w:val="24"/>
          <w:shd w:val="clear" w:color="auto" w:fill="FFFFFF"/>
        </w:rPr>
        <w:t xml:space="preserve">how some </w:t>
      </w:r>
      <w:r w:rsidRPr="0015649F">
        <w:rPr>
          <w:rFonts w:cs="Arial"/>
          <w:color w:val="1E1E1E"/>
          <w:sz w:val="24"/>
          <w:szCs w:val="24"/>
          <w:shd w:val="clear" w:color="auto" w:fill="FFFFFF"/>
        </w:rPr>
        <w:t>cou</w:t>
      </w:r>
      <w:r>
        <w:rPr>
          <w:rFonts w:cs="Arial"/>
          <w:color w:val="1E1E1E"/>
          <w:sz w:val="24"/>
          <w:szCs w:val="24"/>
          <w:shd w:val="clear" w:color="auto" w:fill="FFFFFF"/>
        </w:rPr>
        <w:t>ntries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1576FD80" w:rsidR="00BB2308" w:rsidRDefault="00B85A4F" w:rsidP="0016376E">
      <w:pPr>
        <w:ind w:firstLine="720"/>
        <w:rPr>
          <w:sz w:val="24"/>
          <w:szCs w:val="24"/>
        </w:rPr>
      </w:pPr>
      <w:r>
        <w:rPr>
          <w:sz w:val="24"/>
          <w:szCs w:val="24"/>
        </w:rPr>
        <w:t xml:space="preserve">One supposes that the countries that allowed greater movements in their nominal exchange rates in response to these positive and negative </w:t>
      </w:r>
      <w:r w:rsidR="004B7426">
        <w:rPr>
          <w:sz w:val="24"/>
          <w:szCs w:val="24"/>
        </w:rPr>
        <w:t xml:space="preserve">external </w:t>
      </w:r>
      <w:r>
        <w:rPr>
          <w:sz w:val="24"/>
          <w:szCs w:val="24"/>
        </w:rPr>
        <w:t>shocks also achieved greater movements in their real exchange rates and may have done so in order to mitigate the effects</w:t>
      </w:r>
      <w:r w:rsidR="004B7426">
        <w:rPr>
          <w:sz w:val="24"/>
          <w:szCs w:val="24"/>
        </w:rPr>
        <w:t xml:space="preserve"> of the shocks</w:t>
      </w:r>
      <w:r>
        <w:rPr>
          <w:sz w:val="24"/>
          <w:szCs w:val="24"/>
        </w:rPr>
        <w:t xml:space="preserve"> on their balance of payments and real economies.  </w:t>
      </w:r>
      <w:r>
        <w:rPr>
          <w:rFonts w:cs="Arial"/>
          <w:color w:val="1E1E1E"/>
          <w:sz w:val="24"/>
          <w:szCs w:val="24"/>
          <w:shd w:val="clear" w:color="auto" w:fill="FFFFFF"/>
        </w:rPr>
        <w:t xml:space="preserve">Hong Kong in this sample is the one economy that is committed to intervening heavily enough to keep its exchange rate fixed against the dollar, and is willing to give up its monetary independence for </w:t>
      </w:r>
      <w:r w:rsidR="00C622A2">
        <w:rPr>
          <w:rFonts w:cs="Arial"/>
          <w:color w:val="1E1E1E"/>
          <w:sz w:val="24"/>
          <w:szCs w:val="24"/>
          <w:shd w:val="clear" w:color="auto" w:fill="FFFFFF"/>
        </w:rPr>
        <w:t xml:space="preserve">the </w:t>
      </w:r>
      <w:r>
        <w:rPr>
          <w:rFonts w:cs="Arial"/>
          <w:color w:val="1E1E1E"/>
          <w:sz w:val="24"/>
          <w:szCs w:val="24"/>
          <w:shd w:val="clear" w:color="auto" w:fill="FFFFFF"/>
        </w:rPr>
        <w:t>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r>
        <w:rPr>
          <w:sz w:val="24"/>
          <w:szCs w:val="24"/>
        </w:rPr>
        <w:t xml:space="preserve">So far, so consistent with the conventional textbook framework.   </w:t>
      </w:r>
    </w:p>
    <w:p w14:paraId="1C1CB11A" w14:textId="17296336" w:rsidR="00BB2308" w:rsidRPr="003C0865" w:rsidRDefault="00B85A4F" w:rsidP="00B85A4F">
      <w:pPr>
        <w:rPr>
          <w:sz w:val="24"/>
          <w:szCs w:val="24"/>
        </w:rPr>
      </w:pPr>
      <w:r>
        <w:rPr>
          <w:sz w:val="24"/>
          <w:szCs w:val="24"/>
        </w:rPr>
        <w:tab/>
        <w:t>But the textbook fra</w:t>
      </w:r>
      <w:r w:rsidR="004B7426">
        <w:rPr>
          <w:sz w:val="24"/>
          <w:szCs w:val="24"/>
        </w:rPr>
        <w:t xml:space="preserve">mework has been challenged.  The paper </w:t>
      </w:r>
      <w:r>
        <w:rPr>
          <w:sz w:val="24"/>
          <w:szCs w:val="24"/>
        </w:rPr>
        <w:t>review</w:t>
      </w:r>
      <w:r w:rsidR="004B7426">
        <w:rPr>
          <w:sz w:val="24"/>
          <w:szCs w:val="24"/>
        </w:rPr>
        <w:t>s</w:t>
      </w:r>
      <w:r>
        <w:rPr>
          <w:sz w:val="24"/>
          <w:szCs w:val="24"/>
        </w:rPr>
        <w:t xml:space="preserve"> the challenges in Part 1.   Part 2 reviews some of the problems with identifying what exchange rate regime a country follows in practice and offers some evidence on a </w:t>
      </w:r>
      <w:r w:rsidR="004B7426">
        <w:rPr>
          <w:sz w:val="24"/>
          <w:szCs w:val="24"/>
        </w:rPr>
        <w:t>set of</w:t>
      </w:r>
      <w:r>
        <w:rPr>
          <w:sz w:val="24"/>
          <w:szCs w:val="24"/>
        </w:rPr>
        <w:t xml:space="preserve"> Asian </w:t>
      </w:r>
      <w:r w:rsidR="004B7426">
        <w:rPr>
          <w:sz w:val="24"/>
          <w:szCs w:val="24"/>
        </w:rPr>
        <w:t xml:space="preserve">and other </w:t>
      </w:r>
      <w:r>
        <w:rPr>
          <w:sz w:val="24"/>
          <w:szCs w:val="24"/>
        </w:rPr>
        <w:t>currencies.   Part 3 seeks to determine whether the regime makes a difference for the real exchange rate.  The focus is on three regimes: firm fixing, free floating and, especially, systematically managed floating.</w:t>
      </w:r>
      <w:r w:rsidR="009D1D0D">
        <w:rPr>
          <w:sz w:val="24"/>
          <w:szCs w:val="24"/>
        </w:rPr>
        <w:br/>
      </w:r>
    </w:p>
    <w:p w14:paraId="13C2EA0C" w14:textId="77777777" w:rsidR="006A3367" w:rsidRPr="005708E3" w:rsidRDefault="001C3BD5" w:rsidP="005708E3">
      <w:pPr>
        <w:pStyle w:val="ListParagraph"/>
        <w:numPr>
          <w:ilvl w:val="0"/>
          <w:numId w:val="1"/>
        </w:numPr>
        <w:rPr>
          <w:b/>
          <w:sz w:val="24"/>
          <w:szCs w:val="24"/>
        </w:rPr>
      </w:pPr>
      <w:r>
        <w:rPr>
          <w:b/>
          <w:sz w:val="24"/>
          <w:szCs w:val="24"/>
        </w:rPr>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“exchange rate disconnect</w:t>
      </w:r>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corners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77777777" w:rsidR="006320F3" w:rsidRPr="0094465A" w:rsidRDefault="0094465A" w:rsidP="0042142F">
      <w:pPr>
        <w:spacing w:after="240"/>
        <w:ind w:firstLine="720"/>
        <w:jc w:val="both"/>
        <w:rPr>
          <w:sz w:val="24"/>
          <w:szCs w:val="24"/>
        </w:rPr>
      </w:pPr>
      <w:r>
        <w:rPr>
          <w:sz w:val="24"/>
          <w:szCs w:val="24"/>
        </w:rPr>
        <w:lastRenderedPageBreak/>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corners is by Eichengreen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previously—a gradual transition to the EMU, where the width of the target zone was 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 the leap from wide bands to EMU proved successful in 1998–1999.</w:t>
      </w:r>
    </w:p>
    <w:p w14:paraId="69BC84DC" w14:textId="30D5BEB5"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w:t>
      </w:r>
      <w:r w:rsidR="00D14019">
        <w:rPr>
          <w:sz w:val="24"/>
          <w:szCs w:val="24"/>
        </w:rPr>
        <w:t xml:space="preserve">was </w:t>
      </w:r>
      <w:r w:rsidR="006320F3" w:rsidRPr="0094465A">
        <w:rPr>
          <w:sz w:val="24"/>
          <w:szCs w:val="24"/>
        </w:rPr>
        <w:t xml:space="preserve">rapidly adopted by the financial establishment </w:t>
      </w:r>
      <w:r w:rsidR="00D14019">
        <w:rPr>
          <w:sz w:val="24"/>
          <w:szCs w:val="24"/>
        </w:rPr>
        <w:t>as the new conventional wisdom.</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Summers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0041E469" w14:textId="1301F4CE" w:rsidR="00484CF3" w:rsidRDefault="00484CF3" w:rsidP="0094465A">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7AE4469D" w14:textId="77777777" w:rsidR="00484CF3" w:rsidRDefault="00484CF3" w:rsidP="00FE6187">
      <w:pPr>
        <w:pStyle w:val="ListParagraph"/>
        <w:ind w:left="0"/>
        <w:rPr>
          <w:sz w:val="24"/>
          <w:szCs w:val="24"/>
        </w:rPr>
      </w:pPr>
    </w:p>
    <w:p w14:paraId="2275F744" w14:textId="77777777"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 xml:space="preserve">inal exchange rate stability. </w:t>
      </w:r>
      <w:r w:rsidR="00B82868">
        <w:rPr>
          <w:sz w:val="24"/>
          <w:szCs w:val="24"/>
        </w:rPr>
        <w:t xml:space="preserve">  One example of such an intermediate regime is the band, which was well-modeled in the target zone literature initiated by Krugman (</w:t>
      </w:r>
      <w:r w:rsidR="00376974">
        <w:rPr>
          <w:sz w:val="24"/>
          <w:szCs w:val="24"/>
        </w:rPr>
        <w:t>1991</w:t>
      </w:r>
      <w:r w:rsidR="00B82868">
        <w:rPr>
          <w:sz w:val="24"/>
          <w:szCs w:val="24"/>
        </w:rPr>
        <w:t>).   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C71C9E"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management has seldom been formalized.   To operationalize “systematic</w:t>
      </w:r>
      <w:r w:rsidR="00890701">
        <w:rPr>
          <w:sz w:val="24"/>
          <w:szCs w:val="24"/>
        </w:rPr>
        <w:t>ally</w:t>
      </w:r>
      <w:r w:rsidR="003E0F20">
        <w:rPr>
          <w:sz w:val="24"/>
          <w:szCs w:val="24"/>
        </w:rPr>
        <w:t xml:space="preserve"> managed floating,</w:t>
      </w:r>
      <w:r w:rsidR="004C7BE5">
        <w:rPr>
          <w:sz w:val="24"/>
          <w:szCs w:val="24"/>
        </w:rPr>
        <w:t>” Part</w:t>
      </w:r>
      <w:r w:rsidR="003E0F20">
        <w:rPr>
          <w:sz w:val="24"/>
          <w:szCs w:val="24"/>
        </w:rPr>
        <w:t xml:space="preserve"> 2(b) of this paper identifies it simply by the condition that there is a high positive correlation between the change </w:t>
      </w:r>
      <w:r w:rsidR="003E0F20">
        <w:rPr>
          <w:sz w:val="24"/>
          <w:szCs w:val="24"/>
        </w:rPr>
        <w:lastRenderedPageBreak/>
        <w:t>in foreign exchange reserves and the change in the foreign exchange value of the currency.</w:t>
      </w:r>
      <w:r w:rsidR="00FD5943" w:rsidRPr="003E0F20">
        <w:rPr>
          <w:sz w:val="24"/>
          <w:szCs w:val="24"/>
        </w:rPr>
        <w:t>)</w:t>
      </w:r>
      <w:r w:rsidR="004E742A" w:rsidRPr="003E0F20">
        <w:rPr>
          <w:sz w:val="24"/>
          <w:szCs w:val="24"/>
        </w:rPr>
        <w:t xml:space="preserve"> </w:t>
      </w:r>
      <w:r w:rsidR="001C15A4" w:rsidRPr="003E0F20">
        <w:rPr>
          <w:sz w:val="24"/>
          <w:szCs w:val="24"/>
        </w:rPr>
        <w:t>These are all counter-examples to the corners hypothesis.</w:t>
      </w:r>
    </w:p>
    <w:p w14:paraId="479834FC" w14:textId="77777777" w:rsidR="00882489" w:rsidRPr="00FE6187" w:rsidRDefault="00B82868" w:rsidP="0094465A">
      <w:pPr>
        <w:ind w:firstLine="720"/>
        <w:rPr>
          <w:sz w:val="24"/>
          <w:szCs w:val="24"/>
        </w:rPr>
      </w:pPr>
      <w:r w:rsidRPr="00FE6187">
        <w:rPr>
          <w:sz w:val="24"/>
          <w:szCs w:val="24"/>
        </w:rPr>
        <w:t xml:space="preserve">Beyond the normative question as to whether intermediate regimes are advisable is the evidence from classification schemes </w:t>
      </w:r>
      <w:r w:rsidR="00BE7656">
        <w:rPr>
          <w:sz w:val="24"/>
          <w:szCs w:val="24"/>
        </w:rPr>
        <w:t>on what countries are actually doing.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2C0EF1">
        <w:rPr>
          <w:sz w:val="24"/>
          <w:szCs w:val="24"/>
        </w:rPr>
        <w:t xml:space="preserve">   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05B39233"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 xml:space="preserve">oating exchange rates help insulate small countries against global financial factors such as </w:t>
      </w:r>
      <w:r w:rsidR="00D14019">
        <w:rPr>
          <w:rFonts w:cs="CMR10"/>
          <w:sz w:val="24"/>
          <w:szCs w:val="24"/>
        </w:rPr>
        <w:t xml:space="preserve">foreign </w:t>
      </w:r>
      <w:r w:rsidRPr="0038217E">
        <w:rPr>
          <w:rFonts w:cs="CMR10"/>
          <w:sz w:val="24"/>
          <w:szCs w:val="24"/>
        </w:rPr>
        <w:t>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54FC67D9" w:rsidR="002B016F" w:rsidRDefault="00564A84" w:rsidP="0042142F">
      <w:pPr>
        <w:spacing w:before="240"/>
        <w:ind w:firstLine="450"/>
        <w:contextualSpacing/>
        <w:rPr>
          <w:sz w:val="24"/>
          <w:szCs w:val="24"/>
        </w:rPr>
      </w:pPr>
      <w:r>
        <w:rPr>
          <w:sz w:val="24"/>
          <w:szCs w:val="24"/>
        </w:rPr>
        <w:t xml:space="preserve">The </w:t>
      </w:r>
      <w:r w:rsidR="00D14019">
        <w:rPr>
          <w:sz w:val="24"/>
          <w:szCs w:val="24"/>
        </w:rPr>
        <w:t xml:space="preserve">textbook </w:t>
      </w:r>
      <w:r>
        <w:rPr>
          <w:sz w:val="24"/>
          <w:szCs w:val="24"/>
        </w:rPr>
        <w:t xml:space="preserve">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 xml:space="preserve">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   The domestic country loses the ability to set its own interest rate.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07E987D5" w:rsidR="00957B8F" w:rsidRDefault="00421B14" w:rsidP="00BD3BD5">
            <w:pPr>
              <w:spacing w:after="0"/>
              <w:contextualSpacing/>
              <w:rPr>
                <w:sz w:val="24"/>
                <w:szCs w:val="24"/>
              </w:rPr>
            </w:pPr>
            <w:r>
              <w:rPr>
                <w:sz w:val="24"/>
                <w:szCs w:val="24"/>
              </w:rPr>
              <w:lastRenderedPageBreak/>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   The “dilemma” view is </w:t>
            </w:r>
            <w:r w:rsidR="000B1894">
              <w:rPr>
                <w:sz w:val="24"/>
                <w:szCs w:val="24"/>
              </w:rPr>
              <w:t>very different: the triangle collapses into a single line segment, running 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957B8F">
              <w:rPr>
                <w:sz w:val="24"/>
                <w:szCs w:val="24"/>
              </w:rPr>
              <w:t xml:space="preserve">in 2017, </w:t>
            </w:r>
            <w:r w:rsidR="00957B8F" w:rsidRPr="00011F62">
              <w:rPr>
                <w:sz w:val="24"/>
                <w:szCs w:val="24"/>
              </w:rPr>
              <w:t xml:space="preserve">a time when the Fed is expected to continue to pursue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258D357B" w14:textId="77777777" w:rsidR="00957B8F"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proposition.  Some say that the power to set independent monetary policy was compromised when interest rates hit the zero lower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Werning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24098793" w:rsidR="00957B8F" w:rsidRPr="00C1747D" w:rsidRDefault="00957B8F" w:rsidP="00BD3BD5">
            <w:pPr>
              <w:spacing w:after="0"/>
              <w:contextualSpacing/>
              <w:rPr>
                <w:sz w:val="24"/>
                <w:szCs w:val="24"/>
              </w:rPr>
            </w:pPr>
            <w:r>
              <w:rPr>
                <w:sz w:val="24"/>
                <w:szCs w:val="24"/>
              </w:rPr>
              <w:t xml:space="preserve">      To argue that floating rates do not automatically insulate aga</w:t>
            </w:r>
            <w:r w:rsidR="00D14019">
              <w:rPr>
                <w:sz w:val="24"/>
                <w:szCs w:val="24"/>
              </w:rPr>
              <w:t>inst foreign disturbances is</w:t>
            </w:r>
            <w:r>
              <w:rPr>
                <w:sz w:val="24"/>
                <w:szCs w:val="24"/>
              </w:rPr>
              <w:t xml:space="preserve"> to take on a straw man, however.  Given the importance of international capital flows and other </w:t>
            </w:r>
            <w:r>
              <w:rPr>
                <w:sz w:val="24"/>
                <w:szCs w:val="24"/>
              </w:rPr>
              <w:lastRenderedPageBreak/>
              <w:t>transmission mechanisms, the claim in favor of floating is not that it automatically gives complete insulation even when domestic monetary policy remains passive.  The claim is</w:t>
            </w:r>
            <w:r w:rsidR="004C7BE5">
              <w:rPr>
                <w:sz w:val="24"/>
                <w:szCs w:val="24"/>
              </w:rPr>
              <w:t>, rather</w:t>
            </w:r>
            <w:r>
              <w:rPr>
                <w:sz w:val="24"/>
                <w:szCs w:val="24"/>
              </w:rPr>
              <w:t>, that it allows the freedom to respond to shocks so as to achieve the desired level of domestic demand.   Indeed there is no shortage of empirical studies finding that floating does help countries retain an important degree of monetary autonomy.</w:t>
            </w:r>
            <w:r>
              <w:rPr>
                <w:rStyle w:val="FootnoteReference"/>
                <w:sz w:val="24"/>
                <w:szCs w:val="24"/>
              </w:rPr>
              <w:footnoteReference w:id="7"/>
            </w:r>
            <w:r>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lastRenderedPageBreak/>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4A4AF128"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so as to leave the money supply unchanged, then it had no effect. </w:t>
      </w:r>
      <w:r w:rsidR="00016D73" w:rsidRPr="00FE6187">
        <w:rPr>
          <w:sz w:val="24"/>
          <w:szCs w:val="24"/>
        </w:rPr>
        <w:t xml:space="preserve"> It was thought that non-monetary claims against the government did not have an effect on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in the first place),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and government bonds perhaps even rendered altogether irrelevant by Ricardian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in expected returns.   If a European or Japanese central bank bought dollar bonds, but then sold an equal number o</w:t>
      </w:r>
      <w:r w:rsidR="00150710" w:rsidRPr="00FE6187">
        <w:rPr>
          <w:sz w:val="24"/>
          <w:szCs w:val="24"/>
        </w:rPr>
        <w:t>f domestic bonds so as to leave</w:t>
      </w:r>
      <w:r w:rsidR="00A630D5" w:rsidRPr="00FE6187">
        <w:rPr>
          <w:sz w:val="24"/>
          <w:szCs w:val="24"/>
        </w:rPr>
        <w:t xml:space="preserve"> the monetary base unchanged, it was thought to have no effect.   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77777777" w:rsidR="008E32AD" w:rsidRPr="00FE6187" w:rsidRDefault="00573318" w:rsidP="00BD3BD5">
      <w:pPr>
        <w:ind w:firstLine="720"/>
        <w:rPr>
          <w:sz w:val="24"/>
          <w:szCs w:val="24"/>
        </w:rPr>
      </w:pPr>
      <w:r w:rsidRPr="00FE6187">
        <w:rPr>
          <w:sz w:val="24"/>
          <w:szCs w:val="24"/>
        </w:rPr>
        <w:t xml:space="preserve">There have long been good arguments on the other side of the debate, </w:t>
      </w:r>
      <w:r w:rsidR="00475A03" w:rsidRPr="00FE6187">
        <w:rPr>
          <w:sz w:val="24"/>
          <w:szCs w:val="24"/>
        </w:rPr>
        <w:t>including</w:t>
      </w:r>
      <w:r w:rsidR="00CD3B56">
        <w:rPr>
          <w:sz w:val="24"/>
          <w:szCs w:val="24"/>
        </w:rPr>
        <w:t xml:space="preserve"> theories, </w:t>
      </w:r>
      <w:r w:rsidR="00150710" w:rsidRPr="00FE6187">
        <w:rPr>
          <w:sz w:val="24"/>
          <w:szCs w:val="24"/>
        </w:rPr>
        <w:t>going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77777777" w:rsidR="00765A68" w:rsidRDefault="00112548" w:rsidP="00EC2DA8">
      <w:pPr>
        <w:ind w:firstLine="720"/>
        <w:rPr>
          <w:sz w:val="24"/>
          <w:szCs w:val="24"/>
        </w:rPr>
      </w:pPr>
      <w:r>
        <w:rPr>
          <w:sz w:val="24"/>
          <w:szCs w:val="24"/>
        </w:rPr>
        <w:lastRenderedPageBreak/>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A630D5" w:rsidRPr="00FE6187">
        <w:rPr>
          <w:sz w:val="24"/>
          <w:szCs w:val="24"/>
        </w:rPr>
        <w:t xml:space="preserve">, let alone 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7CCF492B"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recently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1"/>
      </w:r>
      <w:r w:rsidR="00A973ED" w:rsidRPr="00FE6187">
        <w:rPr>
          <w:sz w:val="24"/>
          <w:szCs w:val="24"/>
        </w:rPr>
        <w:t xml:space="preserve">   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EM</w:t>
      </w:r>
      <w:r w:rsidR="00D814C9">
        <w:rPr>
          <w:sz w:val="24"/>
          <w:szCs w:val="24"/>
        </w:rPr>
        <w:t xml:space="preserve"> economies</w:t>
      </w:r>
      <w:r w:rsidR="00A973ED" w:rsidRPr="000B0630">
        <w:rPr>
          <w:sz w:val="24"/>
          <w:szCs w:val="24"/>
        </w:rPr>
        <w:t>.</w:t>
      </w:r>
      <w:r w:rsidR="00765A68">
        <w:rPr>
          <w:sz w:val="24"/>
          <w:szCs w:val="24"/>
        </w:rPr>
        <w:t xml:space="preserve"> </w:t>
      </w:r>
    </w:p>
    <w:p w14:paraId="07C6C3B5" w14:textId="77777777"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2"/>
      </w:r>
      <w:r w:rsidR="009A3629" w:rsidRPr="00FE6187">
        <w:rPr>
          <w:rFonts w:cs="Arial"/>
          <w:color w:val="222222"/>
          <w:sz w:val="24"/>
          <w:szCs w:val="24"/>
          <w:shd w:val="clear" w:color="auto" w:fill="FFFFFF"/>
        </w:rPr>
        <w:t xml:space="preserve">  </w:t>
      </w:r>
      <w:r w:rsidR="004474C5" w:rsidRPr="00FE6187">
        <w:rPr>
          <w:rFonts w:cs="Arial"/>
          <w:color w:val="222222"/>
          <w:sz w:val="24"/>
          <w:szCs w:val="24"/>
          <w:shd w:val="clear" w:color="auto" w:fill="FFFFFF"/>
        </w:rPr>
        <w:t xml:space="preserve"> Fratzscher, Glo</w:t>
      </w:r>
      <w:r w:rsidR="009A3629" w:rsidRPr="00FE6187">
        <w:rPr>
          <w:rFonts w:cs="Arial"/>
          <w:color w:val="222222"/>
          <w:sz w:val="24"/>
          <w:szCs w:val="24"/>
          <w:shd w:val="clear" w:color="auto" w:fill="FFFFFF"/>
        </w:rPr>
        <w:t>ede, Menkhoff, Sarno, and Stöhr</w:t>
      </w:r>
      <w:r w:rsidR="004474C5" w:rsidRPr="00FE6187">
        <w:rPr>
          <w:rFonts w:cs="Arial"/>
          <w:color w:val="222222"/>
          <w:sz w:val="24"/>
          <w:szCs w:val="24"/>
          <w:shd w:val="clear" w:color="auto" w:fill="FFFFFF"/>
        </w:rPr>
        <w:t xml:space="preserve"> (2016) </w:t>
      </w:r>
      <w:r w:rsidR="009A3629" w:rsidRPr="00FE6187">
        <w:rPr>
          <w:rFonts w:cs="Arial"/>
          <w:color w:val="222222"/>
          <w:sz w:val="24"/>
          <w:szCs w:val="24"/>
          <w:shd w:val="clear" w:color="auto" w:fill="FFFFFF"/>
        </w:rPr>
        <w:t>manages to marshal</w:t>
      </w:r>
      <w:r w:rsidR="004474C5" w:rsidRPr="00FE6187">
        <w:rPr>
          <w:rFonts w:cs="Arial"/>
          <w:color w:val="222222"/>
          <w:sz w:val="24"/>
          <w:szCs w:val="24"/>
          <w:shd w:val="clear" w:color="auto" w:fill="FFFFFF"/>
        </w:rPr>
        <w:t xml:space="preserve"> data from an impressive sample of 33 countries.  Its conclusions are broadly similar to 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   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Exchange rate disconnect</w:t>
      </w:r>
      <w:r w:rsidR="008F381D" w:rsidRPr="008A3819">
        <w:rPr>
          <w:b/>
          <w:sz w:val="24"/>
          <w:szCs w:val="24"/>
        </w:rPr>
        <w:t xml:space="preserve"> </w:t>
      </w:r>
    </w:p>
    <w:p w14:paraId="6146F19B" w14:textId="77777777" w:rsidR="0042142F" w:rsidRDefault="00E7380C" w:rsidP="00FD5943">
      <w:pPr>
        <w:ind w:firstLine="360"/>
        <w:rPr>
          <w:sz w:val="24"/>
          <w:szCs w:val="24"/>
        </w:rPr>
      </w:pPr>
      <w:r>
        <w:rPr>
          <w:sz w:val="24"/>
          <w:szCs w:val="24"/>
        </w:rPr>
        <w:lastRenderedPageBreak/>
        <w:t>The fourth challenge to the conventional view is the “e</w:t>
      </w:r>
      <w:r w:rsidR="00FE6187">
        <w:rPr>
          <w:sz w:val="24"/>
          <w:szCs w:val="24"/>
        </w:rPr>
        <w:t>xchange rate disconnect</w:t>
      </w:r>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fail to find correlations between nominal exchange rates and real variables</w:t>
      </w:r>
      <w:r>
        <w:rPr>
          <w:sz w:val="24"/>
          <w:szCs w:val="24"/>
        </w:rPr>
        <w:t>.</w:t>
      </w:r>
      <w:r w:rsidR="008E22F7">
        <w:rPr>
          <w:rStyle w:val="FootnoteReference"/>
          <w:sz w:val="24"/>
          <w:szCs w:val="24"/>
        </w:rPr>
        <w:footnoteReference w:id="13"/>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have 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shows up in price levels instead.   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7A17D3" w:rsidRPr="00FE6187">
        <w:rPr>
          <w:sz w:val="24"/>
          <w:szCs w:val="24"/>
        </w:rPr>
        <w:t xml:space="preserve">  </w:t>
      </w:r>
      <w:r w:rsidR="007A17D3" w:rsidRPr="008E22F7">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What countries actually do</w:t>
      </w:r>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systematically-managed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0D18F8D"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   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4"/>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5"/>
      </w:r>
      <w:r w:rsidRPr="00FE6187">
        <w:rPr>
          <w:sz w:val="24"/>
          <w:szCs w:val="24"/>
        </w:rPr>
        <w:t>;  and countries that say they follow a basket peg often keep the weights secret so that they can 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6"/>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7"/>
      </w:r>
    </w:p>
    <w:p w14:paraId="4136BCA4" w14:textId="77777777" w:rsidR="00EC684C" w:rsidRPr="00D219CC" w:rsidRDefault="00381AA5" w:rsidP="00D219CC">
      <w:pPr>
        <w:ind w:firstLine="720"/>
        <w:rPr>
          <w:sz w:val="24"/>
          <w:szCs w:val="24"/>
        </w:rPr>
      </w:pPr>
      <w:r w:rsidRPr="00D219CC">
        <w:rPr>
          <w:sz w:val="24"/>
          <w:szCs w:val="24"/>
        </w:rPr>
        <w:lastRenderedPageBreak/>
        <w:t>The IMF discontinued reporting the regime claims of its members at face value and began to offer its own de facto schemes.</w:t>
      </w:r>
      <w:r w:rsidRPr="00D219CC">
        <w:rPr>
          <w:rStyle w:val="FootnoteReference"/>
          <w:sz w:val="24"/>
          <w:szCs w:val="24"/>
        </w:rPr>
        <w:footnoteReference w:id="18"/>
      </w:r>
      <w:r w:rsidRPr="00D219CC">
        <w:rPr>
          <w:sz w:val="24"/>
          <w:szCs w:val="24"/>
        </w:rPr>
        <w:t xml:space="preserve">   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likely to go wherever </w:t>
      </w:r>
      <w:r w:rsidR="005831B6" w:rsidRPr="00D219CC">
        <w:rPr>
          <w:sz w:val="24"/>
          <w:szCs w:val="24"/>
        </w:rPr>
        <w:t>the data led them (which is not</w:t>
      </w:r>
      <w:r w:rsidRPr="00D219CC">
        <w:rPr>
          <w:sz w:val="24"/>
          <w:szCs w:val="24"/>
        </w:rPr>
        <w:t xml:space="preserve"> always the right way, it must be admitted).</w:t>
      </w:r>
      <w:r w:rsidR="001A19B4" w:rsidRPr="00D219CC">
        <w:rPr>
          <w:sz w:val="24"/>
          <w:szCs w:val="24"/>
        </w:rPr>
        <w:br/>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2D09177A" w:rsidR="00EC684C" w:rsidRPr="00FE6187" w:rsidRDefault="00C75794" w:rsidP="00C75794">
      <w:pPr>
        <w:ind w:firstLine="720"/>
        <w:rPr>
          <w:sz w:val="24"/>
          <w:szCs w:val="24"/>
        </w:rPr>
      </w:pPr>
      <w:r w:rsidRPr="00C75794">
        <w:rPr>
          <w:sz w:val="24"/>
          <w:szCs w:val="24"/>
        </w:rPr>
        <w:t>I</w:t>
      </w:r>
      <w:r w:rsidR="00D55552" w:rsidRPr="00C75794">
        <w:rPr>
          <w:sz w:val="24"/>
          <w:szCs w:val="24"/>
        </w:rPr>
        <w:t>t has become e</w:t>
      </w:r>
      <w:r w:rsidR="00D814C9">
        <w:rPr>
          <w:sz w:val="24"/>
          <w:szCs w:val="24"/>
        </w:rPr>
        <w:t xml:space="preserve">vident that the various </w:t>
      </w:r>
      <w:r w:rsidR="00D55552" w:rsidRPr="00C75794">
        <w:rPr>
          <w:sz w:val="24"/>
          <w:szCs w:val="24"/>
        </w:rPr>
        <w:t>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19"/>
      </w:r>
      <w:r w:rsidR="00D55552" w:rsidRPr="00C75794">
        <w:rPr>
          <w:sz w:val="24"/>
          <w:szCs w:val="24"/>
        </w:rPr>
        <w:t xml:space="preserve">  A table in Frankel (2004) show</w:t>
      </w:r>
      <w:r w:rsidR="00B06815">
        <w:rPr>
          <w:sz w:val="24"/>
          <w:szCs w:val="24"/>
        </w:rPr>
        <w:t>ed</w:t>
      </w:r>
      <w:r w:rsidR="00D55552" w:rsidRPr="00C75794">
        <w:rPr>
          <w:sz w:val="24"/>
          <w:szCs w:val="24"/>
        </w:rPr>
        <w:t xml:space="preserve"> that the classifications of three prominent schemes coincide</w:t>
      </w:r>
      <w:r w:rsidR="00B06815">
        <w:rPr>
          <w:sz w:val="24"/>
          <w:szCs w:val="24"/>
        </w:rPr>
        <w:t>d</w:t>
      </w:r>
      <w:r w:rsidR="00D55552" w:rsidRPr="00C75794">
        <w:rPr>
          <w:sz w:val="24"/>
          <w:szCs w:val="24"/>
        </w:rPr>
        <w:t xml:space="preserve"> with the IMF de jure classification only 50.4% of the time, averaging across the three.  But they coincide</w:t>
      </w:r>
      <w:r w:rsidR="00B06815">
        <w:rPr>
          <w:sz w:val="24"/>
          <w:szCs w:val="24"/>
        </w:rPr>
        <w:t>d</w:t>
      </w:r>
      <w:r w:rsidR="00D55552" w:rsidRPr="00C75794">
        <w:rPr>
          <w:sz w:val="24"/>
          <w:szCs w:val="24"/>
        </w:rPr>
        <w:t xml:space="preserv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0"/>
      </w:r>
      <w:r w:rsidR="00BB4707" w:rsidRPr="00C75794">
        <w:rPr>
          <w:sz w:val="24"/>
          <w:szCs w:val="24"/>
        </w:rPr>
        <w:t xml:space="preserve">  </w:t>
      </w:r>
      <w:r w:rsidR="00381AA5" w:rsidRPr="00C75794">
        <w:rPr>
          <w:sz w:val="24"/>
          <w:szCs w:val="24"/>
        </w:rPr>
        <w:t xml:space="preserve">Similarly, a table in </w:t>
      </w:r>
      <w:r w:rsidR="008E76E8" w:rsidRPr="00C75794">
        <w:rPr>
          <w:sz w:val="24"/>
          <w:szCs w:val="24"/>
        </w:rPr>
        <w:t xml:space="preserve">Bénassy-Quéré,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BB4707" w:rsidRPr="00C75794">
        <w:rPr>
          <w:sz w:val="24"/>
          <w:szCs w:val="24"/>
        </w:rPr>
        <w:t xml:space="preserve">   A table in Shambaugh (2007) reported for three de facto schemes an average of 80 percent agreement with the de jure listings, but only 78 per cent among themselves.  Finally, a table in Klein and Shambaugh (2011) showed that three de facto schemes coincided with the IMF classification 62 per cent of the time, and coincided with each other also 62 per cent of the time.  All-in-all, the evidence is clear that the evidence of the classification schemes is not clear.</w:t>
      </w:r>
      <w:r w:rsidR="007A5533" w:rsidRPr="00C75794">
        <w:rPr>
          <w:rStyle w:val="FootnoteReference"/>
          <w:sz w:val="24"/>
          <w:szCs w:val="24"/>
        </w:rPr>
        <w:footnoteReference w:id="21"/>
      </w:r>
      <w:r w:rsidR="00B06815">
        <w:rPr>
          <w:sz w:val="24"/>
          <w:szCs w:val="24"/>
        </w:rPr>
        <w:br/>
      </w:r>
    </w:p>
    <w:p w14:paraId="493C073D" w14:textId="77777777" w:rsidR="00EC684C" w:rsidRDefault="00EC684C" w:rsidP="00EC684C">
      <w:pPr>
        <w:pStyle w:val="ListParagraph"/>
        <w:numPr>
          <w:ilvl w:val="2"/>
          <w:numId w:val="1"/>
        </w:numPr>
        <w:rPr>
          <w:sz w:val="24"/>
          <w:szCs w:val="24"/>
        </w:rPr>
      </w:pPr>
      <w:r>
        <w:rPr>
          <w:sz w:val="24"/>
          <w:szCs w:val="24"/>
        </w:rPr>
        <w:t>Reasons for disagreement</w:t>
      </w:r>
    </w:p>
    <w:p w14:paraId="1EEE7AD7" w14:textId="77777777" w:rsidR="00C75794" w:rsidRPr="00C75794" w:rsidRDefault="00C75794" w:rsidP="00C75794">
      <w:pPr>
        <w:ind w:firstLine="720"/>
        <w:rPr>
          <w:sz w:val="24"/>
          <w:szCs w:val="24"/>
        </w:rPr>
      </w:pPr>
      <w:r>
        <w:rPr>
          <w:sz w:val="24"/>
          <w:szCs w:val="24"/>
        </w:rPr>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0D57F749" w:rsidR="002D3994" w:rsidRDefault="00C75794" w:rsidP="00AB766C">
      <w:pPr>
        <w:ind w:firstLine="720"/>
        <w:rPr>
          <w:sz w:val="24"/>
          <w:szCs w:val="24"/>
        </w:rPr>
      </w:pPr>
      <w:r w:rsidRPr="00C75794">
        <w:rPr>
          <w:sz w:val="24"/>
          <w:szCs w:val="24"/>
        </w:rPr>
        <w:lastRenderedPageBreak/>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work off of the official classifications, re-classifying countries when necessary.</w:t>
      </w:r>
      <w:r w:rsidR="00BE1835">
        <w:rPr>
          <w:rStyle w:val="FootnoteReference"/>
          <w:sz w:val="24"/>
          <w:szCs w:val="24"/>
        </w:rPr>
        <w:footnoteReference w:id="22"/>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3"/>
      </w:r>
      <w:r w:rsidR="002D3994" w:rsidRPr="00FE6187">
        <w:rPr>
          <w:sz w:val="24"/>
          <w:szCs w:val="24"/>
        </w:rPr>
        <w:t xml:space="preserve">   Admittedly, if the variance </w:t>
      </w:r>
      <w:r w:rsidR="00772D75" w:rsidRPr="00FE6187">
        <w:rPr>
          <w:sz w:val="24"/>
          <w:szCs w:val="24"/>
        </w:rPr>
        <w:t xml:space="preserve">of the currency </w:t>
      </w:r>
      <w:r w:rsidR="002D3994" w:rsidRPr="00FE6187">
        <w:rPr>
          <w:sz w:val="24"/>
          <w:szCs w:val="24"/>
        </w:rPr>
        <w:t xml:space="preserve">vis-à-vis the dollar or other major currency is </w:t>
      </w:r>
      <w:r>
        <w:rPr>
          <w:sz w:val="24"/>
          <w:szCs w:val="24"/>
        </w:rPr>
        <w:t>essentially zero</w:t>
      </w:r>
      <w:r w:rsidR="002D3994" w:rsidRPr="00FE6187">
        <w:rPr>
          <w:sz w:val="24"/>
          <w:szCs w:val="24"/>
        </w:rPr>
        <w:t xml:space="preserve">, that is clear evidence of a fixed 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p>
    <w:p w14:paraId="0746F08B" w14:textId="77777777"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 xml:space="preserve">.   The classification scheme of Levy-Yeyati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1554BD34"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10E5C533" w:rsidR="00233654" w:rsidRPr="00233654" w:rsidRDefault="00C75794" w:rsidP="00AB766C">
      <w:pPr>
        <w:ind w:firstLine="720"/>
        <w:rPr>
          <w:sz w:val="24"/>
          <w:szCs w:val="24"/>
        </w:rPr>
      </w:pPr>
      <w:r>
        <w:rPr>
          <w:sz w:val="24"/>
          <w:szCs w:val="24"/>
        </w:rPr>
        <w:t>3. Changeability.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could cope with 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FC2EFE">
        <w:rPr>
          <w:sz w:val="24"/>
          <w:szCs w:val="24"/>
        </w:rPr>
        <w:t xml:space="preserve"> or using the Bai-Perron </w:t>
      </w:r>
      <w:r w:rsidR="005228E0" w:rsidRPr="00C75794">
        <w:rPr>
          <w:sz w:val="24"/>
          <w:szCs w:val="24"/>
        </w:rPr>
        <w:t xml:space="preserve">econometric technique </w:t>
      </w:r>
      <w:r w:rsidR="00FC2EFE">
        <w:rPr>
          <w:sz w:val="24"/>
          <w:szCs w:val="24"/>
        </w:rPr>
        <w:t>which</w:t>
      </w:r>
      <w:r w:rsidR="005228E0" w:rsidRPr="00C75794">
        <w:rPr>
          <w:sz w:val="24"/>
          <w:szCs w:val="24"/>
        </w:rPr>
        <w:t xml:space="preserve">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r w:rsidR="000B0630">
        <w:rPr>
          <w:sz w:val="24"/>
          <w:szCs w:val="24"/>
        </w:rPr>
        <w:lastRenderedPageBreak/>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t xml:space="preserve"> Identifying countries that are systematic managed floaters</w:t>
      </w:r>
    </w:p>
    <w:p w14:paraId="4F1C8C0D" w14:textId="4B08156F" w:rsidR="00FD5943" w:rsidRDefault="00FF7EA1" w:rsidP="00FD5943">
      <w:pPr>
        <w:ind w:firstLine="720"/>
        <w:rPr>
          <w:sz w:val="24"/>
          <w:szCs w:val="24"/>
        </w:rPr>
      </w:pPr>
      <w:r w:rsidRPr="00FF7EA1">
        <w:rPr>
          <w:sz w:val="24"/>
          <w:szCs w:val="24"/>
        </w:rPr>
        <w:t>Within the large set of countries that are neither firm fixers nor free floaters, we would li</w:t>
      </w:r>
      <w:r w:rsidR="00B06815">
        <w:rPr>
          <w:sz w:val="24"/>
          <w:szCs w:val="24"/>
        </w:rPr>
        <w:t xml:space="preserve">ke to try to identify the </w:t>
      </w:r>
      <w:r w:rsidRPr="00FF7EA1">
        <w:rPr>
          <w:sz w:val="24"/>
          <w:szCs w:val="24"/>
        </w:rPr>
        <w:t>subset that systematically manage</w:t>
      </w:r>
      <w:r w:rsidR="00164689">
        <w:rPr>
          <w:sz w:val="24"/>
          <w:szCs w:val="24"/>
        </w:rPr>
        <w:t>s</w:t>
      </w:r>
      <w:r w:rsidRPr="00FF7EA1">
        <w:rPr>
          <w:sz w:val="24"/>
          <w:szCs w:val="24"/>
        </w:rPr>
        <w:t xml:space="preserve"> their floats</w:t>
      </w:r>
      <w:r w:rsidR="000C0B63">
        <w:rPr>
          <w:sz w:val="24"/>
          <w:szCs w:val="24"/>
        </w:rPr>
        <w:t xml:space="preserve">.  </w:t>
      </w:r>
      <w:r w:rsidR="007C6412">
        <w:rPr>
          <w:sz w:val="24"/>
          <w:szCs w:val="24"/>
        </w:rPr>
        <w:t>We are not interested in the murky regimes</w:t>
      </w:r>
      <w:r w:rsidR="003A1C70">
        <w:rPr>
          <w:sz w:val="24"/>
          <w:szCs w:val="24"/>
        </w:rPr>
        <w:t>.  We have no particular hypothesis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1D5EAED2"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Ilzetzki, Reinhart and Rogoff (2017).  </w:t>
      </w:r>
      <w:r w:rsidR="002F5845">
        <w:rPr>
          <w:sz w:val="24"/>
          <w:szCs w:val="24"/>
        </w:rPr>
        <w:t xml:space="preserve">But we have something more specific in mind, represented by the word “systematic.”  </w:t>
      </w:r>
      <w:r w:rsidR="003A1C70">
        <w:rPr>
          <w:sz w:val="24"/>
          <w:szCs w:val="24"/>
        </w:rPr>
        <w:t>We mean that when faced with Exchange Market 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6AEC7099"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indicates a systematic managed float.   </w:t>
      </w:r>
      <w:r w:rsidR="003B1CC9">
        <w:rPr>
          <w:sz w:val="24"/>
          <w:szCs w:val="24"/>
        </w:rPr>
        <w:t xml:space="preserve">We </w:t>
      </w:r>
      <w:r w:rsidR="00D74DF7">
        <w:rPr>
          <w:sz w:val="24"/>
          <w:szCs w:val="24"/>
        </w:rPr>
        <w:t>elaborate</w:t>
      </w:r>
      <w:r w:rsidR="003B1CC9">
        <w:rPr>
          <w:sz w:val="24"/>
          <w:szCs w:val="24"/>
        </w:rPr>
        <w:t xml:space="preserve"> below, with updated estimates of the regimes followed by a number of Asian countries</w:t>
      </w:r>
      <w:r w:rsidR="00D74DF7">
        <w:rPr>
          <w:sz w:val="24"/>
          <w:szCs w:val="24"/>
        </w:rPr>
        <w:t>.</w:t>
      </w:r>
    </w:p>
    <w:p w14:paraId="13A943D4" w14:textId="72B9EC3E" w:rsidR="00164689" w:rsidRDefault="00D74DF7" w:rsidP="00FF7EA1">
      <w:pPr>
        <w:ind w:firstLine="720"/>
        <w:rPr>
          <w:sz w:val="24"/>
          <w:szCs w:val="24"/>
        </w:rPr>
      </w:pPr>
      <w:r>
        <w:rPr>
          <w:sz w:val="24"/>
          <w:szCs w:val="24"/>
        </w:rPr>
        <w:t>A</w:t>
      </w:r>
      <w:r w:rsidR="003B1CC9">
        <w:rPr>
          <w:sz w:val="24"/>
          <w:szCs w:val="24"/>
        </w:rPr>
        <w:t xml:space="preserve"> second</w:t>
      </w:r>
      <w:r>
        <w:rPr>
          <w:sz w:val="24"/>
          <w:szCs w:val="24"/>
        </w:rPr>
        <w:t xml:space="preserve">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Pr>
          <w:sz w:val="24"/>
          <w:szCs w:val="24"/>
        </w:rPr>
        <w:t xml:space="preserve">as the dependent variable.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6B2ED6">
        <w:rPr>
          <w:sz w:val="24"/>
          <w:szCs w:val="24"/>
        </w:rPr>
        <w:t>for the case of Turkey (</w:t>
      </w:r>
      <w:r w:rsidR="007369EE">
        <w:rPr>
          <w:sz w:val="24"/>
          <w:szCs w:val="24"/>
        </w:rPr>
        <w:t>with a focus on two alternative measures of intervention</w:t>
      </w:r>
      <w:r w:rsidR="006B2ED6">
        <w:rPr>
          <w:sz w:val="24"/>
          <w:szCs w:val="24"/>
        </w:rPr>
        <w:t>)</w:t>
      </w:r>
      <w:r w:rsidR="007369EE">
        <w:rPr>
          <w:sz w:val="24"/>
          <w:szCs w:val="24"/>
        </w:rPr>
        <w:t xml:space="preserve"> </w:t>
      </w:r>
      <w:r w:rsidR="00164689">
        <w:rPr>
          <w:sz w:val="24"/>
          <w:szCs w:val="24"/>
        </w:rPr>
        <w:t xml:space="preserve">in the section </w:t>
      </w:r>
      <w:r w:rsidR="007369EE">
        <w:rPr>
          <w:sz w:val="24"/>
          <w:szCs w:val="24"/>
        </w:rPr>
        <w:t>that follows the next.</w:t>
      </w:r>
    </w:p>
    <w:p w14:paraId="5F9BC5AD" w14:textId="0BA892B3" w:rsidR="00FF7EA1" w:rsidRDefault="007369EE" w:rsidP="009B3044">
      <w:pPr>
        <w:ind w:firstLine="720"/>
        <w:rPr>
          <w:sz w:val="24"/>
          <w:szCs w:val="24"/>
        </w:rPr>
      </w:pPr>
      <w:r>
        <w:rPr>
          <w:sz w:val="24"/>
          <w:szCs w:val="24"/>
        </w:rPr>
        <w:t>But there is a problem.   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3B1CC9">
        <w:rPr>
          <w:sz w:val="24"/>
          <w:szCs w:val="24"/>
        </w:rPr>
        <w:t xml:space="preserve">  We also offer a new, third, approach, which makes no presumption as to causality.</w:t>
      </w:r>
      <w:r w:rsidR="000B0630">
        <w:rPr>
          <w:sz w:val="24"/>
          <w:szCs w:val="24"/>
        </w:rPr>
        <w:br/>
      </w:r>
    </w:p>
    <w:p w14:paraId="5D108CE8" w14:textId="77777777" w:rsidR="003B1CC9" w:rsidRPr="009B3044" w:rsidRDefault="003B1CC9" w:rsidP="009B3044">
      <w:pPr>
        <w:ind w:firstLine="720"/>
        <w:rPr>
          <w:sz w:val="24"/>
          <w:szCs w:val="24"/>
        </w:rPr>
      </w:pPr>
    </w:p>
    <w:p w14:paraId="75FB5762" w14:textId="77777777" w:rsidR="000D53F1" w:rsidRPr="000D53F1" w:rsidRDefault="000D53F1" w:rsidP="000D53F1">
      <w:pPr>
        <w:pStyle w:val="ListParagraph"/>
        <w:numPr>
          <w:ilvl w:val="2"/>
          <w:numId w:val="1"/>
        </w:numPr>
        <w:rPr>
          <w:sz w:val="24"/>
          <w:szCs w:val="24"/>
        </w:rPr>
      </w:pPr>
      <w:r>
        <w:rPr>
          <w:sz w:val="24"/>
          <w:szCs w:val="24"/>
        </w:rPr>
        <w:lastRenderedPageBreak/>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r w:rsidR="00FF6D6F">
        <w:rPr>
          <w:sz w:val="24"/>
          <w:szCs w:val="24"/>
        </w:rPr>
        <w:t>vice or its elegance is considered a virtue</w:t>
      </w:r>
      <w:r>
        <w:rPr>
          <w:sz w:val="24"/>
          <w:szCs w:val="24"/>
        </w:rPr>
        <w:t xml:space="preserve">, it at least has the desirable property of making no presumption about direction of causality.  </w:t>
      </w:r>
    </w:p>
    <w:p w14:paraId="2B1FAEA6" w14:textId="77777777" w:rsidR="003E0F20" w:rsidRDefault="000D53F1" w:rsidP="003E0F20">
      <w:pPr>
        <w:ind w:firstLine="720"/>
        <w:rPr>
          <w:sz w:val="24"/>
          <w:szCs w:val="24"/>
        </w:rPr>
      </w:pPr>
      <w:r>
        <w:rPr>
          <w:sz w:val="24"/>
          <w:szCs w:val="24"/>
        </w:rPr>
        <w:t>The test is to compute for each country the correlation of the change in the foreign exchange value of the currency (in percent) with the change in reserves (as a percentage of the monetary base).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Pr>
          <w:sz w:val="24"/>
          <w:szCs w:val="24"/>
        </w:rPr>
        <w:t xml:space="preserve"> it is a systematic managed floater.</w:t>
      </w:r>
      <w:r w:rsidR="003E0F20">
        <w:rPr>
          <w:sz w:val="24"/>
          <w:szCs w:val="24"/>
        </w:rPr>
        <w:t xml:space="preserve">   At one extreme, a truly fixed exchange rate will show a correlation of zero, because the exchange rate by definition never changes.   At the other extreme, a purely floating exchange rate will again show a coefficient of zero, because reserves by definition never change.   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4"/>
      </w:r>
    </w:p>
    <w:p w14:paraId="61949FB8" w14:textId="4C7BF57C" w:rsidR="00B06815"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 xml:space="preserve">A separate question is how aggressive the management is.  Assume a constant of proportionality </w:t>
      </w:r>
      <w:r w:rsidR="00370A0F">
        <w:rPr>
          <w:sz w:val="24"/>
          <w:szCs w:val="24"/>
        </w:rPr>
        <w:t xml:space="preserve">φ </w:t>
      </w:r>
      <w:r>
        <w:rPr>
          <w:sz w:val="24"/>
          <w:szCs w:val="24"/>
        </w:rPr>
        <w:t>between percentage exchange rate changes and percentage reserve changes</w:t>
      </w:r>
      <w:r w:rsidR="00B06815">
        <w:rPr>
          <w:sz w:val="24"/>
          <w:szCs w:val="24"/>
        </w:rPr>
        <w:t>:</w:t>
      </w:r>
      <w:r>
        <w:rPr>
          <w:sz w:val="24"/>
          <w:szCs w:val="24"/>
        </w:rPr>
        <w:t xml:space="preserve">  </w:t>
      </w:r>
    </w:p>
    <w:p w14:paraId="75440E57" w14:textId="7E6C7B15" w:rsidR="00B06815" w:rsidRDefault="00370A0F" w:rsidP="0001681A">
      <w:pPr>
        <w:pStyle w:val="ListParagraph"/>
        <w:ind w:left="0" w:firstLine="720"/>
        <w:rPr>
          <w:sz w:val="24"/>
          <w:szCs w:val="24"/>
        </w:rPr>
      </w:pPr>
      <w:r>
        <w:rPr>
          <w:sz w:val="24"/>
          <w:szCs w:val="24"/>
        </w:rPr>
        <w:t xml:space="preserve">         </w:t>
      </w:r>
      <w:r w:rsidR="0001681A">
        <w:rPr>
          <w:sz w:val="24"/>
          <w:szCs w:val="24"/>
        </w:rPr>
        <w:tab/>
      </w:r>
      <w:r w:rsidR="0001681A">
        <w:rPr>
          <w:sz w:val="24"/>
          <w:szCs w:val="24"/>
        </w:rPr>
        <w:tab/>
      </w:r>
      <w:r w:rsidR="0001681A">
        <w:rPr>
          <w:sz w:val="24"/>
          <w:szCs w:val="24"/>
        </w:rPr>
        <w:tab/>
      </w:r>
      <w:r w:rsidR="0001681A">
        <w:rPr>
          <w:sz w:val="24"/>
          <w:szCs w:val="24"/>
        </w:rPr>
        <w:tab/>
      </w:r>
      <w:r>
        <w:rPr>
          <w:sz w:val="24"/>
          <w:szCs w:val="24"/>
        </w:rPr>
        <w:t xml:space="preserve"> </w:t>
      </w:r>
      <w:r w:rsidR="00B06815">
        <w:rPr>
          <w:sz w:val="24"/>
          <w:szCs w:val="24"/>
        </w:rPr>
        <w:t xml:space="preserve">Δs = φ (ΔRes)/MB, </w:t>
      </w:r>
      <w:r>
        <w:rPr>
          <w:sz w:val="24"/>
          <w:szCs w:val="24"/>
        </w:rPr>
        <w:tab/>
      </w:r>
      <w:r>
        <w:rPr>
          <w:sz w:val="24"/>
          <w:szCs w:val="24"/>
        </w:rPr>
        <w:tab/>
      </w:r>
      <w:r>
        <w:rPr>
          <w:sz w:val="24"/>
          <w:szCs w:val="24"/>
        </w:rPr>
        <w:tab/>
      </w:r>
      <w:r>
        <w:rPr>
          <w:sz w:val="24"/>
          <w:szCs w:val="24"/>
        </w:rPr>
        <w:tab/>
      </w:r>
      <w:r>
        <w:rPr>
          <w:sz w:val="24"/>
          <w:szCs w:val="24"/>
        </w:rPr>
        <w:tab/>
        <w:t>(1)</w:t>
      </w:r>
      <w:r w:rsidR="0001681A">
        <w:rPr>
          <w:sz w:val="24"/>
          <w:szCs w:val="24"/>
        </w:rPr>
        <w:br/>
      </w:r>
      <w:r w:rsidR="00B06815" w:rsidRPr="00370A0F">
        <w:rPr>
          <w:sz w:val="24"/>
          <w:szCs w:val="24"/>
        </w:rPr>
        <w:t xml:space="preserve">where </w:t>
      </w:r>
      <w:r w:rsidRPr="00370A0F">
        <w:rPr>
          <w:sz w:val="24"/>
          <w:szCs w:val="24"/>
        </w:rPr>
        <w:t>Δ</w:t>
      </w:r>
      <w:r w:rsidR="00B06815" w:rsidRPr="00370A0F">
        <w:rPr>
          <w:sz w:val="24"/>
          <w:szCs w:val="24"/>
        </w:rPr>
        <w:t>s ≡ the</w:t>
      </w:r>
      <w:r w:rsidRPr="00370A0F">
        <w:rPr>
          <w:sz w:val="24"/>
          <w:szCs w:val="24"/>
        </w:rPr>
        <w:t xml:space="preserve"> change in the log of the</w:t>
      </w:r>
      <w:r w:rsidR="00B06815" w:rsidRPr="00370A0F">
        <w:rPr>
          <w:sz w:val="24"/>
          <w:szCs w:val="24"/>
        </w:rPr>
        <w:t xml:space="preserve"> foreign exchange value of the domestic currency</w:t>
      </w:r>
      <w:r>
        <w:rPr>
          <w:sz w:val="24"/>
          <w:szCs w:val="24"/>
        </w:rPr>
        <w:t>;</w:t>
      </w:r>
      <w:r>
        <w:rPr>
          <w:sz w:val="24"/>
          <w:szCs w:val="24"/>
        </w:rPr>
        <w:br/>
      </w:r>
      <w:r w:rsidR="00B06815">
        <w:rPr>
          <w:sz w:val="24"/>
          <w:szCs w:val="24"/>
        </w:rPr>
        <w:t>ΔRes ≡</w:t>
      </w:r>
      <w:r>
        <w:rPr>
          <w:sz w:val="24"/>
          <w:szCs w:val="24"/>
        </w:rPr>
        <w:t xml:space="preserve"> the change in the central bank’s holdings of foreign exchange reserves;</w:t>
      </w:r>
      <w:r>
        <w:rPr>
          <w:sz w:val="24"/>
          <w:szCs w:val="24"/>
        </w:rPr>
        <w:br/>
      </w:r>
      <w:r w:rsidR="00B06815">
        <w:rPr>
          <w:sz w:val="24"/>
          <w:szCs w:val="24"/>
        </w:rPr>
        <w:t>MB ≡</w:t>
      </w:r>
      <w:r>
        <w:rPr>
          <w:sz w:val="24"/>
          <w:szCs w:val="24"/>
        </w:rPr>
        <w:t xml:space="preserve"> monetary base;</w:t>
      </w:r>
      <w:r w:rsidR="00B06815">
        <w:rPr>
          <w:sz w:val="24"/>
          <w:szCs w:val="24"/>
        </w:rPr>
        <w:br/>
        <w:t>φ ≡</w:t>
      </w:r>
      <w:r>
        <w:rPr>
          <w:sz w:val="24"/>
          <w:szCs w:val="24"/>
        </w:rPr>
        <w:t xml:space="preserve"> the parameter that captures how flexible is the exchange rate regime.</w:t>
      </w:r>
    </w:p>
    <w:p w14:paraId="797BF0F7" w14:textId="27042D48" w:rsidR="003E0F20" w:rsidRPr="00BE7656" w:rsidRDefault="003E0F20" w:rsidP="00370A0F">
      <w:pPr>
        <w:pStyle w:val="ListParagraph"/>
        <w:ind w:left="0" w:firstLine="720"/>
        <w:rPr>
          <w:sz w:val="24"/>
          <w:szCs w:val="24"/>
        </w:rPr>
      </w:pPr>
      <w:r>
        <w:rPr>
          <w:sz w:val="24"/>
          <w:szCs w:val="24"/>
        </w:rPr>
        <w:t xml:space="preserve">At one extreme, if the constant </w:t>
      </w:r>
      <w:r w:rsidR="00370A0F">
        <w:rPr>
          <w:sz w:val="24"/>
          <w:szCs w:val="24"/>
        </w:rPr>
        <w:t xml:space="preserve">φ </w:t>
      </w:r>
      <w:r>
        <w:rPr>
          <w:sz w:val="24"/>
          <w:szCs w:val="24"/>
        </w:rPr>
        <w:t>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Pr>
          <w:sz w:val="24"/>
          <w:szCs w:val="24"/>
        </w:rPr>
        <w:t>becomes a float.</w:t>
      </w:r>
      <w:r w:rsidR="00FF6D6F">
        <w:rPr>
          <w:sz w:val="24"/>
          <w:szCs w:val="24"/>
        </w:rPr>
        <w:t xml:space="preserve">   In between, a finite </w:t>
      </w:r>
      <w:r w:rsidR="00370A0F">
        <w:rPr>
          <w:sz w:val="24"/>
          <w:szCs w:val="24"/>
        </w:rPr>
        <w:t xml:space="preserve">φ  </w:t>
      </w:r>
      <w:r w:rsidR="00FF6D6F">
        <w:rPr>
          <w:sz w:val="24"/>
          <w:szCs w:val="24"/>
        </w:rPr>
        <w:t>implies an intermediate degree of management, which is what we have in mind.</w:t>
      </w:r>
    </w:p>
    <w:p w14:paraId="22D82BB1" w14:textId="77777777" w:rsidR="003E0F20" w:rsidRPr="000D53F1" w:rsidRDefault="00FF6D6F" w:rsidP="000D53F1">
      <w:pPr>
        <w:ind w:firstLine="720"/>
        <w:rPr>
          <w:sz w:val="24"/>
          <w:szCs w:val="24"/>
        </w:rPr>
      </w:pPr>
      <w:r>
        <w:rPr>
          <w:sz w:val="24"/>
          <w:szCs w:val="24"/>
        </w:rPr>
        <w:t xml:space="preserve">There is one dimension on which the correlation test may lose its claim to elegance.  That is the question of what is the numeraire currency in which the exchange rate and value of foreign exchange reserves is measured.  We start by using the dollar, which will give the right answer for many countries.   </w:t>
      </w:r>
      <w:r w:rsidR="00942137">
        <w:rPr>
          <w:sz w:val="24"/>
          <w:szCs w:val="24"/>
        </w:rPr>
        <w:t>But some c</w:t>
      </w:r>
      <w:r>
        <w:rPr>
          <w:sz w:val="24"/>
          <w:szCs w:val="24"/>
        </w:rPr>
        <w:t xml:space="preserve">ountries gauge the value of their currency in terms of </w:t>
      </w:r>
      <w:r w:rsidR="00942137">
        <w:rPr>
          <w:sz w:val="24"/>
          <w:szCs w:val="24"/>
        </w:rPr>
        <w:lastRenderedPageBreak/>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62442E39" w:rsidR="000D53F1" w:rsidRDefault="00FF6D6F" w:rsidP="00FF6D6F">
      <w:pPr>
        <w:rPr>
          <w:sz w:val="24"/>
          <w:szCs w:val="24"/>
        </w:rPr>
      </w:pPr>
      <w:r>
        <w:rPr>
          <w:sz w:val="24"/>
          <w:szCs w:val="24"/>
        </w:rPr>
        <w:tab/>
        <w:t>We could address this problem with alternative approaches such as</w:t>
      </w:r>
      <w:r w:rsidR="00233249">
        <w:rPr>
          <w:sz w:val="24"/>
          <w:szCs w:val="24"/>
        </w:rPr>
        <w:t xml:space="preserve"> using the SDR as the numeraire</w:t>
      </w:r>
      <w:r>
        <w:rPr>
          <w:sz w:val="24"/>
          <w:szCs w:val="24"/>
        </w:rPr>
        <w:t xml:space="preserve"> or experimenting on a case-by-case basis.  But </w:t>
      </w:r>
      <w:r w:rsidR="00370A0F">
        <w:rPr>
          <w:sz w:val="24"/>
          <w:szCs w:val="24"/>
        </w:rPr>
        <w:t xml:space="preserve">a </w:t>
      </w:r>
      <w:r>
        <w:rPr>
          <w:sz w:val="24"/>
          <w:szCs w:val="24"/>
        </w:rPr>
        <w:t xml:space="preserve">well-specified way to estimate the </w:t>
      </w:r>
      <w:r w:rsidR="00370A0F">
        <w:rPr>
          <w:sz w:val="24"/>
          <w:szCs w:val="24"/>
        </w:rPr>
        <w:t xml:space="preserve">implicit </w:t>
      </w:r>
      <w:r>
        <w:rPr>
          <w:sz w:val="24"/>
          <w:szCs w:val="24"/>
        </w:rPr>
        <w:t xml:space="preserve">weights in a currency basket is described in the following section, so for </w:t>
      </w:r>
      <w:r w:rsidR="00370A0F">
        <w:rPr>
          <w:sz w:val="24"/>
          <w:szCs w:val="24"/>
        </w:rPr>
        <w:t>the moment</w:t>
      </w:r>
      <w:r>
        <w:rPr>
          <w:sz w:val="24"/>
          <w:szCs w:val="24"/>
        </w:rPr>
        <w:t xml:space="preserve"> we will be content with the dollar numeraire.</w:t>
      </w:r>
    </w:p>
    <w:p w14:paraId="174BA36F" w14:textId="7511CEC0" w:rsidR="00BD3BD5" w:rsidRPr="0001681A" w:rsidRDefault="00BD3BD5" w:rsidP="0001681A">
      <w:pPr>
        <w:ind w:firstLine="720"/>
        <w:rPr>
          <w:sz w:val="24"/>
          <w:szCs w:val="24"/>
        </w:rPr>
      </w:pPr>
      <w:r>
        <w:rPr>
          <w:rFonts w:eastAsiaTheme="minorEastAsia"/>
          <w:b/>
          <w:sz w:val="26"/>
          <w:szCs w:val="26"/>
        </w:rPr>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r w:rsidR="0001681A">
        <w:rPr>
          <w:rFonts w:eastAsiaTheme="minorEastAsia"/>
          <w:b/>
          <w:sz w:val="26"/>
          <w:szCs w:val="26"/>
        </w:rPr>
        <w:t xml:space="preserve">   </w:t>
      </w:r>
      <w:r w:rsidR="006D5861">
        <w:rPr>
          <w:rStyle w:val="apple-converted-space"/>
          <w:rFonts w:ascii="Arial" w:hAnsi="Arial" w:cs="Arial"/>
          <w:color w:val="222222"/>
          <w:shd w:val="clear" w:color="auto" w:fill="FFFFFF"/>
        </w:rPr>
        <w:t> </w:t>
      </w:r>
      <w:r w:rsidR="006D5861">
        <w:rPr>
          <w:rFonts w:ascii="Arial" w:hAnsi="Arial" w:cs="Arial"/>
          <w:color w:val="222222"/>
          <w:shd w:val="clear" w:color="auto" w:fill="FFFFFF"/>
        </w:rPr>
        <w:t>(Jan. 1997-Dec.2015)</w:t>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BD3BD5">
              <w:rPr>
                <w:sz w:val="16"/>
                <w:szCs w:val="16"/>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01681A">
        <w:trPr>
          <w:gridBefore w:val="3"/>
          <w:cnfStyle w:val="000000100000" w:firstRow="0" w:lastRow="0" w:firstColumn="0" w:lastColumn="0" w:oddVBand="0" w:evenVBand="0" w:oddHBand="1" w:evenHBand="0" w:firstRowFirstColumn="0" w:firstRowLastColumn="0" w:lastRowFirstColumn="0" w:lastRowLastColumn="0"/>
          <w:wBefore w:w="918" w:type="dxa"/>
          <w:trHeight w:val="603"/>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rPr>
                <w:sz w:val="24"/>
                <w:szCs w:val="24"/>
              </w:rPr>
            </w:pPr>
            <w:r>
              <w:rPr>
                <w:sz w:val="24"/>
                <w:szCs w:val="24"/>
              </w:rPr>
              <w:t>Brunei</w:t>
            </w:r>
          </w:p>
        </w:tc>
        <w:tc>
          <w:tcPr>
            <w:tcW w:w="6750" w:type="dxa"/>
            <w:gridSpan w:val="3"/>
          </w:tcPr>
          <w:p w14:paraId="34B0DC3A" w14:textId="2E5BB2BB" w:rsidR="00BD3BD5" w:rsidRPr="0001681A" w:rsidRDefault="00BD3BD5" w:rsidP="002F782A">
            <w:pPr>
              <w:cnfStyle w:val="000000100000" w:firstRow="0" w:lastRow="0" w:firstColumn="0" w:lastColumn="0" w:oddVBand="0" w:evenVBand="0" w:oddHBand="1" w:evenHBand="0" w:firstRowFirstColumn="0" w:firstRowLastColumn="0" w:lastRowFirstColumn="0" w:lastRowLastColumn="0"/>
              <w:rPr>
                <w:sz w:val="16"/>
                <w:szCs w:val="16"/>
              </w:rPr>
            </w:pPr>
            <w:r>
              <w:rPr>
                <w:sz w:val="24"/>
                <w:szCs w:val="24"/>
              </w:rPr>
              <w:t>0.0465</w:t>
            </w:r>
            <w:r w:rsidR="0001681A">
              <w:rPr>
                <w:sz w:val="24"/>
                <w:szCs w:val="24"/>
              </w:rPr>
              <w:br/>
            </w:r>
          </w:p>
        </w:tc>
      </w:tr>
      <w:tr w:rsidR="00BD3BD5" w:rsidRPr="00097A51" w14:paraId="4F5CA486" w14:textId="77777777" w:rsidTr="00AA0544">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B8061B" w:rsidRDefault="00AA0544" w:rsidP="00AA0544">
            <w:pPr>
              <w:rPr>
                <w:b w:val="0"/>
                <w:sz w:val="24"/>
                <w:szCs w:val="24"/>
              </w:rPr>
            </w:pPr>
            <w:r>
              <w:rPr>
                <w:b w:val="0"/>
                <w:sz w:val="24"/>
                <w:szCs w:val="24"/>
              </w:rPr>
              <w:t xml:space="preserve">Note: </w:t>
            </w:r>
            <w:r w:rsidR="00BD3BD5">
              <w:rPr>
                <w:b w:val="0"/>
                <w:sz w:val="24"/>
                <w:szCs w:val="24"/>
              </w:rPr>
              <w:t>s</w:t>
            </w:r>
            <w:r w:rsidR="00BD3BD5" w:rsidRPr="00B8061B">
              <w:rPr>
                <w:b w:val="0"/>
                <w:sz w:val="24"/>
                <w:szCs w:val="24"/>
              </w:rPr>
              <w:t xml:space="preserve"> is the </w:t>
            </w:r>
            <w:r w:rsidR="00BD3BD5">
              <w:rPr>
                <w:b w:val="0"/>
                <w:sz w:val="24"/>
                <w:szCs w:val="24"/>
              </w:rPr>
              <w:t xml:space="preserve">log of the </w:t>
            </w:r>
            <w:r w:rsidR="00BD3BD5" w:rsidRPr="00B8061B">
              <w:rPr>
                <w:b w:val="0"/>
                <w:sz w:val="24"/>
                <w:szCs w:val="24"/>
              </w:rPr>
              <w:t>exchange rate defined as the dollar price of the domestic currency</w:t>
            </w:r>
            <w:r w:rsidR="00BD3BD5">
              <w:rPr>
                <w:b w:val="0"/>
                <w:sz w:val="24"/>
                <w:szCs w:val="24"/>
              </w:rPr>
              <w:t>.</w:t>
            </w:r>
            <w:r w:rsidR="00BD3BD5" w:rsidRPr="00B8061B">
              <w:rPr>
                <w:b w:val="0"/>
                <w:sz w:val="24"/>
                <w:szCs w:val="24"/>
              </w:rPr>
              <w:t xml:space="preserve"> </w:t>
            </w:r>
          </w:p>
        </w:tc>
      </w:tr>
    </w:tbl>
    <w:p w14:paraId="30207CC0" w14:textId="77777777" w:rsidR="00BD3BD5" w:rsidRPr="00097A51" w:rsidRDefault="00BD3BD5" w:rsidP="00BD3BD5">
      <w:pPr>
        <w:rPr>
          <w:sz w:val="24"/>
          <w:szCs w:val="24"/>
        </w:rPr>
      </w:pPr>
    </w:p>
    <w:p w14:paraId="695EA3F2" w14:textId="49909C7B" w:rsidR="00B91C0E" w:rsidRPr="008B7BCD" w:rsidRDefault="006B4EC3" w:rsidP="008B7BCD">
      <w:pPr>
        <w:pStyle w:val="ListParagraph"/>
        <w:ind w:left="0" w:firstLine="720"/>
        <w:rPr>
          <w:sz w:val="24"/>
          <w:szCs w:val="24"/>
        </w:rPr>
      </w:pPr>
      <w:r>
        <w:rPr>
          <w:sz w:val="24"/>
          <w:szCs w:val="24"/>
        </w:rPr>
        <w:t xml:space="preserve">Table 1 reports the coefficient of correlation between the percentage change in the foreign exchange value of the domestic currency and the change in foreign exchange reserves, scaled by the monetary base.   The countries with the highest correlation, strongly </w:t>
      </w:r>
      <w:r w:rsidR="00370A0F">
        <w:rPr>
          <w:sz w:val="24"/>
          <w:szCs w:val="24"/>
        </w:rPr>
        <w:t xml:space="preserve">suggesting </w:t>
      </w:r>
      <w:r>
        <w:rPr>
          <w:sz w:val="24"/>
          <w:szCs w:val="24"/>
        </w:rPr>
        <w:t>systematic management of their floating currencies, are Singapore</w:t>
      </w:r>
      <w:r w:rsidR="00370A0F">
        <w:rPr>
          <w:sz w:val="24"/>
          <w:szCs w:val="24"/>
        </w:rPr>
        <w:t xml:space="preserve">, Korea </w:t>
      </w:r>
      <w:r>
        <w:rPr>
          <w:sz w:val="24"/>
          <w:szCs w:val="24"/>
        </w:rPr>
        <w:t>and India.    Others that are also above a threshold of 0.25</w:t>
      </w:r>
      <w:r w:rsidR="008B7BCD">
        <w:rPr>
          <w:sz w:val="24"/>
          <w:szCs w:val="24"/>
        </w:rPr>
        <w:t xml:space="preserve">, and which are thereby also judged to have systematically managed </w:t>
      </w:r>
      <w:r w:rsidR="00370A0F">
        <w:rPr>
          <w:sz w:val="24"/>
          <w:szCs w:val="24"/>
        </w:rPr>
        <w:t>float</w:t>
      </w:r>
      <w:r w:rsidR="004C7BE5">
        <w:rPr>
          <w:sz w:val="24"/>
          <w:szCs w:val="24"/>
        </w:rPr>
        <w:t>s</w:t>
      </w:r>
      <w:r w:rsidR="008B7BCD">
        <w:rPr>
          <w:sz w:val="24"/>
          <w:szCs w:val="24"/>
        </w:rPr>
        <w:t>,</w:t>
      </w:r>
      <w:r>
        <w:rPr>
          <w:sz w:val="24"/>
          <w:szCs w:val="24"/>
        </w:rPr>
        <w:t xml:space="preserve"> are Malaysia, Philippines, Thailand, Turkey, South Africa, Peru and Russia.  As expected, countries known to have firm pegs have coefficients well below the threshold, close to or equal to zero: Hong Kong, Kuwait, Saudi Arabia, Bahrain, Qatar, the United Arab Emirates, and Brunei.   Also below the threshold are </w:t>
      </w:r>
      <w:r w:rsidR="008B7BCD">
        <w:rPr>
          <w:sz w:val="24"/>
          <w:szCs w:val="24"/>
        </w:rPr>
        <w:t>countries that are thought to float freely: Australia, Canada, Chile, and New Zealand.</w:t>
      </w:r>
    </w:p>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4FE7E78F"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t xml:space="preserve">was </w:t>
      </w:r>
      <w:r>
        <w:rPr>
          <w:sz w:val="24"/>
          <w:szCs w:val="24"/>
        </w:rPr>
        <w:t xml:space="preserve">that the dollar was still </w:t>
      </w:r>
      <w:r w:rsidR="000B6266">
        <w:rPr>
          <w:sz w:val="24"/>
          <w:szCs w:val="24"/>
        </w:rPr>
        <w:t xml:space="preserve">by far </w:t>
      </w:r>
      <w:r>
        <w:rPr>
          <w:sz w:val="24"/>
          <w:szCs w:val="24"/>
        </w:rPr>
        <w:t>the dominant currency</w:t>
      </w:r>
      <w:r w:rsidR="00370A0F">
        <w:rPr>
          <w:sz w:val="24"/>
          <w:szCs w:val="24"/>
        </w:rPr>
        <w:t xml:space="preserve"> in most cases</w:t>
      </w:r>
      <w:r w:rsidRPr="004B4D54">
        <w:rPr>
          <w:sz w:val="24"/>
          <w:szCs w:val="24"/>
        </w:rPr>
        <w:t>.</w:t>
      </w:r>
      <w:r>
        <w:rPr>
          <w:rStyle w:val="FootnoteReference"/>
          <w:sz w:val="24"/>
          <w:szCs w:val="24"/>
        </w:rPr>
        <w:footnoteReference w:id="25"/>
      </w:r>
      <w:r>
        <w:rPr>
          <w:sz w:val="24"/>
          <w:szCs w:val="24"/>
        </w:rPr>
        <w:t xml:space="preserve"> </w:t>
      </w:r>
      <w:r w:rsidR="00D74DF7">
        <w:rPr>
          <w:sz w:val="24"/>
          <w:szCs w:val="24"/>
        </w:rPr>
        <w:t xml:space="preserve">  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1.0 </w:t>
      </w:r>
      <w:r w:rsidR="00800572">
        <w:rPr>
          <w:sz w:val="24"/>
          <w:szCs w:val="24"/>
        </w:rPr>
        <w:t>.</w:t>
      </w:r>
      <w:r w:rsidR="00D74DF7">
        <w:rPr>
          <w:sz w:val="24"/>
          <w:szCs w:val="24"/>
        </w:rPr>
        <w:t xml:space="preserve"> But few countries in Asia or elsewhere claim to peg to a baske</w:t>
      </w:r>
      <w:r w:rsidR="00764DF6">
        <w:rPr>
          <w:sz w:val="24"/>
          <w:szCs w:val="24"/>
        </w:rPr>
        <w:t>t and fewer still actually follow through de facto</w:t>
      </w:r>
      <w:r w:rsidR="00D74DF7">
        <w:rPr>
          <w:sz w:val="24"/>
          <w:szCs w:val="24"/>
        </w:rPr>
        <w:t>.  At most, a regression of the local currency value against other major currencies tells us the weights in a loose anchor around which the exchange rate is allowed to vary.</w:t>
      </w:r>
    </w:p>
    <w:p w14:paraId="4CF78073" w14:textId="3B0B1C86" w:rsidR="00370A0F" w:rsidRPr="00E21FC0" w:rsidRDefault="004B4D54" w:rsidP="00E21FC0">
      <w:pPr>
        <w:ind w:firstLine="720"/>
      </w:pPr>
      <w:r w:rsidRPr="004B4D54">
        <w:rPr>
          <w:sz w:val="24"/>
          <w:szCs w:val="24"/>
        </w:rPr>
        <w:t xml:space="preserve"> Frankel and Wei (2008) </w:t>
      </w:r>
      <w:r>
        <w:rPr>
          <w:sz w:val="24"/>
          <w:szCs w:val="24"/>
        </w:rPr>
        <w:t xml:space="preserve">synthesized </w:t>
      </w:r>
      <w:r w:rsidR="00764DF6">
        <w:rPr>
          <w:sz w:val="24"/>
          <w:szCs w:val="24"/>
        </w:rPr>
        <w:t xml:space="preserve">(i)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ree of systematic intervention to dampen fluctuations relative to the basket.  This was achieved by adding Exchange Market Pressure (EMP) as another right-hand side variable along with the values of the major foreign currency.</w:t>
      </w:r>
      <w:r w:rsidR="00800572">
        <w:rPr>
          <w:sz w:val="24"/>
          <w:szCs w:val="24"/>
        </w:rPr>
        <w:t xml:space="preserve">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w:t>
      </w:r>
      <w:r w:rsidR="00077A79">
        <w:rPr>
          <w:sz w:val="24"/>
          <w:szCs w:val="24"/>
        </w:rPr>
        <w:lastRenderedPageBreak/>
        <w:t>monetary base).</w:t>
      </w:r>
      <w:r w:rsidR="00077A79">
        <w:rPr>
          <w:rStyle w:val="FootnoteReference"/>
          <w:sz w:val="24"/>
          <w:szCs w:val="24"/>
        </w:rPr>
        <w:footnoteReference w:id="26"/>
      </w:r>
      <w:r w:rsidR="00077A79">
        <w:rPr>
          <w:sz w:val="24"/>
          <w:szCs w:val="24"/>
        </w:rPr>
        <w:t xml:space="preserve">  </w:t>
      </w:r>
      <w:r>
        <w:rPr>
          <w:sz w:val="24"/>
          <w:szCs w:val="24"/>
        </w:rPr>
        <w:t xml:space="preserve">If β, the coefficient on </w:t>
      </w:r>
      <w:r w:rsidRPr="004B4D54">
        <w:rPr>
          <w:i/>
          <w:sz w:val="24"/>
          <w:szCs w:val="24"/>
        </w:rPr>
        <w:t>EMP</w:t>
      </w:r>
      <w:r>
        <w:rPr>
          <w:sz w:val="24"/>
          <w:szCs w:val="24"/>
        </w:rPr>
        <w:t>, is estimated to be close to zero, the regime is a peg (to the basket, whatever its component or components may be)</w:t>
      </w:r>
      <w:r w:rsidRPr="004B4D54">
        <w:rPr>
          <w:sz w:val="24"/>
          <w:szCs w:val="24"/>
        </w:rPr>
        <w:t>.</w:t>
      </w:r>
      <w:r>
        <w:rPr>
          <w:sz w:val="24"/>
          <w:szCs w:val="24"/>
        </w:rPr>
        <w:t xml:space="preserve">   If β is estimated to be close to 1, it is a pure float.  For most countries, it is in between, suggesting an int</w:t>
      </w:r>
      <w:r w:rsidR="00370A0F">
        <w:rPr>
          <w:sz w:val="24"/>
          <w:szCs w:val="24"/>
        </w:rPr>
        <w:t>ermediate exchange rate regime.</w:t>
      </w:r>
      <w:r w:rsidR="00370A0F">
        <w:rPr>
          <w:sz w:val="24"/>
          <w:szCs w:val="24"/>
        </w:rPr>
        <w:br/>
      </w:r>
      <w:r w:rsidR="00822E7F" w:rsidRPr="00822E7F">
        <w:rPr>
          <w:sz w:val="24"/>
          <w:szCs w:val="24"/>
        </w:rPr>
        <w:t xml:space="preserve"> </w:t>
      </w:r>
      <w:r w:rsidR="00822E7F" w:rsidRPr="00822E7F">
        <w:rPr>
          <w:sz w:val="24"/>
          <w:szCs w:val="24"/>
        </w:rPr>
        <w:tab/>
      </w:r>
      <w:r w:rsidR="00881181">
        <w:rPr>
          <w:sz w:val="24"/>
          <w:szCs w:val="24"/>
        </w:rPr>
        <w:tab/>
      </w:r>
      <w:r w:rsidR="00822E7F" w:rsidRPr="00822E7F">
        <w:rPr>
          <w:sz w:val="24"/>
          <w:szCs w:val="24"/>
        </w:rPr>
        <w:t xml:space="preserve"> </w:t>
      </w:r>
      <w:r w:rsidR="00822E7F">
        <w:rPr>
          <w:sz w:val="24"/>
          <w:szCs w:val="24"/>
        </w:rPr>
        <w:tab/>
      </w:r>
      <w:r w:rsidR="00822E7F">
        <w:rPr>
          <w:sz w:val="24"/>
          <w:szCs w:val="24"/>
        </w:rPr>
        <w:tab/>
      </w:r>
      <w:r w:rsidR="00822E7F" w:rsidRPr="00822E7F">
        <w:rPr>
          <w:sz w:val="24"/>
          <w:szCs w:val="24"/>
        </w:rPr>
        <w:t>Δ</w:t>
      </w:r>
      <w:r w:rsidR="00B10F2A">
        <w:rPr>
          <w:sz w:val="24"/>
          <w:szCs w:val="24"/>
        </w:rPr>
        <w:t xml:space="preserve"> </w:t>
      </w:r>
      <w:r w:rsidR="00822E7F" w:rsidRPr="00822E7F">
        <w:rPr>
          <w:sz w:val="24"/>
          <w:szCs w:val="24"/>
        </w:rPr>
        <w:t>log</w:t>
      </w:r>
      <w:r w:rsidR="00822E7F" w:rsidRPr="00822E7F">
        <w:rPr>
          <w:i/>
          <w:sz w:val="24"/>
          <w:szCs w:val="24"/>
        </w:rPr>
        <w:t xml:space="preserve"> H</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c</w:t>
      </w:r>
      <w:r w:rsidR="00822E7F"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00822E7F" w:rsidRPr="00822E7F">
        <w:rPr>
          <w:sz w:val="24"/>
          <w:szCs w:val="24"/>
        </w:rPr>
        <w:t xml:space="preserve"> Δlog</w:t>
      </w:r>
      <w:r w:rsidR="00822E7F" w:rsidRPr="00822E7F">
        <w:rPr>
          <w:i/>
          <w:sz w:val="24"/>
          <w:szCs w:val="24"/>
        </w:rPr>
        <w:t>X</w:t>
      </w:r>
      <w:r w:rsidR="00822E7F" w:rsidRPr="00822E7F">
        <w:rPr>
          <w:i/>
          <w:sz w:val="24"/>
          <w:szCs w:val="24"/>
          <w:vertAlign w:val="subscript"/>
        </w:rPr>
        <w:t>j,t</w:t>
      </w:r>
      <w:r w:rsidR="00822E7F" w:rsidRPr="00822E7F">
        <w:rPr>
          <w:sz w:val="24"/>
          <w:szCs w:val="24"/>
          <w:vertAlign w:val="subscript"/>
        </w:rPr>
        <w:t xml:space="preserve"> </w:t>
      </w:r>
      <w:r w:rsidR="00B10F2A">
        <w:rPr>
          <w:sz w:val="24"/>
          <w:szCs w:val="24"/>
        </w:rPr>
        <w:t>)</w:t>
      </w:r>
      <w:r w:rsidR="00822E7F" w:rsidRPr="00822E7F">
        <w:rPr>
          <w:sz w:val="24"/>
          <w:szCs w:val="24"/>
        </w:rPr>
        <w:t xml:space="preserve"> + β Δ</w:t>
      </w:r>
      <w:r w:rsidR="00822E7F" w:rsidRPr="00822E7F">
        <w:rPr>
          <w:i/>
          <w:sz w:val="24"/>
          <w:szCs w:val="24"/>
        </w:rPr>
        <w:t>EMP</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u</w:t>
      </w:r>
      <w:r w:rsidR="00822E7F" w:rsidRPr="00822E7F">
        <w:rPr>
          <w:i/>
          <w:sz w:val="24"/>
          <w:szCs w:val="24"/>
          <w:vertAlign w:val="subscript"/>
        </w:rPr>
        <w:t>t</w:t>
      </w:r>
      <w:r w:rsidR="00822E7F">
        <w:rPr>
          <w:vertAlign w:val="subscript"/>
        </w:rPr>
        <w:t xml:space="preserve"> </w:t>
      </w:r>
      <w:r w:rsidR="00822E7F">
        <w:t xml:space="preserve">  </w:t>
      </w:r>
      <w:r w:rsidR="00370A0F">
        <w:t xml:space="preserve">                          (2)</w:t>
      </w:r>
      <w:r w:rsidR="008B7BCD" w:rsidRPr="008B7BCD">
        <w:rPr>
          <w:sz w:val="16"/>
          <w:szCs w:val="16"/>
        </w:rPr>
        <w:br/>
      </w:r>
      <w:r w:rsidR="00822E7F" w:rsidRPr="008B7BCD">
        <w:rPr>
          <w:sz w:val="16"/>
          <w:szCs w:val="16"/>
        </w:rPr>
        <w:br/>
      </w:r>
      <w:r w:rsidR="00F555A9">
        <w:t>w</w:t>
      </w:r>
      <w:r w:rsidR="00433764">
        <w:t>here</w:t>
      </w:r>
      <w:r w:rsidR="00433764" w:rsidRPr="00433764">
        <w:rPr>
          <w:i/>
        </w:rPr>
        <w:t xml:space="preserve"> H</w:t>
      </w:r>
      <w:r w:rsidR="00433764">
        <w:t xml:space="preserve"> is the value of the home currency</w:t>
      </w:r>
      <w:r w:rsidR="00195ACA" w:rsidRPr="00195ACA">
        <w:rPr>
          <w:i/>
        </w:rPr>
        <w:t xml:space="preserve"> i</w:t>
      </w:r>
      <w:r w:rsidR="00433764">
        <w:t xml:space="preserve"> (measur</w:t>
      </w:r>
      <w:r w:rsidR="00D708BF">
        <w:t xml:space="preserve">ed in terms of a numeraire unit, in this case </w:t>
      </w:r>
      <w:r w:rsidR="00433764">
        <w:t>the SDR</w:t>
      </w:r>
      <w:r w:rsidR="00F555A9">
        <w:t>)</w:t>
      </w:r>
      <w:r w:rsidR="00433764">
        <w:t>;</w:t>
      </w:r>
      <w:r w:rsidR="00F555A9">
        <w:t xml:space="preserve"> </w:t>
      </w:r>
      <w:r w:rsidR="00433764">
        <w:t xml:space="preserve"> </w:t>
      </w:r>
      <w:r w:rsidR="008B7BCD">
        <w:t xml:space="preserve"> </w:t>
      </w:r>
      <w:r w:rsidR="00433764" w:rsidRPr="00433764">
        <w:rPr>
          <w:i/>
        </w:rPr>
        <w:t>X</w:t>
      </w:r>
      <w:r w:rsidR="00433764" w:rsidRPr="00433764">
        <w:rPr>
          <w:i/>
          <w:vertAlign w:val="subscript"/>
        </w:rPr>
        <w:t>j</w:t>
      </w:r>
      <w:r w:rsidR="00433764">
        <w:t xml:space="preserve"> is the value of the dollar, euro, yen, or other foreign currencies</w:t>
      </w:r>
      <w:r w:rsidR="00E32A55" w:rsidRPr="00E32A55">
        <w:rPr>
          <w:i/>
        </w:rPr>
        <w:t xml:space="preserve"> j</w:t>
      </w:r>
      <w:r w:rsidR="00433764">
        <w:t xml:space="preserve"> that are candidates for components of the basket, measured in terms of the same numeraire; and </w:t>
      </w:r>
      <w:r w:rsidR="001449A6" w:rsidRPr="00822E7F">
        <w:rPr>
          <w:sz w:val="24"/>
          <w:szCs w:val="24"/>
        </w:rPr>
        <w:t>Δ</w:t>
      </w:r>
      <w:r w:rsidR="00433764" w:rsidRPr="00E32A55">
        <w:rPr>
          <w:i/>
        </w:rPr>
        <w:t>EMP</w:t>
      </w:r>
      <w:r w:rsidR="00822E7F" w:rsidRPr="00822E7F">
        <w:rPr>
          <w:i/>
          <w:sz w:val="24"/>
          <w:szCs w:val="24"/>
          <w:vertAlign w:val="subscript"/>
        </w:rPr>
        <w:t xml:space="preserve"> t</w:t>
      </w:r>
      <w:r w:rsidR="00F555A9">
        <w:t xml:space="preserve"> is Exchange Market Pressure</w:t>
      </w:r>
      <w:r w:rsidR="00195ACA">
        <w:t xml:space="preserve"> </w:t>
      </w:r>
      <w:r w:rsidR="007B7DAE">
        <w:t>≡</w:t>
      </w:r>
      <w:r w:rsidR="00195ACA">
        <w:t xml:space="preserve"> Δlog</w:t>
      </w:r>
      <w:r w:rsidR="00195ACA" w:rsidRPr="00822E7F">
        <w:rPr>
          <w:i/>
        </w:rPr>
        <w:t xml:space="preserve"> H</w:t>
      </w:r>
      <w:r w:rsidR="00822E7F">
        <w:rPr>
          <w:i/>
          <w:vertAlign w:val="subscript"/>
        </w:rPr>
        <w:t>t</w:t>
      </w:r>
      <w:r w:rsidR="00822E7F">
        <w:rPr>
          <w:vertAlign w:val="subscript"/>
        </w:rPr>
        <w:t xml:space="preserve"> </w:t>
      </w:r>
      <w:r w:rsidR="00195ACA">
        <w:t xml:space="preserve"> </w:t>
      </w:r>
      <w:r w:rsidR="00822E7F">
        <w:t>+ (Δ</w:t>
      </w:r>
      <w:r w:rsidR="00822E7F" w:rsidRPr="00822E7F">
        <w:rPr>
          <w:i/>
        </w:rPr>
        <w:t>Res</w:t>
      </w:r>
      <w:r w:rsidR="00822E7F">
        <w:t>)/</w:t>
      </w:r>
      <w:r w:rsidR="00822E7F" w:rsidRPr="00822E7F">
        <w:rPr>
          <w:i/>
        </w:rPr>
        <w:t xml:space="preserve">MB </w:t>
      </w:r>
      <w:r w:rsidR="00822E7F" w:rsidRPr="00822E7F">
        <w:rPr>
          <w:vertAlign w:val="subscript"/>
        </w:rPr>
        <w:t>t</w:t>
      </w:r>
      <w:r w:rsidR="00822E7F">
        <w:t xml:space="preserve"> </w:t>
      </w:r>
      <w:r w:rsidR="00F555A9">
        <w:t>.</w:t>
      </w:r>
      <w:r w:rsidR="00433764">
        <w:t xml:space="preserve"> </w:t>
      </w:r>
      <w:r w:rsidR="00370A0F">
        <w:t xml:space="preserve">  The flexibility parameter in equation (2) is directly related to the flexibility parameter in equation (1):</w:t>
      </w:r>
      <w:r w:rsidR="00367B72">
        <w:t xml:space="preserve">  </w:t>
      </w:r>
      <w:r w:rsidR="00E21FC0">
        <w:br/>
      </w:r>
      <w:r w:rsidR="00E21FC0">
        <w:tab/>
      </w:r>
      <w:r w:rsidR="00370A0F">
        <w:tab/>
      </w:r>
      <w:r w:rsidR="00370A0F">
        <w:tab/>
      </w:r>
      <w:r w:rsidR="00E21FC0">
        <w:tab/>
      </w:r>
      <w:r w:rsidR="00E21FC0">
        <w:tab/>
      </w:r>
      <w:r w:rsidR="00E21FC0" w:rsidRPr="00822E7F">
        <w:rPr>
          <w:sz w:val="24"/>
          <w:szCs w:val="24"/>
        </w:rPr>
        <w:t>β</w:t>
      </w:r>
      <w:r w:rsidR="00E21FC0">
        <w:rPr>
          <w:sz w:val="24"/>
          <w:szCs w:val="24"/>
        </w:rPr>
        <w:t xml:space="preserve"> = φ / (1+</w:t>
      </w:r>
      <w:r w:rsidR="00E21FC0" w:rsidRPr="00E21FC0">
        <w:rPr>
          <w:sz w:val="24"/>
          <w:szCs w:val="24"/>
        </w:rPr>
        <w:t xml:space="preserve"> </w:t>
      </w:r>
      <w:r w:rsidR="00E21FC0">
        <w:rPr>
          <w:sz w:val="24"/>
          <w:szCs w:val="24"/>
        </w:rPr>
        <w:t>φ )</w:t>
      </w:r>
      <w:r w:rsidR="00881181">
        <w:rPr>
          <w:sz w:val="24"/>
          <w:szCs w:val="24"/>
        </w:rPr>
        <w:t>.</w:t>
      </w:r>
    </w:p>
    <w:p w14:paraId="51DBDB06" w14:textId="5A603A93" w:rsidR="00A2071D" w:rsidRDefault="004B4D54" w:rsidP="006D5861">
      <w:pPr>
        <w:ind w:firstLine="720"/>
        <w:rPr>
          <w:sz w:val="24"/>
          <w:szCs w:val="24"/>
        </w:rPr>
      </w:pPr>
      <w:r>
        <w:rPr>
          <w:sz w:val="24"/>
          <w:szCs w:val="24"/>
        </w:rPr>
        <w:t xml:space="preserve">Frankel and Xie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adapting the econometric technique of Bai and Perron (2003) to allow</w:t>
      </w:r>
      <w:r w:rsidR="00490FAF">
        <w:rPr>
          <w:sz w:val="24"/>
          <w:szCs w:val="24"/>
        </w:rPr>
        <w:t xml:space="preserve"> endogenous estimation </w:t>
      </w:r>
      <w:r w:rsidR="00E32A55">
        <w:rPr>
          <w:sz w:val="24"/>
          <w:szCs w:val="24"/>
        </w:rPr>
        <w:t xml:space="preserve">of structural break points, </w:t>
      </w:r>
      <w:r w:rsidR="00222C5F">
        <w:rPr>
          <w:sz w:val="24"/>
          <w:szCs w:val="24"/>
        </w:rPr>
        <w:t xml:space="preserve">so that </w:t>
      </w:r>
      <w:r w:rsidR="00F85A88">
        <w:rPr>
          <w:sz w:val="24"/>
          <w:szCs w:val="24"/>
        </w:rPr>
        <w:t xml:space="preserve">parameters could change.  </w:t>
      </w:r>
      <w:r w:rsidR="006F7AA5">
        <w:rPr>
          <w:sz w:val="24"/>
          <w:szCs w:val="24"/>
        </w:rPr>
        <w:t xml:space="preserve">Appendix </w:t>
      </w:r>
      <w:r w:rsidR="00222C5F">
        <w:rPr>
          <w:sz w:val="24"/>
          <w:szCs w:val="24"/>
        </w:rPr>
        <w:t>Tables 2 and 3 apply</w:t>
      </w:r>
      <w:r w:rsidR="009A33D3">
        <w:rPr>
          <w:sz w:val="24"/>
          <w:szCs w:val="24"/>
        </w:rPr>
        <w:t xml:space="preserve"> the technique </w:t>
      </w:r>
      <w:r w:rsidR="00A2071D">
        <w:rPr>
          <w:sz w:val="24"/>
          <w:szCs w:val="24"/>
        </w:rPr>
        <w:t xml:space="preserve">to </w:t>
      </w:r>
      <w:r w:rsidR="00222C5F">
        <w:rPr>
          <w:sz w:val="24"/>
          <w:szCs w:val="24"/>
        </w:rPr>
        <w:t>weekly data</w:t>
      </w:r>
      <w:r w:rsidR="00F85A88">
        <w:rPr>
          <w:sz w:val="24"/>
          <w:szCs w:val="24"/>
        </w:rPr>
        <w:t xml:space="preserve"> from the period 1999-2009</w:t>
      </w:r>
      <w:r w:rsidR="00222C5F">
        <w:rPr>
          <w:sz w:val="24"/>
          <w:szCs w:val="24"/>
        </w:rPr>
        <w:t xml:space="preserve"> for </w:t>
      </w:r>
      <w:r w:rsidR="00A2071D">
        <w:rPr>
          <w:sz w:val="24"/>
          <w:szCs w:val="24"/>
        </w:rPr>
        <w:t xml:space="preserve">India and Thailand, which </w:t>
      </w:r>
      <w:r w:rsidR="00222C5F">
        <w:rPr>
          <w:sz w:val="24"/>
          <w:szCs w:val="24"/>
        </w:rPr>
        <w:t>have been</w:t>
      </w:r>
      <w:r w:rsidR="00A2071D">
        <w:rPr>
          <w:sz w:val="24"/>
          <w:szCs w:val="24"/>
        </w:rPr>
        <w:t xml:space="preserve"> candidates </w:t>
      </w:r>
      <w:r w:rsidR="00222C5F">
        <w:rPr>
          <w:sz w:val="24"/>
          <w:szCs w:val="24"/>
        </w:rPr>
        <w:t xml:space="preserve">for </w:t>
      </w:r>
      <w:r w:rsidR="00A2071D">
        <w:rPr>
          <w:sz w:val="24"/>
          <w:szCs w:val="24"/>
        </w:rPr>
        <w:t xml:space="preserve">a basket-basket-crawl (BBC) at some parts of their </w:t>
      </w:r>
      <w:r w:rsidR="00222C5F">
        <w:rPr>
          <w:sz w:val="24"/>
          <w:szCs w:val="24"/>
        </w:rPr>
        <w:t xml:space="preserve">recent </w:t>
      </w:r>
      <w:r w:rsidR="00A2071D">
        <w:rPr>
          <w:sz w:val="24"/>
          <w:szCs w:val="24"/>
        </w:rPr>
        <w:t>history.</w:t>
      </w:r>
      <w:r w:rsidR="00EF4739">
        <w:rPr>
          <w:sz w:val="24"/>
          <w:szCs w:val="24"/>
        </w:rPr>
        <w:t xml:space="preserve">  The equations are estimated in rate of change form, to elim</w:t>
      </w:r>
      <w:r w:rsidR="00222C5F">
        <w:rPr>
          <w:sz w:val="24"/>
          <w:szCs w:val="24"/>
        </w:rPr>
        <w:t>inate non-stationarity</w:t>
      </w:r>
      <w:r w:rsidR="00EF4739">
        <w:rPr>
          <w:sz w:val="24"/>
          <w:szCs w:val="24"/>
        </w:rPr>
        <w:t>.</w:t>
      </w:r>
      <w:r w:rsidR="00800572">
        <w:rPr>
          <w:sz w:val="24"/>
          <w:szCs w:val="24"/>
        </w:rPr>
        <w:t xml:space="preserve">  </w:t>
      </w:r>
      <w:r w:rsidR="00EF4739">
        <w:rPr>
          <w:sz w:val="24"/>
          <w:szCs w:val="24"/>
        </w:rPr>
        <w:t xml:space="preserve"> </w:t>
      </w:r>
      <w:r w:rsidR="008560DB">
        <w:rPr>
          <w:sz w:val="24"/>
          <w:szCs w:val="24"/>
        </w:rPr>
        <w:t>Both for Thailand and for India</w:t>
      </w:r>
      <w:r w:rsidR="00EF4739">
        <w:rPr>
          <w:sz w:val="24"/>
          <w:szCs w:val="24"/>
        </w:rPr>
        <w:t xml:space="preserve"> the </w:t>
      </w:r>
      <w:r w:rsidR="00222C5F">
        <w:rPr>
          <w:sz w:val="24"/>
          <w:szCs w:val="24"/>
        </w:rPr>
        <w:t xml:space="preserve">estimate for </w:t>
      </w:r>
      <w:r w:rsidR="00222C5F" w:rsidRPr="00822E7F">
        <w:rPr>
          <w:sz w:val="24"/>
          <w:szCs w:val="24"/>
        </w:rPr>
        <w:t>β</w:t>
      </w:r>
      <w:r w:rsidR="00222C5F">
        <w:rPr>
          <w:sz w:val="24"/>
          <w:szCs w:val="24"/>
        </w:rPr>
        <w:t xml:space="preserve">, the </w:t>
      </w:r>
      <w:r w:rsidR="00EF4739">
        <w:rPr>
          <w:sz w:val="24"/>
          <w:szCs w:val="24"/>
        </w:rPr>
        <w:t>coefficient on EMP</w:t>
      </w:r>
      <w:r w:rsidR="00222C5F">
        <w:rPr>
          <w:sz w:val="24"/>
          <w:szCs w:val="24"/>
        </w:rPr>
        <w:t>,</w:t>
      </w:r>
      <w:r w:rsidR="00EF4739">
        <w:rPr>
          <w:sz w:val="24"/>
          <w:szCs w:val="24"/>
        </w:rPr>
        <w:t xml:space="preserve"> </w:t>
      </w:r>
      <w:r w:rsidR="008560DB">
        <w:rPr>
          <w:sz w:val="24"/>
          <w:szCs w:val="24"/>
        </w:rPr>
        <w:t>wa</w:t>
      </w:r>
      <w:r w:rsidR="00EF4739">
        <w:rPr>
          <w:sz w:val="24"/>
          <w:szCs w:val="24"/>
        </w:rPr>
        <w:t>s significant greater than zero but significantly less than 1, sugge</w:t>
      </w:r>
      <w:r w:rsidR="00E32A55">
        <w:rPr>
          <w:sz w:val="24"/>
          <w:szCs w:val="24"/>
        </w:rPr>
        <w:t xml:space="preserve">sting systematic </w:t>
      </w:r>
      <w:r w:rsidR="00EF4739">
        <w:rPr>
          <w:sz w:val="24"/>
          <w:szCs w:val="24"/>
        </w:rPr>
        <w:t>managed floating.   For Thailand, the weight on the dollar moved in the range .6 to .8, with the remaining weight falling on the euro and yen.  For India, the weight on the dollar went as high as .9 in the early 2000s.</w:t>
      </w:r>
    </w:p>
    <w:p w14:paraId="1FA2D6F1" w14:textId="740C1181" w:rsidR="006D5861" w:rsidRPr="006D5861" w:rsidRDefault="006D5861" w:rsidP="006D5861">
      <w:pPr>
        <w:ind w:firstLine="720"/>
        <w:rPr>
          <w:sz w:val="24"/>
          <w:szCs w:val="24"/>
        </w:rPr>
      </w:pPr>
      <w:r w:rsidRPr="006D5861">
        <w:rPr>
          <w:sz w:val="24"/>
          <w:szCs w:val="24"/>
        </w:rPr>
        <w:t xml:space="preserve">Even though we label them </w:t>
      </w:r>
      <w:r w:rsidR="00881181">
        <w:rPr>
          <w:sz w:val="24"/>
          <w:szCs w:val="24"/>
        </w:rPr>
        <w:t>“</w:t>
      </w:r>
      <w:r w:rsidRPr="006D5861">
        <w:rPr>
          <w:sz w:val="24"/>
          <w:szCs w:val="24"/>
        </w:rPr>
        <w:t>systematic</w:t>
      </w:r>
      <w:r w:rsidR="00881181">
        <w:rPr>
          <w:sz w:val="24"/>
          <w:szCs w:val="24"/>
        </w:rPr>
        <w:t xml:space="preserve">,” </w:t>
      </w:r>
      <w:r w:rsidRPr="006D5861">
        <w:rPr>
          <w:sz w:val="24"/>
          <w:szCs w:val="24"/>
        </w:rPr>
        <w:t>it is noteworthy that there are several structural breaks in the parameters.  For Thailand the flexibility parameter</w:t>
      </w:r>
      <w:r w:rsidR="00881181">
        <w:rPr>
          <w:sz w:val="24"/>
          <w:szCs w:val="24"/>
        </w:rPr>
        <w:t xml:space="preserve"> </w:t>
      </w:r>
      <w:r w:rsidR="00881181" w:rsidRPr="00822E7F">
        <w:rPr>
          <w:sz w:val="24"/>
          <w:szCs w:val="24"/>
        </w:rPr>
        <w:t>β</w:t>
      </w:r>
      <w:r w:rsidRPr="006D5861">
        <w:rPr>
          <w:sz w:val="24"/>
          <w:szCs w:val="24"/>
        </w:rPr>
        <w:t xml:space="preserve"> is significantly greater than zero and less than 1 for all four time sub-periods within 1999-2009, suggesting relatively consistent behavior.   For India, the same is true of the parameter in four out of six sub-periods, but it is insignificantly different from zero in two out of six.</w:t>
      </w:r>
    </w:p>
    <w:p w14:paraId="02B3FC9E" w14:textId="64C0394D" w:rsidR="002F0B8D" w:rsidRDefault="00F22703" w:rsidP="00F22703">
      <w:pPr>
        <w:ind w:firstLine="720"/>
        <w:rPr>
          <w:sz w:val="24"/>
          <w:szCs w:val="24"/>
        </w:rPr>
      </w:pPr>
      <w:r w:rsidRPr="00462E44">
        <w:rPr>
          <w:sz w:val="24"/>
          <w:szCs w:val="24"/>
        </w:rPr>
        <w:t>Similar estimates</w:t>
      </w:r>
      <w:r w:rsidR="006A2469">
        <w:rPr>
          <w:sz w:val="24"/>
          <w:szCs w:val="24"/>
        </w:rPr>
        <w:t xml:space="preserve"> from the period 1999-2009</w:t>
      </w:r>
      <w:r w:rsidRPr="00462E44">
        <w:rPr>
          <w:sz w:val="24"/>
          <w:szCs w:val="24"/>
        </w:rPr>
        <w:t xml:space="preserve">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2" w:history="1">
        <w:r w:rsidR="00462E44" w:rsidRPr="00462E44">
          <w:rPr>
            <w:rStyle w:val="Hyperlink"/>
            <w:rFonts w:ascii="Helvetica" w:hAnsi="Helvetica" w:cs="Helvetica"/>
            <w:color w:val="2D4E77"/>
            <w:sz w:val="21"/>
            <w:szCs w:val="21"/>
            <w:shd w:val="clear" w:color="auto" w:fill="FFFFFF"/>
          </w:rPr>
          <w:t>on-line Appendix</w:t>
        </w:r>
      </w:hyperlink>
      <w:r w:rsidRPr="00462E44">
        <w:rPr>
          <w:sz w:val="24"/>
          <w:szCs w:val="24"/>
        </w:rPr>
        <w:t>,</w:t>
      </w:r>
      <w:r w:rsidR="00462E44" w:rsidRPr="00462E44">
        <w:rPr>
          <w:sz w:val="24"/>
          <w:szCs w:val="24"/>
        </w:rPr>
        <w:t xml:space="preserve">  </w:t>
      </w:r>
      <w:r w:rsidRPr="00462E44">
        <w:rPr>
          <w:sz w:val="24"/>
          <w:szCs w:val="24"/>
        </w:rPr>
        <w:t xml:space="preserve"> with structural breaks </w:t>
      </w:r>
      <w:r w:rsidR="00881181">
        <w:rPr>
          <w:sz w:val="24"/>
          <w:szCs w:val="24"/>
        </w:rPr>
        <w:t xml:space="preserve">again </w:t>
      </w:r>
      <w:r w:rsidRPr="00462E44">
        <w:rPr>
          <w:sz w:val="24"/>
          <w:szCs w:val="24"/>
        </w:rPr>
        <w:t xml:space="preserve">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shows a managed float in </w:t>
      </w:r>
      <w:r w:rsidRPr="00462E44">
        <w:rPr>
          <w:sz w:val="24"/>
          <w:szCs w:val="24"/>
        </w:rPr>
        <w:lastRenderedPageBreak/>
        <w:t>between.   For Indonesia we cannot reject free floating in 2001-02, but the rupiah shows managed floating thereafter.  Turkey shows variable behavior dur</w:t>
      </w:r>
      <w:r w:rsidR="00881181">
        <w:rPr>
          <w:sz w:val="24"/>
          <w:szCs w:val="24"/>
        </w:rPr>
        <w:t>ing 1999-2000 but managed floating</w:t>
      </w:r>
      <w:r w:rsidRPr="00462E44">
        <w:rPr>
          <w:sz w:val="24"/>
          <w:szCs w:val="24"/>
        </w:rPr>
        <w:t xml:space="preserve"> start</w:t>
      </w:r>
      <w:r w:rsidR="00881181">
        <w:rPr>
          <w:sz w:val="24"/>
          <w:szCs w:val="24"/>
        </w:rPr>
        <w:t>s</w:t>
      </w:r>
      <w:r w:rsidRPr="00462E44">
        <w:rPr>
          <w:sz w:val="24"/>
          <w:szCs w:val="24"/>
        </w:rPr>
        <w:t xml:space="preserve"> in 2001.</w:t>
      </w:r>
    </w:p>
    <w:p w14:paraId="3D633044" w14:textId="723B6D1B" w:rsidR="006A2469" w:rsidRDefault="006A2469" w:rsidP="00F22703">
      <w:pPr>
        <w:ind w:firstLine="720"/>
        <w:rPr>
          <w:sz w:val="24"/>
          <w:szCs w:val="24"/>
        </w:rPr>
      </w:pPr>
      <w:r>
        <w:rPr>
          <w:sz w:val="24"/>
          <w:szCs w:val="24"/>
        </w:rPr>
        <w:t>Next we update the estimates to 2017, for four of the Asian currencies that are of most interest.</w:t>
      </w:r>
      <w:r w:rsidR="005A22C0">
        <w:rPr>
          <w:sz w:val="24"/>
          <w:szCs w:val="24"/>
        </w:rPr>
        <w:t xml:space="preserve">  Again, the technique allows estimation of the weights in the implicit basket that the authorities treat as the anchor or reference rate (as in Frankel and Wei, 1994), while also estimating the parameter that calibrates the degree of exchange rate flexibility relative to that basked (as in Frankel and Wei, 2008) and estimating endogenously possible structural breaks in any of these parameters (as in Frankel and Xie, 2010).</w:t>
      </w:r>
      <w:r w:rsidR="001449A6">
        <w:rPr>
          <w:sz w:val="24"/>
          <w:szCs w:val="24"/>
        </w:rPr>
        <w:t xml:space="preserve">  The data set runs from 1999 to 2017.  The exchange rate observations are daily, which requires interpolation of the components of monthly reserve data to compute the EMP variable.</w:t>
      </w:r>
    </w:p>
    <w:p w14:paraId="3B5506E8" w14:textId="77777777" w:rsidR="00140584" w:rsidRDefault="00E1279B" w:rsidP="00E1279B">
      <w:pPr>
        <w:tabs>
          <w:tab w:val="num" w:pos="720"/>
          <w:tab w:val="num" w:pos="1440"/>
        </w:tabs>
        <w:ind w:firstLine="360"/>
        <w:rPr>
          <w:sz w:val="24"/>
          <w:szCs w:val="24"/>
        </w:rPr>
      </w:pPr>
      <w:r w:rsidRPr="00E1279B">
        <w:rPr>
          <w:sz w:val="24"/>
          <w:szCs w:val="24"/>
        </w:rPr>
        <w:t>The updated results are shown in Tables 2.1-2.4.</w:t>
      </w:r>
      <w:r w:rsidRPr="00E1279B">
        <w:rPr>
          <w:rFonts w:eastAsiaTheme="minorEastAsia" w:hAnsi="Calibri"/>
          <w:color w:val="000000" w:themeColor="text1"/>
          <w:kern w:val="24"/>
          <w:sz w:val="54"/>
          <w:szCs w:val="54"/>
        </w:rPr>
        <w:t xml:space="preserve"> </w:t>
      </w:r>
      <w:r w:rsidR="00DB44D8" w:rsidRPr="00E1279B">
        <w:rPr>
          <w:sz w:val="24"/>
          <w:szCs w:val="24"/>
        </w:rPr>
        <w:t xml:space="preserve">All </w:t>
      </w:r>
      <w:r w:rsidRPr="00E1279B">
        <w:rPr>
          <w:sz w:val="24"/>
          <w:szCs w:val="24"/>
        </w:rPr>
        <w:t>four currencies</w:t>
      </w:r>
      <w:r w:rsidR="00DB44D8" w:rsidRPr="00E1279B">
        <w:rPr>
          <w:sz w:val="24"/>
          <w:szCs w:val="24"/>
        </w:rPr>
        <w:t xml:space="preserve"> qualify for systematic managed floats,</w:t>
      </w:r>
      <w:r w:rsidRPr="00E1279B">
        <w:rPr>
          <w:sz w:val="24"/>
          <w:szCs w:val="24"/>
        </w:rPr>
        <w:t xml:space="preserve"> if one overlooks the </w:t>
      </w:r>
      <w:r w:rsidR="00140584">
        <w:rPr>
          <w:sz w:val="24"/>
          <w:szCs w:val="24"/>
        </w:rPr>
        <w:t xml:space="preserve">many </w:t>
      </w:r>
      <w:r w:rsidR="00DB44D8" w:rsidRPr="00E1279B">
        <w:rPr>
          <w:sz w:val="24"/>
          <w:szCs w:val="24"/>
        </w:rPr>
        <w:t>small structural breaks</w:t>
      </w:r>
      <w:r>
        <w:rPr>
          <w:sz w:val="24"/>
          <w:szCs w:val="24"/>
        </w:rPr>
        <w:t xml:space="preserve"> in the parameters</w:t>
      </w:r>
      <w:r w:rsidR="00140584">
        <w:rPr>
          <w:sz w:val="24"/>
          <w:szCs w:val="24"/>
        </w:rPr>
        <w:t xml:space="preserve">.  (We use a .01 significance level for defining a structural break.)  </w:t>
      </w:r>
      <w:r>
        <w:rPr>
          <w:sz w:val="24"/>
          <w:szCs w:val="24"/>
        </w:rPr>
        <w:t xml:space="preserve">For </w:t>
      </w:r>
      <w:r w:rsidR="00DB44D8" w:rsidRPr="00E1279B">
        <w:rPr>
          <w:sz w:val="24"/>
          <w:szCs w:val="24"/>
        </w:rPr>
        <w:t>Singapore</w:t>
      </w:r>
      <w:r>
        <w:rPr>
          <w:sz w:val="24"/>
          <w:szCs w:val="24"/>
        </w:rPr>
        <w:t xml:space="preserve"> the f</w:t>
      </w:r>
      <w:r w:rsidR="00DB44D8" w:rsidRPr="00E1279B">
        <w:rPr>
          <w:sz w:val="24"/>
          <w:szCs w:val="24"/>
        </w:rPr>
        <w:t xml:space="preserve">lexibility </w:t>
      </w:r>
      <w:r>
        <w:rPr>
          <w:sz w:val="24"/>
          <w:szCs w:val="24"/>
        </w:rPr>
        <w:t xml:space="preserve">parameter appears </w:t>
      </w:r>
      <w:r w:rsidR="00DB44D8" w:rsidRPr="00E1279B">
        <w:rPr>
          <w:sz w:val="24"/>
          <w:szCs w:val="24"/>
        </w:rPr>
        <w:t>high</w:t>
      </w:r>
      <w:r>
        <w:rPr>
          <w:sz w:val="24"/>
          <w:szCs w:val="24"/>
        </w:rPr>
        <w:t xml:space="preserve">er during March 2013 – February 2017 than it did before, </w:t>
      </w:r>
      <w:r w:rsidR="00140584">
        <w:rPr>
          <w:sz w:val="24"/>
          <w:szCs w:val="24"/>
        </w:rPr>
        <w:t>above</w:t>
      </w:r>
      <w:r>
        <w:rPr>
          <w:sz w:val="24"/>
          <w:szCs w:val="24"/>
        </w:rPr>
        <w:t xml:space="preserve"> </w:t>
      </w:r>
      <w:r w:rsidR="00DB44D8" w:rsidRPr="00E1279B">
        <w:rPr>
          <w:sz w:val="24"/>
          <w:szCs w:val="24"/>
        </w:rPr>
        <w:t>.7.</w:t>
      </w:r>
      <w:r>
        <w:rPr>
          <w:sz w:val="24"/>
          <w:szCs w:val="24"/>
        </w:rPr>
        <w:t xml:space="preserve">  For </w:t>
      </w:r>
      <w:r w:rsidR="00DB44D8" w:rsidRPr="00E1279B">
        <w:rPr>
          <w:sz w:val="24"/>
          <w:szCs w:val="24"/>
        </w:rPr>
        <w:t>Korea</w:t>
      </w:r>
      <w:r>
        <w:rPr>
          <w:sz w:val="24"/>
          <w:szCs w:val="24"/>
        </w:rPr>
        <w:t xml:space="preserve">, the </w:t>
      </w:r>
      <w:r w:rsidR="00140584">
        <w:rPr>
          <w:sz w:val="24"/>
          <w:szCs w:val="24"/>
        </w:rPr>
        <w:t xml:space="preserve">estimated </w:t>
      </w:r>
      <w:r>
        <w:rPr>
          <w:sz w:val="24"/>
          <w:szCs w:val="24"/>
        </w:rPr>
        <w:t>f</w:t>
      </w:r>
      <w:r w:rsidR="00DB44D8" w:rsidRPr="00E1279B">
        <w:rPr>
          <w:sz w:val="24"/>
          <w:szCs w:val="24"/>
        </w:rPr>
        <w:t xml:space="preserve">lexibility parameter has </w:t>
      </w:r>
      <w:r w:rsidR="00140584">
        <w:rPr>
          <w:sz w:val="24"/>
          <w:szCs w:val="24"/>
        </w:rPr>
        <w:t>risen over time, from 0.7 to 0.9</w:t>
      </w:r>
      <w:r w:rsidR="00DB44D8" w:rsidRPr="00E1279B">
        <w:rPr>
          <w:sz w:val="24"/>
          <w:szCs w:val="24"/>
        </w:rPr>
        <w:t>.</w:t>
      </w:r>
      <w:r>
        <w:rPr>
          <w:sz w:val="24"/>
          <w:szCs w:val="24"/>
        </w:rPr>
        <w:t xml:space="preserve"> </w:t>
      </w:r>
      <w:r w:rsidR="00140584">
        <w:rPr>
          <w:sz w:val="24"/>
          <w:szCs w:val="24"/>
        </w:rPr>
        <w:t xml:space="preserve"> For India, the f</w:t>
      </w:r>
      <w:r w:rsidR="00140584" w:rsidRPr="00E1279B">
        <w:rPr>
          <w:sz w:val="24"/>
          <w:szCs w:val="24"/>
        </w:rPr>
        <w:t xml:space="preserve">lexibility parameter </w:t>
      </w:r>
      <w:r w:rsidR="00140584">
        <w:rPr>
          <w:sz w:val="24"/>
          <w:szCs w:val="24"/>
        </w:rPr>
        <w:t xml:space="preserve">appears </w:t>
      </w:r>
      <w:r w:rsidR="00140584" w:rsidRPr="00E1279B">
        <w:rPr>
          <w:sz w:val="24"/>
          <w:szCs w:val="24"/>
        </w:rPr>
        <w:t xml:space="preserve">higher during </w:t>
      </w:r>
      <w:r w:rsidR="00140584">
        <w:rPr>
          <w:sz w:val="24"/>
          <w:szCs w:val="24"/>
        </w:rPr>
        <w:t>November</w:t>
      </w:r>
      <w:r w:rsidR="00140584" w:rsidRPr="00E1279B">
        <w:rPr>
          <w:sz w:val="24"/>
          <w:szCs w:val="24"/>
        </w:rPr>
        <w:t xml:space="preserve"> 2008 – Feb</w:t>
      </w:r>
      <w:r w:rsidR="00140584">
        <w:rPr>
          <w:sz w:val="24"/>
          <w:szCs w:val="24"/>
        </w:rPr>
        <w:t>ruary</w:t>
      </w:r>
      <w:r w:rsidR="00140584" w:rsidRPr="00E1279B">
        <w:rPr>
          <w:sz w:val="24"/>
          <w:szCs w:val="24"/>
        </w:rPr>
        <w:t xml:space="preserve"> 2017</w:t>
      </w:r>
      <w:r w:rsidR="00140584">
        <w:rPr>
          <w:sz w:val="24"/>
          <w:szCs w:val="24"/>
        </w:rPr>
        <w:t xml:space="preserve"> than earlier, well above</w:t>
      </w:r>
      <w:r w:rsidR="00140584" w:rsidRPr="00E1279B">
        <w:rPr>
          <w:sz w:val="24"/>
          <w:szCs w:val="24"/>
        </w:rPr>
        <w:t xml:space="preserve"> .9.</w:t>
      </w:r>
      <w:r w:rsidR="00140584">
        <w:rPr>
          <w:sz w:val="24"/>
          <w:szCs w:val="24"/>
        </w:rPr>
        <w:t xml:space="preserve">  </w:t>
      </w:r>
      <w:r>
        <w:rPr>
          <w:sz w:val="24"/>
          <w:szCs w:val="24"/>
        </w:rPr>
        <w:t xml:space="preserve">  </w:t>
      </w:r>
    </w:p>
    <w:p w14:paraId="370A9B30" w14:textId="10FB91DC" w:rsidR="000415B4" w:rsidRDefault="00E1279B" w:rsidP="00140584">
      <w:pPr>
        <w:tabs>
          <w:tab w:val="num" w:pos="720"/>
          <w:tab w:val="num" w:pos="1440"/>
        </w:tabs>
        <w:ind w:firstLine="360"/>
        <w:rPr>
          <w:sz w:val="24"/>
          <w:szCs w:val="24"/>
        </w:rPr>
      </w:pPr>
      <w:r>
        <w:rPr>
          <w:sz w:val="24"/>
          <w:szCs w:val="24"/>
        </w:rPr>
        <w:t xml:space="preserve">For China the </w:t>
      </w:r>
      <w:r w:rsidR="00DB44D8" w:rsidRPr="00E1279B">
        <w:rPr>
          <w:sz w:val="24"/>
          <w:szCs w:val="24"/>
        </w:rPr>
        <w:t xml:space="preserve">managed float starts </w:t>
      </w:r>
      <w:r>
        <w:rPr>
          <w:sz w:val="24"/>
          <w:szCs w:val="24"/>
        </w:rPr>
        <w:t xml:space="preserve">in July 2005.  In recent years the estimated </w:t>
      </w:r>
      <w:r w:rsidR="00DB44D8" w:rsidRPr="00E1279B">
        <w:rPr>
          <w:sz w:val="24"/>
          <w:szCs w:val="24"/>
        </w:rPr>
        <w:t xml:space="preserve">weight on </w:t>
      </w:r>
      <w:r>
        <w:rPr>
          <w:sz w:val="24"/>
          <w:szCs w:val="24"/>
        </w:rPr>
        <w:t xml:space="preserve">the </w:t>
      </w:r>
      <w:r w:rsidR="00DB44D8" w:rsidRPr="00E1279B">
        <w:rPr>
          <w:sz w:val="24"/>
          <w:szCs w:val="24"/>
        </w:rPr>
        <w:t>dollar has declined from 0.9 to 0.5.</w:t>
      </w:r>
      <w:r>
        <w:rPr>
          <w:sz w:val="24"/>
          <w:szCs w:val="24"/>
        </w:rPr>
        <w:t xml:space="preserve">   </w:t>
      </w:r>
      <w:r w:rsidR="00A608F2">
        <w:rPr>
          <w:sz w:val="24"/>
          <w:szCs w:val="24"/>
        </w:rPr>
        <w:t xml:space="preserve">The flexibility </w:t>
      </w:r>
      <w:r>
        <w:rPr>
          <w:sz w:val="24"/>
          <w:szCs w:val="24"/>
        </w:rPr>
        <w:t>parameter appears quite high during the period</w:t>
      </w:r>
      <w:r w:rsidR="00DB44D8" w:rsidRPr="00E1279B">
        <w:rPr>
          <w:sz w:val="24"/>
          <w:szCs w:val="24"/>
        </w:rPr>
        <w:t xml:space="preserve"> </w:t>
      </w:r>
      <w:r w:rsidR="000415B4">
        <w:rPr>
          <w:sz w:val="24"/>
          <w:szCs w:val="24"/>
        </w:rPr>
        <w:t xml:space="preserve">August </w:t>
      </w:r>
      <w:r>
        <w:rPr>
          <w:sz w:val="24"/>
          <w:szCs w:val="24"/>
        </w:rPr>
        <w:t>2010-April</w:t>
      </w:r>
      <w:r w:rsidR="00DB44D8" w:rsidRPr="00E1279B">
        <w:rPr>
          <w:sz w:val="24"/>
          <w:szCs w:val="24"/>
        </w:rPr>
        <w:t xml:space="preserve"> 2017: </w:t>
      </w:r>
      <w:r w:rsidR="00140584">
        <w:rPr>
          <w:sz w:val="24"/>
          <w:szCs w:val="24"/>
        </w:rPr>
        <w:t>above 0.9</w:t>
      </w:r>
      <w:r>
        <w:rPr>
          <w:sz w:val="24"/>
          <w:szCs w:val="24"/>
        </w:rPr>
        <w:t xml:space="preserve">.  </w:t>
      </w:r>
      <w:r w:rsidR="00140584">
        <w:rPr>
          <w:sz w:val="24"/>
          <w:szCs w:val="24"/>
        </w:rPr>
        <w:t xml:space="preserve"> </w:t>
      </w:r>
    </w:p>
    <w:p w14:paraId="6F2FFD83" w14:textId="18E72872" w:rsidR="00E1279B" w:rsidRDefault="00E1279B" w:rsidP="00140584">
      <w:pPr>
        <w:tabs>
          <w:tab w:val="num" w:pos="720"/>
          <w:tab w:val="num" w:pos="1440"/>
        </w:tabs>
        <w:ind w:firstLine="360"/>
        <w:rPr>
          <w:sz w:val="24"/>
          <w:szCs w:val="24"/>
        </w:rPr>
      </w:pPr>
      <w:r>
        <w:rPr>
          <w:sz w:val="24"/>
          <w:szCs w:val="24"/>
        </w:rPr>
        <w:t xml:space="preserve">One might suspect that this is a sign of asymmetric response </w:t>
      </w:r>
      <w:r w:rsidR="000415B4">
        <w:rPr>
          <w:sz w:val="24"/>
          <w:szCs w:val="24"/>
        </w:rPr>
        <w:t xml:space="preserve">by the Chinese authorities </w:t>
      </w:r>
      <w:r>
        <w:rPr>
          <w:sz w:val="24"/>
          <w:szCs w:val="24"/>
        </w:rPr>
        <w:t xml:space="preserve">to recent outflows and depreciation, as compared to the earlier period of inflows and appreciation.   But in fact the </w:t>
      </w:r>
      <w:r w:rsidRPr="00E1279B">
        <w:rPr>
          <w:sz w:val="24"/>
          <w:szCs w:val="24"/>
        </w:rPr>
        <w:t>parameter changes on the post-2014 downside</w:t>
      </w:r>
      <w:r>
        <w:rPr>
          <w:sz w:val="24"/>
          <w:szCs w:val="24"/>
        </w:rPr>
        <w:t xml:space="preserve"> do not particularly run in that direction</w:t>
      </w:r>
      <w:r w:rsidRPr="00E1279B">
        <w:rPr>
          <w:sz w:val="24"/>
          <w:szCs w:val="24"/>
        </w:rPr>
        <w:t>.</w:t>
      </w:r>
      <w:r w:rsidR="004211D3">
        <w:rPr>
          <w:sz w:val="24"/>
          <w:szCs w:val="24"/>
        </w:rPr>
        <w:t xml:space="preserve">  The value of the RMB in terms of dollars peaked in January 2014.  Since that date, net capital outflows have mostly been pushing in the opposite direction from the preceding 10 years.   Holdings of foreign exchange reserves by the People’s Bank of China peaked in June 2014, at $4.0 trillion, and went down by almost a trillion dollars subsequently.</w:t>
      </w:r>
    </w:p>
    <w:p w14:paraId="3A8D1190" w14:textId="77777777" w:rsidR="00A608F2" w:rsidRDefault="00A608F2" w:rsidP="00A608F2">
      <w:pPr>
        <w:tabs>
          <w:tab w:val="num" w:pos="720"/>
          <w:tab w:val="num" w:pos="1440"/>
        </w:tabs>
        <w:ind w:firstLine="360"/>
        <w:rPr>
          <w:sz w:val="24"/>
          <w:szCs w:val="24"/>
        </w:rPr>
      </w:pPr>
      <w:r>
        <w:rPr>
          <w:sz w:val="24"/>
          <w:szCs w:val="24"/>
        </w:rPr>
        <w:t xml:space="preserve">Singapore’s basket has allotted a significant weight to China’s RMB during the period since January 2008, at the expense of the US dollar.  The heavy weight on the euro and the smaller weight on the yen both remain undiminished.   </w:t>
      </w:r>
    </w:p>
    <w:p w14:paraId="1F1D767D" w14:textId="6CD5A54F" w:rsidR="00E1279B" w:rsidRDefault="00A608F2" w:rsidP="001449A6">
      <w:pPr>
        <w:tabs>
          <w:tab w:val="num" w:pos="720"/>
          <w:tab w:val="num" w:pos="1440"/>
        </w:tabs>
        <w:ind w:firstLine="360"/>
        <w:rPr>
          <w:sz w:val="24"/>
          <w:szCs w:val="24"/>
        </w:rPr>
      </w:pPr>
      <w:r>
        <w:rPr>
          <w:sz w:val="24"/>
          <w:szCs w:val="24"/>
        </w:rPr>
        <w:t>The Korean won also has put significant weight on the RMB since August 2005.  There is no sign of RMB influence for India, where the weights have been roughly steady:  0.5 on the dollar, 0.3 on the euro, and weights of 0.1 on both the Japanese yen and the British pound.</w:t>
      </w:r>
    </w:p>
    <w:p w14:paraId="4C9A50EE" w14:textId="77777777" w:rsidR="00F238D6" w:rsidRDefault="00F238D6">
      <w:pPr>
        <w:rPr>
          <w:rFonts w:cs="Times New Roman"/>
          <w:sz w:val="24"/>
          <w:szCs w:val="24"/>
        </w:rPr>
      </w:pPr>
      <w:r>
        <w:rPr>
          <w:rFonts w:cs="Times New Roman"/>
          <w:sz w:val="24"/>
          <w:szCs w:val="24"/>
        </w:rPr>
        <w:br w:type="page"/>
      </w:r>
    </w:p>
    <w:p w14:paraId="4BB0C2E0" w14:textId="6950A667" w:rsidR="00276E7F" w:rsidRPr="006F7AA5" w:rsidRDefault="00F85A88"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Table</w:t>
      </w:r>
      <w:r w:rsidR="006F7AA5" w:rsidRPr="006F7AA5">
        <w:rPr>
          <w:rFonts w:cs="Times New Roman"/>
          <w:sz w:val="24"/>
          <w:szCs w:val="24"/>
        </w:rPr>
        <w:t>s</w:t>
      </w:r>
      <w:r w:rsidRPr="006F7AA5">
        <w:rPr>
          <w:rFonts w:cs="Times New Roman"/>
          <w:sz w:val="24"/>
          <w:szCs w:val="24"/>
        </w:rPr>
        <w:t xml:space="preserve"> 2: Estimation of Implicit Weights and Flexibility Parameter, </w:t>
      </w:r>
      <w:r w:rsidRPr="006F7AA5">
        <w:rPr>
          <w:rFonts w:cs="Times New Roman"/>
          <w:sz w:val="24"/>
          <w:szCs w:val="24"/>
        </w:rPr>
        <w:br/>
        <w:t xml:space="preserve">for Four Asian Currencies, updated to 2017. </w:t>
      </w:r>
      <w:r w:rsidRPr="006F7AA5">
        <w:rPr>
          <w:rStyle w:val="FootnoteReference"/>
          <w:rFonts w:cs="Times New Roman"/>
          <w:sz w:val="24"/>
          <w:szCs w:val="24"/>
        </w:rPr>
        <w:footnoteReference w:id="27"/>
      </w:r>
      <w:r w:rsidRPr="006F7AA5">
        <w:rPr>
          <w:rFonts w:cs="Times New Roman"/>
          <w:sz w:val="24"/>
          <w:szCs w:val="24"/>
        </w:rPr>
        <w:t xml:space="preserve"> </w:t>
      </w:r>
    </w:p>
    <w:p w14:paraId="5730E2AA"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974850E"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4D6706C8" w14:textId="33FF08B2" w:rsidR="00276E7F" w:rsidRPr="00276E7F" w:rsidRDefault="00276E7F" w:rsidP="00276E7F">
      <w:pPr>
        <w:pStyle w:val="ListParagraph"/>
        <w:widowControl w:val="0"/>
        <w:numPr>
          <w:ilvl w:val="1"/>
          <w:numId w:val="13"/>
        </w:numPr>
        <w:autoSpaceDE w:val="0"/>
        <w:autoSpaceDN w:val="0"/>
        <w:adjustRightInd w:val="0"/>
        <w:spacing w:after="0" w:line="240" w:lineRule="auto"/>
        <w:jc w:val="center"/>
        <w:rPr>
          <w:rFonts w:cs="Times New Roman"/>
          <w:sz w:val="24"/>
          <w:szCs w:val="24"/>
        </w:rPr>
      </w:pPr>
      <w:r>
        <w:rPr>
          <w:rFonts w:cs="Times New Roman"/>
          <w:sz w:val="24"/>
          <w:szCs w:val="24"/>
        </w:rPr>
        <w:t xml:space="preserve">China: </w:t>
      </w:r>
      <w:r w:rsidRPr="00F16FB7">
        <w:rPr>
          <w:rFonts w:cs="Times New Roman"/>
          <w:sz w:val="24"/>
          <w:szCs w:val="24"/>
        </w:rPr>
        <w:t>RMB</w:t>
      </w:r>
      <w:r>
        <w:rPr>
          <w:rFonts w:cs="Times New Roman"/>
          <w:sz w:val="24"/>
          <w:szCs w:val="24"/>
        </w:rPr>
        <w:t>’s</w:t>
      </w:r>
      <w:r w:rsidRPr="00F16FB7">
        <w:rPr>
          <w:rFonts w:cs="Times New Roman"/>
          <w:sz w:val="24"/>
          <w:szCs w:val="24"/>
        </w:rPr>
        <w:t xml:space="preserve"> Exchange Rate Regime</w:t>
      </w:r>
    </w:p>
    <w:p w14:paraId="047BF70F"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22C1AA1B" w14:textId="1AE41FFC" w:rsidR="00276E7F" w:rsidRPr="006F7AA5" w:rsidRDefault="00276E7F" w:rsidP="00276E7F">
      <w:pPr>
        <w:widowControl w:val="0"/>
        <w:autoSpaceDE w:val="0"/>
        <w:autoSpaceDN w:val="0"/>
        <w:adjustRightInd w:val="0"/>
        <w:spacing w:after="0" w:line="240" w:lineRule="auto"/>
        <w:ind w:firstLine="720"/>
        <w:jc w:val="center"/>
        <w:rPr>
          <w:rFonts w:cs="Times New Roman"/>
          <w:sz w:val="24"/>
          <w:szCs w:val="24"/>
        </w:rPr>
      </w:pPr>
      <w:r w:rsidRPr="006F7AA5">
        <w:rPr>
          <w:rFonts w:cs="Times New Roman"/>
          <w:sz w:val="24"/>
          <w:szCs w:val="24"/>
        </w:rPr>
        <w:t>Before the</w:t>
      </w:r>
      <w:r w:rsidR="001449A6">
        <w:rPr>
          <w:rFonts w:cs="Times New Roman"/>
          <w:sz w:val="24"/>
          <w:szCs w:val="24"/>
        </w:rPr>
        <w:t xml:space="preserve"> </w:t>
      </w:r>
      <w:r w:rsidR="001449A6" w:rsidRPr="006F7AA5">
        <w:rPr>
          <w:rFonts w:cs="Times New Roman"/>
          <w:sz w:val="24"/>
          <w:szCs w:val="24"/>
        </w:rPr>
        <w:t>exchange rate reform</w:t>
      </w:r>
      <w:r w:rsidRPr="006F7AA5">
        <w:rPr>
          <w:rFonts w:cs="Times New Roman"/>
          <w:sz w:val="24"/>
          <w:szCs w:val="24"/>
        </w:rPr>
        <w:t xml:space="preserve"> </w:t>
      </w:r>
      <w:r w:rsidR="001449A6">
        <w:rPr>
          <w:rFonts w:cs="Times New Roman"/>
          <w:sz w:val="24"/>
          <w:szCs w:val="24"/>
        </w:rPr>
        <w:t xml:space="preserve">of </w:t>
      </w:r>
      <w:r w:rsidRPr="006F7AA5">
        <w:rPr>
          <w:rFonts w:cs="Times New Roman"/>
          <w:sz w:val="24"/>
          <w:szCs w:val="24"/>
        </w:rPr>
        <w:t>July 21, 2005</w:t>
      </w:r>
      <w:r>
        <w:rPr>
          <w:rFonts w:cs="Times New Roman"/>
          <w:sz w:val="24"/>
          <w:szCs w:val="24"/>
        </w:rPr>
        <w:t>,</w:t>
      </w:r>
      <w:r w:rsidRPr="006F7AA5">
        <w:rPr>
          <w:rFonts w:cs="Times New Roman"/>
          <w:sz w:val="24"/>
          <w:szCs w:val="24"/>
        </w:rPr>
        <w:t xml:space="preserve"> </w:t>
      </w:r>
    </w:p>
    <w:p w14:paraId="7AA7955D"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A19FC89" w14:textId="7D6705F4"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M1:</w:t>
      </w:r>
      <w:r w:rsidR="00276E7F">
        <w:rPr>
          <w:rFonts w:cs="Times New Roman"/>
          <w:sz w:val="24"/>
          <w:szCs w:val="24"/>
        </w:rPr>
        <w:t>1999</w:t>
      </w:r>
      <w:r w:rsidR="00276E7F" w:rsidRPr="006F7AA5">
        <w:rPr>
          <w:rFonts w:cs="Times New Roman"/>
          <w:sz w:val="24"/>
          <w:szCs w:val="24"/>
        </w:rPr>
        <w:t>-M6:2005</w:t>
      </w: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276E7F" w:rsidRPr="006F7AA5" w14:paraId="1AA784F8" w14:textId="77777777" w:rsidTr="000415B4">
        <w:trPr>
          <w:jc w:val="center"/>
        </w:trPr>
        <w:tc>
          <w:tcPr>
            <w:tcW w:w="1947" w:type="dxa"/>
            <w:tcBorders>
              <w:top w:val="single" w:sz="6" w:space="0" w:color="auto"/>
              <w:left w:val="nil"/>
              <w:bottom w:val="nil"/>
              <w:right w:val="nil"/>
            </w:tcBorders>
          </w:tcPr>
          <w:p w14:paraId="21F9CF0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0788801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276E7F" w:rsidRPr="006F7AA5" w14:paraId="1548DC9A" w14:textId="77777777" w:rsidTr="000415B4">
        <w:trPr>
          <w:jc w:val="center"/>
        </w:trPr>
        <w:tc>
          <w:tcPr>
            <w:tcW w:w="1947" w:type="dxa"/>
            <w:tcBorders>
              <w:top w:val="nil"/>
              <w:left w:val="nil"/>
              <w:bottom w:val="single" w:sz="6" w:space="0" w:color="auto"/>
              <w:right w:val="nil"/>
            </w:tcBorders>
          </w:tcPr>
          <w:p w14:paraId="27A4ECEC"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7D21D081" w14:textId="7C9B498E" w:rsidR="00276E7F" w:rsidRPr="006F7AA5" w:rsidRDefault="00276E7F" w:rsidP="001449A6">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1/1/</w:t>
            </w:r>
            <w:r w:rsidR="001449A6">
              <w:rPr>
                <w:rFonts w:cs="Times New Roman"/>
                <w:sz w:val="24"/>
                <w:szCs w:val="24"/>
              </w:rPr>
              <w:t>1999</w:t>
            </w:r>
            <w:r w:rsidRPr="006F7AA5">
              <w:rPr>
                <w:rFonts w:cs="Times New Roman"/>
                <w:sz w:val="24"/>
                <w:szCs w:val="24"/>
              </w:rPr>
              <w:t>-</w:t>
            </w:r>
            <w:r>
              <w:rPr>
                <w:rFonts w:cs="Times New Roman"/>
                <w:sz w:val="24"/>
                <w:szCs w:val="24"/>
              </w:rPr>
              <w:t>7</w:t>
            </w:r>
            <w:r w:rsidRPr="006F7AA5">
              <w:rPr>
                <w:rFonts w:cs="Times New Roman"/>
                <w:sz w:val="24"/>
                <w:szCs w:val="24"/>
              </w:rPr>
              <w:t>/</w:t>
            </w:r>
            <w:r>
              <w:rPr>
                <w:rFonts w:cs="Times New Roman"/>
                <w:sz w:val="24"/>
                <w:szCs w:val="24"/>
              </w:rPr>
              <w:t>2</w:t>
            </w:r>
            <w:r w:rsidRPr="006F7AA5">
              <w:rPr>
                <w:rFonts w:cs="Times New Roman"/>
                <w:sz w:val="24"/>
                <w:szCs w:val="24"/>
              </w:rPr>
              <w:t>0/2005</w:t>
            </w:r>
          </w:p>
        </w:tc>
      </w:tr>
      <w:tr w:rsidR="00276E7F" w:rsidRPr="006F7AA5" w14:paraId="346F69CD" w14:textId="77777777" w:rsidTr="000415B4">
        <w:trPr>
          <w:jc w:val="center"/>
        </w:trPr>
        <w:tc>
          <w:tcPr>
            <w:tcW w:w="1947" w:type="dxa"/>
            <w:tcBorders>
              <w:top w:val="nil"/>
              <w:left w:val="nil"/>
              <w:bottom w:val="nil"/>
              <w:right w:val="nil"/>
            </w:tcBorders>
          </w:tcPr>
          <w:p w14:paraId="2743BD9D"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DF651"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32CE5528" w14:textId="77777777" w:rsidTr="000415B4">
        <w:trPr>
          <w:jc w:val="center"/>
        </w:trPr>
        <w:tc>
          <w:tcPr>
            <w:tcW w:w="1947" w:type="dxa"/>
            <w:tcBorders>
              <w:top w:val="nil"/>
              <w:left w:val="nil"/>
              <w:bottom w:val="nil"/>
              <w:right w:val="nil"/>
            </w:tcBorders>
          </w:tcPr>
          <w:p w14:paraId="313AB85D" w14:textId="28FD42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nil"/>
              <w:right w:val="nil"/>
            </w:tcBorders>
          </w:tcPr>
          <w:p w14:paraId="34BF87E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w:t>
            </w:r>
            <w:r w:rsidRPr="006F7AA5">
              <w:rPr>
                <w:rFonts w:cs="Times New Roman"/>
                <w:sz w:val="24"/>
                <w:szCs w:val="24"/>
              </w:rPr>
              <w:t>.</w:t>
            </w:r>
            <w:r>
              <w:rPr>
                <w:rFonts w:cs="Times New Roman"/>
                <w:sz w:val="24"/>
                <w:szCs w:val="24"/>
              </w:rPr>
              <w:t>999</w:t>
            </w:r>
            <w:r w:rsidRPr="006F7AA5">
              <w:rPr>
                <w:rFonts w:cs="Times New Roman"/>
                <w:sz w:val="24"/>
                <w:szCs w:val="24"/>
              </w:rPr>
              <w:t>***</w:t>
            </w:r>
          </w:p>
        </w:tc>
      </w:tr>
      <w:tr w:rsidR="00276E7F" w:rsidRPr="006F7AA5" w14:paraId="6D4E12C1" w14:textId="77777777" w:rsidTr="000415B4">
        <w:trPr>
          <w:jc w:val="center"/>
        </w:trPr>
        <w:tc>
          <w:tcPr>
            <w:tcW w:w="1947" w:type="dxa"/>
            <w:tcBorders>
              <w:top w:val="nil"/>
              <w:left w:val="nil"/>
              <w:bottom w:val="nil"/>
              <w:right w:val="nil"/>
            </w:tcBorders>
          </w:tcPr>
          <w:p w14:paraId="30A5B301"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FD0EE2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2E8AFEC7" w14:textId="77777777" w:rsidTr="000415B4">
        <w:trPr>
          <w:jc w:val="center"/>
        </w:trPr>
        <w:tc>
          <w:tcPr>
            <w:tcW w:w="1947" w:type="dxa"/>
            <w:tcBorders>
              <w:top w:val="nil"/>
              <w:left w:val="nil"/>
              <w:bottom w:val="nil"/>
              <w:right w:val="nil"/>
            </w:tcBorders>
          </w:tcPr>
          <w:p w14:paraId="67327138"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152E5BF8"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w:t>
            </w:r>
            <w:r w:rsidRPr="006F7AA5">
              <w:rPr>
                <w:rFonts w:cs="Times New Roman"/>
                <w:sz w:val="24"/>
                <w:szCs w:val="24"/>
              </w:rPr>
              <w:t>0.000</w:t>
            </w:r>
          </w:p>
        </w:tc>
      </w:tr>
      <w:tr w:rsidR="00276E7F" w:rsidRPr="006F7AA5" w14:paraId="3D7C0BB9" w14:textId="77777777" w:rsidTr="000415B4">
        <w:trPr>
          <w:jc w:val="center"/>
        </w:trPr>
        <w:tc>
          <w:tcPr>
            <w:tcW w:w="1947" w:type="dxa"/>
            <w:tcBorders>
              <w:top w:val="nil"/>
              <w:left w:val="nil"/>
              <w:bottom w:val="nil"/>
              <w:right w:val="nil"/>
            </w:tcBorders>
          </w:tcPr>
          <w:p w14:paraId="255CEF4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95498E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1A6D91EE" w14:textId="77777777" w:rsidTr="000415B4">
        <w:trPr>
          <w:jc w:val="center"/>
        </w:trPr>
        <w:tc>
          <w:tcPr>
            <w:tcW w:w="1947" w:type="dxa"/>
            <w:tcBorders>
              <w:top w:val="nil"/>
              <w:left w:val="nil"/>
              <w:bottom w:val="nil"/>
              <w:right w:val="nil"/>
            </w:tcBorders>
          </w:tcPr>
          <w:p w14:paraId="5ADA9EA2" w14:textId="5986D050" w:rsidR="00276E7F" w:rsidRPr="006F7AA5" w:rsidRDefault="00276E7F" w:rsidP="00140584">
            <w:pPr>
              <w:widowControl w:val="0"/>
              <w:autoSpaceDE w:val="0"/>
              <w:autoSpaceDN w:val="0"/>
              <w:adjustRightInd w:val="0"/>
              <w:spacing w:after="0" w:line="240" w:lineRule="auto"/>
              <w:rPr>
                <w:rFonts w:cs="Times New Roman"/>
                <w:sz w:val="24"/>
                <w:szCs w:val="24"/>
              </w:rPr>
            </w:pPr>
            <w:r w:rsidRPr="006F7AA5">
              <w:rPr>
                <w:rFonts w:cs="Times New Roman"/>
                <w:sz w:val="24"/>
                <w:szCs w:val="24"/>
              </w:rPr>
              <w:t>Jp</w:t>
            </w:r>
            <w:r w:rsidR="00140584">
              <w:rPr>
                <w:rFonts w:cs="Times New Roman"/>
                <w:sz w:val="24"/>
                <w:szCs w:val="24"/>
              </w:rPr>
              <w:t>n Y</w:t>
            </w:r>
            <w:r w:rsidRPr="006F7AA5">
              <w:rPr>
                <w:rFonts w:cs="Times New Roman"/>
                <w:sz w:val="24"/>
                <w:szCs w:val="24"/>
              </w:rPr>
              <w:t xml:space="preserve"> </w:t>
            </w:r>
          </w:p>
        </w:tc>
        <w:tc>
          <w:tcPr>
            <w:tcW w:w="2736" w:type="dxa"/>
            <w:tcBorders>
              <w:top w:val="nil"/>
              <w:left w:val="nil"/>
              <w:bottom w:val="nil"/>
              <w:right w:val="nil"/>
            </w:tcBorders>
          </w:tcPr>
          <w:p w14:paraId="1004924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5039E278" w14:textId="77777777" w:rsidTr="000415B4">
        <w:trPr>
          <w:jc w:val="center"/>
        </w:trPr>
        <w:tc>
          <w:tcPr>
            <w:tcW w:w="1947" w:type="dxa"/>
            <w:tcBorders>
              <w:top w:val="nil"/>
              <w:left w:val="nil"/>
              <w:bottom w:val="nil"/>
              <w:right w:val="nil"/>
            </w:tcBorders>
          </w:tcPr>
          <w:p w14:paraId="788417E5"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E95B47C"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2570461A" w14:textId="77777777" w:rsidTr="000415B4">
        <w:trPr>
          <w:jc w:val="center"/>
        </w:trPr>
        <w:tc>
          <w:tcPr>
            <w:tcW w:w="1947" w:type="dxa"/>
            <w:tcBorders>
              <w:top w:val="nil"/>
              <w:left w:val="nil"/>
              <w:bottom w:val="nil"/>
              <w:right w:val="nil"/>
            </w:tcBorders>
          </w:tcPr>
          <w:p w14:paraId="57B20550"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6382A13B"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1</w:t>
            </w:r>
          </w:p>
        </w:tc>
      </w:tr>
      <w:tr w:rsidR="00276E7F" w:rsidRPr="006F7AA5" w14:paraId="3A027373" w14:textId="77777777" w:rsidTr="000415B4">
        <w:trPr>
          <w:jc w:val="center"/>
        </w:trPr>
        <w:tc>
          <w:tcPr>
            <w:tcW w:w="1947" w:type="dxa"/>
            <w:tcBorders>
              <w:top w:val="nil"/>
              <w:left w:val="nil"/>
              <w:bottom w:val="nil"/>
              <w:right w:val="nil"/>
            </w:tcBorders>
          </w:tcPr>
          <w:p w14:paraId="5F3E1BF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41910"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276E7F" w:rsidRPr="006F7AA5" w14:paraId="0C11F1FC" w14:textId="77777777" w:rsidTr="000415B4">
        <w:trPr>
          <w:jc w:val="center"/>
        </w:trPr>
        <w:tc>
          <w:tcPr>
            <w:tcW w:w="1947" w:type="dxa"/>
            <w:tcBorders>
              <w:top w:val="nil"/>
              <w:left w:val="nil"/>
              <w:bottom w:val="nil"/>
              <w:right w:val="nil"/>
            </w:tcBorders>
          </w:tcPr>
          <w:p w14:paraId="0B13C757" w14:textId="77777777" w:rsidR="00276E7F" w:rsidRPr="00A608F2" w:rsidRDefault="00276E7F" w:rsidP="000415B4">
            <w:pPr>
              <w:widowControl w:val="0"/>
              <w:autoSpaceDE w:val="0"/>
              <w:autoSpaceDN w:val="0"/>
              <w:adjustRightInd w:val="0"/>
              <w:spacing w:after="0" w:line="240" w:lineRule="auto"/>
              <w:rPr>
                <w:rFonts w:cs="Times New Roman"/>
                <w:sz w:val="24"/>
                <w:szCs w:val="24"/>
              </w:rPr>
            </w:pPr>
            <w:r w:rsidRPr="00A608F2">
              <w:rPr>
                <w:rFonts w:cs="Times New Roman"/>
                <w:sz w:val="24"/>
                <w:szCs w:val="24"/>
              </w:rPr>
              <w:t>Constant</w:t>
            </w:r>
          </w:p>
        </w:tc>
        <w:tc>
          <w:tcPr>
            <w:tcW w:w="2736" w:type="dxa"/>
            <w:tcBorders>
              <w:top w:val="nil"/>
              <w:left w:val="nil"/>
              <w:bottom w:val="nil"/>
              <w:right w:val="nil"/>
            </w:tcBorders>
          </w:tcPr>
          <w:p w14:paraId="10D30FC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4B501D9" w14:textId="77777777" w:rsidTr="000415B4">
        <w:trPr>
          <w:jc w:val="center"/>
        </w:trPr>
        <w:tc>
          <w:tcPr>
            <w:tcW w:w="1947" w:type="dxa"/>
            <w:tcBorders>
              <w:top w:val="nil"/>
              <w:left w:val="nil"/>
              <w:bottom w:val="nil"/>
              <w:right w:val="nil"/>
            </w:tcBorders>
          </w:tcPr>
          <w:p w14:paraId="277D011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1A010E6"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74A7129" w14:textId="77777777" w:rsidTr="000415B4">
        <w:trPr>
          <w:jc w:val="center"/>
        </w:trPr>
        <w:tc>
          <w:tcPr>
            <w:tcW w:w="1947" w:type="dxa"/>
            <w:tcBorders>
              <w:top w:val="nil"/>
              <w:left w:val="nil"/>
              <w:bottom w:val="nil"/>
              <w:right w:val="nil"/>
            </w:tcBorders>
          </w:tcPr>
          <w:p w14:paraId="5F14C7CF"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B423DD2"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659C2617" w14:textId="77777777" w:rsidTr="000415B4">
        <w:trPr>
          <w:jc w:val="center"/>
        </w:trPr>
        <w:tc>
          <w:tcPr>
            <w:tcW w:w="1947" w:type="dxa"/>
            <w:tcBorders>
              <w:top w:val="nil"/>
              <w:left w:val="nil"/>
              <w:bottom w:val="nil"/>
              <w:right w:val="nil"/>
            </w:tcBorders>
          </w:tcPr>
          <w:p w14:paraId="7DE423DB"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p w14:paraId="34409367"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2C63A039"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r>
              <w:rPr>
                <w:rFonts w:cs="Times New Roman"/>
                <w:sz w:val="24"/>
                <w:szCs w:val="24"/>
              </w:rPr>
              <w:t>,634</w:t>
            </w:r>
          </w:p>
          <w:p w14:paraId="05068154"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1.000</w:t>
            </w:r>
          </w:p>
        </w:tc>
      </w:tr>
      <w:tr w:rsidR="00276E7F" w:rsidRPr="006F7AA5" w14:paraId="3476AC21" w14:textId="77777777" w:rsidTr="000415B4">
        <w:tblPrEx>
          <w:tblBorders>
            <w:bottom w:val="single" w:sz="6" w:space="0" w:color="auto"/>
          </w:tblBorders>
        </w:tblPrEx>
        <w:trPr>
          <w:jc w:val="center"/>
        </w:trPr>
        <w:tc>
          <w:tcPr>
            <w:tcW w:w="1947" w:type="dxa"/>
            <w:tcBorders>
              <w:top w:val="nil"/>
              <w:left w:val="nil"/>
              <w:bottom w:val="single" w:sz="6" w:space="0" w:color="auto"/>
              <w:right w:val="nil"/>
            </w:tcBorders>
          </w:tcPr>
          <w:p w14:paraId="326E3180" w14:textId="23F27EF5"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single" w:sz="6" w:space="0" w:color="auto"/>
              <w:right w:val="nil"/>
            </w:tcBorders>
          </w:tcPr>
          <w:p w14:paraId="486DB99E"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0.001</w:t>
            </w:r>
          </w:p>
        </w:tc>
      </w:tr>
    </w:tbl>
    <w:p w14:paraId="47B63DA3"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5677347"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5CBE3532"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218D498"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DA098FE"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 xml:space="preserve"> </w:t>
      </w:r>
    </w:p>
    <w:p w14:paraId="251A36F2" w14:textId="77777777" w:rsidR="00276E7F" w:rsidRDefault="00276E7F" w:rsidP="00276E7F">
      <w:pPr>
        <w:widowControl w:val="0"/>
        <w:autoSpaceDE w:val="0"/>
        <w:autoSpaceDN w:val="0"/>
        <w:adjustRightInd w:val="0"/>
        <w:spacing w:after="0" w:line="240" w:lineRule="auto"/>
        <w:jc w:val="center"/>
        <w:rPr>
          <w:rFonts w:cs="Times New Roman"/>
          <w:sz w:val="24"/>
          <w:szCs w:val="24"/>
        </w:rPr>
      </w:pPr>
    </w:p>
    <w:p w14:paraId="79BAA040" w14:textId="77777777" w:rsidR="00276E7F" w:rsidRDefault="00276E7F" w:rsidP="00276E7F">
      <w:pPr>
        <w:rPr>
          <w:rFonts w:cs="Times New Roman"/>
          <w:sz w:val="24"/>
          <w:szCs w:val="24"/>
        </w:rPr>
      </w:pPr>
      <w:r>
        <w:rPr>
          <w:rFonts w:cs="Times New Roman"/>
          <w:sz w:val="24"/>
          <w:szCs w:val="24"/>
        </w:rPr>
        <w:br w:type="page"/>
      </w:r>
    </w:p>
    <w:p w14:paraId="07A2BC40"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Identifying Break Points in Renminbi Regime</w:t>
      </w:r>
    </w:p>
    <w:p w14:paraId="091CA69D" w14:textId="15D21C46" w:rsidR="00276E7F"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M7:2005-M4:2017</w:t>
      </w:r>
    </w:p>
    <w:p w14:paraId="2B3093D4"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10116" w:type="dxa"/>
        <w:jc w:val="center"/>
        <w:tblLayout w:type="fixed"/>
        <w:tblCellMar>
          <w:left w:w="75" w:type="dxa"/>
          <w:right w:w="75" w:type="dxa"/>
        </w:tblCellMar>
        <w:tblLook w:val="0000" w:firstRow="0" w:lastRow="0" w:firstColumn="0" w:lastColumn="0" w:noHBand="0" w:noVBand="0"/>
      </w:tblPr>
      <w:tblGrid>
        <w:gridCol w:w="1564"/>
        <w:gridCol w:w="2071"/>
        <w:gridCol w:w="2011"/>
        <w:gridCol w:w="2235"/>
        <w:gridCol w:w="2235"/>
      </w:tblGrid>
      <w:tr w:rsidR="00276E7F" w:rsidRPr="000A1A85" w14:paraId="5AFFA2B0" w14:textId="77777777" w:rsidTr="000415B4">
        <w:trPr>
          <w:trHeight w:val="278"/>
          <w:jc w:val="center"/>
        </w:trPr>
        <w:tc>
          <w:tcPr>
            <w:tcW w:w="1564" w:type="dxa"/>
            <w:tcBorders>
              <w:top w:val="single" w:sz="6" w:space="0" w:color="auto"/>
              <w:left w:val="nil"/>
              <w:bottom w:val="nil"/>
              <w:right w:val="nil"/>
            </w:tcBorders>
          </w:tcPr>
          <w:p w14:paraId="01A3E7B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single" w:sz="6" w:space="0" w:color="auto"/>
              <w:left w:val="nil"/>
              <w:bottom w:val="nil"/>
              <w:right w:val="nil"/>
            </w:tcBorders>
          </w:tcPr>
          <w:p w14:paraId="07FDE83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2</w:t>
            </w:r>
            <w:r w:rsidRPr="000A1A85">
              <w:rPr>
                <w:rFonts w:cstheme="minorHAnsi"/>
                <w:sz w:val="24"/>
                <w:szCs w:val="24"/>
              </w:rPr>
              <w:t>)</w:t>
            </w:r>
          </w:p>
        </w:tc>
        <w:tc>
          <w:tcPr>
            <w:tcW w:w="2011" w:type="dxa"/>
            <w:tcBorders>
              <w:top w:val="single" w:sz="6" w:space="0" w:color="auto"/>
              <w:left w:val="nil"/>
              <w:bottom w:val="nil"/>
              <w:right w:val="nil"/>
            </w:tcBorders>
          </w:tcPr>
          <w:p w14:paraId="32C28CC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3</w:t>
            </w:r>
            <w:r w:rsidRPr="000A1A85">
              <w:rPr>
                <w:rFonts w:cstheme="minorHAnsi"/>
                <w:sz w:val="24"/>
                <w:szCs w:val="24"/>
              </w:rPr>
              <w:t>)</w:t>
            </w:r>
          </w:p>
        </w:tc>
        <w:tc>
          <w:tcPr>
            <w:tcW w:w="2235" w:type="dxa"/>
            <w:tcBorders>
              <w:top w:val="single" w:sz="6" w:space="0" w:color="auto"/>
              <w:left w:val="nil"/>
              <w:bottom w:val="nil"/>
              <w:right w:val="nil"/>
            </w:tcBorders>
          </w:tcPr>
          <w:p w14:paraId="6C9F8A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(4</w:t>
            </w:r>
            <w:r w:rsidRPr="000A1A85">
              <w:rPr>
                <w:rFonts w:cstheme="minorHAnsi"/>
                <w:sz w:val="24"/>
                <w:szCs w:val="24"/>
              </w:rPr>
              <w:t>)</w:t>
            </w:r>
          </w:p>
        </w:tc>
        <w:tc>
          <w:tcPr>
            <w:tcW w:w="2235" w:type="dxa"/>
            <w:tcBorders>
              <w:top w:val="single" w:sz="6" w:space="0" w:color="auto"/>
              <w:left w:val="nil"/>
              <w:bottom w:val="nil"/>
              <w:right w:val="nil"/>
            </w:tcBorders>
          </w:tcPr>
          <w:p w14:paraId="3F9F3D4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5</w:t>
            </w:r>
            <w:r w:rsidRPr="000A1A85">
              <w:rPr>
                <w:rFonts w:cstheme="minorHAnsi"/>
                <w:sz w:val="24"/>
                <w:szCs w:val="24"/>
              </w:rPr>
              <w:t>)</w:t>
            </w:r>
          </w:p>
        </w:tc>
      </w:tr>
      <w:tr w:rsidR="00276E7F" w:rsidRPr="000A1A85" w14:paraId="7CEBF5A8" w14:textId="77777777" w:rsidTr="000415B4">
        <w:trPr>
          <w:trHeight w:val="293"/>
          <w:jc w:val="center"/>
        </w:trPr>
        <w:tc>
          <w:tcPr>
            <w:tcW w:w="1564" w:type="dxa"/>
            <w:tcBorders>
              <w:top w:val="nil"/>
              <w:left w:val="nil"/>
              <w:bottom w:val="single" w:sz="6" w:space="0" w:color="auto"/>
              <w:right w:val="nil"/>
            </w:tcBorders>
          </w:tcPr>
          <w:p w14:paraId="1C11337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071" w:type="dxa"/>
            <w:tcBorders>
              <w:top w:val="nil"/>
              <w:left w:val="nil"/>
              <w:bottom w:val="single" w:sz="6" w:space="0" w:color="auto"/>
              <w:right w:val="nil"/>
            </w:tcBorders>
          </w:tcPr>
          <w:p w14:paraId="5AF074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7/22/2005-6/5/2007</w:t>
            </w:r>
          </w:p>
        </w:tc>
        <w:tc>
          <w:tcPr>
            <w:tcW w:w="2011" w:type="dxa"/>
            <w:tcBorders>
              <w:top w:val="nil"/>
              <w:left w:val="nil"/>
              <w:bottom w:val="single" w:sz="6" w:space="0" w:color="auto"/>
              <w:right w:val="nil"/>
            </w:tcBorders>
          </w:tcPr>
          <w:p w14:paraId="55A8F6D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6/6/2007-8/8/2008</w:t>
            </w:r>
          </w:p>
        </w:tc>
        <w:tc>
          <w:tcPr>
            <w:tcW w:w="2235" w:type="dxa"/>
            <w:tcBorders>
              <w:top w:val="nil"/>
              <w:left w:val="nil"/>
              <w:bottom w:val="single" w:sz="6" w:space="0" w:color="auto"/>
              <w:right w:val="nil"/>
            </w:tcBorders>
          </w:tcPr>
          <w:p w14:paraId="4E139C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8/11/2008-8/24/2010</w:t>
            </w:r>
          </w:p>
        </w:tc>
        <w:tc>
          <w:tcPr>
            <w:tcW w:w="2235" w:type="dxa"/>
            <w:tcBorders>
              <w:top w:val="nil"/>
              <w:left w:val="nil"/>
              <w:bottom w:val="single" w:sz="6" w:space="0" w:color="auto"/>
              <w:right w:val="nil"/>
            </w:tcBorders>
          </w:tcPr>
          <w:p w14:paraId="615E623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8/25/2010-11/4/2011</w:t>
            </w:r>
          </w:p>
        </w:tc>
      </w:tr>
      <w:tr w:rsidR="00276E7F" w:rsidRPr="000A1A85" w14:paraId="7C181DBF" w14:textId="77777777" w:rsidTr="000415B4">
        <w:trPr>
          <w:trHeight w:val="278"/>
          <w:jc w:val="center"/>
        </w:trPr>
        <w:tc>
          <w:tcPr>
            <w:tcW w:w="1564" w:type="dxa"/>
            <w:tcBorders>
              <w:top w:val="nil"/>
              <w:left w:val="nil"/>
              <w:bottom w:val="nil"/>
              <w:right w:val="nil"/>
            </w:tcBorders>
          </w:tcPr>
          <w:p w14:paraId="033C280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5D7F03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3826D11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442F18F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DDCD65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5BA28F87" w14:textId="77777777" w:rsidTr="000415B4">
        <w:trPr>
          <w:trHeight w:val="278"/>
          <w:jc w:val="center"/>
        </w:trPr>
        <w:tc>
          <w:tcPr>
            <w:tcW w:w="1564" w:type="dxa"/>
            <w:tcBorders>
              <w:top w:val="nil"/>
              <w:left w:val="nil"/>
              <w:bottom w:val="nil"/>
              <w:right w:val="nil"/>
            </w:tcBorders>
          </w:tcPr>
          <w:p w14:paraId="443A2D89" w14:textId="5A46272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r w:rsidR="00A608F2">
              <w:rPr>
                <w:rFonts w:cstheme="minorHAnsi"/>
                <w:sz w:val="24"/>
                <w:szCs w:val="24"/>
              </w:rPr>
              <w:t xml:space="preserve"> </w:t>
            </w:r>
            <w:r w:rsidRPr="000A1A85">
              <w:rPr>
                <w:rFonts w:cstheme="minorHAnsi"/>
                <w:sz w:val="24"/>
                <w:szCs w:val="24"/>
              </w:rPr>
              <w:t>$</w:t>
            </w:r>
          </w:p>
        </w:tc>
        <w:tc>
          <w:tcPr>
            <w:tcW w:w="2071" w:type="dxa"/>
            <w:tcBorders>
              <w:top w:val="nil"/>
              <w:left w:val="nil"/>
              <w:bottom w:val="nil"/>
              <w:right w:val="nil"/>
            </w:tcBorders>
          </w:tcPr>
          <w:p w14:paraId="06F1B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0.896***</w:t>
            </w:r>
          </w:p>
        </w:tc>
        <w:tc>
          <w:tcPr>
            <w:tcW w:w="2011" w:type="dxa"/>
            <w:tcBorders>
              <w:top w:val="nil"/>
              <w:left w:val="nil"/>
              <w:bottom w:val="nil"/>
              <w:right w:val="nil"/>
            </w:tcBorders>
          </w:tcPr>
          <w:p w14:paraId="014913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0.692***</w:t>
            </w:r>
          </w:p>
        </w:tc>
        <w:tc>
          <w:tcPr>
            <w:tcW w:w="2235" w:type="dxa"/>
            <w:tcBorders>
              <w:top w:val="nil"/>
              <w:left w:val="nil"/>
              <w:bottom w:val="nil"/>
              <w:right w:val="nil"/>
            </w:tcBorders>
          </w:tcPr>
          <w:p w14:paraId="6B6E15D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0.864***</w:t>
            </w:r>
          </w:p>
        </w:tc>
        <w:tc>
          <w:tcPr>
            <w:tcW w:w="2235" w:type="dxa"/>
            <w:tcBorders>
              <w:top w:val="nil"/>
              <w:left w:val="nil"/>
              <w:bottom w:val="nil"/>
              <w:right w:val="nil"/>
            </w:tcBorders>
          </w:tcPr>
          <w:p w14:paraId="7948098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0.449***</w:t>
            </w:r>
          </w:p>
        </w:tc>
      </w:tr>
      <w:tr w:rsidR="00276E7F" w:rsidRPr="000A1A85" w14:paraId="588F20D0" w14:textId="77777777" w:rsidTr="000415B4">
        <w:trPr>
          <w:trHeight w:val="293"/>
          <w:jc w:val="center"/>
        </w:trPr>
        <w:tc>
          <w:tcPr>
            <w:tcW w:w="1564" w:type="dxa"/>
            <w:tcBorders>
              <w:top w:val="nil"/>
              <w:left w:val="nil"/>
              <w:bottom w:val="nil"/>
              <w:right w:val="nil"/>
            </w:tcBorders>
          </w:tcPr>
          <w:p w14:paraId="0669284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0B3A02E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4B8E48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2C704A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6AEB1B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r>
      <w:tr w:rsidR="00276E7F" w:rsidRPr="000A1A85" w14:paraId="75965BE2" w14:textId="77777777" w:rsidTr="000415B4">
        <w:trPr>
          <w:trHeight w:val="278"/>
          <w:jc w:val="center"/>
        </w:trPr>
        <w:tc>
          <w:tcPr>
            <w:tcW w:w="1564" w:type="dxa"/>
            <w:tcBorders>
              <w:top w:val="nil"/>
              <w:left w:val="nil"/>
              <w:bottom w:val="nil"/>
              <w:right w:val="nil"/>
            </w:tcBorders>
          </w:tcPr>
          <w:p w14:paraId="05EAB03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071" w:type="dxa"/>
            <w:tcBorders>
              <w:top w:val="nil"/>
              <w:left w:val="nil"/>
              <w:bottom w:val="nil"/>
              <w:right w:val="nil"/>
            </w:tcBorders>
          </w:tcPr>
          <w:p w14:paraId="17761F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011" w:type="dxa"/>
            <w:tcBorders>
              <w:top w:val="nil"/>
              <w:left w:val="nil"/>
              <w:bottom w:val="nil"/>
              <w:right w:val="nil"/>
            </w:tcBorders>
          </w:tcPr>
          <w:p w14:paraId="29A206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0.192***</w:t>
            </w:r>
          </w:p>
        </w:tc>
        <w:tc>
          <w:tcPr>
            <w:tcW w:w="2235" w:type="dxa"/>
            <w:tcBorders>
              <w:top w:val="nil"/>
              <w:left w:val="nil"/>
              <w:bottom w:val="nil"/>
              <w:right w:val="nil"/>
            </w:tcBorders>
          </w:tcPr>
          <w:p w14:paraId="47CD0BC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0.091***</w:t>
            </w:r>
          </w:p>
        </w:tc>
        <w:tc>
          <w:tcPr>
            <w:tcW w:w="2235" w:type="dxa"/>
            <w:tcBorders>
              <w:top w:val="nil"/>
              <w:left w:val="nil"/>
              <w:bottom w:val="nil"/>
              <w:right w:val="nil"/>
            </w:tcBorders>
          </w:tcPr>
          <w:p w14:paraId="204AEDE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0.343***</w:t>
            </w:r>
          </w:p>
        </w:tc>
      </w:tr>
      <w:tr w:rsidR="00276E7F" w:rsidRPr="000A1A85" w14:paraId="6935854A" w14:textId="77777777" w:rsidTr="000415B4">
        <w:trPr>
          <w:trHeight w:val="278"/>
          <w:jc w:val="center"/>
        </w:trPr>
        <w:tc>
          <w:tcPr>
            <w:tcW w:w="1564" w:type="dxa"/>
            <w:tcBorders>
              <w:top w:val="nil"/>
              <w:left w:val="nil"/>
              <w:bottom w:val="nil"/>
              <w:right w:val="nil"/>
            </w:tcBorders>
          </w:tcPr>
          <w:p w14:paraId="244FF58C"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A8BCCD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503ED4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157CAE5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235" w:type="dxa"/>
            <w:tcBorders>
              <w:top w:val="nil"/>
              <w:left w:val="nil"/>
              <w:bottom w:val="nil"/>
              <w:right w:val="nil"/>
            </w:tcBorders>
          </w:tcPr>
          <w:p w14:paraId="6B38482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r>
      <w:tr w:rsidR="00276E7F" w:rsidRPr="000A1A85" w14:paraId="19DA1684" w14:textId="77777777" w:rsidTr="000415B4">
        <w:trPr>
          <w:trHeight w:val="293"/>
          <w:jc w:val="center"/>
        </w:trPr>
        <w:tc>
          <w:tcPr>
            <w:tcW w:w="1564" w:type="dxa"/>
            <w:tcBorders>
              <w:top w:val="nil"/>
              <w:left w:val="nil"/>
              <w:bottom w:val="nil"/>
              <w:right w:val="nil"/>
            </w:tcBorders>
          </w:tcPr>
          <w:p w14:paraId="454768D6" w14:textId="5058E71F"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w:t>
            </w:r>
            <w:r w:rsidR="00A608F2">
              <w:rPr>
                <w:rFonts w:cstheme="minorHAnsi"/>
                <w:sz w:val="24"/>
                <w:szCs w:val="24"/>
              </w:rPr>
              <w:t xml:space="preserve"> </w:t>
            </w:r>
            <w:r w:rsidRPr="000A1A85">
              <w:rPr>
                <w:rFonts w:cstheme="minorHAnsi"/>
                <w:sz w:val="24"/>
                <w:szCs w:val="24"/>
              </w:rPr>
              <w:t>Y</w:t>
            </w:r>
          </w:p>
        </w:tc>
        <w:tc>
          <w:tcPr>
            <w:tcW w:w="2071" w:type="dxa"/>
            <w:tcBorders>
              <w:top w:val="nil"/>
              <w:left w:val="nil"/>
              <w:bottom w:val="nil"/>
              <w:right w:val="nil"/>
            </w:tcBorders>
          </w:tcPr>
          <w:p w14:paraId="5F8DA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0.028***</w:t>
            </w:r>
          </w:p>
        </w:tc>
        <w:tc>
          <w:tcPr>
            <w:tcW w:w="2011" w:type="dxa"/>
            <w:tcBorders>
              <w:top w:val="nil"/>
              <w:left w:val="nil"/>
              <w:bottom w:val="nil"/>
              <w:right w:val="nil"/>
            </w:tcBorders>
          </w:tcPr>
          <w:p w14:paraId="57E7A7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235" w:type="dxa"/>
            <w:tcBorders>
              <w:top w:val="nil"/>
              <w:left w:val="nil"/>
              <w:bottom w:val="nil"/>
              <w:right w:val="nil"/>
            </w:tcBorders>
          </w:tcPr>
          <w:p w14:paraId="6D0096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0.024***</w:t>
            </w:r>
          </w:p>
        </w:tc>
        <w:tc>
          <w:tcPr>
            <w:tcW w:w="2235" w:type="dxa"/>
            <w:tcBorders>
              <w:top w:val="nil"/>
              <w:left w:val="nil"/>
              <w:bottom w:val="nil"/>
              <w:right w:val="nil"/>
            </w:tcBorders>
          </w:tcPr>
          <w:p w14:paraId="4A898C5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0.120***</w:t>
            </w:r>
          </w:p>
        </w:tc>
      </w:tr>
      <w:tr w:rsidR="00276E7F" w:rsidRPr="000A1A85" w14:paraId="749A61A3" w14:textId="77777777" w:rsidTr="000415B4">
        <w:trPr>
          <w:trHeight w:val="278"/>
          <w:jc w:val="center"/>
        </w:trPr>
        <w:tc>
          <w:tcPr>
            <w:tcW w:w="1564" w:type="dxa"/>
            <w:tcBorders>
              <w:top w:val="nil"/>
              <w:left w:val="nil"/>
              <w:bottom w:val="nil"/>
              <w:right w:val="nil"/>
            </w:tcBorders>
          </w:tcPr>
          <w:p w14:paraId="5E9E73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7FCDAC5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011" w:type="dxa"/>
            <w:tcBorders>
              <w:top w:val="nil"/>
              <w:left w:val="nil"/>
              <w:bottom w:val="nil"/>
              <w:right w:val="nil"/>
            </w:tcBorders>
          </w:tcPr>
          <w:p w14:paraId="1059147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(0.008)</w:t>
            </w:r>
          </w:p>
        </w:tc>
        <w:tc>
          <w:tcPr>
            <w:tcW w:w="2235" w:type="dxa"/>
            <w:tcBorders>
              <w:top w:val="nil"/>
              <w:left w:val="nil"/>
              <w:bottom w:val="nil"/>
              <w:right w:val="nil"/>
            </w:tcBorders>
          </w:tcPr>
          <w:p w14:paraId="44720BB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c>
          <w:tcPr>
            <w:tcW w:w="2235" w:type="dxa"/>
            <w:tcBorders>
              <w:top w:val="nil"/>
              <w:left w:val="nil"/>
              <w:bottom w:val="nil"/>
              <w:right w:val="nil"/>
            </w:tcBorders>
          </w:tcPr>
          <w:p w14:paraId="66375A9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(0.006)</w:t>
            </w:r>
          </w:p>
        </w:tc>
      </w:tr>
      <w:tr w:rsidR="00276E7F" w:rsidRPr="000A1A85" w14:paraId="461AE30D" w14:textId="77777777" w:rsidTr="000415B4">
        <w:trPr>
          <w:trHeight w:val="293"/>
          <w:jc w:val="center"/>
        </w:trPr>
        <w:tc>
          <w:tcPr>
            <w:tcW w:w="1564" w:type="dxa"/>
            <w:tcBorders>
              <w:top w:val="nil"/>
              <w:left w:val="nil"/>
              <w:bottom w:val="nil"/>
              <w:right w:val="nil"/>
            </w:tcBorders>
          </w:tcPr>
          <w:p w14:paraId="61A098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071" w:type="dxa"/>
            <w:tcBorders>
              <w:top w:val="nil"/>
              <w:left w:val="nil"/>
              <w:bottom w:val="nil"/>
              <w:right w:val="nil"/>
            </w:tcBorders>
          </w:tcPr>
          <w:p w14:paraId="69131AE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0.161***</w:t>
            </w:r>
          </w:p>
        </w:tc>
        <w:tc>
          <w:tcPr>
            <w:tcW w:w="2011" w:type="dxa"/>
            <w:tcBorders>
              <w:top w:val="nil"/>
              <w:left w:val="nil"/>
              <w:bottom w:val="nil"/>
              <w:right w:val="nil"/>
            </w:tcBorders>
          </w:tcPr>
          <w:p w14:paraId="1CFD259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0.454***</w:t>
            </w:r>
          </w:p>
        </w:tc>
        <w:tc>
          <w:tcPr>
            <w:tcW w:w="2235" w:type="dxa"/>
            <w:tcBorders>
              <w:top w:val="nil"/>
              <w:left w:val="nil"/>
              <w:bottom w:val="nil"/>
              <w:right w:val="nil"/>
            </w:tcBorders>
          </w:tcPr>
          <w:p w14:paraId="3697880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0.216***</w:t>
            </w:r>
          </w:p>
        </w:tc>
        <w:tc>
          <w:tcPr>
            <w:tcW w:w="2235" w:type="dxa"/>
            <w:tcBorders>
              <w:top w:val="nil"/>
              <w:left w:val="nil"/>
              <w:bottom w:val="nil"/>
              <w:right w:val="nil"/>
            </w:tcBorders>
          </w:tcPr>
          <w:p w14:paraId="6E4AC95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0.915***</w:t>
            </w:r>
          </w:p>
        </w:tc>
      </w:tr>
      <w:tr w:rsidR="00276E7F" w:rsidRPr="000A1A85" w14:paraId="271A932A" w14:textId="77777777" w:rsidTr="000415B4">
        <w:trPr>
          <w:trHeight w:val="278"/>
          <w:jc w:val="center"/>
        </w:trPr>
        <w:tc>
          <w:tcPr>
            <w:tcW w:w="1564" w:type="dxa"/>
            <w:tcBorders>
              <w:top w:val="nil"/>
              <w:left w:val="nil"/>
              <w:bottom w:val="nil"/>
              <w:right w:val="nil"/>
            </w:tcBorders>
          </w:tcPr>
          <w:p w14:paraId="1085387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61D450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(0.022)</w:t>
            </w:r>
          </w:p>
        </w:tc>
        <w:tc>
          <w:tcPr>
            <w:tcW w:w="2011" w:type="dxa"/>
            <w:tcBorders>
              <w:top w:val="nil"/>
              <w:left w:val="nil"/>
              <w:bottom w:val="nil"/>
              <w:right w:val="nil"/>
            </w:tcBorders>
          </w:tcPr>
          <w:p w14:paraId="2912B1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(0.039)</w:t>
            </w:r>
          </w:p>
        </w:tc>
        <w:tc>
          <w:tcPr>
            <w:tcW w:w="2235" w:type="dxa"/>
            <w:tcBorders>
              <w:top w:val="nil"/>
              <w:left w:val="nil"/>
              <w:bottom w:val="nil"/>
              <w:right w:val="nil"/>
            </w:tcBorders>
          </w:tcPr>
          <w:p w14:paraId="4D21AF6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(0.043)</w:t>
            </w:r>
          </w:p>
        </w:tc>
        <w:tc>
          <w:tcPr>
            <w:tcW w:w="2235" w:type="dxa"/>
            <w:tcBorders>
              <w:top w:val="nil"/>
              <w:left w:val="nil"/>
              <w:bottom w:val="nil"/>
              <w:right w:val="nil"/>
            </w:tcBorders>
          </w:tcPr>
          <w:p w14:paraId="2052E4A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r>
      <w:tr w:rsidR="00276E7F" w:rsidRPr="000A1A85" w14:paraId="1C904436" w14:textId="77777777" w:rsidTr="000415B4">
        <w:trPr>
          <w:trHeight w:val="278"/>
          <w:jc w:val="center"/>
        </w:trPr>
        <w:tc>
          <w:tcPr>
            <w:tcW w:w="1564" w:type="dxa"/>
            <w:tcBorders>
              <w:top w:val="nil"/>
              <w:left w:val="nil"/>
              <w:bottom w:val="nil"/>
              <w:right w:val="nil"/>
            </w:tcBorders>
          </w:tcPr>
          <w:p w14:paraId="418C8A73"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071" w:type="dxa"/>
            <w:tcBorders>
              <w:top w:val="nil"/>
              <w:left w:val="nil"/>
              <w:bottom w:val="nil"/>
              <w:right w:val="nil"/>
            </w:tcBorders>
          </w:tcPr>
          <w:p w14:paraId="47A82F9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1A36E7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476B9BA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063E3BF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-0.001***</w:t>
            </w:r>
          </w:p>
        </w:tc>
      </w:tr>
      <w:tr w:rsidR="00276E7F" w:rsidRPr="000A1A85" w14:paraId="02C6E0FD" w14:textId="77777777" w:rsidTr="000415B4">
        <w:trPr>
          <w:trHeight w:val="293"/>
          <w:jc w:val="center"/>
        </w:trPr>
        <w:tc>
          <w:tcPr>
            <w:tcW w:w="1564" w:type="dxa"/>
            <w:tcBorders>
              <w:top w:val="nil"/>
              <w:left w:val="nil"/>
              <w:bottom w:val="nil"/>
              <w:right w:val="nil"/>
            </w:tcBorders>
          </w:tcPr>
          <w:p w14:paraId="6595834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3DA862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6159389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36DD026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57B2D5F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23F71D7" w14:textId="77777777" w:rsidTr="000415B4">
        <w:trPr>
          <w:trHeight w:val="278"/>
          <w:jc w:val="center"/>
        </w:trPr>
        <w:tc>
          <w:tcPr>
            <w:tcW w:w="1564" w:type="dxa"/>
            <w:tcBorders>
              <w:top w:val="nil"/>
              <w:left w:val="nil"/>
              <w:bottom w:val="nil"/>
              <w:right w:val="nil"/>
            </w:tcBorders>
          </w:tcPr>
          <w:p w14:paraId="22B1FA3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0D9D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5FF64E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0722D65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E84A87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018B4A7E" w14:textId="77777777" w:rsidTr="000415B4">
        <w:trPr>
          <w:trHeight w:val="293"/>
          <w:jc w:val="center"/>
        </w:trPr>
        <w:tc>
          <w:tcPr>
            <w:tcW w:w="1564" w:type="dxa"/>
            <w:tcBorders>
              <w:top w:val="nil"/>
              <w:left w:val="nil"/>
              <w:bottom w:val="nil"/>
              <w:right w:val="nil"/>
            </w:tcBorders>
          </w:tcPr>
          <w:p w14:paraId="76FEF6B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071" w:type="dxa"/>
            <w:tcBorders>
              <w:top w:val="nil"/>
              <w:left w:val="nil"/>
              <w:bottom w:val="nil"/>
              <w:right w:val="nil"/>
            </w:tcBorders>
          </w:tcPr>
          <w:p w14:paraId="2E4B61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467</w:t>
            </w:r>
          </w:p>
        </w:tc>
        <w:tc>
          <w:tcPr>
            <w:tcW w:w="2011" w:type="dxa"/>
            <w:tcBorders>
              <w:top w:val="nil"/>
              <w:left w:val="nil"/>
              <w:bottom w:val="nil"/>
              <w:right w:val="nil"/>
            </w:tcBorders>
          </w:tcPr>
          <w:p w14:paraId="1CD663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296</w:t>
            </w:r>
          </w:p>
        </w:tc>
        <w:tc>
          <w:tcPr>
            <w:tcW w:w="2235" w:type="dxa"/>
            <w:tcBorders>
              <w:top w:val="nil"/>
              <w:left w:val="nil"/>
              <w:bottom w:val="nil"/>
              <w:right w:val="nil"/>
            </w:tcBorders>
          </w:tcPr>
          <w:p w14:paraId="67BA894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512</w:t>
            </w:r>
          </w:p>
        </w:tc>
        <w:tc>
          <w:tcPr>
            <w:tcW w:w="2235" w:type="dxa"/>
            <w:tcBorders>
              <w:top w:val="nil"/>
              <w:left w:val="nil"/>
              <w:bottom w:val="nil"/>
              <w:right w:val="nil"/>
            </w:tcBorders>
          </w:tcPr>
          <w:p w14:paraId="7A3295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301</w:t>
            </w:r>
          </w:p>
        </w:tc>
      </w:tr>
      <w:tr w:rsidR="00276E7F" w:rsidRPr="000A1A85" w14:paraId="00799045" w14:textId="77777777" w:rsidTr="000415B4">
        <w:trPr>
          <w:trHeight w:val="278"/>
          <w:jc w:val="center"/>
        </w:trPr>
        <w:tc>
          <w:tcPr>
            <w:tcW w:w="1564" w:type="dxa"/>
            <w:tcBorders>
              <w:top w:val="nil"/>
              <w:left w:val="nil"/>
              <w:bottom w:val="nil"/>
              <w:right w:val="nil"/>
            </w:tcBorders>
          </w:tcPr>
          <w:p w14:paraId="57B5727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71" w:type="dxa"/>
            <w:tcBorders>
              <w:top w:val="nil"/>
              <w:left w:val="nil"/>
              <w:bottom w:val="nil"/>
              <w:right w:val="nil"/>
            </w:tcBorders>
          </w:tcPr>
          <w:p w14:paraId="66F4AC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0.986</w:t>
            </w:r>
          </w:p>
        </w:tc>
        <w:tc>
          <w:tcPr>
            <w:tcW w:w="2011" w:type="dxa"/>
            <w:tcBorders>
              <w:top w:val="nil"/>
              <w:left w:val="nil"/>
              <w:bottom w:val="nil"/>
              <w:right w:val="nil"/>
            </w:tcBorders>
          </w:tcPr>
          <w:p w14:paraId="537F009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0.968</w:t>
            </w:r>
          </w:p>
        </w:tc>
        <w:tc>
          <w:tcPr>
            <w:tcW w:w="2235" w:type="dxa"/>
            <w:tcBorders>
              <w:top w:val="nil"/>
              <w:left w:val="nil"/>
              <w:bottom w:val="nil"/>
              <w:right w:val="nil"/>
            </w:tcBorders>
          </w:tcPr>
          <w:p w14:paraId="4A464F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235" w:type="dxa"/>
            <w:tcBorders>
              <w:top w:val="nil"/>
              <w:left w:val="nil"/>
              <w:bottom w:val="nil"/>
              <w:right w:val="nil"/>
            </w:tcBorders>
          </w:tcPr>
          <w:p w14:paraId="0654DB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r>
      <w:tr w:rsidR="00276E7F" w:rsidRPr="000A1A85" w14:paraId="557608F2" w14:textId="77777777" w:rsidTr="000415B4">
        <w:tblPrEx>
          <w:tblBorders>
            <w:bottom w:val="single" w:sz="6" w:space="0" w:color="auto"/>
          </w:tblBorders>
        </w:tblPrEx>
        <w:trPr>
          <w:trHeight w:val="278"/>
          <w:jc w:val="center"/>
        </w:trPr>
        <w:tc>
          <w:tcPr>
            <w:tcW w:w="1564" w:type="dxa"/>
            <w:tcBorders>
              <w:top w:val="nil"/>
              <w:left w:val="nil"/>
              <w:bottom w:val="single" w:sz="6" w:space="0" w:color="auto"/>
              <w:right w:val="nil"/>
            </w:tcBorders>
          </w:tcPr>
          <w:p w14:paraId="52A05B1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71" w:type="dxa"/>
            <w:tcBorders>
              <w:top w:val="nil"/>
              <w:left w:val="nil"/>
              <w:bottom w:val="single" w:sz="6" w:space="0" w:color="auto"/>
              <w:right w:val="nil"/>
            </w:tcBorders>
          </w:tcPr>
          <w:p w14:paraId="6CD277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0.019</w:t>
            </w:r>
          </w:p>
        </w:tc>
        <w:tc>
          <w:tcPr>
            <w:tcW w:w="2011" w:type="dxa"/>
            <w:tcBorders>
              <w:top w:val="nil"/>
              <w:left w:val="nil"/>
              <w:bottom w:val="single" w:sz="6" w:space="0" w:color="auto"/>
              <w:right w:val="nil"/>
            </w:tcBorders>
          </w:tcPr>
          <w:p w14:paraId="613633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0.059</w:t>
            </w:r>
          </w:p>
        </w:tc>
        <w:tc>
          <w:tcPr>
            <w:tcW w:w="2235" w:type="dxa"/>
            <w:tcBorders>
              <w:top w:val="nil"/>
              <w:left w:val="nil"/>
              <w:bottom w:val="single" w:sz="6" w:space="0" w:color="auto"/>
              <w:right w:val="nil"/>
            </w:tcBorders>
          </w:tcPr>
          <w:p w14:paraId="776A960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c>
          <w:tcPr>
            <w:tcW w:w="2235" w:type="dxa"/>
            <w:tcBorders>
              <w:top w:val="nil"/>
              <w:left w:val="nil"/>
              <w:bottom w:val="single" w:sz="6" w:space="0" w:color="auto"/>
              <w:right w:val="nil"/>
            </w:tcBorders>
          </w:tcPr>
          <w:p w14:paraId="4F0A33E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0.088</w:t>
            </w:r>
          </w:p>
        </w:tc>
      </w:tr>
    </w:tbl>
    <w:p w14:paraId="2C421890"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49"/>
        <w:gridCol w:w="2177"/>
        <w:gridCol w:w="2177"/>
        <w:gridCol w:w="2177"/>
      </w:tblGrid>
      <w:tr w:rsidR="00276E7F" w:rsidRPr="000A1A85" w14:paraId="3926B533" w14:textId="77777777" w:rsidTr="000415B4">
        <w:trPr>
          <w:trHeight w:val="279"/>
          <w:jc w:val="center"/>
        </w:trPr>
        <w:tc>
          <w:tcPr>
            <w:tcW w:w="1549" w:type="dxa"/>
            <w:tcBorders>
              <w:top w:val="single" w:sz="6" w:space="0" w:color="auto"/>
              <w:left w:val="nil"/>
              <w:bottom w:val="nil"/>
              <w:right w:val="nil"/>
            </w:tcBorders>
          </w:tcPr>
          <w:p w14:paraId="7EB50E5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single" w:sz="6" w:space="0" w:color="auto"/>
              <w:left w:val="nil"/>
              <w:bottom w:val="nil"/>
              <w:right w:val="nil"/>
            </w:tcBorders>
          </w:tcPr>
          <w:p w14:paraId="02F360F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6</w:t>
            </w:r>
            <w:r w:rsidRPr="000A1A85">
              <w:rPr>
                <w:rFonts w:cstheme="minorHAnsi"/>
                <w:sz w:val="24"/>
                <w:szCs w:val="24"/>
              </w:rPr>
              <w:t>)</w:t>
            </w:r>
          </w:p>
        </w:tc>
        <w:tc>
          <w:tcPr>
            <w:tcW w:w="2177" w:type="dxa"/>
            <w:tcBorders>
              <w:top w:val="single" w:sz="6" w:space="0" w:color="auto"/>
              <w:left w:val="nil"/>
              <w:bottom w:val="nil"/>
              <w:right w:val="nil"/>
            </w:tcBorders>
          </w:tcPr>
          <w:p w14:paraId="4DDBC3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7</w:t>
            </w:r>
            <w:r w:rsidRPr="000A1A85">
              <w:rPr>
                <w:rFonts w:cstheme="minorHAnsi"/>
                <w:sz w:val="24"/>
                <w:szCs w:val="24"/>
              </w:rPr>
              <w:t>)</w:t>
            </w:r>
          </w:p>
        </w:tc>
        <w:tc>
          <w:tcPr>
            <w:tcW w:w="2177" w:type="dxa"/>
            <w:tcBorders>
              <w:top w:val="single" w:sz="6" w:space="0" w:color="auto"/>
              <w:left w:val="nil"/>
              <w:bottom w:val="nil"/>
              <w:right w:val="nil"/>
            </w:tcBorders>
          </w:tcPr>
          <w:p w14:paraId="02DED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8</w:t>
            </w:r>
            <w:r w:rsidRPr="000A1A85">
              <w:rPr>
                <w:rFonts w:cstheme="minorHAnsi"/>
                <w:sz w:val="24"/>
                <w:szCs w:val="24"/>
              </w:rPr>
              <w:t>)</w:t>
            </w:r>
          </w:p>
        </w:tc>
      </w:tr>
      <w:tr w:rsidR="00276E7F" w:rsidRPr="000A1A85" w14:paraId="47448911" w14:textId="77777777" w:rsidTr="000415B4">
        <w:trPr>
          <w:trHeight w:val="265"/>
          <w:jc w:val="center"/>
        </w:trPr>
        <w:tc>
          <w:tcPr>
            <w:tcW w:w="1549" w:type="dxa"/>
            <w:tcBorders>
              <w:top w:val="nil"/>
              <w:left w:val="nil"/>
              <w:bottom w:val="single" w:sz="6" w:space="0" w:color="auto"/>
              <w:right w:val="nil"/>
            </w:tcBorders>
          </w:tcPr>
          <w:p w14:paraId="1D02472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177" w:type="dxa"/>
            <w:tcBorders>
              <w:top w:val="nil"/>
              <w:left w:val="nil"/>
              <w:bottom w:val="single" w:sz="6" w:space="0" w:color="auto"/>
              <w:right w:val="nil"/>
            </w:tcBorders>
          </w:tcPr>
          <w:p w14:paraId="7B70D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11/7/2011-1/9/2013</w:t>
            </w:r>
          </w:p>
        </w:tc>
        <w:tc>
          <w:tcPr>
            <w:tcW w:w="2177" w:type="dxa"/>
            <w:tcBorders>
              <w:top w:val="nil"/>
              <w:left w:val="nil"/>
              <w:bottom w:val="single" w:sz="6" w:space="0" w:color="auto"/>
              <w:right w:val="nil"/>
            </w:tcBorders>
          </w:tcPr>
          <w:p w14:paraId="329030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1/10/2013-2/3/2015</w:t>
            </w:r>
          </w:p>
        </w:tc>
        <w:tc>
          <w:tcPr>
            <w:tcW w:w="2177" w:type="dxa"/>
            <w:tcBorders>
              <w:top w:val="nil"/>
              <w:left w:val="nil"/>
              <w:bottom w:val="single" w:sz="6" w:space="0" w:color="auto"/>
              <w:right w:val="nil"/>
            </w:tcBorders>
          </w:tcPr>
          <w:p w14:paraId="60A579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2/4/2015-4/28/2017</w:t>
            </w:r>
          </w:p>
        </w:tc>
      </w:tr>
      <w:tr w:rsidR="00276E7F" w:rsidRPr="000A1A85" w14:paraId="24169AD3" w14:textId="77777777" w:rsidTr="000415B4">
        <w:trPr>
          <w:trHeight w:val="279"/>
          <w:jc w:val="center"/>
        </w:trPr>
        <w:tc>
          <w:tcPr>
            <w:tcW w:w="1549" w:type="dxa"/>
            <w:tcBorders>
              <w:top w:val="nil"/>
              <w:left w:val="nil"/>
              <w:bottom w:val="nil"/>
              <w:right w:val="nil"/>
            </w:tcBorders>
          </w:tcPr>
          <w:p w14:paraId="2B4B1B9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7B6DE4C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41EE118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6523A8F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3C1CBB9" w14:textId="77777777" w:rsidTr="000415B4">
        <w:trPr>
          <w:trHeight w:val="265"/>
          <w:jc w:val="center"/>
        </w:trPr>
        <w:tc>
          <w:tcPr>
            <w:tcW w:w="1549" w:type="dxa"/>
            <w:tcBorders>
              <w:top w:val="nil"/>
              <w:left w:val="nil"/>
              <w:bottom w:val="nil"/>
              <w:right w:val="nil"/>
            </w:tcBorders>
          </w:tcPr>
          <w:p w14:paraId="123E4AE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p>
        </w:tc>
        <w:tc>
          <w:tcPr>
            <w:tcW w:w="2177" w:type="dxa"/>
            <w:tcBorders>
              <w:top w:val="nil"/>
              <w:left w:val="nil"/>
              <w:bottom w:val="nil"/>
              <w:right w:val="nil"/>
            </w:tcBorders>
          </w:tcPr>
          <w:p w14:paraId="7ACB2C0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0.461***</w:t>
            </w:r>
          </w:p>
        </w:tc>
        <w:tc>
          <w:tcPr>
            <w:tcW w:w="2177" w:type="dxa"/>
            <w:tcBorders>
              <w:top w:val="nil"/>
              <w:left w:val="nil"/>
              <w:bottom w:val="nil"/>
              <w:right w:val="nil"/>
            </w:tcBorders>
          </w:tcPr>
          <w:p w14:paraId="5F64A1F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0.490***</w:t>
            </w:r>
          </w:p>
        </w:tc>
        <w:tc>
          <w:tcPr>
            <w:tcW w:w="2177" w:type="dxa"/>
            <w:tcBorders>
              <w:top w:val="nil"/>
              <w:left w:val="nil"/>
              <w:bottom w:val="nil"/>
              <w:right w:val="nil"/>
            </w:tcBorders>
          </w:tcPr>
          <w:p w14:paraId="32A58A9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0.500***</w:t>
            </w:r>
          </w:p>
        </w:tc>
      </w:tr>
      <w:tr w:rsidR="00276E7F" w:rsidRPr="000A1A85" w14:paraId="047ED3BC" w14:textId="77777777" w:rsidTr="000415B4">
        <w:trPr>
          <w:trHeight w:val="279"/>
          <w:jc w:val="center"/>
        </w:trPr>
        <w:tc>
          <w:tcPr>
            <w:tcW w:w="1549" w:type="dxa"/>
            <w:tcBorders>
              <w:top w:val="nil"/>
              <w:left w:val="nil"/>
              <w:bottom w:val="nil"/>
              <w:right w:val="nil"/>
            </w:tcBorders>
          </w:tcPr>
          <w:p w14:paraId="0CB13307"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4FF5D9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(0.011)</w:t>
            </w:r>
          </w:p>
        </w:tc>
        <w:tc>
          <w:tcPr>
            <w:tcW w:w="2177" w:type="dxa"/>
            <w:tcBorders>
              <w:top w:val="nil"/>
              <w:left w:val="nil"/>
              <w:bottom w:val="nil"/>
              <w:right w:val="nil"/>
            </w:tcBorders>
          </w:tcPr>
          <w:p w14:paraId="53B595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c>
          <w:tcPr>
            <w:tcW w:w="2177" w:type="dxa"/>
            <w:tcBorders>
              <w:top w:val="nil"/>
              <w:left w:val="nil"/>
              <w:bottom w:val="nil"/>
              <w:right w:val="nil"/>
            </w:tcBorders>
          </w:tcPr>
          <w:p w14:paraId="78378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6E1AAF15" w14:textId="77777777" w:rsidTr="000415B4">
        <w:trPr>
          <w:trHeight w:val="265"/>
          <w:jc w:val="center"/>
        </w:trPr>
        <w:tc>
          <w:tcPr>
            <w:tcW w:w="1549" w:type="dxa"/>
            <w:tcBorders>
              <w:top w:val="nil"/>
              <w:left w:val="nil"/>
              <w:bottom w:val="nil"/>
              <w:right w:val="nil"/>
            </w:tcBorders>
          </w:tcPr>
          <w:p w14:paraId="108D86E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177" w:type="dxa"/>
            <w:tcBorders>
              <w:top w:val="nil"/>
              <w:left w:val="nil"/>
              <w:bottom w:val="nil"/>
              <w:right w:val="nil"/>
            </w:tcBorders>
          </w:tcPr>
          <w:p w14:paraId="207DEB5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0.331***</w:t>
            </w:r>
          </w:p>
        </w:tc>
        <w:tc>
          <w:tcPr>
            <w:tcW w:w="2177" w:type="dxa"/>
            <w:tcBorders>
              <w:top w:val="nil"/>
              <w:left w:val="nil"/>
              <w:bottom w:val="nil"/>
              <w:right w:val="nil"/>
            </w:tcBorders>
          </w:tcPr>
          <w:p w14:paraId="19BA60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0.327***</w:t>
            </w:r>
          </w:p>
        </w:tc>
        <w:tc>
          <w:tcPr>
            <w:tcW w:w="2177" w:type="dxa"/>
            <w:tcBorders>
              <w:top w:val="nil"/>
              <w:left w:val="nil"/>
              <w:bottom w:val="nil"/>
              <w:right w:val="nil"/>
            </w:tcBorders>
          </w:tcPr>
          <w:p w14:paraId="1E062DE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0.319***</w:t>
            </w:r>
          </w:p>
        </w:tc>
      </w:tr>
      <w:tr w:rsidR="00276E7F" w:rsidRPr="000A1A85" w14:paraId="07F84C4F" w14:textId="77777777" w:rsidTr="000415B4">
        <w:trPr>
          <w:trHeight w:val="279"/>
          <w:jc w:val="center"/>
        </w:trPr>
        <w:tc>
          <w:tcPr>
            <w:tcW w:w="1549" w:type="dxa"/>
            <w:tcBorders>
              <w:top w:val="nil"/>
              <w:left w:val="nil"/>
              <w:bottom w:val="nil"/>
              <w:right w:val="nil"/>
            </w:tcBorders>
          </w:tcPr>
          <w:p w14:paraId="10BBA82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A2D91E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1142AF7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4653628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10F5EEAB" w14:textId="77777777" w:rsidTr="000415B4">
        <w:trPr>
          <w:trHeight w:val="265"/>
          <w:jc w:val="center"/>
        </w:trPr>
        <w:tc>
          <w:tcPr>
            <w:tcW w:w="1549" w:type="dxa"/>
            <w:tcBorders>
              <w:top w:val="nil"/>
              <w:left w:val="nil"/>
              <w:bottom w:val="nil"/>
              <w:right w:val="nil"/>
            </w:tcBorders>
          </w:tcPr>
          <w:p w14:paraId="5B94360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JPY</w:t>
            </w:r>
          </w:p>
        </w:tc>
        <w:tc>
          <w:tcPr>
            <w:tcW w:w="2177" w:type="dxa"/>
            <w:tcBorders>
              <w:top w:val="nil"/>
              <w:left w:val="nil"/>
              <w:bottom w:val="nil"/>
              <w:right w:val="nil"/>
            </w:tcBorders>
          </w:tcPr>
          <w:p w14:paraId="5FEAC29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0.098***</w:t>
            </w:r>
          </w:p>
        </w:tc>
        <w:tc>
          <w:tcPr>
            <w:tcW w:w="2177" w:type="dxa"/>
            <w:tcBorders>
              <w:top w:val="nil"/>
              <w:left w:val="nil"/>
              <w:bottom w:val="nil"/>
              <w:right w:val="nil"/>
            </w:tcBorders>
          </w:tcPr>
          <w:p w14:paraId="4C38700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0.073***</w:t>
            </w:r>
          </w:p>
        </w:tc>
        <w:tc>
          <w:tcPr>
            <w:tcW w:w="2177" w:type="dxa"/>
            <w:tcBorders>
              <w:top w:val="nil"/>
              <w:left w:val="nil"/>
              <w:bottom w:val="nil"/>
              <w:right w:val="nil"/>
            </w:tcBorders>
          </w:tcPr>
          <w:p w14:paraId="2C2E8D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0.075***</w:t>
            </w:r>
          </w:p>
        </w:tc>
      </w:tr>
      <w:tr w:rsidR="00276E7F" w:rsidRPr="000A1A85" w14:paraId="58D4056F" w14:textId="77777777" w:rsidTr="000415B4">
        <w:trPr>
          <w:trHeight w:val="279"/>
          <w:jc w:val="center"/>
        </w:trPr>
        <w:tc>
          <w:tcPr>
            <w:tcW w:w="1549" w:type="dxa"/>
            <w:tcBorders>
              <w:top w:val="nil"/>
              <w:left w:val="nil"/>
              <w:bottom w:val="nil"/>
              <w:right w:val="nil"/>
            </w:tcBorders>
          </w:tcPr>
          <w:p w14:paraId="45D1C0D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1ADF736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(0.004)</w:t>
            </w:r>
          </w:p>
        </w:tc>
        <w:tc>
          <w:tcPr>
            <w:tcW w:w="2177" w:type="dxa"/>
            <w:tcBorders>
              <w:top w:val="nil"/>
              <w:left w:val="nil"/>
              <w:bottom w:val="nil"/>
              <w:right w:val="nil"/>
            </w:tcBorders>
          </w:tcPr>
          <w:p w14:paraId="095A65C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c>
          <w:tcPr>
            <w:tcW w:w="2177" w:type="dxa"/>
            <w:tcBorders>
              <w:top w:val="nil"/>
              <w:left w:val="nil"/>
              <w:bottom w:val="nil"/>
              <w:right w:val="nil"/>
            </w:tcBorders>
          </w:tcPr>
          <w:p w14:paraId="6C000B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r>
      <w:tr w:rsidR="00276E7F" w:rsidRPr="000A1A85" w14:paraId="6C60D77F" w14:textId="77777777" w:rsidTr="000415B4">
        <w:trPr>
          <w:trHeight w:val="265"/>
          <w:jc w:val="center"/>
        </w:trPr>
        <w:tc>
          <w:tcPr>
            <w:tcW w:w="1549" w:type="dxa"/>
            <w:tcBorders>
              <w:top w:val="nil"/>
              <w:left w:val="nil"/>
              <w:bottom w:val="nil"/>
              <w:right w:val="nil"/>
            </w:tcBorders>
          </w:tcPr>
          <w:p w14:paraId="58E15FB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177" w:type="dxa"/>
            <w:tcBorders>
              <w:top w:val="nil"/>
              <w:left w:val="nil"/>
              <w:bottom w:val="nil"/>
              <w:right w:val="nil"/>
            </w:tcBorders>
          </w:tcPr>
          <w:p w14:paraId="5922F5D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0.935***</w:t>
            </w:r>
          </w:p>
        </w:tc>
        <w:tc>
          <w:tcPr>
            <w:tcW w:w="2177" w:type="dxa"/>
            <w:tcBorders>
              <w:top w:val="nil"/>
              <w:left w:val="nil"/>
              <w:bottom w:val="nil"/>
              <w:right w:val="nil"/>
            </w:tcBorders>
          </w:tcPr>
          <w:p w14:paraId="2D3EB9B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0.904***</w:t>
            </w:r>
          </w:p>
        </w:tc>
        <w:tc>
          <w:tcPr>
            <w:tcW w:w="2177" w:type="dxa"/>
            <w:tcBorders>
              <w:top w:val="nil"/>
              <w:left w:val="nil"/>
              <w:bottom w:val="nil"/>
              <w:right w:val="nil"/>
            </w:tcBorders>
          </w:tcPr>
          <w:p w14:paraId="5A683F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0.931***</w:t>
            </w:r>
          </w:p>
        </w:tc>
      </w:tr>
      <w:tr w:rsidR="00276E7F" w:rsidRPr="000A1A85" w14:paraId="27C6A87E" w14:textId="77777777" w:rsidTr="000415B4">
        <w:trPr>
          <w:trHeight w:val="279"/>
          <w:jc w:val="center"/>
        </w:trPr>
        <w:tc>
          <w:tcPr>
            <w:tcW w:w="1549" w:type="dxa"/>
            <w:tcBorders>
              <w:top w:val="nil"/>
              <w:left w:val="nil"/>
              <w:bottom w:val="nil"/>
              <w:right w:val="nil"/>
            </w:tcBorders>
          </w:tcPr>
          <w:p w14:paraId="5A380DA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3371D7C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(0.016)</w:t>
            </w:r>
          </w:p>
        </w:tc>
        <w:tc>
          <w:tcPr>
            <w:tcW w:w="2177" w:type="dxa"/>
            <w:tcBorders>
              <w:top w:val="nil"/>
              <w:left w:val="nil"/>
              <w:bottom w:val="nil"/>
              <w:right w:val="nil"/>
            </w:tcBorders>
          </w:tcPr>
          <w:p w14:paraId="3170BC8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177" w:type="dxa"/>
            <w:tcBorders>
              <w:top w:val="nil"/>
              <w:left w:val="nil"/>
              <w:bottom w:val="nil"/>
              <w:right w:val="nil"/>
            </w:tcBorders>
          </w:tcPr>
          <w:p w14:paraId="4CFD2D7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(0.010)</w:t>
            </w:r>
          </w:p>
        </w:tc>
      </w:tr>
      <w:tr w:rsidR="00276E7F" w:rsidRPr="000A1A85" w14:paraId="2B18345C" w14:textId="77777777" w:rsidTr="000415B4">
        <w:trPr>
          <w:trHeight w:val="265"/>
          <w:jc w:val="center"/>
        </w:trPr>
        <w:tc>
          <w:tcPr>
            <w:tcW w:w="1549" w:type="dxa"/>
            <w:tcBorders>
              <w:top w:val="nil"/>
              <w:left w:val="nil"/>
              <w:bottom w:val="nil"/>
              <w:right w:val="nil"/>
            </w:tcBorders>
          </w:tcPr>
          <w:p w14:paraId="0B3AB75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177" w:type="dxa"/>
            <w:tcBorders>
              <w:top w:val="nil"/>
              <w:left w:val="nil"/>
              <w:bottom w:val="nil"/>
              <w:right w:val="nil"/>
            </w:tcBorders>
          </w:tcPr>
          <w:p w14:paraId="6697C4E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676A3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0A9546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E45E9BD" w14:textId="77777777" w:rsidTr="000415B4">
        <w:trPr>
          <w:trHeight w:val="279"/>
          <w:jc w:val="center"/>
        </w:trPr>
        <w:tc>
          <w:tcPr>
            <w:tcW w:w="1549" w:type="dxa"/>
            <w:tcBorders>
              <w:top w:val="nil"/>
              <w:left w:val="nil"/>
              <w:bottom w:val="nil"/>
              <w:right w:val="nil"/>
            </w:tcBorders>
          </w:tcPr>
          <w:p w14:paraId="5A9D7CC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66C879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33DB4EC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F6A5B8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0CE72D35" w14:textId="77777777" w:rsidTr="000415B4">
        <w:trPr>
          <w:trHeight w:val="265"/>
          <w:jc w:val="center"/>
        </w:trPr>
        <w:tc>
          <w:tcPr>
            <w:tcW w:w="1549" w:type="dxa"/>
            <w:tcBorders>
              <w:top w:val="nil"/>
              <w:left w:val="nil"/>
              <w:bottom w:val="nil"/>
              <w:right w:val="nil"/>
            </w:tcBorders>
          </w:tcPr>
          <w:p w14:paraId="4B24CB3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5D9478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3CDCB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9070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7DD8852" w14:textId="77777777" w:rsidTr="000415B4">
        <w:trPr>
          <w:trHeight w:val="279"/>
          <w:jc w:val="center"/>
        </w:trPr>
        <w:tc>
          <w:tcPr>
            <w:tcW w:w="1549" w:type="dxa"/>
            <w:tcBorders>
              <w:top w:val="nil"/>
              <w:left w:val="nil"/>
              <w:bottom w:val="nil"/>
              <w:right w:val="nil"/>
            </w:tcBorders>
          </w:tcPr>
          <w:p w14:paraId="1BBDF45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177" w:type="dxa"/>
            <w:tcBorders>
              <w:top w:val="nil"/>
              <w:left w:val="nil"/>
              <w:bottom w:val="nil"/>
              <w:right w:val="nil"/>
            </w:tcBorders>
          </w:tcPr>
          <w:p w14:paraId="615470C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294</w:t>
            </w:r>
          </w:p>
        </w:tc>
        <w:tc>
          <w:tcPr>
            <w:tcW w:w="2177" w:type="dxa"/>
            <w:tcBorders>
              <w:top w:val="nil"/>
              <w:left w:val="nil"/>
              <w:bottom w:val="nil"/>
              <w:right w:val="nil"/>
            </w:tcBorders>
          </w:tcPr>
          <w:p w14:paraId="7F771F5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517</w:t>
            </w:r>
          </w:p>
        </w:tc>
        <w:tc>
          <w:tcPr>
            <w:tcW w:w="2177" w:type="dxa"/>
            <w:tcBorders>
              <w:top w:val="nil"/>
              <w:left w:val="nil"/>
              <w:bottom w:val="nil"/>
              <w:right w:val="nil"/>
            </w:tcBorders>
          </w:tcPr>
          <w:p w14:paraId="17FB1E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559</w:t>
            </w:r>
          </w:p>
        </w:tc>
      </w:tr>
      <w:tr w:rsidR="00276E7F" w:rsidRPr="000A1A85" w14:paraId="24E6AC8B" w14:textId="77777777" w:rsidTr="000415B4">
        <w:trPr>
          <w:trHeight w:val="279"/>
          <w:jc w:val="center"/>
        </w:trPr>
        <w:tc>
          <w:tcPr>
            <w:tcW w:w="1549" w:type="dxa"/>
            <w:tcBorders>
              <w:top w:val="nil"/>
              <w:left w:val="nil"/>
              <w:bottom w:val="nil"/>
              <w:right w:val="nil"/>
            </w:tcBorders>
          </w:tcPr>
          <w:p w14:paraId="28C363B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77" w:type="dxa"/>
            <w:tcBorders>
              <w:top w:val="nil"/>
              <w:left w:val="nil"/>
              <w:bottom w:val="nil"/>
              <w:right w:val="nil"/>
            </w:tcBorders>
          </w:tcPr>
          <w:p w14:paraId="6AD456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177" w:type="dxa"/>
            <w:tcBorders>
              <w:top w:val="nil"/>
              <w:left w:val="nil"/>
              <w:bottom w:val="nil"/>
              <w:right w:val="nil"/>
            </w:tcBorders>
          </w:tcPr>
          <w:p w14:paraId="6EF793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c>
          <w:tcPr>
            <w:tcW w:w="2177" w:type="dxa"/>
            <w:tcBorders>
              <w:top w:val="nil"/>
              <w:left w:val="nil"/>
              <w:bottom w:val="nil"/>
              <w:right w:val="nil"/>
            </w:tcBorders>
          </w:tcPr>
          <w:p w14:paraId="2AE4C1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0.997</w:t>
            </w:r>
          </w:p>
        </w:tc>
      </w:tr>
      <w:tr w:rsidR="00276E7F" w:rsidRPr="000A1A85" w14:paraId="61F1A3CD" w14:textId="77777777" w:rsidTr="000415B4">
        <w:tblPrEx>
          <w:tblBorders>
            <w:bottom w:val="single" w:sz="6" w:space="0" w:color="auto"/>
          </w:tblBorders>
        </w:tblPrEx>
        <w:trPr>
          <w:trHeight w:val="265"/>
          <w:jc w:val="center"/>
        </w:trPr>
        <w:tc>
          <w:tcPr>
            <w:tcW w:w="1549" w:type="dxa"/>
            <w:tcBorders>
              <w:top w:val="nil"/>
              <w:left w:val="nil"/>
              <w:bottom w:val="single" w:sz="6" w:space="0" w:color="auto"/>
              <w:right w:val="nil"/>
            </w:tcBorders>
          </w:tcPr>
          <w:p w14:paraId="407607CB"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77" w:type="dxa"/>
            <w:tcBorders>
              <w:top w:val="nil"/>
              <w:left w:val="nil"/>
              <w:bottom w:val="single" w:sz="6" w:space="0" w:color="auto"/>
              <w:right w:val="nil"/>
            </w:tcBorders>
          </w:tcPr>
          <w:p w14:paraId="0B15D28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0.110</w:t>
            </w:r>
          </w:p>
        </w:tc>
        <w:tc>
          <w:tcPr>
            <w:tcW w:w="2177" w:type="dxa"/>
            <w:tcBorders>
              <w:top w:val="nil"/>
              <w:left w:val="nil"/>
              <w:bottom w:val="single" w:sz="6" w:space="0" w:color="auto"/>
              <w:right w:val="nil"/>
            </w:tcBorders>
          </w:tcPr>
          <w:p w14:paraId="5F3A98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0.109</w:t>
            </w:r>
          </w:p>
        </w:tc>
        <w:tc>
          <w:tcPr>
            <w:tcW w:w="2177" w:type="dxa"/>
            <w:tcBorders>
              <w:top w:val="nil"/>
              <w:left w:val="nil"/>
              <w:bottom w:val="single" w:sz="6" w:space="0" w:color="auto"/>
              <w:right w:val="nil"/>
            </w:tcBorders>
          </w:tcPr>
          <w:p w14:paraId="6604D1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0.106</w:t>
            </w:r>
          </w:p>
        </w:tc>
      </w:tr>
    </w:tbl>
    <w:p w14:paraId="0E25D2C2"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5C130370"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p>
    <w:p w14:paraId="3CABBED2" w14:textId="7F1D450E" w:rsidR="001449A6" w:rsidRPr="006F7AA5" w:rsidRDefault="001449A6"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6077CAE9"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6EB023B5" w14:textId="5144CFE3" w:rsidR="00276E7F" w:rsidRPr="00F16FB7" w:rsidRDefault="00276E7F" w:rsidP="00276E7F">
      <w:pPr>
        <w:jc w:val="center"/>
        <w:rPr>
          <w:rFonts w:cs="Times New Roman"/>
          <w:sz w:val="24"/>
          <w:szCs w:val="24"/>
        </w:rPr>
      </w:pPr>
      <w:r w:rsidRPr="006F7AA5">
        <w:rPr>
          <w:rFonts w:cs="Times New Roman"/>
          <w:sz w:val="24"/>
          <w:szCs w:val="24"/>
        </w:rPr>
        <w:br w:type="page"/>
      </w:r>
      <w:r>
        <w:rPr>
          <w:rFonts w:cs="Times New Roman"/>
          <w:sz w:val="24"/>
          <w:szCs w:val="24"/>
        </w:rPr>
        <w:lastRenderedPageBreak/>
        <w:t>2.2 India</w:t>
      </w:r>
      <w:r w:rsidRPr="00F16FB7">
        <w:rPr>
          <w:rFonts w:cs="Times New Roman"/>
          <w:sz w:val="24"/>
          <w:szCs w:val="24"/>
        </w:rPr>
        <w:t>: Identifying Break Points in India's Exchange Rate Regime</w:t>
      </w:r>
    </w:p>
    <w:p w14:paraId="7656D980" w14:textId="0B961CF8" w:rsidR="00276E7F" w:rsidRPr="002E0FD0" w:rsidRDefault="001449A6" w:rsidP="00276E7F">
      <w:pPr>
        <w:widowControl w:val="0"/>
        <w:autoSpaceDE w:val="0"/>
        <w:autoSpaceDN w:val="0"/>
        <w:adjustRightInd w:val="0"/>
        <w:spacing w:after="0" w:line="240" w:lineRule="auto"/>
        <w:jc w:val="center"/>
        <w:rPr>
          <w:rFonts w:cstheme="minorHAnsi"/>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 xml:space="preserve">-M2:2017 </w:t>
      </w:r>
    </w:p>
    <w:tbl>
      <w:tblPr>
        <w:tblW w:w="10083" w:type="dxa"/>
        <w:jc w:val="center"/>
        <w:tblLayout w:type="fixed"/>
        <w:tblCellMar>
          <w:left w:w="75" w:type="dxa"/>
          <w:right w:w="75" w:type="dxa"/>
        </w:tblCellMar>
        <w:tblLook w:val="0000" w:firstRow="0" w:lastRow="0" w:firstColumn="0" w:lastColumn="0" w:noHBand="0" w:noVBand="0"/>
      </w:tblPr>
      <w:tblGrid>
        <w:gridCol w:w="1523"/>
        <w:gridCol w:w="2027"/>
        <w:gridCol w:w="2253"/>
        <w:gridCol w:w="2140"/>
        <w:gridCol w:w="2140"/>
      </w:tblGrid>
      <w:tr w:rsidR="00276E7F" w:rsidRPr="002E0FD0" w14:paraId="5D5305E6" w14:textId="77777777" w:rsidTr="000415B4">
        <w:trPr>
          <w:trHeight w:val="273"/>
          <w:jc w:val="center"/>
        </w:trPr>
        <w:tc>
          <w:tcPr>
            <w:tcW w:w="1523" w:type="dxa"/>
            <w:tcBorders>
              <w:top w:val="single" w:sz="6" w:space="0" w:color="auto"/>
              <w:left w:val="nil"/>
              <w:bottom w:val="nil"/>
              <w:right w:val="nil"/>
            </w:tcBorders>
          </w:tcPr>
          <w:p w14:paraId="7CE3025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single" w:sz="6" w:space="0" w:color="auto"/>
              <w:left w:val="nil"/>
              <w:bottom w:val="nil"/>
              <w:right w:val="nil"/>
            </w:tcBorders>
          </w:tcPr>
          <w:p w14:paraId="2BDE247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w:t>
            </w:r>
          </w:p>
        </w:tc>
        <w:tc>
          <w:tcPr>
            <w:tcW w:w="2253" w:type="dxa"/>
            <w:tcBorders>
              <w:top w:val="single" w:sz="6" w:space="0" w:color="auto"/>
              <w:left w:val="nil"/>
              <w:bottom w:val="nil"/>
              <w:right w:val="nil"/>
            </w:tcBorders>
          </w:tcPr>
          <w:p w14:paraId="0429C71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w:t>
            </w:r>
          </w:p>
        </w:tc>
        <w:tc>
          <w:tcPr>
            <w:tcW w:w="2140" w:type="dxa"/>
            <w:tcBorders>
              <w:top w:val="single" w:sz="6" w:space="0" w:color="auto"/>
              <w:left w:val="nil"/>
              <w:bottom w:val="nil"/>
              <w:right w:val="nil"/>
            </w:tcBorders>
          </w:tcPr>
          <w:p w14:paraId="51C8943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(3)</w:t>
            </w:r>
          </w:p>
        </w:tc>
        <w:tc>
          <w:tcPr>
            <w:tcW w:w="2140" w:type="dxa"/>
            <w:tcBorders>
              <w:top w:val="single" w:sz="6" w:space="0" w:color="auto"/>
              <w:left w:val="nil"/>
              <w:bottom w:val="nil"/>
              <w:right w:val="nil"/>
            </w:tcBorders>
          </w:tcPr>
          <w:p w14:paraId="16EB56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w:t>
            </w:r>
          </w:p>
        </w:tc>
      </w:tr>
      <w:tr w:rsidR="00276E7F" w:rsidRPr="002E0FD0" w14:paraId="43F86623" w14:textId="77777777" w:rsidTr="000415B4">
        <w:trPr>
          <w:trHeight w:val="288"/>
          <w:jc w:val="center"/>
        </w:trPr>
        <w:tc>
          <w:tcPr>
            <w:tcW w:w="1523" w:type="dxa"/>
            <w:tcBorders>
              <w:top w:val="nil"/>
              <w:left w:val="nil"/>
              <w:bottom w:val="single" w:sz="6" w:space="0" w:color="auto"/>
              <w:right w:val="nil"/>
            </w:tcBorders>
          </w:tcPr>
          <w:p w14:paraId="55163C5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027" w:type="dxa"/>
            <w:tcBorders>
              <w:top w:val="nil"/>
              <w:left w:val="nil"/>
              <w:bottom w:val="single" w:sz="6" w:space="0" w:color="auto"/>
              <w:right w:val="nil"/>
            </w:tcBorders>
          </w:tcPr>
          <w:p w14:paraId="5114E19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8/2/2005-9/4/2007</w:t>
            </w:r>
          </w:p>
        </w:tc>
        <w:tc>
          <w:tcPr>
            <w:tcW w:w="2253" w:type="dxa"/>
            <w:tcBorders>
              <w:top w:val="nil"/>
              <w:left w:val="nil"/>
              <w:bottom w:val="single" w:sz="6" w:space="0" w:color="auto"/>
              <w:right w:val="nil"/>
            </w:tcBorders>
          </w:tcPr>
          <w:p w14:paraId="29203D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9/5/2007-10/31/2008</w:t>
            </w:r>
          </w:p>
        </w:tc>
        <w:tc>
          <w:tcPr>
            <w:tcW w:w="2140" w:type="dxa"/>
            <w:tcBorders>
              <w:top w:val="nil"/>
              <w:left w:val="nil"/>
              <w:bottom w:val="single" w:sz="6" w:space="0" w:color="auto"/>
              <w:right w:val="nil"/>
            </w:tcBorders>
          </w:tcPr>
          <w:p w14:paraId="54DE35B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11/3/2008-8/5/2011</w:t>
            </w:r>
          </w:p>
        </w:tc>
        <w:tc>
          <w:tcPr>
            <w:tcW w:w="2140" w:type="dxa"/>
            <w:tcBorders>
              <w:top w:val="nil"/>
              <w:left w:val="nil"/>
              <w:bottom w:val="single" w:sz="6" w:space="0" w:color="auto"/>
              <w:right w:val="nil"/>
            </w:tcBorders>
          </w:tcPr>
          <w:p w14:paraId="6BC01B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8/8/2011-10/1/2013</w:t>
            </w:r>
          </w:p>
        </w:tc>
      </w:tr>
      <w:tr w:rsidR="00276E7F" w:rsidRPr="002E0FD0" w14:paraId="1E4AAA5D" w14:textId="77777777" w:rsidTr="000415B4">
        <w:trPr>
          <w:trHeight w:val="273"/>
          <w:jc w:val="center"/>
        </w:trPr>
        <w:tc>
          <w:tcPr>
            <w:tcW w:w="1523" w:type="dxa"/>
            <w:tcBorders>
              <w:top w:val="nil"/>
              <w:left w:val="nil"/>
              <w:bottom w:val="nil"/>
              <w:right w:val="nil"/>
            </w:tcBorders>
          </w:tcPr>
          <w:p w14:paraId="67B5827E" w14:textId="7DA775F0"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r w:rsidR="00A608F2">
              <w:rPr>
                <w:rFonts w:cstheme="minorHAnsi"/>
                <w:sz w:val="24"/>
                <w:szCs w:val="24"/>
              </w:rPr>
              <w:t xml:space="preserve"> </w:t>
            </w:r>
            <w:r w:rsidRPr="002E0FD0">
              <w:rPr>
                <w:rFonts w:cstheme="minorHAnsi"/>
                <w:sz w:val="24"/>
                <w:szCs w:val="24"/>
              </w:rPr>
              <w:t>$</w:t>
            </w:r>
          </w:p>
        </w:tc>
        <w:tc>
          <w:tcPr>
            <w:tcW w:w="2027" w:type="dxa"/>
            <w:tcBorders>
              <w:top w:val="nil"/>
              <w:left w:val="nil"/>
              <w:bottom w:val="nil"/>
              <w:right w:val="nil"/>
            </w:tcBorders>
          </w:tcPr>
          <w:p w14:paraId="395C05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0.450***</w:t>
            </w:r>
          </w:p>
        </w:tc>
        <w:tc>
          <w:tcPr>
            <w:tcW w:w="2253" w:type="dxa"/>
            <w:tcBorders>
              <w:top w:val="nil"/>
              <w:left w:val="nil"/>
              <w:bottom w:val="nil"/>
              <w:right w:val="nil"/>
            </w:tcBorders>
          </w:tcPr>
          <w:p w14:paraId="1A45FE8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0.673***</w:t>
            </w:r>
          </w:p>
        </w:tc>
        <w:tc>
          <w:tcPr>
            <w:tcW w:w="2140" w:type="dxa"/>
            <w:tcBorders>
              <w:top w:val="nil"/>
              <w:left w:val="nil"/>
              <w:bottom w:val="nil"/>
              <w:right w:val="nil"/>
            </w:tcBorders>
          </w:tcPr>
          <w:p w14:paraId="0A432B3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0.456***</w:t>
            </w:r>
          </w:p>
        </w:tc>
        <w:tc>
          <w:tcPr>
            <w:tcW w:w="2140" w:type="dxa"/>
            <w:tcBorders>
              <w:top w:val="nil"/>
              <w:left w:val="nil"/>
              <w:bottom w:val="nil"/>
              <w:right w:val="nil"/>
            </w:tcBorders>
          </w:tcPr>
          <w:p w14:paraId="4DDC7A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0.436***</w:t>
            </w:r>
          </w:p>
        </w:tc>
      </w:tr>
      <w:tr w:rsidR="00276E7F" w:rsidRPr="002E0FD0" w14:paraId="65D8F277" w14:textId="77777777" w:rsidTr="000415B4">
        <w:trPr>
          <w:trHeight w:val="288"/>
          <w:jc w:val="center"/>
        </w:trPr>
        <w:tc>
          <w:tcPr>
            <w:tcW w:w="1523" w:type="dxa"/>
            <w:tcBorders>
              <w:top w:val="nil"/>
              <w:left w:val="nil"/>
              <w:bottom w:val="nil"/>
              <w:right w:val="nil"/>
            </w:tcBorders>
          </w:tcPr>
          <w:p w14:paraId="317685B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2AF4350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5A2A02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(0.097)</w:t>
            </w:r>
          </w:p>
        </w:tc>
        <w:tc>
          <w:tcPr>
            <w:tcW w:w="2140" w:type="dxa"/>
            <w:tcBorders>
              <w:top w:val="nil"/>
              <w:left w:val="nil"/>
              <w:bottom w:val="nil"/>
              <w:right w:val="nil"/>
            </w:tcBorders>
          </w:tcPr>
          <w:p w14:paraId="7AE635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6CA736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44B07923" w14:textId="77777777" w:rsidTr="000415B4">
        <w:trPr>
          <w:trHeight w:val="273"/>
          <w:jc w:val="center"/>
        </w:trPr>
        <w:tc>
          <w:tcPr>
            <w:tcW w:w="1523" w:type="dxa"/>
            <w:tcBorders>
              <w:top w:val="nil"/>
              <w:left w:val="nil"/>
              <w:bottom w:val="nil"/>
              <w:right w:val="nil"/>
            </w:tcBorders>
          </w:tcPr>
          <w:p w14:paraId="4EDAA88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027" w:type="dxa"/>
            <w:tcBorders>
              <w:top w:val="nil"/>
              <w:left w:val="nil"/>
              <w:bottom w:val="nil"/>
              <w:right w:val="nil"/>
            </w:tcBorders>
          </w:tcPr>
          <w:p w14:paraId="357F3E9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0.298***</w:t>
            </w:r>
          </w:p>
        </w:tc>
        <w:tc>
          <w:tcPr>
            <w:tcW w:w="2253" w:type="dxa"/>
            <w:tcBorders>
              <w:top w:val="nil"/>
              <w:left w:val="nil"/>
              <w:bottom w:val="nil"/>
              <w:right w:val="nil"/>
            </w:tcBorders>
          </w:tcPr>
          <w:p w14:paraId="6D903B7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0.217***</w:t>
            </w:r>
          </w:p>
        </w:tc>
        <w:tc>
          <w:tcPr>
            <w:tcW w:w="2140" w:type="dxa"/>
            <w:tcBorders>
              <w:top w:val="nil"/>
              <w:left w:val="nil"/>
              <w:bottom w:val="nil"/>
              <w:right w:val="nil"/>
            </w:tcBorders>
          </w:tcPr>
          <w:p w14:paraId="5146D2B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0.357***</w:t>
            </w:r>
          </w:p>
        </w:tc>
        <w:tc>
          <w:tcPr>
            <w:tcW w:w="2140" w:type="dxa"/>
            <w:tcBorders>
              <w:top w:val="nil"/>
              <w:left w:val="nil"/>
              <w:bottom w:val="nil"/>
              <w:right w:val="nil"/>
            </w:tcBorders>
          </w:tcPr>
          <w:p w14:paraId="250ED2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0.361***</w:t>
            </w:r>
          </w:p>
        </w:tc>
      </w:tr>
      <w:tr w:rsidR="00276E7F" w:rsidRPr="002E0FD0" w14:paraId="5FCC7227" w14:textId="77777777" w:rsidTr="000415B4">
        <w:trPr>
          <w:trHeight w:val="273"/>
          <w:jc w:val="center"/>
        </w:trPr>
        <w:tc>
          <w:tcPr>
            <w:tcW w:w="1523" w:type="dxa"/>
            <w:tcBorders>
              <w:top w:val="nil"/>
              <w:left w:val="nil"/>
              <w:bottom w:val="nil"/>
              <w:right w:val="nil"/>
            </w:tcBorders>
          </w:tcPr>
          <w:p w14:paraId="41240E9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F51107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(0.026)</w:t>
            </w:r>
          </w:p>
        </w:tc>
        <w:tc>
          <w:tcPr>
            <w:tcW w:w="2253" w:type="dxa"/>
            <w:tcBorders>
              <w:top w:val="nil"/>
              <w:left w:val="nil"/>
              <w:bottom w:val="nil"/>
              <w:right w:val="nil"/>
            </w:tcBorders>
          </w:tcPr>
          <w:p w14:paraId="03F0D1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(0.039)</w:t>
            </w:r>
          </w:p>
        </w:tc>
        <w:tc>
          <w:tcPr>
            <w:tcW w:w="2140" w:type="dxa"/>
            <w:tcBorders>
              <w:top w:val="nil"/>
              <w:left w:val="nil"/>
              <w:bottom w:val="nil"/>
              <w:right w:val="nil"/>
            </w:tcBorders>
          </w:tcPr>
          <w:p w14:paraId="48AED23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c>
          <w:tcPr>
            <w:tcW w:w="2140" w:type="dxa"/>
            <w:tcBorders>
              <w:top w:val="nil"/>
              <w:left w:val="nil"/>
              <w:bottom w:val="nil"/>
              <w:right w:val="nil"/>
            </w:tcBorders>
          </w:tcPr>
          <w:p w14:paraId="75C348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(0.005)</w:t>
            </w:r>
          </w:p>
        </w:tc>
      </w:tr>
      <w:tr w:rsidR="00276E7F" w:rsidRPr="002E0FD0" w14:paraId="58F9CF35" w14:textId="77777777" w:rsidTr="000415B4">
        <w:trPr>
          <w:trHeight w:val="288"/>
          <w:jc w:val="center"/>
        </w:trPr>
        <w:tc>
          <w:tcPr>
            <w:tcW w:w="1523" w:type="dxa"/>
            <w:tcBorders>
              <w:top w:val="nil"/>
              <w:left w:val="nil"/>
              <w:bottom w:val="nil"/>
              <w:right w:val="nil"/>
            </w:tcBorders>
          </w:tcPr>
          <w:p w14:paraId="41443D47" w14:textId="49DE1E25" w:rsidR="00276E7F" w:rsidRPr="002E0FD0" w:rsidRDefault="00A608F2" w:rsidP="000415B4">
            <w:pPr>
              <w:widowControl w:val="0"/>
              <w:autoSpaceDE w:val="0"/>
              <w:autoSpaceDN w:val="0"/>
              <w:adjustRightInd w:val="0"/>
              <w:spacing w:after="0" w:line="240" w:lineRule="auto"/>
              <w:rPr>
                <w:rFonts w:cstheme="minorHAnsi"/>
                <w:sz w:val="24"/>
                <w:szCs w:val="24"/>
              </w:rPr>
            </w:pPr>
            <w:r>
              <w:rPr>
                <w:rFonts w:cstheme="minorHAnsi"/>
                <w:sz w:val="24"/>
                <w:szCs w:val="24"/>
              </w:rPr>
              <w:t xml:space="preserve">Jpn </w:t>
            </w:r>
            <w:r w:rsidR="00276E7F" w:rsidRPr="002E0FD0">
              <w:rPr>
                <w:rFonts w:cstheme="minorHAnsi"/>
                <w:sz w:val="24"/>
                <w:szCs w:val="24"/>
              </w:rPr>
              <w:t>Y</w:t>
            </w:r>
          </w:p>
        </w:tc>
        <w:tc>
          <w:tcPr>
            <w:tcW w:w="2027" w:type="dxa"/>
            <w:tcBorders>
              <w:top w:val="nil"/>
              <w:left w:val="nil"/>
              <w:bottom w:val="nil"/>
              <w:right w:val="nil"/>
            </w:tcBorders>
          </w:tcPr>
          <w:p w14:paraId="71EF90F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53" w:type="dxa"/>
            <w:tcBorders>
              <w:top w:val="nil"/>
              <w:left w:val="nil"/>
              <w:bottom w:val="nil"/>
              <w:right w:val="nil"/>
            </w:tcBorders>
          </w:tcPr>
          <w:p w14:paraId="0E99ABE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0.030</w:t>
            </w:r>
          </w:p>
        </w:tc>
        <w:tc>
          <w:tcPr>
            <w:tcW w:w="2140" w:type="dxa"/>
            <w:tcBorders>
              <w:top w:val="nil"/>
              <w:left w:val="nil"/>
              <w:bottom w:val="nil"/>
              <w:right w:val="nil"/>
            </w:tcBorders>
          </w:tcPr>
          <w:p w14:paraId="386471B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0.116***</w:t>
            </w:r>
          </w:p>
        </w:tc>
        <w:tc>
          <w:tcPr>
            <w:tcW w:w="2140" w:type="dxa"/>
            <w:tcBorders>
              <w:top w:val="nil"/>
              <w:left w:val="nil"/>
              <w:bottom w:val="nil"/>
              <w:right w:val="nil"/>
            </w:tcBorders>
          </w:tcPr>
          <w:p w14:paraId="006C620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0.095***</w:t>
            </w:r>
          </w:p>
        </w:tc>
      </w:tr>
      <w:tr w:rsidR="00276E7F" w:rsidRPr="002E0FD0" w14:paraId="5D446810" w14:textId="77777777" w:rsidTr="000415B4">
        <w:trPr>
          <w:trHeight w:val="273"/>
          <w:jc w:val="center"/>
        </w:trPr>
        <w:tc>
          <w:tcPr>
            <w:tcW w:w="1523" w:type="dxa"/>
            <w:tcBorders>
              <w:top w:val="nil"/>
              <w:left w:val="nil"/>
              <w:bottom w:val="nil"/>
              <w:right w:val="nil"/>
            </w:tcBorders>
          </w:tcPr>
          <w:p w14:paraId="028EF93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41FBE4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253" w:type="dxa"/>
            <w:tcBorders>
              <w:top w:val="nil"/>
              <w:left w:val="nil"/>
              <w:bottom w:val="nil"/>
              <w:right w:val="nil"/>
            </w:tcBorders>
          </w:tcPr>
          <w:p w14:paraId="7770AF0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c>
          <w:tcPr>
            <w:tcW w:w="2140" w:type="dxa"/>
            <w:tcBorders>
              <w:top w:val="nil"/>
              <w:left w:val="nil"/>
              <w:bottom w:val="nil"/>
              <w:right w:val="nil"/>
            </w:tcBorders>
          </w:tcPr>
          <w:p w14:paraId="38F7F52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c>
          <w:tcPr>
            <w:tcW w:w="2140" w:type="dxa"/>
            <w:tcBorders>
              <w:top w:val="nil"/>
              <w:left w:val="nil"/>
              <w:bottom w:val="nil"/>
              <w:right w:val="nil"/>
            </w:tcBorders>
          </w:tcPr>
          <w:p w14:paraId="1B8520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23BB21BD" w14:textId="77777777" w:rsidTr="000415B4">
        <w:trPr>
          <w:trHeight w:val="288"/>
          <w:jc w:val="center"/>
        </w:trPr>
        <w:tc>
          <w:tcPr>
            <w:tcW w:w="1523" w:type="dxa"/>
            <w:tcBorders>
              <w:top w:val="nil"/>
              <w:left w:val="nil"/>
              <w:bottom w:val="nil"/>
              <w:right w:val="nil"/>
            </w:tcBorders>
          </w:tcPr>
          <w:p w14:paraId="24592361" w14:textId="45B21D30"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 xml:space="preserve">n </w:t>
            </w:r>
            <w:r w:rsidRPr="002E0FD0">
              <w:rPr>
                <w:rFonts w:cstheme="minorHAnsi"/>
                <w:sz w:val="24"/>
                <w:szCs w:val="24"/>
              </w:rPr>
              <w:t>Y</w:t>
            </w:r>
          </w:p>
        </w:tc>
        <w:tc>
          <w:tcPr>
            <w:tcW w:w="2027" w:type="dxa"/>
            <w:tcBorders>
              <w:top w:val="nil"/>
              <w:left w:val="nil"/>
              <w:bottom w:val="nil"/>
              <w:right w:val="nil"/>
            </w:tcBorders>
          </w:tcPr>
          <w:p w14:paraId="0AAEF3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4BFE58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140" w:type="dxa"/>
            <w:tcBorders>
              <w:top w:val="nil"/>
              <w:left w:val="nil"/>
              <w:bottom w:val="nil"/>
              <w:right w:val="nil"/>
            </w:tcBorders>
          </w:tcPr>
          <w:p w14:paraId="00D5C4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-0.006</w:t>
            </w:r>
          </w:p>
        </w:tc>
        <w:tc>
          <w:tcPr>
            <w:tcW w:w="2140" w:type="dxa"/>
            <w:tcBorders>
              <w:top w:val="nil"/>
              <w:left w:val="nil"/>
              <w:bottom w:val="nil"/>
              <w:right w:val="nil"/>
            </w:tcBorders>
          </w:tcPr>
          <w:p w14:paraId="23EF05B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1D943AC3" w14:textId="77777777" w:rsidTr="000415B4">
        <w:trPr>
          <w:trHeight w:val="273"/>
          <w:jc w:val="center"/>
        </w:trPr>
        <w:tc>
          <w:tcPr>
            <w:tcW w:w="1523" w:type="dxa"/>
            <w:tcBorders>
              <w:top w:val="nil"/>
              <w:left w:val="nil"/>
              <w:bottom w:val="nil"/>
              <w:right w:val="nil"/>
            </w:tcBorders>
          </w:tcPr>
          <w:p w14:paraId="5D0A0FF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6614213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253" w:type="dxa"/>
            <w:tcBorders>
              <w:top w:val="nil"/>
              <w:left w:val="nil"/>
              <w:bottom w:val="nil"/>
              <w:right w:val="nil"/>
            </w:tcBorders>
          </w:tcPr>
          <w:p w14:paraId="2D4ACA9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(0.092)</w:t>
            </w:r>
          </w:p>
        </w:tc>
        <w:tc>
          <w:tcPr>
            <w:tcW w:w="2140" w:type="dxa"/>
            <w:tcBorders>
              <w:top w:val="nil"/>
              <w:left w:val="nil"/>
              <w:bottom w:val="nil"/>
              <w:right w:val="nil"/>
            </w:tcBorders>
          </w:tcPr>
          <w:p w14:paraId="2949EE2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1441061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54CDA415" w14:textId="77777777" w:rsidTr="000415B4">
        <w:trPr>
          <w:trHeight w:val="273"/>
          <w:jc w:val="center"/>
        </w:trPr>
        <w:tc>
          <w:tcPr>
            <w:tcW w:w="1523" w:type="dxa"/>
            <w:tcBorders>
              <w:top w:val="nil"/>
              <w:left w:val="nil"/>
              <w:bottom w:val="nil"/>
              <w:right w:val="nil"/>
            </w:tcBorders>
          </w:tcPr>
          <w:p w14:paraId="5A9F1578"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027" w:type="dxa"/>
            <w:tcBorders>
              <w:top w:val="nil"/>
              <w:left w:val="nil"/>
              <w:bottom w:val="nil"/>
              <w:right w:val="nil"/>
            </w:tcBorders>
          </w:tcPr>
          <w:p w14:paraId="2407732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0.768***</w:t>
            </w:r>
          </w:p>
        </w:tc>
        <w:tc>
          <w:tcPr>
            <w:tcW w:w="2253" w:type="dxa"/>
            <w:tcBorders>
              <w:top w:val="nil"/>
              <w:left w:val="nil"/>
              <w:bottom w:val="nil"/>
              <w:right w:val="nil"/>
            </w:tcBorders>
          </w:tcPr>
          <w:p w14:paraId="4CD8D7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0.639***</w:t>
            </w:r>
          </w:p>
        </w:tc>
        <w:tc>
          <w:tcPr>
            <w:tcW w:w="2140" w:type="dxa"/>
            <w:tcBorders>
              <w:top w:val="nil"/>
              <w:left w:val="nil"/>
              <w:bottom w:val="nil"/>
              <w:right w:val="nil"/>
            </w:tcBorders>
          </w:tcPr>
          <w:p w14:paraId="35D749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0.935***</w:t>
            </w:r>
          </w:p>
        </w:tc>
        <w:tc>
          <w:tcPr>
            <w:tcW w:w="2140" w:type="dxa"/>
            <w:tcBorders>
              <w:top w:val="nil"/>
              <w:left w:val="nil"/>
              <w:bottom w:val="nil"/>
              <w:right w:val="nil"/>
            </w:tcBorders>
          </w:tcPr>
          <w:p w14:paraId="1F387AD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0.992***</w:t>
            </w:r>
          </w:p>
        </w:tc>
      </w:tr>
      <w:tr w:rsidR="00276E7F" w:rsidRPr="002E0FD0" w14:paraId="2A7F3F4C" w14:textId="77777777" w:rsidTr="000415B4">
        <w:trPr>
          <w:trHeight w:val="288"/>
          <w:jc w:val="center"/>
        </w:trPr>
        <w:tc>
          <w:tcPr>
            <w:tcW w:w="1523" w:type="dxa"/>
            <w:tcBorders>
              <w:top w:val="nil"/>
              <w:left w:val="nil"/>
              <w:bottom w:val="nil"/>
              <w:right w:val="nil"/>
            </w:tcBorders>
          </w:tcPr>
          <w:p w14:paraId="701C9DE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4E1C24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53" w:type="dxa"/>
            <w:tcBorders>
              <w:top w:val="nil"/>
              <w:left w:val="nil"/>
              <w:bottom w:val="nil"/>
              <w:right w:val="nil"/>
            </w:tcBorders>
          </w:tcPr>
          <w:p w14:paraId="33E76CF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(0.046)</w:t>
            </w:r>
          </w:p>
        </w:tc>
        <w:tc>
          <w:tcPr>
            <w:tcW w:w="2140" w:type="dxa"/>
            <w:tcBorders>
              <w:top w:val="nil"/>
              <w:left w:val="nil"/>
              <w:bottom w:val="nil"/>
              <w:right w:val="nil"/>
            </w:tcBorders>
          </w:tcPr>
          <w:p w14:paraId="504C490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(0.013)</w:t>
            </w:r>
          </w:p>
        </w:tc>
        <w:tc>
          <w:tcPr>
            <w:tcW w:w="2140" w:type="dxa"/>
            <w:tcBorders>
              <w:top w:val="nil"/>
              <w:left w:val="nil"/>
              <w:bottom w:val="nil"/>
              <w:right w:val="nil"/>
            </w:tcBorders>
          </w:tcPr>
          <w:p w14:paraId="199955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72F03F44" w14:textId="77777777" w:rsidTr="000415B4">
        <w:trPr>
          <w:trHeight w:val="273"/>
          <w:jc w:val="center"/>
        </w:trPr>
        <w:tc>
          <w:tcPr>
            <w:tcW w:w="1523" w:type="dxa"/>
            <w:tcBorders>
              <w:top w:val="nil"/>
              <w:left w:val="nil"/>
              <w:bottom w:val="nil"/>
              <w:right w:val="nil"/>
            </w:tcBorders>
          </w:tcPr>
          <w:p w14:paraId="6EAC1BCD"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027" w:type="dxa"/>
            <w:tcBorders>
              <w:top w:val="nil"/>
              <w:left w:val="nil"/>
              <w:bottom w:val="nil"/>
              <w:right w:val="nil"/>
            </w:tcBorders>
          </w:tcPr>
          <w:p w14:paraId="5BB3757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53" w:type="dxa"/>
            <w:tcBorders>
              <w:top w:val="nil"/>
              <w:left w:val="nil"/>
              <w:bottom w:val="nil"/>
              <w:right w:val="nil"/>
            </w:tcBorders>
          </w:tcPr>
          <w:p w14:paraId="0EAE48F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140" w:type="dxa"/>
            <w:tcBorders>
              <w:top w:val="nil"/>
              <w:left w:val="nil"/>
              <w:bottom w:val="nil"/>
              <w:right w:val="nil"/>
            </w:tcBorders>
          </w:tcPr>
          <w:p w14:paraId="4F31494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30D4E8B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711CFAF7" w14:textId="77777777" w:rsidTr="000415B4">
        <w:trPr>
          <w:trHeight w:val="288"/>
          <w:jc w:val="center"/>
        </w:trPr>
        <w:tc>
          <w:tcPr>
            <w:tcW w:w="1523" w:type="dxa"/>
            <w:tcBorders>
              <w:top w:val="nil"/>
              <w:left w:val="nil"/>
              <w:bottom w:val="nil"/>
              <w:right w:val="nil"/>
            </w:tcBorders>
          </w:tcPr>
          <w:p w14:paraId="05B819E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02C672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53" w:type="dxa"/>
            <w:tcBorders>
              <w:top w:val="nil"/>
              <w:left w:val="nil"/>
              <w:bottom w:val="nil"/>
              <w:right w:val="nil"/>
            </w:tcBorders>
          </w:tcPr>
          <w:p w14:paraId="122A6D2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00AA59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222E9B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2AC340FE" w14:textId="77777777" w:rsidTr="000415B4">
        <w:trPr>
          <w:trHeight w:val="273"/>
          <w:jc w:val="center"/>
        </w:trPr>
        <w:tc>
          <w:tcPr>
            <w:tcW w:w="1523" w:type="dxa"/>
            <w:tcBorders>
              <w:top w:val="nil"/>
              <w:left w:val="nil"/>
              <w:bottom w:val="nil"/>
              <w:right w:val="nil"/>
            </w:tcBorders>
          </w:tcPr>
          <w:p w14:paraId="1F18EE5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027" w:type="dxa"/>
            <w:tcBorders>
              <w:top w:val="nil"/>
              <w:left w:val="nil"/>
              <w:bottom w:val="nil"/>
              <w:right w:val="nil"/>
            </w:tcBorders>
          </w:tcPr>
          <w:p w14:paraId="1A7CCC9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523</w:t>
            </w:r>
          </w:p>
        </w:tc>
        <w:tc>
          <w:tcPr>
            <w:tcW w:w="2253" w:type="dxa"/>
            <w:tcBorders>
              <w:top w:val="nil"/>
              <w:left w:val="nil"/>
              <w:bottom w:val="nil"/>
              <w:right w:val="nil"/>
            </w:tcBorders>
          </w:tcPr>
          <w:p w14:paraId="40C255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292</w:t>
            </w:r>
          </w:p>
        </w:tc>
        <w:tc>
          <w:tcPr>
            <w:tcW w:w="2140" w:type="dxa"/>
            <w:tcBorders>
              <w:top w:val="nil"/>
              <w:left w:val="nil"/>
              <w:bottom w:val="nil"/>
              <w:right w:val="nil"/>
            </w:tcBorders>
          </w:tcPr>
          <w:p w14:paraId="7A4FB35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692</w:t>
            </w:r>
          </w:p>
        </w:tc>
        <w:tc>
          <w:tcPr>
            <w:tcW w:w="2140" w:type="dxa"/>
            <w:tcBorders>
              <w:top w:val="nil"/>
              <w:left w:val="nil"/>
              <w:bottom w:val="nil"/>
              <w:right w:val="nil"/>
            </w:tcBorders>
          </w:tcPr>
          <w:p w14:paraId="5E9F927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540</w:t>
            </w:r>
          </w:p>
        </w:tc>
      </w:tr>
      <w:tr w:rsidR="00276E7F" w:rsidRPr="002E0FD0" w14:paraId="34528F57" w14:textId="77777777" w:rsidTr="000415B4">
        <w:trPr>
          <w:trHeight w:val="288"/>
          <w:jc w:val="center"/>
        </w:trPr>
        <w:tc>
          <w:tcPr>
            <w:tcW w:w="1523" w:type="dxa"/>
            <w:tcBorders>
              <w:top w:val="nil"/>
              <w:left w:val="nil"/>
              <w:bottom w:val="nil"/>
              <w:right w:val="nil"/>
            </w:tcBorders>
          </w:tcPr>
          <w:p w14:paraId="1FA10E9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27" w:type="dxa"/>
            <w:tcBorders>
              <w:top w:val="nil"/>
              <w:left w:val="nil"/>
              <w:bottom w:val="nil"/>
              <w:right w:val="nil"/>
            </w:tcBorders>
          </w:tcPr>
          <w:p w14:paraId="00BA7BAC"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0.911</w:t>
            </w:r>
          </w:p>
        </w:tc>
        <w:tc>
          <w:tcPr>
            <w:tcW w:w="2253" w:type="dxa"/>
            <w:tcBorders>
              <w:top w:val="nil"/>
              <w:left w:val="nil"/>
              <w:bottom w:val="nil"/>
              <w:right w:val="nil"/>
            </w:tcBorders>
          </w:tcPr>
          <w:p w14:paraId="0D2738C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0.910</w:t>
            </w:r>
          </w:p>
        </w:tc>
        <w:tc>
          <w:tcPr>
            <w:tcW w:w="2140" w:type="dxa"/>
            <w:tcBorders>
              <w:top w:val="nil"/>
              <w:left w:val="nil"/>
              <w:bottom w:val="nil"/>
              <w:right w:val="nil"/>
            </w:tcBorders>
          </w:tcPr>
          <w:p w14:paraId="34B9BBC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0.980</w:t>
            </w:r>
          </w:p>
        </w:tc>
        <w:tc>
          <w:tcPr>
            <w:tcW w:w="2140" w:type="dxa"/>
            <w:tcBorders>
              <w:top w:val="nil"/>
              <w:left w:val="nil"/>
              <w:bottom w:val="nil"/>
              <w:right w:val="nil"/>
            </w:tcBorders>
          </w:tcPr>
          <w:p w14:paraId="5464A67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0.996</w:t>
            </w:r>
          </w:p>
        </w:tc>
      </w:tr>
      <w:tr w:rsidR="00276E7F" w:rsidRPr="002E0FD0" w14:paraId="119C0A8C" w14:textId="77777777" w:rsidTr="000415B4">
        <w:tblPrEx>
          <w:tblBorders>
            <w:bottom w:val="single" w:sz="6" w:space="0" w:color="auto"/>
          </w:tblBorders>
        </w:tblPrEx>
        <w:trPr>
          <w:trHeight w:val="273"/>
          <w:jc w:val="center"/>
        </w:trPr>
        <w:tc>
          <w:tcPr>
            <w:tcW w:w="1523" w:type="dxa"/>
            <w:tcBorders>
              <w:top w:val="nil"/>
              <w:left w:val="nil"/>
              <w:bottom w:val="single" w:sz="6" w:space="0" w:color="auto"/>
              <w:right w:val="nil"/>
            </w:tcBorders>
          </w:tcPr>
          <w:p w14:paraId="5E51BAA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27" w:type="dxa"/>
            <w:tcBorders>
              <w:top w:val="nil"/>
              <w:left w:val="nil"/>
              <w:bottom w:val="single" w:sz="6" w:space="0" w:color="auto"/>
              <w:right w:val="nil"/>
            </w:tcBorders>
          </w:tcPr>
          <w:p w14:paraId="007235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0.091</w:t>
            </w:r>
          </w:p>
        </w:tc>
        <w:tc>
          <w:tcPr>
            <w:tcW w:w="2253" w:type="dxa"/>
            <w:tcBorders>
              <w:top w:val="nil"/>
              <w:left w:val="nil"/>
              <w:bottom w:val="single" w:sz="6" w:space="0" w:color="auto"/>
              <w:right w:val="nil"/>
            </w:tcBorders>
          </w:tcPr>
          <w:p w14:paraId="386AA0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140" w:type="dxa"/>
            <w:tcBorders>
              <w:top w:val="nil"/>
              <w:left w:val="nil"/>
              <w:bottom w:val="single" w:sz="6" w:space="0" w:color="auto"/>
              <w:right w:val="nil"/>
            </w:tcBorders>
          </w:tcPr>
          <w:p w14:paraId="6DAD409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0.078</w:t>
            </w:r>
          </w:p>
        </w:tc>
        <w:tc>
          <w:tcPr>
            <w:tcW w:w="2140" w:type="dxa"/>
            <w:tcBorders>
              <w:top w:val="nil"/>
              <w:left w:val="nil"/>
              <w:bottom w:val="single" w:sz="6" w:space="0" w:color="auto"/>
              <w:right w:val="nil"/>
            </w:tcBorders>
          </w:tcPr>
          <w:p w14:paraId="2A942D5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0.108</w:t>
            </w:r>
          </w:p>
        </w:tc>
      </w:tr>
    </w:tbl>
    <w:p w14:paraId="2A4D4938" w14:textId="77777777" w:rsidR="00276E7F" w:rsidRPr="002E0FD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1"/>
        <w:gridCol w:w="2110"/>
        <w:gridCol w:w="2221"/>
      </w:tblGrid>
      <w:tr w:rsidR="00276E7F" w:rsidRPr="002E0FD0" w14:paraId="14DB5299" w14:textId="77777777" w:rsidTr="000415B4">
        <w:trPr>
          <w:trHeight w:val="262"/>
          <w:jc w:val="center"/>
        </w:trPr>
        <w:tc>
          <w:tcPr>
            <w:tcW w:w="1501" w:type="dxa"/>
            <w:tcBorders>
              <w:top w:val="single" w:sz="6" w:space="0" w:color="auto"/>
              <w:left w:val="nil"/>
              <w:bottom w:val="nil"/>
              <w:right w:val="nil"/>
            </w:tcBorders>
          </w:tcPr>
          <w:p w14:paraId="71FEB13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single" w:sz="6" w:space="0" w:color="auto"/>
              <w:left w:val="nil"/>
              <w:bottom w:val="nil"/>
              <w:right w:val="nil"/>
            </w:tcBorders>
          </w:tcPr>
          <w:p w14:paraId="52E0D2C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2E0FD0">
              <w:rPr>
                <w:rFonts w:cstheme="minorHAnsi"/>
                <w:sz w:val="24"/>
                <w:szCs w:val="24"/>
              </w:rPr>
              <w:t>)</w:t>
            </w:r>
          </w:p>
        </w:tc>
        <w:tc>
          <w:tcPr>
            <w:tcW w:w="2221" w:type="dxa"/>
            <w:tcBorders>
              <w:top w:val="single" w:sz="6" w:space="0" w:color="auto"/>
              <w:left w:val="nil"/>
              <w:bottom w:val="nil"/>
              <w:right w:val="nil"/>
            </w:tcBorders>
          </w:tcPr>
          <w:p w14:paraId="16033A2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w:t>
            </w:r>
            <w:r>
              <w:rPr>
                <w:rFonts w:cstheme="minorHAnsi"/>
                <w:sz w:val="24"/>
                <w:szCs w:val="24"/>
              </w:rPr>
              <w:t>6</w:t>
            </w:r>
            <w:r w:rsidRPr="002E0FD0">
              <w:rPr>
                <w:rFonts w:cstheme="minorHAnsi"/>
                <w:sz w:val="24"/>
                <w:szCs w:val="24"/>
              </w:rPr>
              <w:t>)</w:t>
            </w:r>
          </w:p>
        </w:tc>
      </w:tr>
      <w:tr w:rsidR="00276E7F" w:rsidRPr="002E0FD0" w14:paraId="22AC1988" w14:textId="77777777" w:rsidTr="000415B4">
        <w:trPr>
          <w:trHeight w:val="276"/>
          <w:jc w:val="center"/>
        </w:trPr>
        <w:tc>
          <w:tcPr>
            <w:tcW w:w="1501" w:type="dxa"/>
            <w:tcBorders>
              <w:top w:val="nil"/>
              <w:left w:val="nil"/>
              <w:bottom w:val="single" w:sz="6" w:space="0" w:color="auto"/>
              <w:right w:val="nil"/>
            </w:tcBorders>
          </w:tcPr>
          <w:p w14:paraId="3CFC7C4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110" w:type="dxa"/>
            <w:tcBorders>
              <w:top w:val="nil"/>
              <w:left w:val="nil"/>
              <w:bottom w:val="single" w:sz="6" w:space="0" w:color="auto"/>
              <w:right w:val="nil"/>
            </w:tcBorders>
          </w:tcPr>
          <w:p w14:paraId="3D39126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10/2/2013-5/8/2015</w:t>
            </w:r>
          </w:p>
        </w:tc>
        <w:tc>
          <w:tcPr>
            <w:tcW w:w="2221" w:type="dxa"/>
            <w:tcBorders>
              <w:top w:val="nil"/>
              <w:left w:val="nil"/>
              <w:bottom w:val="single" w:sz="6" w:space="0" w:color="auto"/>
              <w:right w:val="nil"/>
            </w:tcBorders>
          </w:tcPr>
          <w:p w14:paraId="5182D1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5/11/2015-2/28/2017</w:t>
            </w:r>
          </w:p>
        </w:tc>
      </w:tr>
      <w:tr w:rsidR="00276E7F" w:rsidRPr="002E0FD0" w14:paraId="1EB6087E" w14:textId="77777777" w:rsidTr="000415B4">
        <w:trPr>
          <w:trHeight w:val="276"/>
          <w:jc w:val="center"/>
        </w:trPr>
        <w:tc>
          <w:tcPr>
            <w:tcW w:w="1501" w:type="dxa"/>
            <w:tcBorders>
              <w:top w:val="nil"/>
              <w:left w:val="nil"/>
              <w:bottom w:val="nil"/>
              <w:right w:val="nil"/>
            </w:tcBorders>
          </w:tcPr>
          <w:p w14:paraId="2FCC365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p>
        </w:tc>
        <w:tc>
          <w:tcPr>
            <w:tcW w:w="2110" w:type="dxa"/>
            <w:tcBorders>
              <w:top w:val="nil"/>
              <w:left w:val="nil"/>
              <w:bottom w:val="nil"/>
              <w:right w:val="nil"/>
            </w:tcBorders>
          </w:tcPr>
          <w:p w14:paraId="484E385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0.431***</w:t>
            </w:r>
          </w:p>
        </w:tc>
        <w:tc>
          <w:tcPr>
            <w:tcW w:w="2221" w:type="dxa"/>
            <w:tcBorders>
              <w:top w:val="nil"/>
              <w:left w:val="nil"/>
              <w:bottom w:val="nil"/>
              <w:right w:val="nil"/>
            </w:tcBorders>
          </w:tcPr>
          <w:p w14:paraId="7BD4686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0.487***</w:t>
            </w:r>
          </w:p>
        </w:tc>
      </w:tr>
      <w:tr w:rsidR="00276E7F" w:rsidRPr="002E0FD0" w14:paraId="6C4025D0" w14:textId="77777777" w:rsidTr="000415B4">
        <w:trPr>
          <w:trHeight w:val="262"/>
          <w:jc w:val="center"/>
        </w:trPr>
        <w:tc>
          <w:tcPr>
            <w:tcW w:w="1501" w:type="dxa"/>
            <w:tcBorders>
              <w:top w:val="nil"/>
              <w:left w:val="nil"/>
              <w:bottom w:val="nil"/>
              <w:right w:val="nil"/>
            </w:tcBorders>
          </w:tcPr>
          <w:p w14:paraId="487091E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19B2E3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21" w:type="dxa"/>
            <w:tcBorders>
              <w:top w:val="nil"/>
              <w:left w:val="nil"/>
              <w:bottom w:val="nil"/>
              <w:right w:val="nil"/>
            </w:tcBorders>
          </w:tcPr>
          <w:p w14:paraId="59494D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3D00EC45" w14:textId="77777777" w:rsidTr="000415B4">
        <w:trPr>
          <w:trHeight w:val="262"/>
          <w:jc w:val="center"/>
        </w:trPr>
        <w:tc>
          <w:tcPr>
            <w:tcW w:w="1501" w:type="dxa"/>
            <w:tcBorders>
              <w:top w:val="nil"/>
              <w:left w:val="nil"/>
              <w:bottom w:val="nil"/>
              <w:right w:val="nil"/>
            </w:tcBorders>
          </w:tcPr>
          <w:p w14:paraId="73F781C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110" w:type="dxa"/>
            <w:tcBorders>
              <w:top w:val="nil"/>
              <w:left w:val="nil"/>
              <w:bottom w:val="nil"/>
              <w:right w:val="nil"/>
            </w:tcBorders>
          </w:tcPr>
          <w:p w14:paraId="793B0B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0.356***</w:t>
            </w:r>
          </w:p>
        </w:tc>
        <w:tc>
          <w:tcPr>
            <w:tcW w:w="2221" w:type="dxa"/>
            <w:tcBorders>
              <w:top w:val="nil"/>
              <w:left w:val="nil"/>
              <w:bottom w:val="nil"/>
              <w:right w:val="nil"/>
            </w:tcBorders>
          </w:tcPr>
          <w:p w14:paraId="69354E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0.331***</w:t>
            </w:r>
          </w:p>
        </w:tc>
      </w:tr>
      <w:tr w:rsidR="00276E7F" w:rsidRPr="002E0FD0" w14:paraId="48B13399" w14:textId="77777777" w:rsidTr="000415B4">
        <w:trPr>
          <w:trHeight w:val="276"/>
          <w:jc w:val="center"/>
        </w:trPr>
        <w:tc>
          <w:tcPr>
            <w:tcW w:w="1501" w:type="dxa"/>
            <w:tcBorders>
              <w:top w:val="nil"/>
              <w:left w:val="nil"/>
              <w:bottom w:val="nil"/>
              <w:right w:val="nil"/>
            </w:tcBorders>
          </w:tcPr>
          <w:p w14:paraId="6774E3D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0A55819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0D59CA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0D3A78BF" w14:textId="77777777" w:rsidTr="000415B4">
        <w:trPr>
          <w:trHeight w:val="262"/>
          <w:jc w:val="center"/>
        </w:trPr>
        <w:tc>
          <w:tcPr>
            <w:tcW w:w="1501" w:type="dxa"/>
            <w:tcBorders>
              <w:top w:val="nil"/>
              <w:left w:val="nil"/>
              <w:bottom w:val="nil"/>
              <w:right w:val="nil"/>
            </w:tcBorders>
          </w:tcPr>
          <w:p w14:paraId="51154474" w14:textId="7E22C67C"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J</w:t>
            </w:r>
            <w:r w:rsidR="00A608F2">
              <w:rPr>
                <w:rFonts w:cstheme="minorHAnsi"/>
                <w:sz w:val="24"/>
                <w:szCs w:val="24"/>
              </w:rPr>
              <w:t xml:space="preserve">pn </w:t>
            </w:r>
            <w:r w:rsidRPr="002E0FD0">
              <w:rPr>
                <w:rFonts w:cstheme="minorHAnsi"/>
                <w:sz w:val="24"/>
                <w:szCs w:val="24"/>
              </w:rPr>
              <w:t>Y</w:t>
            </w:r>
          </w:p>
        </w:tc>
        <w:tc>
          <w:tcPr>
            <w:tcW w:w="2110" w:type="dxa"/>
            <w:tcBorders>
              <w:top w:val="nil"/>
              <w:left w:val="nil"/>
              <w:bottom w:val="nil"/>
              <w:right w:val="nil"/>
            </w:tcBorders>
          </w:tcPr>
          <w:p w14:paraId="37F008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21" w:type="dxa"/>
            <w:tcBorders>
              <w:top w:val="nil"/>
              <w:left w:val="nil"/>
              <w:bottom w:val="nil"/>
              <w:right w:val="nil"/>
            </w:tcBorders>
          </w:tcPr>
          <w:p w14:paraId="0E73D83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0.080***</w:t>
            </w:r>
          </w:p>
        </w:tc>
      </w:tr>
      <w:tr w:rsidR="00276E7F" w:rsidRPr="002E0FD0" w14:paraId="16BE197F" w14:textId="77777777" w:rsidTr="000415B4">
        <w:trPr>
          <w:trHeight w:val="276"/>
          <w:jc w:val="center"/>
        </w:trPr>
        <w:tc>
          <w:tcPr>
            <w:tcW w:w="1501" w:type="dxa"/>
            <w:tcBorders>
              <w:top w:val="nil"/>
              <w:left w:val="nil"/>
              <w:bottom w:val="nil"/>
              <w:right w:val="nil"/>
            </w:tcBorders>
          </w:tcPr>
          <w:p w14:paraId="1736E4C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FF41C6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c>
          <w:tcPr>
            <w:tcW w:w="2221" w:type="dxa"/>
            <w:tcBorders>
              <w:top w:val="nil"/>
              <w:left w:val="nil"/>
              <w:bottom w:val="nil"/>
              <w:right w:val="nil"/>
            </w:tcBorders>
          </w:tcPr>
          <w:p w14:paraId="42F39C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4775EDC3" w14:textId="77777777" w:rsidTr="000415B4">
        <w:trPr>
          <w:trHeight w:val="262"/>
          <w:jc w:val="center"/>
        </w:trPr>
        <w:tc>
          <w:tcPr>
            <w:tcW w:w="1501" w:type="dxa"/>
            <w:tcBorders>
              <w:top w:val="nil"/>
              <w:left w:val="nil"/>
              <w:bottom w:val="nil"/>
              <w:right w:val="nil"/>
            </w:tcBorders>
          </w:tcPr>
          <w:p w14:paraId="15E4D33D" w14:textId="6D53FB3B"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n Y</w:t>
            </w:r>
          </w:p>
        </w:tc>
        <w:tc>
          <w:tcPr>
            <w:tcW w:w="2110" w:type="dxa"/>
            <w:tcBorders>
              <w:top w:val="nil"/>
              <w:left w:val="nil"/>
              <w:bottom w:val="nil"/>
              <w:right w:val="nil"/>
            </w:tcBorders>
          </w:tcPr>
          <w:p w14:paraId="068884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0.027</w:t>
            </w:r>
          </w:p>
        </w:tc>
        <w:tc>
          <w:tcPr>
            <w:tcW w:w="2221" w:type="dxa"/>
            <w:tcBorders>
              <w:top w:val="nil"/>
              <w:left w:val="nil"/>
              <w:bottom w:val="nil"/>
              <w:right w:val="nil"/>
            </w:tcBorders>
          </w:tcPr>
          <w:p w14:paraId="3E43BB5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78BA6197" w14:textId="77777777" w:rsidTr="000415B4">
        <w:trPr>
          <w:trHeight w:val="262"/>
          <w:jc w:val="center"/>
        </w:trPr>
        <w:tc>
          <w:tcPr>
            <w:tcW w:w="1501" w:type="dxa"/>
            <w:tcBorders>
              <w:top w:val="nil"/>
              <w:left w:val="nil"/>
              <w:bottom w:val="nil"/>
              <w:right w:val="nil"/>
            </w:tcBorders>
          </w:tcPr>
          <w:p w14:paraId="122F3B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915881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(0.031)</w:t>
            </w:r>
          </w:p>
        </w:tc>
        <w:tc>
          <w:tcPr>
            <w:tcW w:w="2221" w:type="dxa"/>
            <w:tcBorders>
              <w:top w:val="nil"/>
              <w:left w:val="nil"/>
              <w:bottom w:val="nil"/>
              <w:right w:val="nil"/>
            </w:tcBorders>
          </w:tcPr>
          <w:p w14:paraId="0A123CF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r>
      <w:tr w:rsidR="00276E7F" w:rsidRPr="002E0FD0" w14:paraId="020082EF" w14:textId="77777777" w:rsidTr="000415B4">
        <w:trPr>
          <w:trHeight w:val="276"/>
          <w:jc w:val="center"/>
        </w:trPr>
        <w:tc>
          <w:tcPr>
            <w:tcW w:w="1501" w:type="dxa"/>
            <w:tcBorders>
              <w:top w:val="nil"/>
              <w:left w:val="nil"/>
              <w:bottom w:val="nil"/>
              <w:right w:val="nil"/>
            </w:tcBorders>
          </w:tcPr>
          <w:p w14:paraId="213EDA1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110" w:type="dxa"/>
            <w:tcBorders>
              <w:top w:val="nil"/>
              <w:left w:val="nil"/>
              <w:bottom w:val="nil"/>
              <w:right w:val="nil"/>
            </w:tcBorders>
          </w:tcPr>
          <w:p w14:paraId="03415E2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0.963***</w:t>
            </w:r>
          </w:p>
        </w:tc>
        <w:tc>
          <w:tcPr>
            <w:tcW w:w="2221" w:type="dxa"/>
            <w:tcBorders>
              <w:top w:val="nil"/>
              <w:left w:val="nil"/>
              <w:bottom w:val="nil"/>
              <w:right w:val="nil"/>
            </w:tcBorders>
          </w:tcPr>
          <w:p w14:paraId="7DC4CD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0.981***</w:t>
            </w:r>
          </w:p>
        </w:tc>
      </w:tr>
      <w:tr w:rsidR="00276E7F" w:rsidRPr="002E0FD0" w14:paraId="4D005F91" w14:textId="77777777" w:rsidTr="000415B4">
        <w:trPr>
          <w:trHeight w:val="262"/>
          <w:jc w:val="center"/>
        </w:trPr>
        <w:tc>
          <w:tcPr>
            <w:tcW w:w="1501" w:type="dxa"/>
            <w:tcBorders>
              <w:top w:val="nil"/>
              <w:left w:val="nil"/>
              <w:bottom w:val="nil"/>
              <w:right w:val="nil"/>
            </w:tcBorders>
          </w:tcPr>
          <w:p w14:paraId="68ABC2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05CD9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251FB8C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r>
      <w:tr w:rsidR="00276E7F" w:rsidRPr="002E0FD0" w14:paraId="558F5062" w14:textId="77777777" w:rsidTr="000415B4">
        <w:trPr>
          <w:trHeight w:val="276"/>
          <w:jc w:val="center"/>
        </w:trPr>
        <w:tc>
          <w:tcPr>
            <w:tcW w:w="1501" w:type="dxa"/>
            <w:tcBorders>
              <w:top w:val="nil"/>
              <w:left w:val="nil"/>
              <w:bottom w:val="nil"/>
              <w:right w:val="nil"/>
            </w:tcBorders>
          </w:tcPr>
          <w:p w14:paraId="225F1D23"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110" w:type="dxa"/>
            <w:tcBorders>
              <w:top w:val="nil"/>
              <w:left w:val="nil"/>
              <w:bottom w:val="nil"/>
              <w:right w:val="nil"/>
            </w:tcBorders>
          </w:tcPr>
          <w:p w14:paraId="35ED8AE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21" w:type="dxa"/>
            <w:tcBorders>
              <w:top w:val="nil"/>
              <w:left w:val="nil"/>
              <w:bottom w:val="nil"/>
              <w:right w:val="nil"/>
            </w:tcBorders>
          </w:tcPr>
          <w:p w14:paraId="74F77D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6AE89069" w14:textId="77777777" w:rsidTr="000415B4">
        <w:trPr>
          <w:trHeight w:val="262"/>
          <w:jc w:val="center"/>
        </w:trPr>
        <w:tc>
          <w:tcPr>
            <w:tcW w:w="1501" w:type="dxa"/>
            <w:tcBorders>
              <w:top w:val="nil"/>
              <w:left w:val="nil"/>
              <w:bottom w:val="nil"/>
              <w:right w:val="nil"/>
            </w:tcBorders>
          </w:tcPr>
          <w:p w14:paraId="760BB63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A5A241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21" w:type="dxa"/>
            <w:tcBorders>
              <w:top w:val="nil"/>
              <w:left w:val="nil"/>
              <w:bottom w:val="nil"/>
              <w:right w:val="nil"/>
            </w:tcBorders>
          </w:tcPr>
          <w:p w14:paraId="2F2649C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4018A958" w14:textId="77777777" w:rsidTr="000415B4">
        <w:trPr>
          <w:trHeight w:val="276"/>
          <w:jc w:val="center"/>
        </w:trPr>
        <w:tc>
          <w:tcPr>
            <w:tcW w:w="1501" w:type="dxa"/>
            <w:tcBorders>
              <w:top w:val="nil"/>
              <w:left w:val="nil"/>
              <w:bottom w:val="nil"/>
              <w:right w:val="nil"/>
            </w:tcBorders>
          </w:tcPr>
          <w:p w14:paraId="6F2B894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110" w:type="dxa"/>
            <w:tcBorders>
              <w:top w:val="nil"/>
              <w:left w:val="nil"/>
              <w:bottom w:val="nil"/>
              <w:right w:val="nil"/>
            </w:tcBorders>
          </w:tcPr>
          <w:p w14:paraId="743D90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400</w:t>
            </w:r>
          </w:p>
        </w:tc>
        <w:tc>
          <w:tcPr>
            <w:tcW w:w="2221" w:type="dxa"/>
            <w:tcBorders>
              <w:top w:val="nil"/>
              <w:left w:val="nil"/>
              <w:bottom w:val="nil"/>
              <w:right w:val="nil"/>
            </w:tcBorders>
          </w:tcPr>
          <w:p w14:paraId="78E9E5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451</w:t>
            </w:r>
          </w:p>
        </w:tc>
      </w:tr>
      <w:tr w:rsidR="00276E7F" w:rsidRPr="002E0FD0" w14:paraId="0595A901" w14:textId="77777777" w:rsidTr="000415B4">
        <w:trPr>
          <w:trHeight w:val="262"/>
          <w:jc w:val="center"/>
        </w:trPr>
        <w:tc>
          <w:tcPr>
            <w:tcW w:w="1501" w:type="dxa"/>
            <w:tcBorders>
              <w:top w:val="nil"/>
              <w:left w:val="nil"/>
              <w:bottom w:val="nil"/>
              <w:right w:val="nil"/>
            </w:tcBorders>
          </w:tcPr>
          <w:p w14:paraId="0D255B54"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10" w:type="dxa"/>
            <w:tcBorders>
              <w:top w:val="nil"/>
              <w:left w:val="nil"/>
              <w:bottom w:val="nil"/>
              <w:right w:val="nil"/>
            </w:tcBorders>
          </w:tcPr>
          <w:p w14:paraId="6D2D6E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0.982</w:t>
            </w:r>
          </w:p>
        </w:tc>
        <w:tc>
          <w:tcPr>
            <w:tcW w:w="2221" w:type="dxa"/>
            <w:tcBorders>
              <w:top w:val="nil"/>
              <w:left w:val="nil"/>
              <w:bottom w:val="nil"/>
              <w:right w:val="nil"/>
            </w:tcBorders>
          </w:tcPr>
          <w:p w14:paraId="02F4D4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0.997</w:t>
            </w:r>
          </w:p>
        </w:tc>
      </w:tr>
      <w:tr w:rsidR="00276E7F" w:rsidRPr="002E0FD0" w14:paraId="05107800" w14:textId="77777777" w:rsidTr="000415B4">
        <w:tblPrEx>
          <w:tblBorders>
            <w:bottom w:val="single" w:sz="6" w:space="0" w:color="auto"/>
          </w:tblBorders>
        </w:tblPrEx>
        <w:trPr>
          <w:trHeight w:val="276"/>
          <w:jc w:val="center"/>
        </w:trPr>
        <w:tc>
          <w:tcPr>
            <w:tcW w:w="1501" w:type="dxa"/>
            <w:tcBorders>
              <w:top w:val="nil"/>
              <w:left w:val="nil"/>
              <w:bottom w:val="single" w:sz="6" w:space="0" w:color="auto"/>
              <w:right w:val="nil"/>
            </w:tcBorders>
          </w:tcPr>
          <w:p w14:paraId="598132A0"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10" w:type="dxa"/>
            <w:tcBorders>
              <w:top w:val="nil"/>
              <w:left w:val="nil"/>
              <w:bottom w:val="single" w:sz="6" w:space="0" w:color="auto"/>
              <w:right w:val="nil"/>
            </w:tcBorders>
          </w:tcPr>
          <w:p w14:paraId="4C801B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0.120</w:t>
            </w:r>
          </w:p>
        </w:tc>
        <w:tc>
          <w:tcPr>
            <w:tcW w:w="2221" w:type="dxa"/>
            <w:tcBorders>
              <w:top w:val="nil"/>
              <w:left w:val="nil"/>
              <w:bottom w:val="single" w:sz="6" w:space="0" w:color="auto"/>
              <w:right w:val="nil"/>
            </w:tcBorders>
          </w:tcPr>
          <w:p w14:paraId="69B94E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0.110</w:t>
            </w:r>
          </w:p>
        </w:tc>
      </w:tr>
    </w:tbl>
    <w:p w14:paraId="383E42A1" w14:textId="01BB1AFD" w:rsidR="00E861C8" w:rsidRPr="006F7AA5" w:rsidRDefault="00E861C8" w:rsidP="00E861C8">
      <w:pPr>
        <w:widowControl w:val="0"/>
        <w:autoSpaceDE w:val="0"/>
        <w:autoSpaceDN w:val="0"/>
        <w:adjustRightInd w:val="0"/>
        <w:spacing w:after="0" w:line="240" w:lineRule="auto"/>
        <w:jc w:val="center"/>
        <w:rPr>
          <w:rFonts w:cs="Times New Roman"/>
          <w:sz w:val="24"/>
          <w:szCs w:val="24"/>
        </w:rPr>
      </w:pPr>
      <w:r w:rsidRPr="00E861C8">
        <w:rPr>
          <w:rFonts w:cstheme="minorHAnsi"/>
          <w:sz w:val="8"/>
          <w:szCs w:val="8"/>
        </w:rPr>
        <w:br/>
      </w: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Pr="00E861C8">
        <w:rPr>
          <w:rFonts w:cs="Times New Roman"/>
          <w:sz w:val="12"/>
          <w:szCs w:val="12"/>
        </w:rPr>
        <w:br/>
      </w:r>
      <w:r w:rsidRPr="00E861C8">
        <w:rPr>
          <w:rFonts w:cstheme="minorHAnsi"/>
          <w:sz w:val="12"/>
          <w:szCs w:val="12"/>
        </w:rPr>
        <w:br/>
      </w: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78FFF994" w14:textId="72B27601" w:rsidR="00276E7F" w:rsidRPr="006F7AA5" w:rsidRDefault="00E861C8" w:rsidP="00276E7F">
      <w:pPr>
        <w:pStyle w:val="ListParagraph"/>
        <w:widowControl w:val="0"/>
        <w:autoSpaceDE w:val="0"/>
        <w:autoSpaceDN w:val="0"/>
        <w:adjustRightInd w:val="0"/>
        <w:spacing w:after="0" w:line="240" w:lineRule="auto"/>
        <w:ind w:left="360"/>
        <w:rPr>
          <w:rFonts w:cs="Times New Roman"/>
          <w:sz w:val="24"/>
          <w:szCs w:val="24"/>
        </w:rPr>
      </w:pPr>
      <w:r>
        <w:rPr>
          <w:rFonts w:cs="Times New Roman"/>
          <w:sz w:val="24"/>
          <w:szCs w:val="24"/>
        </w:rPr>
        <w:br/>
      </w:r>
      <w:r w:rsidR="00276E7F">
        <w:rPr>
          <w:rFonts w:cs="Times New Roman"/>
          <w:sz w:val="24"/>
          <w:szCs w:val="24"/>
        </w:rPr>
        <w:lastRenderedPageBreak/>
        <w:t xml:space="preserve">2.3 </w:t>
      </w:r>
      <w:r w:rsidR="00276E7F" w:rsidRPr="006F7AA5">
        <w:rPr>
          <w:rFonts w:cs="Times New Roman"/>
          <w:sz w:val="24"/>
          <w:szCs w:val="24"/>
        </w:rPr>
        <w:t>Singapore:</w:t>
      </w:r>
      <w:r w:rsidR="00276E7F">
        <w:rPr>
          <w:rFonts w:cs="Times New Roman"/>
          <w:sz w:val="24"/>
          <w:szCs w:val="24"/>
        </w:rPr>
        <w:t xml:space="preserve"> </w:t>
      </w:r>
      <w:r w:rsidR="00276E7F" w:rsidRPr="006F7AA5">
        <w:rPr>
          <w:rFonts w:cs="Times New Roman"/>
          <w:sz w:val="24"/>
          <w:szCs w:val="24"/>
        </w:rPr>
        <w:t>Identifying Break Points in Singapore’s Exchange Rate Regime</w:t>
      </w:r>
    </w:p>
    <w:p w14:paraId="0F16A538" w14:textId="341CE620"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w:t>
      </w:r>
      <w:r w:rsidR="00276E7F">
        <w:rPr>
          <w:rFonts w:cs="Times New Roman"/>
          <w:sz w:val="24"/>
          <w:szCs w:val="24"/>
        </w:rPr>
        <w:t>2</w:t>
      </w:r>
      <w:r w:rsidR="00276E7F" w:rsidRPr="006F7AA5">
        <w:rPr>
          <w:rFonts w:cs="Times New Roman"/>
          <w:sz w:val="24"/>
          <w:szCs w:val="24"/>
        </w:rPr>
        <w:t>:2017</w:t>
      </w:r>
    </w:p>
    <w:tbl>
      <w:tblPr>
        <w:tblW w:w="9990" w:type="dxa"/>
        <w:jc w:val="center"/>
        <w:tblLayout w:type="fixed"/>
        <w:tblCellMar>
          <w:left w:w="75" w:type="dxa"/>
          <w:right w:w="75" w:type="dxa"/>
        </w:tblCellMar>
        <w:tblLook w:val="0000" w:firstRow="0" w:lastRow="0" w:firstColumn="0" w:lastColumn="0" w:noHBand="0" w:noVBand="0"/>
      </w:tblPr>
      <w:tblGrid>
        <w:gridCol w:w="1260"/>
        <w:gridCol w:w="238"/>
        <w:gridCol w:w="2012"/>
        <w:gridCol w:w="2310"/>
        <w:gridCol w:w="2100"/>
        <w:gridCol w:w="2070"/>
      </w:tblGrid>
      <w:tr w:rsidR="00276E7F" w14:paraId="091F3A15" w14:textId="77777777" w:rsidTr="000415B4">
        <w:trPr>
          <w:trHeight w:val="289"/>
          <w:jc w:val="center"/>
        </w:trPr>
        <w:tc>
          <w:tcPr>
            <w:tcW w:w="1498" w:type="dxa"/>
            <w:gridSpan w:val="2"/>
            <w:tcBorders>
              <w:top w:val="single" w:sz="6" w:space="0" w:color="auto"/>
              <w:left w:val="nil"/>
              <w:bottom w:val="nil"/>
              <w:right w:val="nil"/>
            </w:tcBorders>
          </w:tcPr>
          <w:p w14:paraId="72CD11F5"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012" w:type="dxa"/>
            <w:tcBorders>
              <w:top w:val="single" w:sz="6" w:space="0" w:color="auto"/>
              <w:left w:val="nil"/>
              <w:bottom w:val="nil"/>
              <w:right w:val="nil"/>
            </w:tcBorders>
          </w:tcPr>
          <w:p w14:paraId="4036E22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310" w:type="dxa"/>
            <w:tcBorders>
              <w:top w:val="single" w:sz="6" w:space="0" w:color="auto"/>
              <w:left w:val="nil"/>
              <w:bottom w:val="nil"/>
              <w:right w:val="nil"/>
            </w:tcBorders>
          </w:tcPr>
          <w:p w14:paraId="148FFA6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00" w:type="dxa"/>
            <w:tcBorders>
              <w:top w:val="single" w:sz="6" w:space="0" w:color="auto"/>
              <w:left w:val="nil"/>
              <w:bottom w:val="nil"/>
              <w:right w:val="nil"/>
            </w:tcBorders>
          </w:tcPr>
          <w:p w14:paraId="7286B07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70" w:type="dxa"/>
            <w:tcBorders>
              <w:top w:val="single" w:sz="6" w:space="0" w:color="auto"/>
              <w:left w:val="nil"/>
              <w:bottom w:val="nil"/>
              <w:right w:val="nil"/>
            </w:tcBorders>
          </w:tcPr>
          <w:p w14:paraId="342BA3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C124C0" w14:paraId="08E79091" w14:textId="77777777" w:rsidTr="000415B4">
        <w:trPr>
          <w:trHeight w:val="301"/>
          <w:jc w:val="center"/>
        </w:trPr>
        <w:tc>
          <w:tcPr>
            <w:tcW w:w="1260" w:type="dxa"/>
            <w:tcBorders>
              <w:top w:val="nil"/>
              <w:left w:val="nil"/>
              <w:bottom w:val="single" w:sz="6" w:space="0" w:color="auto"/>
              <w:right w:val="nil"/>
            </w:tcBorders>
          </w:tcPr>
          <w:p w14:paraId="0E03F77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50" w:type="dxa"/>
            <w:gridSpan w:val="2"/>
            <w:tcBorders>
              <w:top w:val="nil"/>
              <w:left w:val="nil"/>
              <w:bottom w:val="single" w:sz="6" w:space="0" w:color="auto"/>
              <w:right w:val="nil"/>
            </w:tcBorders>
          </w:tcPr>
          <w:p w14:paraId="493987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8/2/2005-11/9/2006</w:t>
            </w:r>
          </w:p>
        </w:tc>
        <w:tc>
          <w:tcPr>
            <w:tcW w:w="2310" w:type="dxa"/>
            <w:tcBorders>
              <w:top w:val="nil"/>
              <w:left w:val="nil"/>
              <w:bottom w:val="single" w:sz="6" w:space="0" w:color="auto"/>
              <w:right w:val="nil"/>
            </w:tcBorders>
          </w:tcPr>
          <w:p w14:paraId="3F0254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11/10/2006-1/8/2008</w:t>
            </w:r>
          </w:p>
        </w:tc>
        <w:tc>
          <w:tcPr>
            <w:tcW w:w="2100" w:type="dxa"/>
            <w:tcBorders>
              <w:top w:val="nil"/>
              <w:left w:val="nil"/>
              <w:bottom w:val="single" w:sz="6" w:space="0" w:color="auto"/>
              <w:right w:val="nil"/>
            </w:tcBorders>
          </w:tcPr>
          <w:p w14:paraId="575E9C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1/9/2008-3/2/2009</w:t>
            </w:r>
          </w:p>
        </w:tc>
        <w:tc>
          <w:tcPr>
            <w:tcW w:w="2070" w:type="dxa"/>
            <w:tcBorders>
              <w:top w:val="nil"/>
              <w:left w:val="nil"/>
              <w:bottom w:val="single" w:sz="6" w:space="0" w:color="auto"/>
              <w:right w:val="nil"/>
            </w:tcBorders>
          </w:tcPr>
          <w:p w14:paraId="63A9ECA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3/3/2009-5/4/2010</w:t>
            </w:r>
          </w:p>
        </w:tc>
      </w:tr>
      <w:tr w:rsidR="00276E7F" w:rsidRPr="00C124C0" w14:paraId="2761C89B" w14:textId="77777777" w:rsidTr="000415B4">
        <w:trPr>
          <w:trHeight w:val="289"/>
          <w:jc w:val="center"/>
        </w:trPr>
        <w:tc>
          <w:tcPr>
            <w:tcW w:w="1498" w:type="dxa"/>
            <w:gridSpan w:val="2"/>
            <w:tcBorders>
              <w:top w:val="nil"/>
              <w:left w:val="nil"/>
              <w:bottom w:val="nil"/>
              <w:right w:val="nil"/>
            </w:tcBorders>
          </w:tcPr>
          <w:p w14:paraId="36A1C75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76A3FE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4223850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67B3F34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7D89B7E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720ED8EA" w14:textId="77777777" w:rsidTr="000415B4">
        <w:trPr>
          <w:trHeight w:val="289"/>
          <w:jc w:val="center"/>
        </w:trPr>
        <w:tc>
          <w:tcPr>
            <w:tcW w:w="1498" w:type="dxa"/>
            <w:gridSpan w:val="2"/>
            <w:tcBorders>
              <w:top w:val="nil"/>
              <w:left w:val="nil"/>
              <w:bottom w:val="nil"/>
              <w:right w:val="nil"/>
            </w:tcBorders>
          </w:tcPr>
          <w:p w14:paraId="6D599D20" w14:textId="4A0FC60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012" w:type="dxa"/>
            <w:tcBorders>
              <w:top w:val="nil"/>
              <w:left w:val="nil"/>
              <w:bottom w:val="nil"/>
              <w:right w:val="nil"/>
            </w:tcBorders>
          </w:tcPr>
          <w:p w14:paraId="21EDC50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0.468***</w:t>
            </w:r>
          </w:p>
        </w:tc>
        <w:tc>
          <w:tcPr>
            <w:tcW w:w="2310" w:type="dxa"/>
            <w:tcBorders>
              <w:top w:val="nil"/>
              <w:left w:val="nil"/>
              <w:bottom w:val="nil"/>
              <w:right w:val="nil"/>
            </w:tcBorders>
          </w:tcPr>
          <w:p w14:paraId="39AC15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0.575***</w:t>
            </w:r>
          </w:p>
        </w:tc>
        <w:tc>
          <w:tcPr>
            <w:tcW w:w="2100" w:type="dxa"/>
            <w:tcBorders>
              <w:top w:val="nil"/>
              <w:left w:val="nil"/>
              <w:bottom w:val="nil"/>
              <w:right w:val="nil"/>
            </w:tcBorders>
          </w:tcPr>
          <w:p w14:paraId="19D3E4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0.154</w:t>
            </w:r>
          </w:p>
        </w:tc>
        <w:tc>
          <w:tcPr>
            <w:tcW w:w="2070" w:type="dxa"/>
            <w:tcBorders>
              <w:top w:val="nil"/>
              <w:left w:val="nil"/>
              <w:bottom w:val="nil"/>
              <w:right w:val="nil"/>
            </w:tcBorders>
          </w:tcPr>
          <w:p w14:paraId="70EDE8F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-0.293</w:t>
            </w:r>
          </w:p>
        </w:tc>
      </w:tr>
      <w:tr w:rsidR="00276E7F" w:rsidRPr="00C124C0" w14:paraId="29634CDD" w14:textId="77777777" w:rsidTr="000415B4">
        <w:trPr>
          <w:trHeight w:val="301"/>
          <w:jc w:val="center"/>
        </w:trPr>
        <w:tc>
          <w:tcPr>
            <w:tcW w:w="1498" w:type="dxa"/>
            <w:gridSpan w:val="2"/>
            <w:tcBorders>
              <w:top w:val="nil"/>
              <w:left w:val="nil"/>
              <w:bottom w:val="nil"/>
              <w:right w:val="nil"/>
            </w:tcBorders>
          </w:tcPr>
          <w:p w14:paraId="3EA488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902B0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(0.117)</w:t>
            </w:r>
          </w:p>
        </w:tc>
        <w:tc>
          <w:tcPr>
            <w:tcW w:w="2310" w:type="dxa"/>
            <w:tcBorders>
              <w:top w:val="nil"/>
              <w:left w:val="nil"/>
              <w:bottom w:val="nil"/>
              <w:right w:val="nil"/>
            </w:tcBorders>
          </w:tcPr>
          <w:p w14:paraId="073767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(0.135)</w:t>
            </w:r>
          </w:p>
        </w:tc>
        <w:tc>
          <w:tcPr>
            <w:tcW w:w="2100" w:type="dxa"/>
            <w:tcBorders>
              <w:top w:val="nil"/>
              <w:left w:val="nil"/>
              <w:bottom w:val="nil"/>
              <w:right w:val="nil"/>
            </w:tcBorders>
          </w:tcPr>
          <w:p w14:paraId="739980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(0.144)</w:t>
            </w:r>
          </w:p>
        </w:tc>
        <w:tc>
          <w:tcPr>
            <w:tcW w:w="2070" w:type="dxa"/>
            <w:tcBorders>
              <w:top w:val="nil"/>
              <w:left w:val="nil"/>
              <w:bottom w:val="nil"/>
              <w:right w:val="nil"/>
            </w:tcBorders>
          </w:tcPr>
          <w:p w14:paraId="62DBE8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(0.469)</w:t>
            </w:r>
          </w:p>
        </w:tc>
      </w:tr>
      <w:tr w:rsidR="00276E7F" w:rsidRPr="00C124C0" w14:paraId="3FC48E16" w14:textId="77777777" w:rsidTr="000415B4">
        <w:trPr>
          <w:trHeight w:val="301"/>
          <w:jc w:val="center"/>
        </w:trPr>
        <w:tc>
          <w:tcPr>
            <w:tcW w:w="1498" w:type="dxa"/>
            <w:gridSpan w:val="2"/>
            <w:tcBorders>
              <w:top w:val="nil"/>
              <w:left w:val="nil"/>
              <w:bottom w:val="nil"/>
              <w:right w:val="nil"/>
            </w:tcBorders>
          </w:tcPr>
          <w:p w14:paraId="61888EF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012" w:type="dxa"/>
            <w:tcBorders>
              <w:top w:val="nil"/>
              <w:left w:val="nil"/>
              <w:bottom w:val="nil"/>
              <w:right w:val="nil"/>
            </w:tcBorders>
          </w:tcPr>
          <w:p w14:paraId="4EE10A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0.137***</w:t>
            </w:r>
          </w:p>
        </w:tc>
        <w:tc>
          <w:tcPr>
            <w:tcW w:w="2310" w:type="dxa"/>
            <w:tcBorders>
              <w:top w:val="nil"/>
              <w:left w:val="nil"/>
              <w:bottom w:val="nil"/>
              <w:right w:val="nil"/>
            </w:tcBorders>
          </w:tcPr>
          <w:p w14:paraId="2A51EF8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0.280***</w:t>
            </w:r>
          </w:p>
        </w:tc>
        <w:tc>
          <w:tcPr>
            <w:tcW w:w="2100" w:type="dxa"/>
            <w:tcBorders>
              <w:top w:val="nil"/>
              <w:left w:val="nil"/>
              <w:bottom w:val="nil"/>
              <w:right w:val="nil"/>
            </w:tcBorders>
          </w:tcPr>
          <w:p w14:paraId="245F823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0.294***</w:t>
            </w:r>
          </w:p>
        </w:tc>
        <w:tc>
          <w:tcPr>
            <w:tcW w:w="2070" w:type="dxa"/>
            <w:tcBorders>
              <w:top w:val="nil"/>
              <w:left w:val="nil"/>
              <w:bottom w:val="nil"/>
              <w:right w:val="nil"/>
            </w:tcBorders>
          </w:tcPr>
          <w:p w14:paraId="7F14105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0.298***</w:t>
            </w:r>
          </w:p>
        </w:tc>
      </w:tr>
      <w:tr w:rsidR="00276E7F" w:rsidRPr="00C124C0" w14:paraId="1F291DE2" w14:textId="77777777" w:rsidTr="000415B4">
        <w:trPr>
          <w:trHeight w:val="289"/>
          <w:jc w:val="center"/>
        </w:trPr>
        <w:tc>
          <w:tcPr>
            <w:tcW w:w="1498" w:type="dxa"/>
            <w:gridSpan w:val="2"/>
            <w:tcBorders>
              <w:top w:val="nil"/>
              <w:left w:val="nil"/>
              <w:bottom w:val="nil"/>
              <w:right w:val="nil"/>
            </w:tcBorders>
          </w:tcPr>
          <w:p w14:paraId="728BB4C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4A3783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3E4766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(0.041)</w:t>
            </w:r>
          </w:p>
        </w:tc>
        <w:tc>
          <w:tcPr>
            <w:tcW w:w="2100" w:type="dxa"/>
            <w:tcBorders>
              <w:top w:val="nil"/>
              <w:left w:val="nil"/>
              <w:bottom w:val="nil"/>
              <w:right w:val="nil"/>
            </w:tcBorders>
          </w:tcPr>
          <w:p w14:paraId="542FDBC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070" w:type="dxa"/>
            <w:tcBorders>
              <w:top w:val="nil"/>
              <w:left w:val="nil"/>
              <w:bottom w:val="nil"/>
              <w:right w:val="nil"/>
            </w:tcBorders>
          </w:tcPr>
          <w:p w14:paraId="4B0F25C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r>
      <w:tr w:rsidR="00276E7F" w:rsidRPr="00C124C0" w14:paraId="27FC021D" w14:textId="77777777" w:rsidTr="000415B4">
        <w:trPr>
          <w:trHeight w:val="301"/>
          <w:jc w:val="center"/>
        </w:trPr>
        <w:tc>
          <w:tcPr>
            <w:tcW w:w="1498" w:type="dxa"/>
            <w:gridSpan w:val="2"/>
            <w:tcBorders>
              <w:top w:val="nil"/>
              <w:left w:val="nil"/>
              <w:bottom w:val="nil"/>
              <w:right w:val="nil"/>
            </w:tcBorders>
          </w:tcPr>
          <w:p w14:paraId="076C31BC" w14:textId="49D9F819"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5CBCA97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0.191***</w:t>
            </w:r>
          </w:p>
        </w:tc>
        <w:tc>
          <w:tcPr>
            <w:tcW w:w="2310" w:type="dxa"/>
            <w:tcBorders>
              <w:top w:val="nil"/>
              <w:left w:val="nil"/>
              <w:bottom w:val="nil"/>
              <w:right w:val="nil"/>
            </w:tcBorders>
          </w:tcPr>
          <w:p w14:paraId="4CBE7F4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c>
          <w:tcPr>
            <w:tcW w:w="2100" w:type="dxa"/>
            <w:tcBorders>
              <w:top w:val="nil"/>
              <w:left w:val="nil"/>
              <w:bottom w:val="nil"/>
              <w:right w:val="nil"/>
            </w:tcBorders>
          </w:tcPr>
          <w:p w14:paraId="43262F2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0.009</w:t>
            </w:r>
          </w:p>
        </w:tc>
        <w:tc>
          <w:tcPr>
            <w:tcW w:w="2070" w:type="dxa"/>
            <w:tcBorders>
              <w:top w:val="nil"/>
              <w:left w:val="nil"/>
              <w:bottom w:val="nil"/>
              <w:right w:val="nil"/>
            </w:tcBorders>
          </w:tcPr>
          <w:p w14:paraId="2AEB828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-0.002</w:t>
            </w:r>
          </w:p>
        </w:tc>
      </w:tr>
      <w:tr w:rsidR="00276E7F" w:rsidRPr="00C124C0" w14:paraId="60C2CDC7" w14:textId="77777777" w:rsidTr="000415B4">
        <w:trPr>
          <w:trHeight w:val="289"/>
          <w:jc w:val="center"/>
        </w:trPr>
        <w:tc>
          <w:tcPr>
            <w:tcW w:w="1498" w:type="dxa"/>
            <w:gridSpan w:val="2"/>
            <w:tcBorders>
              <w:top w:val="nil"/>
              <w:left w:val="nil"/>
              <w:bottom w:val="nil"/>
              <w:right w:val="nil"/>
            </w:tcBorders>
          </w:tcPr>
          <w:p w14:paraId="09E9D06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69EDC0C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c>
          <w:tcPr>
            <w:tcW w:w="2310" w:type="dxa"/>
            <w:tcBorders>
              <w:top w:val="nil"/>
              <w:left w:val="nil"/>
              <w:bottom w:val="nil"/>
              <w:right w:val="nil"/>
            </w:tcBorders>
          </w:tcPr>
          <w:p w14:paraId="6109BB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100" w:type="dxa"/>
            <w:tcBorders>
              <w:top w:val="nil"/>
              <w:left w:val="nil"/>
              <w:bottom w:val="nil"/>
              <w:right w:val="nil"/>
            </w:tcBorders>
          </w:tcPr>
          <w:p w14:paraId="4D58FDD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070" w:type="dxa"/>
            <w:tcBorders>
              <w:top w:val="nil"/>
              <w:left w:val="nil"/>
              <w:bottom w:val="nil"/>
              <w:right w:val="nil"/>
            </w:tcBorders>
          </w:tcPr>
          <w:p w14:paraId="6A0F1C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r>
      <w:tr w:rsidR="00276E7F" w:rsidRPr="00C124C0" w14:paraId="77FA61E2" w14:textId="77777777" w:rsidTr="000415B4">
        <w:trPr>
          <w:trHeight w:val="301"/>
          <w:jc w:val="center"/>
        </w:trPr>
        <w:tc>
          <w:tcPr>
            <w:tcW w:w="1498" w:type="dxa"/>
            <w:gridSpan w:val="2"/>
            <w:tcBorders>
              <w:top w:val="nil"/>
              <w:left w:val="nil"/>
              <w:bottom w:val="nil"/>
              <w:right w:val="nil"/>
            </w:tcBorders>
          </w:tcPr>
          <w:p w14:paraId="2C5D2402" w14:textId="5A2DBAEF"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0C3B3CF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0.118</w:t>
            </w:r>
          </w:p>
        </w:tc>
        <w:tc>
          <w:tcPr>
            <w:tcW w:w="2310" w:type="dxa"/>
            <w:tcBorders>
              <w:top w:val="nil"/>
              <w:left w:val="nil"/>
              <w:bottom w:val="nil"/>
              <w:right w:val="nil"/>
            </w:tcBorders>
          </w:tcPr>
          <w:p w14:paraId="579E9A3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0.095</w:t>
            </w:r>
          </w:p>
        </w:tc>
        <w:tc>
          <w:tcPr>
            <w:tcW w:w="2100" w:type="dxa"/>
            <w:tcBorders>
              <w:top w:val="nil"/>
              <w:left w:val="nil"/>
              <w:bottom w:val="nil"/>
              <w:right w:val="nil"/>
            </w:tcBorders>
          </w:tcPr>
          <w:p w14:paraId="7A8ED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0.465***</w:t>
            </w:r>
          </w:p>
        </w:tc>
        <w:tc>
          <w:tcPr>
            <w:tcW w:w="2070" w:type="dxa"/>
            <w:tcBorders>
              <w:top w:val="nil"/>
              <w:left w:val="nil"/>
              <w:bottom w:val="nil"/>
              <w:right w:val="nil"/>
            </w:tcBorders>
          </w:tcPr>
          <w:p w14:paraId="5423AE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0.905*</w:t>
            </w:r>
          </w:p>
        </w:tc>
      </w:tr>
      <w:tr w:rsidR="00276E7F" w:rsidRPr="00C124C0" w14:paraId="7A4AC23E" w14:textId="77777777" w:rsidTr="000415B4">
        <w:trPr>
          <w:trHeight w:val="289"/>
          <w:jc w:val="center"/>
        </w:trPr>
        <w:tc>
          <w:tcPr>
            <w:tcW w:w="1498" w:type="dxa"/>
            <w:gridSpan w:val="2"/>
            <w:tcBorders>
              <w:top w:val="nil"/>
              <w:left w:val="nil"/>
              <w:bottom w:val="nil"/>
              <w:right w:val="nil"/>
            </w:tcBorders>
          </w:tcPr>
          <w:p w14:paraId="5B8A063F"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591E957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(0.119)</w:t>
            </w:r>
          </w:p>
        </w:tc>
        <w:tc>
          <w:tcPr>
            <w:tcW w:w="2310" w:type="dxa"/>
            <w:tcBorders>
              <w:top w:val="nil"/>
              <w:left w:val="nil"/>
              <w:bottom w:val="nil"/>
              <w:right w:val="nil"/>
            </w:tcBorders>
          </w:tcPr>
          <w:p w14:paraId="055A179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(0.136)</w:t>
            </w:r>
          </w:p>
        </w:tc>
        <w:tc>
          <w:tcPr>
            <w:tcW w:w="2100" w:type="dxa"/>
            <w:tcBorders>
              <w:top w:val="nil"/>
              <w:left w:val="nil"/>
              <w:bottom w:val="nil"/>
              <w:right w:val="nil"/>
            </w:tcBorders>
          </w:tcPr>
          <w:p w14:paraId="6C477EE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(0.147)</w:t>
            </w:r>
          </w:p>
        </w:tc>
        <w:tc>
          <w:tcPr>
            <w:tcW w:w="2070" w:type="dxa"/>
            <w:tcBorders>
              <w:top w:val="nil"/>
              <w:left w:val="nil"/>
              <w:bottom w:val="nil"/>
              <w:right w:val="nil"/>
            </w:tcBorders>
          </w:tcPr>
          <w:p w14:paraId="0DDD351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(0.473)</w:t>
            </w:r>
          </w:p>
        </w:tc>
      </w:tr>
      <w:tr w:rsidR="00276E7F" w:rsidRPr="00C124C0" w14:paraId="55728E39" w14:textId="77777777" w:rsidTr="000415B4">
        <w:trPr>
          <w:trHeight w:val="301"/>
          <w:jc w:val="center"/>
        </w:trPr>
        <w:tc>
          <w:tcPr>
            <w:tcW w:w="1498" w:type="dxa"/>
            <w:gridSpan w:val="2"/>
            <w:tcBorders>
              <w:top w:val="nil"/>
              <w:left w:val="nil"/>
              <w:bottom w:val="nil"/>
              <w:right w:val="nil"/>
            </w:tcBorders>
          </w:tcPr>
          <w:p w14:paraId="210AAD4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012" w:type="dxa"/>
            <w:tcBorders>
              <w:top w:val="nil"/>
              <w:left w:val="nil"/>
              <w:bottom w:val="nil"/>
              <w:right w:val="nil"/>
            </w:tcBorders>
          </w:tcPr>
          <w:p w14:paraId="31A62DD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0.289***</w:t>
            </w:r>
          </w:p>
        </w:tc>
        <w:tc>
          <w:tcPr>
            <w:tcW w:w="2310" w:type="dxa"/>
            <w:tcBorders>
              <w:top w:val="nil"/>
              <w:left w:val="nil"/>
              <w:bottom w:val="nil"/>
              <w:right w:val="nil"/>
            </w:tcBorders>
          </w:tcPr>
          <w:p w14:paraId="4F3A9CE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0.181***</w:t>
            </w:r>
          </w:p>
        </w:tc>
        <w:tc>
          <w:tcPr>
            <w:tcW w:w="2100" w:type="dxa"/>
            <w:tcBorders>
              <w:top w:val="nil"/>
              <w:left w:val="nil"/>
              <w:bottom w:val="nil"/>
              <w:right w:val="nil"/>
            </w:tcBorders>
          </w:tcPr>
          <w:p w14:paraId="16A1278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0.410***</w:t>
            </w:r>
          </w:p>
        </w:tc>
        <w:tc>
          <w:tcPr>
            <w:tcW w:w="2070" w:type="dxa"/>
            <w:tcBorders>
              <w:top w:val="nil"/>
              <w:left w:val="nil"/>
              <w:bottom w:val="nil"/>
              <w:right w:val="nil"/>
            </w:tcBorders>
          </w:tcPr>
          <w:p w14:paraId="3F770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0.121***</w:t>
            </w:r>
          </w:p>
        </w:tc>
      </w:tr>
      <w:tr w:rsidR="00276E7F" w:rsidRPr="00C124C0" w14:paraId="0F2B8D06" w14:textId="77777777" w:rsidTr="000415B4">
        <w:trPr>
          <w:trHeight w:val="301"/>
          <w:jc w:val="center"/>
        </w:trPr>
        <w:tc>
          <w:tcPr>
            <w:tcW w:w="1498" w:type="dxa"/>
            <w:gridSpan w:val="2"/>
            <w:tcBorders>
              <w:top w:val="nil"/>
              <w:left w:val="nil"/>
              <w:bottom w:val="nil"/>
              <w:right w:val="nil"/>
            </w:tcBorders>
          </w:tcPr>
          <w:p w14:paraId="26C6F3E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3986CA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0301D08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100" w:type="dxa"/>
            <w:tcBorders>
              <w:top w:val="nil"/>
              <w:left w:val="nil"/>
              <w:bottom w:val="nil"/>
              <w:right w:val="nil"/>
            </w:tcBorders>
          </w:tcPr>
          <w:p w14:paraId="77A99E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(0.042)</w:t>
            </w:r>
          </w:p>
        </w:tc>
        <w:tc>
          <w:tcPr>
            <w:tcW w:w="2070" w:type="dxa"/>
            <w:tcBorders>
              <w:top w:val="nil"/>
              <w:left w:val="nil"/>
              <w:bottom w:val="nil"/>
              <w:right w:val="nil"/>
            </w:tcBorders>
          </w:tcPr>
          <w:p w14:paraId="412A4F2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r>
      <w:tr w:rsidR="00276E7F" w:rsidRPr="00C124C0" w14:paraId="387457EC" w14:textId="77777777" w:rsidTr="000415B4">
        <w:trPr>
          <w:trHeight w:val="289"/>
          <w:jc w:val="center"/>
        </w:trPr>
        <w:tc>
          <w:tcPr>
            <w:tcW w:w="1498" w:type="dxa"/>
            <w:gridSpan w:val="2"/>
            <w:tcBorders>
              <w:top w:val="nil"/>
              <w:left w:val="nil"/>
              <w:bottom w:val="nil"/>
              <w:right w:val="nil"/>
            </w:tcBorders>
          </w:tcPr>
          <w:p w14:paraId="14CDCA5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012" w:type="dxa"/>
            <w:tcBorders>
              <w:top w:val="nil"/>
              <w:left w:val="nil"/>
              <w:bottom w:val="nil"/>
              <w:right w:val="nil"/>
            </w:tcBorders>
          </w:tcPr>
          <w:p w14:paraId="35D8370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310" w:type="dxa"/>
            <w:tcBorders>
              <w:top w:val="nil"/>
              <w:left w:val="nil"/>
              <w:bottom w:val="nil"/>
              <w:right w:val="nil"/>
            </w:tcBorders>
          </w:tcPr>
          <w:p w14:paraId="42C510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100" w:type="dxa"/>
            <w:tcBorders>
              <w:top w:val="nil"/>
              <w:left w:val="nil"/>
              <w:bottom w:val="nil"/>
              <w:right w:val="nil"/>
            </w:tcBorders>
          </w:tcPr>
          <w:p w14:paraId="1D26D26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070" w:type="dxa"/>
            <w:tcBorders>
              <w:top w:val="nil"/>
              <w:left w:val="nil"/>
              <w:bottom w:val="nil"/>
              <w:right w:val="nil"/>
            </w:tcBorders>
          </w:tcPr>
          <w:p w14:paraId="75617F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7D67E65" w14:textId="77777777" w:rsidTr="000415B4">
        <w:trPr>
          <w:trHeight w:val="301"/>
          <w:jc w:val="center"/>
        </w:trPr>
        <w:tc>
          <w:tcPr>
            <w:tcW w:w="1498" w:type="dxa"/>
            <w:gridSpan w:val="2"/>
            <w:tcBorders>
              <w:top w:val="nil"/>
              <w:left w:val="nil"/>
              <w:bottom w:val="nil"/>
              <w:right w:val="nil"/>
            </w:tcBorders>
          </w:tcPr>
          <w:p w14:paraId="625DC9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30B329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310" w:type="dxa"/>
            <w:tcBorders>
              <w:top w:val="nil"/>
              <w:left w:val="nil"/>
              <w:bottom w:val="nil"/>
              <w:right w:val="nil"/>
            </w:tcBorders>
          </w:tcPr>
          <w:p w14:paraId="1FA0C66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100" w:type="dxa"/>
            <w:tcBorders>
              <w:top w:val="nil"/>
              <w:left w:val="nil"/>
              <w:bottom w:val="nil"/>
              <w:right w:val="nil"/>
            </w:tcBorders>
          </w:tcPr>
          <w:p w14:paraId="75E8982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070" w:type="dxa"/>
            <w:tcBorders>
              <w:top w:val="nil"/>
              <w:left w:val="nil"/>
              <w:bottom w:val="nil"/>
              <w:right w:val="nil"/>
            </w:tcBorders>
          </w:tcPr>
          <w:p w14:paraId="772169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76A02A58" w14:textId="77777777" w:rsidTr="000415B4">
        <w:trPr>
          <w:trHeight w:val="289"/>
          <w:jc w:val="center"/>
        </w:trPr>
        <w:tc>
          <w:tcPr>
            <w:tcW w:w="1498" w:type="dxa"/>
            <w:gridSpan w:val="2"/>
            <w:tcBorders>
              <w:top w:val="nil"/>
              <w:left w:val="nil"/>
              <w:bottom w:val="nil"/>
              <w:right w:val="nil"/>
            </w:tcBorders>
          </w:tcPr>
          <w:p w14:paraId="5ABBD6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30E0B7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7CDA3D3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5B6BBD0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4F4073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00D6D9CB" w14:textId="77777777" w:rsidTr="000415B4">
        <w:trPr>
          <w:trHeight w:val="301"/>
          <w:jc w:val="center"/>
        </w:trPr>
        <w:tc>
          <w:tcPr>
            <w:tcW w:w="1498" w:type="dxa"/>
            <w:gridSpan w:val="2"/>
            <w:tcBorders>
              <w:top w:val="nil"/>
              <w:left w:val="nil"/>
              <w:bottom w:val="nil"/>
              <w:right w:val="nil"/>
            </w:tcBorders>
          </w:tcPr>
          <w:p w14:paraId="798569C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012" w:type="dxa"/>
            <w:tcBorders>
              <w:top w:val="nil"/>
              <w:left w:val="nil"/>
              <w:bottom w:val="nil"/>
              <w:right w:val="nil"/>
            </w:tcBorders>
          </w:tcPr>
          <w:p w14:paraId="0E37E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319</w:t>
            </w:r>
          </w:p>
        </w:tc>
        <w:tc>
          <w:tcPr>
            <w:tcW w:w="2310" w:type="dxa"/>
            <w:tcBorders>
              <w:top w:val="nil"/>
              <w:left w:val="nil"/>
              <w:bottom w:val="nil"/>
              <w:right w:val="nil"/>
            </w:tcBorders>
          </w:tcPr>
          <w:p w14:paraId="10EE39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100" w:type="dxa"/>
            <w:tcBorders>
              <w:top w:val="nil"/>
              <w:left w:val="nil"/>
              <w:bottom w:val="nil"/>
              <w:right w:val="nil"/>
            </w:tcBorders>
          </w:tcPr>
          <w:p w14:paraId="1E25098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070" w:type="dxa"/>
            <w:tcBorders>
              <w:top w:val="nil"/>
              <w:left w:val="nil"/>
              <w:bottom w:val="nil"/>
              <w:right w:val="nil"/>
            </w:tcBorders>
          </w:tcPr>
          <w:p w14:paraId="0DEAB9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295</w:t>
            </w:r>
          </w:p>
        </w:tc>
      </w:tr>
      <w:tr w:rsidR="00276E7F" w:rsidRPr="00C124C0" w14:paraId="2D6E58AF" w14:textId="77777777" w:rsidTr="000415B4">
        <w:trPr>
          <w:trHeight w:val="301"/>
          <w:jc w:val="center"/>
        </w:trPr>
        <w:tc>
          <w:tcPr>
            <w:tcW w:w="1498" w:type="dxa"/>
            <w:gridSpan w:val="2"/>
            <w:tcBorders>
              <w:top w:val="nil"/>
              <w:left w:val="nil"/>
              <w:bottom w:val="nil"/>
              <w:right w:val="nil"/>
            </w:tcBorders>
          </w:tcPr>
          <w:p w14:paraId="4D6DF78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012" w:type="dxa"/>
            <w:tcBorders>
              <w:top w:val="nil"/>
              <w:left w:val="nil"/>
              <w:bottom w:val="nil"/>
              <w:right w:val="nil"/>
            </w:tcBorders>
          </w:tcPr>
          <w:p w14:paraId="0EBD7AB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0.899</w:t>
            </w:r>
          </w:p>
        </w:tc>
        <w:tc>
          <w:tcPr>
            <w:tcW w:w="2310" w:type="dxa"/>
            <w:tcBorders>
              <w:top w:val="nil"/>
              <w:left w:val="nil"/>
              <w:bottom w:val="nil"/>
              <w:right w:val="nil"/>
            </w:tcBorders>
          </w:tcPr>
          <w:p w14:paraId="1618A1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0.782</w:t>
            </w:r>
          </w:p>
        </w:tc>
        <w:tc>
          <w:tcPr>
            <w:tcW w:w="2100" w:type="dxa"/>
            <w:tcBorders>
              <w:top w:val="nil"/>
              <w:left w:val="nil"/>
              <w:bottom w:val="nil"/>
              <w:right w:val="nil"/>
            </w:tcBorders>
          </w:tcPr>
          <w:p w14:paraId="49F01DD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0.929</w:t>
            </w:r>
          </w:p>
        </w:tc>
        <w:tc>
          <w:tcPr>
            <w:tcW w:w="2070" w:type="dxa"/>
            <w:tcBorders>
              <w:top w:val="nil"/>
              <w:left w:val="nil"/>
              <w:bottom w:val="nil"/>
              <w:right w:val="nil"/>
            </w:tcBorders>
          </w:tcPr>
          <w:p w14:paraId="1BB5EDB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0.892</w:t>
            </w:r>
          </w:p>
        </w:tc>
      </w:tr>
      <w:tr w:rsidR="00276E7F" w:rsidRPr="00C124C0" w14:paraId="679C497D" w14:textId="77777777" w:rsidTr="000415B4">
        <w:tblPrEx>
          <w:tblBorders>
            <w:bottom w:val="single" w:sz="6" w:space="0" w:color="auto"/>
          </w:tblBorders>
        </w:tblPrEx>
        <w:trPr>
          <w:trHeight w:val="301"/>
          <w:jc w:val="center"/>
        </w:trPr>
        <w:tc>
          <w:tcPr>
            <w:tcW w:w="1498" w:type="dxa"/>
            <w:gridSpan w:val="2"/>
            <w:tcBorders>
              <w:top w:val="nil"/>
              <w:left w:val="nil"/>
              <w:bottom w:val="single" w:sz="6" w:space="0" w:color="auto"/>
              <w:right w:val="nil"/>
            </w:tcBorders>
          </w:tcPr>
          <w:p w14:paraId="7D4CF010"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012" w:type="dxa"/>
            <w:tcBorders>
              <w:top w:val="nil"/>
              <w:left w:val="nil"/>
              <w:bottom w:val="single" w:sz="6" w:space="0" w:color="auto"/>
              <w:right w:val="nil"/>
            </w:tcBorders>
          </w:tcPr>
          <w:p w14:paraId="0BA2826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0.086</w:t>
            </w:r>
          </w:p>
        </w:tc>
        <w:tc>
          <w:tcPr>
            <w:tcW w:w="2310" w:type="dxa"/>
            <w:tcBorders>
              <w:top w:val="nil"/>
              <w:left w:val="nil"/>
              <w:bottom w:val="single" w:sz="6" w:space="0" w:color="auto"/>
              <w:right w:val="nil"/>
            </w:tcBorders>
          </w:tcPr>
          <w:p w14:paraId="7470CB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100" w:type="dxa"/>
            <w:tcBorders>
              <w:top w:val="nil"/>
              <w:left w:val="nil"/>
              <w:bottom w:val="single" w:sz="6" w:space="0" w:color="auto"/>
              <w:right w:val="nil"/>
            </w:tcBorders>
          </w:tcPr>
          <w:p w14:paraId="262BCA8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0.077</w:t>
            </w:r>
          </w:p>
        </w:tc>
        <w:tc>
          <w:tcPr>
            <w:tcW w:w="2070" w:type="dxa"/>
            <w:tcBorders>
              <w:top w:val="nil"/>
              <w:left w:val="nil"/>
              <w:bottom w:val="single" w:sz="6" w:space="0" w:color="auto"/>
              <w:right w:val="nil"/>
            </w:tcBorders>
          </w:tcPr>
          <w:p w14:paraId="79059E7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0.092</w:t>
            </w:r>
          </w:p>
        </w:tc>
      </w:tr>
    </w:tbl>
    <w:p w14:paraId="71BC24BD" w14:textId="77777777" w:rsidR="00276E7F" w:rsidRPr="00C124C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0"/>
        <w:gridCol w:w="2280"/>
        <w:gridCol w:w="2250"/>
        <w:gridCol w:w="2250"/>
      </w:tblGrid>
      <w:tr w:rsidR="00276E7F" w:rsidRPr="00C124C0" w14:paraId="01CC79A4" w14:textId="77777777" w:rsidTr="000415B4">
        <w:trPr>
          <w:trHeight w:val="258"/>
          <w:jc w:val="center"/>
        </w:trPr>
        <w:tc>
          <w:tcPr>
            <w:tcW w:w="1500" w:type="dxa"/>
            <w:tcBorders>
              <w:top w:val="single" w:sz="6" w:space="0" w:color="auto"/>
              <w:left w:val="nil"/>
              <w:bottom w:val="nil"/>
              <w:right w:val="nil"/>
            </w:tcBorders>
          </w:tcPr>
          <w:p w14:paraId="59DA48D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single" w:sz="6" w:space="0" w:color="auto"/>
              <w:left w:val="nil"/>
              <w:bottom w:val="nil"/>
              <w:right w:val="nil"/>
            </w:tcBorders>
          </w:tcPr>
          <w:p w14:paraId="262851F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C124C0">
              <w:rPr>
                <w:rFonts w:cstheme="minorHAnsi"/>
                <w:sz w:val="24"/>
                <w:szCs w:val="24"/>
              </w:rPr>
              <w:t>)</w:t>
            </w:r>
          </w:p>
        </w:tc>
        <w:tc>
          <w:tcPr>
            <w:tcW w:w="2250" w:type="dxa"/>
            <w:tcBorders>
              <w:top w:val="single" w:sz="6" w:space="0" w:color="auto"/>
              <w:left w:val="nil"/>
              <w:bottom w:val="nil"/>
              <w:right w:val="nil"/>
            </w:tcBorders>
          </w:tcPr>
          <w:p w14:paraId="73DD5A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6</w:t>
            </w:r>
            <w:r w:rsidRPr="00C124C0">
              <w:rPr>
                <w:rFonts w:cstheme="minorHAnsi"/>
                <w:sz w:val="24"/>
                <w:szCs w:val="24"/>
              </w:rPr>
              <w:t>)</w:t>
            </w:r>
          </w:p>
        </w:tc>
        <w:tc>
          <w:tcPr>
            <w:tcW w:w="2250" w:type="dxa"/>
            <w:tcBorders>
              <w:top w:val="single" w:sz="6" w:space="0" w:color="auto"/>
              <w:left w:val="nil"/>
              <w:bottom w:val="nil"/>
              <w:right w:val="nil"/>
            </w:tcBorders>
          </w:tcPr>
          <w:p w14:paraId="0DF818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7</w:t>
            </w:r>
            <w:r w:rsidRPr="00C124C0">
              <w:rPr>
                <w:rFonts w:cstheme="minorHAnsi"/>
                <w:sz w:val="24"/>
                <w:szCs w:val="24"/>
              </w:rPr>
              <w:t>)</w:t>
            </w:r>
          </w:p>
        </w:tc>
      </w:tr>
      <w:tr w:rsidR="00276E7F" w:rsidRPr="00C124C0" w14:paraId="0D5A86E3" w14:textId="77777777" w:rsidTr="000415B4">
        <w:trPr>
          <w:trHeight w:val="258"/>
          <w:jc w:val="center"/>
        </w:trPr>
        <w:tc>
          <w:tcPr>
            <w:tcW w:w="1500" w:type="dxa"/>
            <w:tcBorders>
              <w:top w:val="nil"/>
              <w:left w:val="nil"/>
              <w:bottom w:val="single" w:sz="6" w:space="0" w:color="auto"/>
              <w:right w:val="nil"/>
            </w:tcBorders>
          </w:tcPr>
          <w:p w14:paraId="1C633CBB"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80" w:type="dxa"/>
            <w:tcBorders>
              <w:top w:val="nil"/>
              <w:left w:val="nil"/>
              <w:bottom w:val="single" w:sz="6" w:space="0" w:color="auto"/>
              <w:right w:val="nil"/>
            </w:tcBorders>
          </w:tcPr>
          <w:p w14:paraId="261D959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5/5/2010-8/19/2011</w:t>
            </w:r>
          </w:p>
        </w:tc>
        <w:tc>
          <w:tcPr>
            <w:tcW w:w="2250" w:type="dxa"/>
            <w:tcBorders>
              <w:top w:val="nil"/>
              <w:left w:val="nil"/>
              <w:bottom w:val="single" w:sz="6" w:space="0" w:color="auto"/>
              <w:right w:val="nil"/>
            </w:tcBorders>
          </w:tcPr>
          <w:p w14:paraId="5800D9E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8/22/2011-3/1/2013</w:t>
            </w:r>
          </w:p>
        </w:tc>
        <w:tc>
          <w:tcPr>
            <w:tcW w:w="2250" w:type="dxa"/>
            <w:tcBorders>
              <w:top w:val="nil"/>
              <w:left w:val="nil"/>
              <w:bottom w:val="single" w:sz="6" w:space="0" w:color="auto"/>
              <w:right w:val="nil"/>
            </w:tcBorders>
          </w:tcPr>
          <w:p w14:paraId="33B3A1F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3/4/2013-2/28/2017</w:t>
            </w:r>
          </w:p>
        </w:tc>
      </w:tr>
      <w:tr w:rsidR="00276E7F" w:rsidRPr="00C124C0" w14:paraId="796E416D" w14:textId="77777777" w:rsidTr="000415B4">
        <w:trPr>
          <w:trHeight w:val="258"/>
          <w:jc w:val="center"/>
        </w:trPr>
        <w:tc>
          <w:tcPr>
            <w:tcW w:w="1500" w:type="dxa"/>
            <w:tcBorders>
              <w:top w:val="nil"/>
              <w:left w:val="nil"/>
              <w:bottom w:val="nil"/>
              <w:right w:val="nil"/>
            </w:tcBorders>
          </w:tcPr>
          <w:p w14:paraId="75DDEB90" w14:textId="2769575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280" w:type="dxa"/>
            <w:tcBorders>
              <w:top w:val="nil"/>
              <w:left w:val="nil"/>
              <w:bottom w:val="nil"/>
              <w:right w:val="nil"/>
            </w:tcBorders>
          </w:tcPr>
          <w:p w14:paraId="5DA2FD4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0.376***</w:t>
            </w:r>
          </w:p>
        </w:tc>
        <w:tc>
          <w:tcPr>
            <w:tcW w:w="2250" w:type="dxa"/>
            <w:tcBorders>
              <w:top w:val="nil"/>
              <w:left w:val="nil"/>
              <w:bottom w:val="nil"/>
              <w:right w:val="nil"/>
            </w:tcBorders>
          </w:tcPr>
          <w:p w14:paraId="50DA8F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0.218*</w:t>
            </w:r>
          </w:p>
        </w:tc>
        <w:tc>
          <w:tcPr>
            <w:tcW w:w="2250" w:type="dxa"/>
            <w:tcBorders>
              <w:top w:val="nil"/>
              <w:left w:val="nil"/>
              <w:bottom w:val="nil"/>
              <w:right w:val="nil"/>
            </w:tcBorders>
          </w:tcPr>
          <w:p w14:paraId="6BCED92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0.379***</w:t>
            </w:r>
          </w:p>
        </w:tc>
      </w:tr>
      <w:tr w:rsidR="00276E7F" w:rsidRPr="00C124C0" w14:paraId="280AD0A7" w14:textId="77777777" w:rsidTr="000415B4">
        <w:trPr>
          <w:trHeight w:val="267"/>
          <w:jc w:val="center"/>
        </w:trPr>
        <w:tc>
          <w:tcPr>
            <w:tcW w:w="1500" w:type="dxa"/>
            <w:tcBorders>
              <w:top w:val="nil"/>
              <w:left w:val="nil"/>
              <w:bottom w:val="nil"/>
              <w:right w:val="nil"/>
            </w:tcBorders>
          </w:tcPr>
          <w:p w14:paraId="15D0E7B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0A56075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(0.084)</w:t>
            </w:r>
          </w:p>
        </w:tc>
        <w:tc>
          <w:tcPr>
            <w:tcW w:w="2250" w:type="dxa"/>
            <w:tcBorders>
              <w:top w:val="nil"/>
              <w:left w:val="nil"/>
              <w:bottom w:val="nil"/>
              <w:right w:val="nil"/>
            </w:tcBorders>
          </w:tcPr>
          <w:p w14:paraId="216530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(0.113)</w:t>
            </w:r>
          </w:p>
        </w:tc>
        <w:tc>
          <w:tcPr>
            <w:tcW w:w="2250" w:type="dxa"/>
            <w:tcBorders>
              <w:top w:val="nil"/>
              <w:left w:val="nil"/>
              <w:bottom w:val="nil"/>
              <w:right w:val="nil"/>
            </w:tcBorders>
          </w:tcPr>
          <w:p w14:paraId="42112D7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(0.033)</w:t>
            </w:r>
          </w:p>
        </w:tc>
      </w:tr>
      <w:tr w:rsidR="00276E7F" w:rsidRPr="00C124C0" w14:paraId="70284A35" w14:textId="77777777" w:rsidTr="000415B4">
        <w:trPr>
          <w:trHeight w:val="267"/>
          <w:jc w:val="center"/>
        </w:trPr>
        <w:tc>
          <w:tcPr>
            <w:tcW w:w="1500" w:type="dxa"/>
            <w:tcBorders>
              <w:top w:val="nil"/>
              <w:left w:val="nil"/>
              <w:bottom w:val="nil"/>
              <w:right w:val="nil"/>
            </w:tcBorders>
          </w:tcPr>
          <w:p w14:paraId="41F3720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280" w:type="dxa"/>
            <w:tcBorders>
              <w:top w:val="nil"/>
              <w:left w:val="nil"/>
              <w:bottom w:val="nil"/>
              <w:right w:val="nil"/>
            </w:tcBorders>
          </w:tcPr>
          <w:p w14:paraId="33697A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0.324***</w:t>
            </w:r>
          </w:p>
        </w:tc>
        <w:tc>
          <w:tcPr>
            <w:tcW w:w="2250" w:type="dxa"/>
            <w:tcBorders>
              <w:top w:val="nil"/>
              <w:left w:val="nil"/>
              <w:bottom w:val="nil"/>
              <w:right w:val="nil"/>
            </w:tcBorders>
          </w:tcPr>
          <w:p w14:paraId="708622C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0.309***</w:t>
            </w:r>
          </w:p>
        </w:tc>
        <w:tc>
          <w:tcPr>
            <w:tcW w:w="2250" w:type="dxa"/>
            <w:tcBorders>
              <w:top w:val="nil"/>
              <w:left w:val="nil"/>
              <w:bottom w:val="nil"/>
              <w:right w:val="nil"/>
            </w:tcBorders>
          </w:tcPr>
          <w:p w14:paraId="64F0423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0.316***</w:t>
            </w:r>
          </w:p>
        </w:tc>
      </w:tr>
      <w:tr w:rsidR="00276E7F" w:rsidRPr="00C124C0" w14:paraId="69A40E10" w14:textId="77777777" w:rsidTr="000415B4">
        <w:trPr>
          <w:trHeight w:val="258"/>
          <w:jc w:val="center"/>
        </w:trPr>
        <w:tc>
          <w:tcPr>
            <w:tcW w:w="1500" w:type="dxa"/>
            <w:tcBorders>
              <w:top w:val="nil"/>
              <w:left w:val="nil"/>
              <w:bottom w:val="nil"/>
              <w:right w:val="nil"/>
            </w:tcBorders>
          </w:tcPr>
          <w:p w14:paraId="54B3CF7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12BA8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c>
          <w:tcPr>
            <w:tcW w:w="2250" w:type="dxa"/>
            <w:tcBorders>
              <w:top w:val="nil"/>
              <w:left w:val="nil"/>
              <w:bottom w:val="nil"/>
              <w:right w:val="nil"/>
            </w:tcBorders>
          </w:tcPr>
          <w:p w14:paraId="52DFC84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250" w:type="dxa"/>
            <w:tcBorders>
              <w:top w:val="nil"/>
              <w:left w:val="nil"/>
              <w:bottom w:val="nil"/>
              <w:right w:val="nil"/>
            </w:tcBorders>
          </w:tcPr>
          <w:p w14:paraId="6E12FD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(0.011)</w:t>
            </w:r>
          </w:p>
        </w:tc>
      </w:tr>
      <w:tr w:rsidR="00276E7F" w:rsidRPr="00C124C0" w14:paraId="4E798334" w14:textId="77777777" w:rsidTr="000415B4">
        <w:trPr>
          <w:trHeight w:val="267"/>
          <w:jc w:val="center"/>
        </w:trPr>
        <w:tc>
          <w:tcPr>
            <w:tcW w:w="1500" w:type="dxa"/>
            <w:tcBorders>
              <w:top w:val="nil"/>
              <w:left w:val="nil"/>
              <w:bottom w:val="nil"/>
              <w:right w:val="nil"/>
            </w:tcBorders>
          </w:tcPr>
          <w:p w14:paraId="55BC7904" w14:textId="0F486965"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3A7B7C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0.048***</w:t>
            </w:r>
          </w:p>
        </w:tc>
        <w:tc>
          <w:tcPr>
            <w:tcW w:w="2250" w:type="dxa"/>
            <w:tcBorders>
              <w:top w:val="nil"/>
              <w:left w:val="nil"/>
              <w:bottom w:val="nil"/>
              <w:right w:val="nil"/>
            </w:tcBorders>
          </w:tcPr>
          <w:p w14:paraId="2E5C54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0.057**</w:t>
            </w:r>
          </w:p>
        </w:tc>
        <w:tc>
          <w:tcPr>
            <w:tcW w:w="2250" w:type="dxa"/>
            <w:tcBorders>
              <w:top w:val="nil"/>
              <w:left w:val="nil"/>
              <w:bottom w:val="nil"/>
              <w:right w:val="nil"/>
            </w:tcBorders>
          </w:tcPr>
          <w:p w14:paraId="271E3F9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0.081***</w:t>
            </w:r>
          </w:p>
        </w:tc>
      </w:tr>
      <w:tr w:rsidR="00276E7F" w:rsidRPr="00C124C0" w14:paraId="159D4FB1" w14:textId="77777777" w:rsidTr="000415B4">
        <w:trPr>
          <w:trHeight w:val="258"/>
          <w:jc w:val="center"/>
        </w:trPr>
        <w:tc>
          <w:tcPr>
            <w:tcW w:w="1500" w:type="dxa"/>
            <w:tcBorders>
              <w:top w:val="nil"/>
              <w:left w:val="nil"/>
              <w:bottom w:val="nil"/>
              <w:right w:val="nil"/>
            </w:tcBorders>
          </w:tcPr>
          <w:p w14:paraId="26AB407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2D45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(0.018)</w:t>
            </w:r>
          </w:p>
        </w:tc>
        <w:tc>
          <w:tcPr>
            <w:tcW w:w="2250" w:type="dxa"/>
            <w:tcBorders>
              <w:top w:val="nil"/>
              <w:left w:val="nil"/>
              <w:bottom w:val="nil"/>
              <w:right w:val="nil"/>
            </w:tcBorders>
          </w:tcPr>
          <w:p w14:paraId="783890C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c>
          <w:tcPr>
            <w:tcW w:w="2250" w:type="dxa"/>
            <w:tcBorders>
              <w:top w:val="nil"/>
              <w:left w:val="nil"/>
              <w:bottom w:val="nil"/>
              <w:right w:val="nil"/>
            </w:tcBorders>
          </w:tcPr>
          <w:p w14:paraId="2D183B0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(0.008)</w:t>
            </w:r>
          </w:p>
        </w:tc>
      </w:tr>
      <w:tr w:rsidR="00276E7F" w:rsidRPr="00C124C0" w14:paraId="56F81BD7" w14:textId="77777777" w:rsidTr="000415B4">
        <w:trPr>
          <w:trHeight w:val="267"/>
          <w:jc w:val="center"/>
        </w:trPr>
        <w:tc>
          <w:tcPr>
            <w:tcW w:w="1500" w:type="dxa"/>
            <w:tcBorders>
              <w:top w:val="nil"/>
              <w:left w:val="nil"/>
              <w:bottom w:val="nil"/>
              <w:right w:val="nil"/>
            </w:tcBorders>
          </w:tcPr>
          <w:p w14:paraId="4F06EC1A" w14:textId="67FFF16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579C812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0.166**</w:t>
            </w:r>
          </w:p>
        </w:tc>
        <w:tc>
          <w:tcPr>
            <w:tcW w:w="2250" w:type="dxa"/>
            <w:tcBorders>
              <w:top w:val="nil"/>
              <w:left w:val="nil"/>
              <w:bottom w:val="nil"/>
              <w:right w:val="nil"/>
            </w:tcBorders>
          </w:tcPr>
          <w:p w14:paraId="2A12A71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0.189*</w:t>
            </w:r>
          </w:p>
        </w:tc>
        <w:tc>
          <w:tcPr>
            <w:tcW w:w="2250" w:type="dxa"/>
            <w:tcBorders>
              <w:top w:val="nil"/>
              <w:left w:val="nil"/>
              <w:bottom w:val="nil"/>
              <w:right w:val="nil"/>
            </w:tcBorders>
          </w:tcPr>
          <w:p w14:paraId="28A181A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0.100***</w:t>
            </w:r>
          </w:p>
        </w:tc>
      </w:tr>
      <w:tr w:rsidR="00276E7F" w:rsidRPr="00C124C0" w14:paraId="2F28E991" w14:textId="77777777" w:rsidTr="000415B4">
        <w:trPr>
          <w:trHeight w:val="267"/>
          <w:jc w:val="center"/>
        </w:trPr>
        <w:tc>
          <w:tcPr>
            <w:tcW w:w="1500" w:type="dxa"/>
            <w:tcBorders>
              <w:top w:val="nil"/>
              <w:left w:val="nil"/>
              <w:bottom w:val="nil"/>
              <w:right w:val="nil"/>
            </w:tcBorders>
          </w:tcPr>
          <w:p w14:paraId="0750F31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478A164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250" w:type="dxa"/>
            <w:tcBorders>
              <w:top w:val="nil"/>
              <w:left w:val="nil"/>
              <w:bottom w:val="nil"/>
              <w:right w:val="nil"/>
            </w:tcBorders>
          </w:tcPr>
          <w:p w14:paraId="1785EE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(0.106)</w:t>
            </w:r>
          </w:p>
        </w:tc>
        <w:tc>
          <w:tcPr>
            <w:tcW w:w="2250" w:type="dxa"/>
            <w:tcBorders>
              <w:top w:val="nil"/>
              <w:left w:val="nil"/>
              <w:bottom w:val="nil"/>
              <w:right w:val="nil"/>
            </w:tcBorders>
          </w:tcPr>
          <w:p w14:paraId="081881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r>
      <w:tr w:rsidR="00276E7F" w:rsidRPr="00C124C0" w14:paraId="6DD925E3" w14:textId="77777777" w:rsidTr="000415B4">
        <w:trPr>
          <w:trHeight w:val="258"/>
          <w:jc w:val="center"/>
        </w:trPr>
        <w:tc>
          <w:tcPr>
            <w:tcW w:w="1500" w:type="dxa"/>
            <w:tcBorders>
              <w:top w:val="nil"/>
              <w:left w:val="nil"/>
              <w:bottom w:val="nil"/>
              <w:right w:val="nil"/>
            </w:tcBorders>
          </w:tcPr>
          <w:p w14:paraId="4F952C6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280" w:type="dxa"/>
            <w:tcBorders>
              <w:top w:val="nil"/>
              <w:left w:val="nil"/>
              <w:bottom w:val="nil"/>
              <w:right w:val="nil"/>
            </w:tcBorders>
          </w:tcPr>
          <w:p w14:paraId="28D5454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0.477***</w:t>
            </w:r>
          </w:p>
        </w:tc>
        <w:tc>
          <w:tcPr>
            <w:tcW w:w="2250" w:type="dxa"/>
            <w:tcBorders>
              <w:top w:val="nil"/>
              <w:left w:val="nil"/>
              <w:bottom w:val="nil"/>
              <w:right w:val="nil"/>
            </w:tcBorders>
          </w:tcPr>
          <w:p w14:paraId="18CEC6A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0.314***</w:t>
            </w:r>
          </w:p>
        </w:tc>
        <w:tc>
          <w:tcPr>
            <w:tcW w:w="2250" w:type="dxa"/>
            <w:tcBorders>
              <w:top w:val="nil"/>
              <w:left w:val="nil"/>
              <w:bottom w:val="nil"/>
              <w:right w:val="nil"/>
            </w:tcBorders>
          </w:tcPr>
          <w:p w14:paraId="4FA7A7B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0.724***</w:t>
            </w:r>
          </w:p>
        </w:tc>
      </w:tr>
      <w:tr w:rsidR="00276E7F" w:rsidRPr="00C124C0" w14:paraId="23D95323" w14:textId="77777777" w:rsidTr="000415B4">
        <w:trPr>
          <w:trHeight w:val="267"/>
          <w:jc w:val="center"/>
        </w:trPr>
        <w:tc>
          <w:tcPr>
            <w:tcW w:w="1500" w:type="dxa"/>
            <w:tcBorders>
              <w:top w:val="nil"/>
              <w:left w:val="nil"/>
              <w:bottom w:val="nil"/>
              <w:right w:val="nil"/>
            </w:tcBorders>
          </w:tcPr>
          <w:p w14:paraId="3E8F67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E858B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(0.027)</w:t>
            </w:r>
          </w:p>
        </w:tc>
        <w:tc>
          <w:tcPr>
            <w:tcW w:w="2250" w:type="dxa"/>
            <w:tcBorders>
              <w:top w:val="nil"/>
              <w:left w:val="nil"/>
              <w:bottom w:val="nil"/>
              <w:right w:val="nil"/>
            </w:tcBorders>
          </w:tcPr>
          <w:p w14:paraId="04394B9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250" w:type="dxa"/>
            <w:tcBorders>
              <w:top w:val="nil"/>
              <w:left w:val="nil"/>
              <w:bottom w:val="nil"/>
              <w:right w:val="nil"/>
            </w:tcBorders>
          </w:tcPr>
          <w:p w14:paraId="2514A3B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(0.017)</w:t>
            </w:r>
          </w:p>
        </w:tc>
      </w:tr>
      <w:tr w:rsidR="00276E7F" w:rsidRPr="00C124C0" w14:paraId="0C940D99" w14:textId="77777777" w:rsidTr="000415B4">
        <w:trPr>
          <w:trHeight w:val="258"/>
          <w:jc w:val="center"/>
        </w:trPr>
        <w:tc>
          <w:tcPr>
            <w:tcW w:w="1500" w:type="dxa"/>
            <w:tcBorders>
              <w:top w:val="nil"/>
              <w:left w:val="nil"/>
              <w:bottom w:val="nil"/>
              <w:right w:val="nil"/>
            </w:tcBorders>
          </w:tcPr>
          <w:p w14:paraId="63572D4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280" w:type="dxa"/>
            <w:tcBorders>
              <w:top w:val="nil"/>
              <w:left w:val="nil"/>
              <w:bottom w:val="nil"/>
              <w:right w:val="nil"/>
            </w:tcBorders>
          </w:tcPr>
          <w:p w14:paraId="22709B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250" w:type="dxa"/>
            <w:tcBorders>
              <w:top w:val="nil"/>
              <w:left w:val="nil"/>
              <w:bottom w:val="nil"/>
              <w:right w:val="nil"/>
            </w:tcBorders>
          </w:tcPr>
          <w:p w14:paraId="55165C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55D5F7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38FC903" w14:textId="77777777" w:rsidTr="000415B4">
        <w:trPr>
          <w:trHeight w:val="267"/>
          <w:jc w:val="center"/>
        </w:trPr>
        <w:tc>
          <w:tcPr>
            <w:tcW w:w="1500" w:type="dxa"/>
            <w:tcBorders>
              <w:top w:val="nil"/>
              <w:left w:val="nil"/>
              <w:bottom w:val="nil"/>
              <w:right w:val="nil"/>
            </w:tcBorders>
          </w:tcPr>
          <w:p w14:paraId="26DA4E4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FFA77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66C464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175C861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C544554" w14:textId="77777777" w:rsidTr="000415B4">
        <w:trPr>
          <w:trHeight w:val="258"/>
          <w:jc w:val="center"/>
        </w:trPr>
        <w:tc>
          <w:tcPr>
            <w:tcW w:w="1500" w:type="dxa"/>
            <w:tcBorders>
              <w:top w:val="nil"/>
              <w:left w:val="nil"/>
              <w:bottom w:val="nil"/>
              <w:right w:val="nil"/>
            </w:tcBorders>
          </w:tcPr>
          <w:p w14:paraId="3718E20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280" w:type="dxa"/>
            <w:tcBorders>
              <w:top w:val="nil"/>
              <w:left w:val="nil"/>
              <w:bottom w:val="nil"/>
              <w:right w:val="nil"/>
            </w:tcBorders>
          </w:tcPr>
          <w:p w14:paraId="50A3E5B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325</w:t>
            </w:r>
          </w:p>
        </w:tc>
        <w:tc>
          <w:tcPr>
            <w:tcW w:w="2250" w:type="dxa"/>
            <w:tcBorders>
              <w:top w:val="nil"/>
              <w:left w:val="nil"/>
              <w:bottom w:val="nil"/>
              <w:right w:val="nil"/>
            </w:tcBorders>
          </w:tcPr>
          <w:p w14:paraId="3AB02F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383</w:t>
            </w:r>
          </w:p>
        </w:tc>
        <w:tc>
          <w:tcPr>
            <w:tcW w:w="2250" w:type="dxa"/>
            <w:tcBorders>
              <w:top w:val="nil"/>
              <w:left w:val="nil"/>
              <w:bottom w:val="nil"/>
              <w:right w:val="nil"/>
            </w:tcBorders>
          </w:tcPr>
          <w:p w14:paraId="1413F2B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998</w:t>
            </w:r>
          </w:p>
        </w:tc>
      </w:tr>
      <w:tr w:rsidR="00276E7F" w:rsidRPr="00C124C0" w14:paraId="246701FA" w14:textId="77777777" w:rsidTr="000415B4">
        <w:trPr>
          <w:trHeight w:val="267"/>
          <w:jc w:val="center"/>
        </w:trPr>
        <w:tc>
          <w:tcPr>
            <w:tcW w:w="1500" w:type="dxa"/>
            <w:tcBorders>
              <w:top w:val="nil"/>
              <w:left w:val="nil"/>
              <w:bottom w:val="nil"/>
              <w:right w:val="nil"/>
            </w:tcBorders>
          </w:tcPr>
          <w:p w14:paraId="27F48D58"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280" w:type="dxa"/>
            <w:tcBorders>
              <w:top w:val="nil"/>
              <w:left w:val="nil"/>
              <w:bottom w:val="nil"/>
              <w:right w:val="nil"/>
            </w:tcBorders>
          </w:tcPr>
          <w:p w14:paraId="6BDF3D0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0.872</w:t>
            </w:r>
          </w:p>
        </w:tc>
        <w:tc>
          <w:tcPr>
            <w:tcW w:w="2250" w:type="dxa"/>
            <w:tcBorders>
              <w:top w:val="nil"/>
              <w:left w:val="nil"/>
              <w:bottom w:val="nil"/>
              <w:right w:val="nil"/>
            </w:tcBorders>
          </w:tcPr>
          <w:p w14:paraId="6E357AD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0.645</w:t>
            </w:r>
          </w:p>
        </w:tc>
        <w:tc>
          <w:tcPr>
            <w:tcW w:w="2250" w:type="dxa"/>
            <w:tcBorders>
              <w:top w:val="nil"/>
              <w:left w:val="nil"/>
              <w:bottom w:val="nil"/>
              <w:right w:val="nil"/>
            </w:tcBorders>
          </w:tcPr>
          <w:p w14:paraId="14B5FA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0.934</w:t>
            </w:r>
          </w:p>
        </w:tc>
      </w:tr>
      <w:tr w:rsidR="00276E7F" w:rsidRPr="00C124C0" w14:paraId="6053553C" w14:textId="77777777" w:rsidTr="000415B4">
        <w:tblPrEx>
          <w:tblBorders>
            <w:bottom w:val="single" w:sz="6" w:space="0" w:color="auto"/>
          </w:tblBorders>
        </w:tblPrEx>
        <w:trPr>
          <w:trHeight w:val="258"/>
          <w:jc w:val="center"/>
        </w:trPr>
        <w:tc>
          <w:tcPr>
            <w:tcW w:w="1500" w:type="dxa"/>
            <w:tcBorders>
              <w:top w:val="nil"/>
              <w:left w:val="nil"/>
              <w:bottom w:val="single" w:sz="6" w:space="0" w:color="auto"/>
              <w:right w:val="nil"/>
            </w:tcBorders>
          </w:tcPr>
          <w:p w14:paraId="1EC3A50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280" w:type="dxa"/>
            <w:tcBorders>
              <w:top w:val="nil"/>
              <w:left w:val="nil"/>
              <w:bottom w:val="single" w:sz="6" w:space="0" w:color="auto"/>
              <w:right w:val="nil"/>
            </w:tcBorders>
          </w:tcPr>
          <w:p w14:paraId="529F6CF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0.085</w:t>
            </w:r>
          </w:p>
        </w:tc>
        <w:tc>
          <w:tcPr>
            <w:tcW w:w="2250" w:type="dxa"/>
            <w:tcBorders>
              <w:top w:val="nil"/>
              <w:left w:val="nil"/>
              <w:bottom w:val="single" w:sz="6" w:space="0" w:color="auto"/>
              <w:right w:val="nil"/>
            </w:tcBorders>
          </w:tcPr>
          <w:p w14:paraId="49231A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0.227</w:t>
            </w:r>
          </w:p>
        </w:tc>
        <w:tc>
          <w:tcPr>
            <w:tcW w:w="2250" w:type="dxa"/>
            <w:tcBorders>
              <w:top w:val="nil"/>
              <w:left w:val="nil"/>
              <w:bottom w:val="single" w:sz="6" w:space="0" w:color="auto"/>
              <w:right w:val="nil"/>
            </w:tcBorders>
          </w:tcPr>
          <w:p w14:paraId="62AEA0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0.124</w:t>
            </w:r>
          </w:p>
        </w:tc>
      </w:tr>
    </w:tbl>
    <w:p w14:paraId="77F9C838" w14:textId="4B8E264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E861C8">
        <w:rPr>
          <w:rFonts w:cs="Times New Roman"/>
          <w:sz w:val="16"/>
          <w:szCs w:val="16"/>
        </w:rPr>
        <w:br/>
      </w:r>
      <w:r w:rsidR="00276E7F" w:rsidRPr="006F7AA5">
        <w:rPr>
          <w:rFonts w:cs="Times New Roman"/>
          <w:sz w:val="24"/>
          <w:szCs w:val="24"/>
        </w:rPr>
        <w:t>*** p&lt;0.01, ** p&lt;0.05, * p&lt;0.1</w:t>
      </w:r>
      <w:r w:rsidR="00276E7F">
        <w:rPr>
          <w:rFonts w:cs="Times New Roman"/>
          <w:sz w:val="24"/>
          <w:szCs w:val="24"/>
        </w:rPr>
        <w:t>.  (</w:t>
      </w:r>
      <w:r w:rsidR="00276E7F" w:rsidRPr="006F7AA5">
        <w:rPr>
          <w:rFonts w:cs="Times New Roman"/>
          <w:sz w:val="24"/>
          <w:szCs w:val="24"/>
        </w:rPr>
        <w:t>Robust standard errors in parentheses</w:t>
      </w:r>
      <w:r w:rsidR="00276E7F">
        <w:rPr>
          <w:rFonts w:cs="Times New Roman"/>
          <w:sz w:val="24"/>
          <w:szCs w:val="24"/>
        </w:rPr>
        <w:t>.)</w:t>
      </w:r>
      <w:r w:rsidRPr="00E861C8">
        <w:rPr>
          <w:rFonts w:cs="Times New Roman"/>
          <w:sz w:val="16"/>
          <w:szCs w:val="16"/>
        </w:rPr>
        <w:br/>
      </w:r>
      <w:r w:rsidRPr="00E861C8">
        <w:rPr>
          <w:rFonts w:cs="Times New Roman"/>
          <w:sz w:val="16"/>
          <w:szCs w:val="16"/>
        </w:rPr>
        <w:br/>
      </w: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r>
        <w:rPr>
          <w:rFonts w:cs="Times New Roman"/>
          <w:sz w:val="24"/>
          <w:szCs w:val="24"/>
        </w:rPr>
        <w:br/>
      </w:r>
    </w:p>
    <w:p w14:paraId="4482FBFD" w14:textId="77777777" w:rsidR="00276E7F" w:rsidRPr="00F16FB7" w:rsidRDefault="00276E7F" w:rsidP="00276E7F">
      <w:pPr>
        <w:pStyle w:val="ListParagraph"/>
        <w:widowControl w:val="0"/>
        <w:numPr>
          <w:ilvl w:val="1"/>
          <w:numId w:val="14"/>
        </w:numPr>
        <w:autoSpaceDE w:val="0"/>
        <w:autoSpaceDN w:val="0"/>
        <w:adjustRightInd w:val="0"/>
        <w:spacing w:after="0" w:line="240" w:lineRule="auto"/>
        <w:jc w:val="center"/>
        <w:rPr>
          <w:rFonts w:cs="Times New Roman"/>
          <w:sz w:val="24"/>
          <w:szCs w:val="24"/>
        </w:rPr>
      </w:pPr>
      <w:r w:rsidRPr="00F16FB7">
        <w:rPr>
          <w:rFonts w:cs="Times New Roman"/>
          <w:sz w:val="24"/>
          <w:szCs w:val="24"/>
        </w:rPr>
        <w:lastRenderedPageBreak/>
        <w:t>South Korea: Identifying Break Points in South Korea 's Exchange Rate Regime</w:t>
      </w:r>
    </w:p>
    <w:p w14:paraId="7009E542" w14:textId="30C2E200" w:rsidR="00276E7F" w:rsidRDefault="001449A6" w:rsidP="00276E7F">
      <w:pPr>
        <w:pStyle w:val="ListParagraph"/>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-M2:2013</w:t>
      </w:r>
    </w:p>
    <w:p w14:paraId="46AD18B3" w14:textId="77777777" w:rsidR="00276E7F" w:rsidRDefault="00276E7F" w:rsidP="00276E7F">
      <w:pPr>
        <w:pStyle w:val="ListParagraph"/>
        <w:widowControl w:val="0"/>
        <w:autoSpaceDE w:val="0"/>
        <w:autoSpaceDN w:val="0"/>
        <w:adjustRightInd w:val="0"/>
        <w:spacing w:after="0" w:line="240" w:lineRule="auto"/>
        <w:jc w:val="center"/>
        <w:rPr>
          <w:rFonts w:cs="Times New Roman"/>
          <w:sz w:val="24"/>
          <w:szCs w:val="24"/>
        </w:rPr>
      </w:pPr>
    </w:p>
    <w:tbl>
      <w:tblPr>
        <w:tblW w:w="10289" w:type="dxa"/>
        <w:jc w:val="center"/>
        <w:tblLayout w:type="fixed"/>
        <w:tblCellMar>
          <w:left w:w="75" w:type="dxa"/>
          <w:right w:w="75" w:type="dxa"/>
        </w:tblCellMar>
        <w:tblLook w:val="0000" w:firstRow="0" w:lastRow="0" w:firstColumn="0" w:lastColumn="0" w:noHBand="0" w:noVBand="0"/>
      </w:tblPr>
      <w:tblGrid>
        <w:gridCol w:w="1594"/>
        <w:gridCol w:w="2240"/>
        <w:gridCol w:w="2240"/>
        <w:gridCol w:w="2122"/>
        <w:gridCol w:w="2093"/>
      </w:tblGrid>
      <w:tr w:rsidR="00276E7F" w:rsidRPr="00404187" w14:paraId="0D09E738" w14:textId="77777777" w:rsidTr="00E861C8">
        <w:trPr>
          <w:trHeight w:val="299"/>
          <w:jc w:val="center"/>
        </w:trPr>
        <w:tc>
          <w:tcPr>
            <w:tcW w:w="1594" w:type="dxa"/>
            <w:tcBorders>
              <w:top w:val="single" w:sz="6" w:space="0" w:color="auto"/>
              <w:left w:val="nil"/>
              <w:bottom w:val="nil"/>
              <w:right w:val="nil"/>
            </w:tcBorders>
          </w:tcPr>
          <w:p w14:paraId="7999717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single" w:sz="6" w:space="0" w:color="auto"/>
              <w:left w:val="nil"/>
              <w:bottom w:val="nil"/>
              <w:right w:val="nil"/>
            </w:tcBorders>
          </w:tcPr>
          <w:p w14:paraId="0EA2549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240" w:type="dxa"/>
            <w:tcBorders>
              <w:top w:val="single" w:sz="6" w:space="0" w:color="auto"/>
              <w:left w:val="nil"/>
              <w:bottom w:val="nil"/>
              <w:right w:val="nil"/>
            </w:tcBorders>
          </w:tcPr>
          <w:p w14:paraId="049422F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22" w:type="dxa"/>
            <w:tcBorders>
              <w:top w:val="single" w:sz="6" w:space="0" w:color="auto"/>
              <w:left w:val="nil"/>
              <w:bottom w:val="nil"/>
              <w:right w:val="nil"/>
            </w:tcBorders>
          </w:tcPr>
          <w:p w14:paraId="420E05B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93" w:type="dxa"/>
            <w:tcBorders>
              <w:top w:val="single" w:sz="6" w:space="0" w:color="auto"/>
              <w:left w:val="nil"/>
              <w:bottom w:val="nil"/>
              <w:right w:val="nil"/>
            </w:tcBorders>
          </w:tcPr>
          <w:p w14:paraId="2EFF23B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404187" w14:paraId="1C966195" w14:textId="77777777" w:rsidTr="00E861C8">
        <w:trPr>
          <w:trHeight w:val="310"/>
          <w:jc w:val="center"/>
        </w:trPr>
        <w:tc>
          <w:tcPr>
            <w:tcW w:w="1594" w:type="dxa"/>
            <w:tcBorders>
              <w:top w:val="nil"/>
              <w:left w:val="nil"/>
              <w:bottom w:val="single" w:sz="6" w:space="0" w:color="auto"/>
              <w:right w:val="nil"/>
            </w:tcBorders>
          </w:tcPr>
          <w:p w14:paraId="4FF80A9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VARIABLES</w:t>
            </w:r>
          </w:p>
        </w:tc>
        <w:tc>
          <w:tcPr>
            <w:tcW w:w="2240" w:type="dxa"/>
            <w:tcBorders>
              <w:top w:val="nil"/>
              <w:left w:val="nil"/>
              <w:bottom w:val="single" w:sz="6" w:space="0" w:color="auto"/>
              <w:right w:val="nil"/>
            </w:tcBorders>
          </w:tcPr>
          <w:p w14:paraId="79BBF68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8/2/2005-3/17/2008</w:t>
            </w:r>
          </w:p>
        </w:tc>
        <w:tc>
          <w:tcPr>
            <w:tcW w:w="2240" w:type="dxa"/>
            <w:tcBorders>
              <w:top w:val="nil"/>
              <w:left w:val="nil"/>
              <w:bottom w:val="single" w:sz="6" w:space="0" w:color="auto"/>
              <w:right w:val="nil"/>
            </w:tcBorders>
          </w:tcPr>
          <w:p w14:paraId="3AECD2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3/18/2008-1/2/2009</w:t>
            </w:r>
          </w:p>
        </w:tc>
        <w:tc>
          <w:tcPr>
            <w:tcW w:w="2122" w:type="dxa"/>
            <w:tcBorders>
              <w:top w:val="nil"/>
              <w:left w:val="nil"/>
              <w:bottom w:val="single" w:sz="6" w:space="0" w:color="auto"/>
              <w:right w:val="nil"/>
            </w:tcBorders>
          </w:tcPr>
          <w:p w14:paraId="2A4FEE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1/5/2009-5/3/2010</w:t>
            </w:r>
          </w:p>
        </w:tc>
        <w:tc>
          <w:tcPr>
            <w:tcW w:w="2093" w:type="dxa"/>
            <w:tcBorders>
              <w:top w:val="nil"/>
              <w:left w:val="nil"/>
              <w:bottom w:val="single" w:sz="6" w:space="0" w:color="auto"/>
              <w:right w:val="nil"/>
            </w:tcBorders>
          </w:tcPr>
          <w:p w14:paraId="578B78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5/4/2010-2/1/2013</w:t>
            </w:r>
          </w:p>
        </w:tc>
      </w:tr>
      <w:tr w:rsidR="00276E7F" w:rsidRPr="00404187" w14:paraId="00E5AC9F" w14:textId="77777777" w:rsidTr="00E861C8">
        <w:trPr>
          <w:trHeight w:val="299"/>
          <w:jc w:val="center"/>
        </w:trPr>
        <w:tc>
          <w:tcPr>
            <w:tcW w:w="1594" w:type="dxa"/>
            <w:tcBorders>
              <w:top w:val="nil"/>
              <w:left w:val="nil"/>
              <w:bottom w:val="nil"/>
              <w:right w:val="nil"/>
            </w:tcBorders>
          </w:tcPr>
          <w:p w14:paraId="12EDFD4A" w14:textId="60DDC31B"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US</w:t>
            </w:r>
            <w:r w:rsidR="00A608F2">
              <w:rPr>
                <w:rFonts w:cstheme="minorHAnsi"/>
                <w:sz w:val="24"/>
                <w:szCs w:val="24"/>
              </w:rPr>
              <w:t xml:space="preserve"> </w:t>
            </w:r>
            <w:r w:rsidRPr="00404187">
              <w:rPr>
                <w:rFonts w:cstheme="minorHAnsi"/>
                <w:sz w:val="24"/>
                <w:szCs w:val="24"/>
              </w:rPr>
              <w:t>$</w:t>
            </w:r>
          </w:p>
        </w:tc>
        <w:tc>
          <w:tcPr>
            <w:tcW w:w="2240" w:type="dxa"/>
            <w:tcBorders>
              <w:top w:val="nil"/>
              <w:left w:val="nil"/>
              <w:bottom w:val="nil"/>
              <w:right w:val="nil"/>
            </w:tcBorders>
          </w:tcPr>
          <w:p w14:paraId="4F1AB5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0.239**</w:t>
            </w:r>
          </w:p>
        </w:tc>
        <w:tc>
          <w:tcPr>
            <w:tcW w:w="2240" w:type="dxa"/>
            <w:tcBorders>
              <w:top w:val="nil"/>
              <w:left w:val="nil"/>
              <w:bottom w:val="nil"/>
              <w:right w:val="nil"/>
            </w:tcBorders>
          </w:tcPr>
          <w:p w14:paraId="4EBB9DF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1.478***</w:t>
            </w:r>
          </w:p>
        </w:tc>
        <w:tc>
          <w:tcPr>
            <w:tcW w:w="2122" w:type="dxa"/>
            <w:tcBorders>
              <w:top w:val="nil"/>
              <w:left w:val="nil"/>
              <w:bottom w:val="nil"/>
              <w:right w:val="nil"/>
            </w:tcBorders>
          </w:tcPr>
          <w:p w14:paraId="0EA7889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-0.636</w:t>
            </w:r>
          </w:p>
        </w:tc>
        <w:tc>
          <w:tcPr>
            <w:tcW w:w="2093" w:type="dxa"/>
            <w:tcBorders>
              <w:top w:val="nil"/>
              <w:left w:val="nil"/>
              <w:bottom w:val="nil"/>
              <w:right w:val="nil"/>
            </w:tcBorders>
          </w:tcPr>
          <w:p w14:paraId="4C30A2E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0.307***</w:t>
            </w:r>
          </w:p>
        </w:tc>
      </w:tr>
      <w:tr w:rsidR="00276E7F" w:rsidRPr="00404187" w14:paraId="4465A2F8" w14:textId="77777777" w:rsidTr="00E861C8">
        <w:trPr>
          <w:trHeight w:val="310"/>
          <w:jc w:val="center"/>
        </w:trPr>
        <w:tc>
          <w:tcPr>
            <w:tcW w:w="1594" w:type="dxa"/>
            <w:tcBorders>
              <w:top w:val="nil"/>
              <w:left w:val="nil"/>
              <w:bottom w:val="nil"/>
              <w:right w:val="nil"/>
            </w:tcBorders>
          </w:tcPr>
          <w:p w14:paraId="061BEE3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788D512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(0.099)</w:t>
            </w:r>
          </w:p>
        </w:tc>
        <w:tc>
          <w:tcPr>
            <w:tcW w:w="2240" w:type="dxa"/>
            <w:tcBorders>
              <w:top w:val="nil"/>
              <w:left w:val="nil"/>
              <w:bottom w:val="nil"/>
              <w:right w:val="nil"/>
            </w:tcBorders>
          </w:tcPr>
          <w:p w14:paraId="606FF0F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(0.444)</w:t>
            </w:r>
          </w:p>
        </w:tc>
        <w:tc>
          <w:tcPr>
            <w:tcW w:w="2122" w:type="dxa"/>
            <w:tcBorders>
              <w:top w:val="nil"/>
              <w:left w:val="nil"/>
              <w:bottom w:val="nil"/>
              <w:right w:val="nil"/>
            </w:tcBorders>
          </w:tcPr>
          <w:p w14:paraId="417CF8F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(0.411)</w:t>
            </w:r>
          </w:p>
        </w:tc>
        <w:tc>
          <w:tcPr>
            <w:tcW w:w="2093" w:type="dxa"/>
            <w:tcBorders>
              <w:top w:val="nil"/>
              <w:left w:val="nil"/>
              <w:bottom w:val="nil"/>
              <w:right w:val="nil"/>
            </w:tcBorders>
          </w:tcPr>
          <w:p w14:paraId="7269155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7AD728ED" w14:textId="77777777" w:rsidTr="00E861C8">
        <w:trPr>
          <w:trHeight w:val="310"/>
          <w:jc w:val="center"/>
        </w:trPr>
        <w:tc>
          <w:tcPr>
            <w:tcW w:w="1594" w:type="dxa"/>
            <w:tcBorders>
              <w:top w:val="nil"/>
              <w:left w:val="nil"/>
              <w:bottom w:val="nil"/>
              <w:right w:val="nil"/>
            </w:tcBorders>
          </w:tcPr>
          <w:p w14:paraId="0A29EC9F"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Euro €</w:t>
            </w:r>
          </w:p>
        </w:tc>
        <w:tc>
          <w:tcPr>
            <w:tcW w:w="2240" w:type="dxa"/>
            <w:tcBorders>
              <w:top w:val="nil"/>
              <w:left w:val="nil"/>
              <w:bottom w:val="nil"/>
              <w:right w:val="nil"/>
            </w:tcBorders>
          </w:tcPr>
          <w:p w14:paraId="0567522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0.293***</w:t>
            </w:r>
          </w:p>
        </w:tc>
        <w:tc>
          <w:tcPr>
            <w:tcW w:w="2240" w:type="dxa"/>
            <w:tcBorders>
              <w:top w:val="nil"/>
              <w:left w:val="nil"/>
              <w:bottom w:val="nil"/>
              <w:right w:val="nil"/>
            </w:tcBorders>
          </w:tcPr>
          <w:p w14:paraId="67C7531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0.443***</w:t>
            </w:r>
          </w:p>
        </w:tc>
        <w:tc>
          <w:tcPr>
            <w:tcW w:w="2122" w:type="dxa"/>
            <w:tcBorders>
              <w:top w:val="nil"/>
              <w:left w:val="nil"/>
              <w:bottom w:val="nil"/>
              <w:right w:val="nil"/>
            </w:tcBorders>
          </w:tcPr>
          <w:p w14:paraId="64CBB1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0.345***</w:t>
            </w:r>
          </w:p>
        </w:tc>
        <w:tc>
          <w:tcPr>
            <w:tcW w:w="2093" w:type="dxa"/>
            <w:tcBorders>
              <w:top w:val="nil"/>
              <w:left w:val="nil"/>
              <w:bottom w:val="nil"/>
              <w:right w:val="nil"/>
            </w:tcBorders>
          </w:tcPr>
          <w:p w14:paraId="75528C2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0.384***</w:t>
            </w:r>
          </w:p>
        </w:tc>
      </w:tr>
      <w:tr w:rsidR="00276E7F" w:rsidRPr="00404187" w14:paraId="30605343" w14:textId="77777777" w:rsidTr="00E861C8">
        <w:trPr>
          <w:trHeight w:val="299"/>
          <w:jc w:val="center"/>
        </w:trPr>
        <w:tc>
          <w:tcPr>
            <w:tcW w:w="1594" w:type="dxa"/>
            <w:tcBorders>
              <w:top w:val="nil"/>
              <w:left w:val="nil"/>
              <w:bottom w:val="nil"/>
              <w:right w:val="nil"/>
            </w:tcBorders>
          </w:tcPr>
          <w:p w14:paraId="2B4A030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16247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240" w:type="dxa"/>
            <w:tcBorders>
              <w:top w:val="nil"/>
              <w:left w:val="nil"/>
              <w:bottom w:val="nil"/>
              <w:right w:val="nil"/>
            </w:tcBorders>
          </w:tcPr>
          <w:p w14:paraId="4267A3C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(0.118)</w:t>
            </w:r>
          </w:p>
        </w:tc>
        <w:tc>
          <w:tcPr>
            <w:tcW w:w="2122" w:type="dxa"/>
            <w:tcBorders>
              <w:top w:val="nil"/>
              <w:left w:val="nil"/>
              <w:bottom w:val="nil"/>
              <w:right w:val="nil"/>
            </w:tcBorders>
          </w:tcPr>
          <w:p w14:paraId="1D0231DB"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093" w:type="dxa"/>
            <w:tcBorders>
              <w:top w:val="nil"/>
              <w:left w:val="nil"/>
              <w:bottom w:val="nil"/>
              <w:right w:val="nil"/>
            </w:tcBorders>
          </w:tcPr>
          <w:p w14:paraId="783F530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(0.012)</w:t>
            </w:r>
          </w:p>
        </w:tc>
      </w:tr>
      <w:tr w:rsidR="00276E7F" w:rsidRPr="00404187" w14:paraId="55BD5A88" w14:textId="77777777" w:rsidTr="00E861C8">
        <w:trPr>
          <w:trHeight w:val="310"/>
          <w:jc w:val="center"/>
        </w:trPr>
        <w:tc>
          <w:tcPr>
            <w:tcW w:w="1594" w:type="dxa"/>
            <w:tcBorders>
              <w:top w:val="nil"/>
              <w:left w:val="nil"/>
              <w:bottom w:val="nil"/>
              <w:right w:val="nil"/>
            </w:tcBorders>
          </w:tcPr>
          <w:p w14:paraId="7A66FB97" w14:textId="3692BADA"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JP</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BCED0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0.077***</w:t>
            </w:r>
          </w:p>
        </w:tc>
        <w:tc>
          <w:tcPr>
            <w:tcW w:w="2240" w:type="dxa"/>
            <w:tcBorders>
              <w:top w:val="nil"/>
              <w:left w:val="nil"/>
              <w:bottom w:val="nil"/>
              <w:right w:val="nil"/>
            </w:tcBorders>
          </w:tcPr>
          <w:p w14:paraId="281940E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0.063</w:t>
            </w:r>
          </w:p>
        </w:tc>
        <w:tc>
          <w:tcPr>
            <w:tcW w:w="2122" w:type="dxa"/>
            <w:tcBorders>
              <w:top w:val="nil"/>
              <w:left w:val="nil"/>
              <w:bottom w:val="nil"/>
              <w:right w:val="nil"/>
            </w:tcBorders>
          </w:tcPr>
          <w:p w14:paraId="6BDAF91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0.083***</w:t>
            </w:r>
          </w:p>
        </w:tc>
        <w:tc>
          <w:tcPr>
            <w:tcW w:w="2093" w:type="dxa"/>
            <w:tcBorders>
              <w:top w:val="nil"/>
              <w:left w:val="nil"/>
              <w:bottom w:val="nil"/>
              <w:right w:val="nil"/>
            </w:tcBorders>
          </w:tcPr>
          <w:p w14:paraId="4A91C8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0.108***</w:t>
            </w:r>
          </w:p>
        </w:tc>
      </w:tr>
      <w:tr w:rsidR="00276E7F" w:rsidRPr="00404187" w14:paraId="4E4621FC" w14:textId="77777777" w:rsidTr="00E861C8">
        <w:trPr>
          <w:trHeight w:val="299"/>
          <w:jc w:val="center"/>
        </w:trPr>
        <w:tc>
          <w:tcPr>
            <w:tcW w:w="1594" w:type="dxa"/>
            <w:tcBorders>
              <w:top w:val="nil"/>
              <w:left w:val="nil"/>
              <w:bottom w:val="nil"/>
              <w:right w:val="nil"/>
            </w:tcBorders>
          </w:tcPr>
          <w:p w14:paraId="5C46EE3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282DB9E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(0.018)</w:t>
            </w:r>
          </w:p>
        </w:tc>
        <w:tc>
          <w:tcPr>
            <w:tcW w:w="2240" w:type="dxa"/>
            <w:tcBorders>
              <w:top w:val="nil"/>
              <w:left w:val="nil"/>
              <w:bottom w:val="nil"/>
              <w:right w:val="nil"/>
            </w:tcBorders>
          </w:tcPr>
          <w:p w14:paraId="7D40B6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(0.092)</w:t>
            </w:r>
          </w:p>
        </w:tc>
        <w:tc>
          <w:tcPr>
            <w:tcW w:w="2122" w:type="dxa"/>
            <w:tcBorders>
              <w:top w:val="nil"/>
              <w:left w:val="nil"/>
              <w:bottom w:val="nil"/>
              <w:right w:val="nil"/>
            </w:tcBorders>
          </w:tcPr>
          <w:p w14:paraId="36B6287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(0.020)</w:t>
            </w:r>
          </w:p>
        </w:tc>
        <w:tc>
          <w:tcPr>
            <w:tcW w:w="2093" w:type="dxa"/>
            <w:tcBorders>
              <w:top w:val="nil"/>
              <w:left w:val="nil"/>
              <w:bottom w:val="nil"/>
              <w:right w:val="nil"/>
            </w:tcBorders>
          </w:tcPr>
          <w:p w14:paraId="053B48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433988E9" w14:textId="77777777" w:rsidTr="00E861C8">
        <w:trPr>
          <w:trHeight w:val="310"/>
          <w:jc w:val="center"/>
        </w:trPr>
        <w:tc>
          <w:tcPr>
            <w:tcW w:w="1594" w:type="dxa"/>
            <w:tcBorders>
              <w:top w:val="nil"/>
              <w:left w:val="nil"/>
              <w:bottom w:val="nil"/>
              <w:right w:val="nil"/>
            </w:tcBorders>
          </w:tcPr>
          <w:p w14:paraId="73928F4B" w14:textId="36170115"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CN</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8902CC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0.310***</w:t>
            </w:r>
          </w:p>
        </w:tc>
        <w:tc>
          <w:tcPr>
            <w:tcW w:w="2240" w:type="dxa"/>
            <w:tcBorders>
              <w:top w:val="nil"/>
              <w:left w:val="nil"/>
              <w:bottom w:val="nil"/>
              <w:right w:val="nil"/>
            </w:tcBorders>
          </w:tcPr>
          <w:p w14:paraId="2E12A3F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-1.016**</w:t>
            </w:r>
          </w:p>
        </w:tc>
        <w:tc>
          <w:tcPr>
            <w:tcW w:w="2122" w:type="dxa"/>
            <w:tcBorders>
              <w:top w:val="nil"/>
              <w:left w:val="nil"/>
              <w:bottom w:val="nil"/>
              <w:right w:val="nil"/>
            </w:tcBorders>
          </w:tcPr>
          <w:p w14:paraId="1C27F94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1.125***</w:t>
            </w:r>
          </w:p>
        </w:tc>
        <w:tc>
          <w:tcPr>
            <w:tcW w:w="2093" w:type="dxa"/>
            <w:tcBorders>
              <w:top w:val="nil"/>
              <w:left w:val="nil"/>
              <w:bottom w:val="nil"/>
              <w:right w:val="nil"/>
            </w:tcBorders>
          </w:tcPr>
          <w:p w14:paraId="44927FB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0.122**</w:t>
            </w:r>
          </w:p>
        </w:tc>
      </w:tr>
      <w:tr w:rsidR="00276E7F" w:rsidRPr="00404187" w14:paraId="4DEFE2BB" w14:textId="77777777" w:rsidTr="00E861C8">
        <w:trPr>
          <w:trHeight w:val="299"/>
          <w:jc w:val="center"/>
        </w:trPr>
        <w:tc>
          <w:tcPr>
            <w:tcW w:w="1594" w:type="dxa"/>
            <w:tcBorders>
              <w:top w:val="nil"/>
              <w:left w:val="nil"/>
              <w:bottom w:val="nil"/>
              <w:right w:val="nil"/>
            </w:tcBorders>
          </w:tcPr>
          <w:p w14:paraId="114623CC"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4AD7F1B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(0.101)</w:t>
            </w:r>
          </w:p>
        </w:tc>
        <w:tc>
          <w:tcPr>
            <w:tcW w:w="2240" w:type="dxa"/>
            <w:tcBorders>
              <w:top w:val="nil"/>
              <w:left w:val="nil"/>
              <w:bottom w:val="nil"/>
              <w:right w:val="nil"/>
            </w:tcBorders>
          </w:tcPr>
          <w:p w14:paraId="59610A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(0.437)</w:t>
            </w:r>
          </w:p>
        </w:tc>
        <w:tc>
          <w:tcPr>
            <w:tcW w:w="2122" w:type="dxa"/>
            <w:tcBorders>
              <w:top w:val="nil"/>
              <w:left w:val="nil"/>
              <w:bottom w:val="nil"/>
              <w:right w:val="nil"/>
            </w:tcBorders>
          </w:tcPr>
          <w:p w14:paraId="7AECA27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(0.414)</w:t>
            </w:r>
          </w:p>
        </w:tc>
        <w:tc>
          <w:tcPr>
            <w:tcW w:w="2093" w:type="dxa"/>
            <w:tcBorders>
              <w:top w:val="nil"/>
              <w:left w:val="nil"/>
              <w:bottom w:val="nil"/>
              <w:right w:val="nil"/>
            </w:tcBorders>
          </w:tcPr>
          <w:p w14:paraId="6322ED2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0E0E7C93" w14:textId="77777777" w:rsidTr="00E861C8">
        <w:trPr>
          <w:trHeight w:val="310"/>
          <w:jc w:val="center"/>
        </w:trPr>
        <w:tc>
          <w:tcPr>
            <w:tcW w:w="1594" w:type="dxa"/>
            <w:tcBorders>
              <w:top w:val="nil"/>
              <w:left w:val="nil"/>
              <w:bottom w:val="nil"/>
              <w:right w:val="nil"/>
            </w:tcBorders>
          </w:tcPr>
          <w:p w14:paraId="06D9EE5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ΔEMP</w:t>
            </w:r>
          </w:p>
        </w:tc>
        <w:tc>
          <w:tcPr>
            <w:tcW w:w="2240" w:type="dxa"/>
            <w:tcBorders>
              <w:top w:val="nil"/>
              <w:left w:val="nil"/>
              <w:bottom w:val="nil"/>
              <w:right w:val="nil"/>
            </w:tcBorders>
          </w:tcPr>
          <w:p w14:paraId="719826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0.661***</w:t>
            </w:r>
          </w:p>
        </w:tc>
        <w:tc>
          <w:tcPr>
            <w:tcW w:w="2240" w:type="dxa"/>
            <w:tcBorders>
              <w:top w:val="nil"/>
              <w:left w:val="nil"/>
              <w:bottom w:val="nil"/>
              <w:right w:val="nil"/>
            </w:tcBorders>
          </w:tcPr>
          <w:p w14:paraId="75058E0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0.872***</w:t>
            </w:r>
          </w:p>
        </w:tc>
        <w:tc>
          <w:tcPr>
            <w:tcW w:w="2122" w:type="dxa"/>
            <w:tcBorders>
              <w:top w:val="nil"/>
              <w:left w:val="nil"/>
              <w:bottom w:val="nil"/>
              <w:right w:val="nil"/>
            </w:tcBorders>
          </w:tcPr>
          <w:p w14:paraId="7127DD7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0.858***</w:t>
            </w:r>
          </w:p>
        </w:tc>
        <w:tc>
          <w:tcPr>
            <w:tcW w:w="2093" w:type="dxa"/>
            <w:tcBorders>
              <w:top w:val="nil"/>
              <w:left w:val="nil"/>
              <w:bottom w:val="nil"/>
              <w:right w:val="nil"/>
            </w:tcBorders>
          </w:tcPr>
          <w:p w14:paraId="21672BF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0.938***</w:t>
            </w:r>
          </w:p>
        </w:tc>
      </w:tr>
      <w:tr w:rsidR="00276E7F" w:rsidRPr="00404187" w14:paraId="6050B273" w14:textId="77777777" w:rsidTr="00E861C8">
        <w:trPr>
          <w:trHeight w:val="310"/>
          <w:jc w:val="center"/>
        </w:trPr>
        <w:tc>
          <w:tcPr>
            <w:tcW w:w="1594" w:type="dxa"/>
            <w:tcBorders>
              <w:top w:val="nil"/>
              <w:left w:val="nil"/>
              <w:bottom w:val="nil"/>
              <w:right w:val="nil"/>
            </w:tcBorders>
          </w:tcPr>
          <w:p w14:paraId="5CCDBEB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C1A258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(0.029)</w:t>
            </w:r>
          </w:p>
        </w:tc>
        <w:tc>
          <w:tcPr>
            <w:tcW w:w="2240" w:type="dxa"/>
            <w:tcBorders>
              <w:top w:val="nil"/>
              <w:left w:val="nil"/>
              <w:bottom w:val="nil"/>
              <w:right w:val="nil"/>
            </w:tcBorders>
          </w:tcPr>
          <w:p w14:paraId="721DBA7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(0.053)</w:t>
            </w:r>
          </w:p>
        </w:tc>
        <w:tc>
          <w:tcPr>
            <w:tcW w:w="2122" w:type="dxa"/>
            <w:tcBorders>
              <w:top w:val="nil"/>
              <w:left w:val="nil"/>
              <w:bottom w:val="nil"/>
              <w:right w:val="nil"/>
            </w:tcBorders>
          </w:tcPr>
          <w:p w14:paraId="7986BFE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(0.027)</w:t>
            </w:r>
          </w:p>
        </w:tc>
        <w:tc>
          <w:tcPr>
            <w:tcW w:w="2093" w:type="dxa"/>
            <w:tcBorders>
              <w:top w:val="nil"/>
              <w:left w:val="nil"/>
              <w:bottom w:val="nil"/>
              <w:right w:val="nil"/>
            </w:tcBorders>
          </w:tcPr>
          <w:p w14:paraId="417C803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7CCFA23C" w14:textId="77777777" w:rsidTr="00E861C8">
        <w:trPr>
          <w:trHeight w:val="299"/>
          <w:jc w:val="center"/>
        </w:trPr>
        <w:tc>
          <w:tcPr>
            <w:tcW w:w="1594" w:type="dxa"/>
            <w:tcBorders>
              <w:top w:val="nil"/>
              <w:left w:val="nil"/>
              <w:bottom w:val="nil"/>
              <w:right w:val="nil"/>
            </w:tcBorders>
          </w:tcPr>
          <w:p w14:paraId="12DABD2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Constant</w:t>
            </w:r>
          </w:p>
        </w:tc>
        <w:tc>
          <w:tcPr>
            <w:tcW w:w="2240" w:type="dxa"/>
            <w:tcBorders>
              <w:top w:val="nil"/>
              <w:left w:val="nil"/>
              <w:bottom w:val="nil"/>
              <w:right w:val="nil"/>
            </w:tcBorders>
          </w:tcPr>
          <w:p w14:paraId="6C970656"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240" w:type="dxa"/>
            <w:tcBorders>
              <w:top w:val="nil"/>
              <w:left w:val="nil"/>
              <w:bottom w:val="nil"/>
              <w:right w:val="nil"/>
            </w:tcBorders>
          </w:tcPr>
          <w:p w14:paraId="78DAFF8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122" w:type="dxa"/>
            <w:tcBorders>
              <w:top w:val="nil"/>
              <w:left w:val="nil"/>
              <w:bottom w:val="nil"/>
              <w:right w:val="nil"/>
            </w:tcBorders>
          </w:tcPr>
          <w:p w14:paraId="048A130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093" w:type="dxa"/>
            <w:tcBorders>
              <w:top w:val="nil"/>
              <w:left w:val="nil"/>
              <w:bottom w:val="nil"/>
              <w:right w:val="nil"/>
            </w:tcBorders>
          </w:tcPr>
          <w:p w14:paraId="40078D9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r>
      <w:tr w:rsidR="00276E7F" w:rsidRPr="00404187" w14:paraId="525707F4" w14:textId="77777777" w:rsidTr="00E861C8">
        <w:trPr>
          <w:trHeight w:val="310"/>
          <w:jc w:val="center"/>
        </w:trPr>
        <w:tc>
          <w:tcPr>
            <w:tcW w:w="1594" w:type="dxa"/>
            <w:tcBorders>
              <w:top w:val="nil"/>
              <w:left w:val="nil"/>
              <w:bottom w:val="nil"/>
              <w:right w:val="nil"/>
            </w:tcBorders>
          </w:tcPr>
          <w:p w14:paraId="448FC37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A4AAD2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240" w:type="dxa"/>
            <w:tcBorders>
              <w:top w:val="nil"/>
              <w:left w:val="nil"/>
              <w:bottom w:val="nil"/>
              <w:right w:val="nil"/>
            </w:tcBorders>
          </w:tcPr>
          <w:p w14:paraId="7DE2AEB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122" w:type="dxa"/>
            <w:tcBorders>
              <w:top w:val="nil"/>
              <w:left w:val="nil"/>
              <w:bottom w:val="nil"/>
              <w:right w:val="nil"/>
            </w:tcBorders>
          </w:tcPr>
          <w:p w14:paraId="7C5505E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093" w:type="dxa"/>
            <w:tcBorders>
              <w:top w:val="nil"/>
              <w:left w:val="nil"/>
              <w:bottom w:val="nil"/>
              <w:right w:val="nil"/>
            </w:tcBorders>
          </w:tcPr>
          <w:p w14:paraId="64D173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r>
      <w:tr w:rsidR="00276E7F" w:rsidRPr="00404187" w14:paraId="1DEEA7DF" w14:textId="77777777" w:rsidTr="00E861C8">
        <w:trPr>
          <w:trHeight w:val="310"/>
          <w:jc w:val="center"/>
        </w:trPr>
        <w:tc>
          <w:tcPr>
            <w:tcW w:w="1594" w:type="dxa"/>
            <w:tcBorders>
              <w:top w:val="nil"/>
              <w:left w:val="nil"/>
              <w:bottom w:val="nil"/>
              <w:right w:val="nil"/>
            </w:tcBorders>
          </w:tcPr>
          <w:p w14:paraId="197A73D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Observations</w:t>
            </w:r>
          </w:p>
        </w:tc>
        <w:tc>
          <w:tcPr>
            <w:tcW w:w="2240" w:type="dxa"/>
            <w:tcBorders>
              <w:top w:val="nil"/>
              <w:left w:val="nil"/>
              <w:bottom w:val="nil"/>
              <w:right w:val="nil"/>
            </w:tcBorders>
          </w:tcPr>
          <w:p w14:paraId="09BB955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657</w:t>
            </w:r>
          </w:p>
        </w:tc>
        <w:tc>
          <w:tcPr>
            <w:tcW w:w="2240" w:type="dxa"/>
            <w:tcBorders>
              <w:top w:val="nil"/>
              <w:left w:val="nil"/>
              <w:bottom w:val="nil"/>
              <w:right w:val="nil"/>
            </w:tcBorders>
          </w:tcPr>
          <w:p w14:paraId="7C5C087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199</w:t>
            </w:r>
          </w:p>
        </w:tc>
        <w:tc>
          <w:tcPr>
            <w:tcW w:w="2122" w:type="dxa"/>
            <w:tcBorders>
              <w:top w:val="nil"/>
              <w:left w:val="nil"/>
              <w:bottom w:val="nil"/>
              <w:right w:val="nil"/>
            </w:tcBorders>
          </w:tcPr>
          <w:p w14:paraId="71BD6E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335</w:t>
            </w:r>
          </w:p>
        </w:tc>
        <w:tc>
          <w:tcPr>
            <w:tcW w:w="2093" w:type="dxa"/>
            <w:tcBorders>
              <w:top w:val="nil"/>
              <w:left w:val="nil"/>
              <w:bottom w:val="nil"/>
              <w:right w:val="nil"/>
            </w:tcBorders>
          </w:tcPr>
          <w:p w14:paraId="0B3226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690</w:t>
            </w:r>
          </w:p>
        </w:tc>
      </w:tr>
      <w:tr w:rsidR="00276E7F" w:rsidRPr="00404187" w14:paraId="40487AC3" w14:textId="77777777" w:rsidTr="00E861C8">
        <w:trPr>
          <w:trHeight w:val="310"/>
          <w:jc w:val="center"/>
        </w:trPr>
        <w:tc>
          <w:tcPr>
            <w:tcW w:w="1594" w:type="dxa"/>
            <w:tcBorders>
              <w:top w:val="nil"/>
              <w:left w:val="nil"/>
              <w:bottom w:val="nil"/>
              <w:right w:val="nil"/>
            </w:tcBorders>
          </w:tcPr>
          <w:p w14:paraId="67AAD99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R</w:t>
            </w:r>
            <w:r w:rsidRPr="00404187">
              <w:rPr>
                <w:rFonts w:cs="Times New Roman"/>
                <w:sz w:val="24"/>
                <w:szCs w:val="24"/>
                <w:vertAlign w:val="superscript"/>
              </w:rPr>
              <w:t>2</w:t>
            </w:r>
          </w:p>
        </w:tc>
        <w:tc>
          <w:tcPr>
            <w:tcW w:w="2240" w:type="dxa"/>
            <w:tcBorders>
              <w:top w:val="nil"/>
              <w:left w:val="nil"/>
              <w:bottom w:val="nil"/>
              <w:right w:val="nil"/>
            </w:tcBorders>
          </w:tcPr>
          <w:p w14:paraId="206A964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0.875</w:t>
            </w:r>
          </w:p>
        </w:tc>
        <w:tc>
          <w:tcPr>
            <w:tcW w:w="2240" w:type="dxa"/>
            <w:tcBorders>
              <w:top w:val="nil"/>
              <w:left w:val="nil"/>
              <w:bottom w:val="nil"/>
              <w:right w:val="nil"/>
            </w:tcBorders>
          </w:tcPr>
          <w:p w14:paraId="3413F78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0.842</w:t>
            </w:r>
          </w:p>
        </w:tc>
        <w:tc>
          <w:tcPr>
            <w:tcW w:w="2122" w:type="dxa"/>
            <w:tcBorders>
              <w:top w:val="nil"/>
              <w:left w:val="nil"/>
              <w:bottom w:val="nil"/>
              <w:right w:val="nil"/>
            </w:tcBorders>
          </w:tcPr>
          <w:p w14:paraId="7D0B2EA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0.919</w:t>
            </w:r>
          </w:p>
        </w:tc>
        <w:tc>
          <w:tcPr>
            <w:tcW w:w="2093" w:type="dxa"/>
            <w:tcBorders>
              <w:top w:val="nil"/>
              <w:left w:val="nil"/>
              <w:bottom w:val="nil"/>
              <w:right w:val="nil"/>
            </w:tcBorders>
          </w:tcPr>
          <w:p w14:paraId="3108F91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0.953</w:t>
            </w:r>
          </w:p>
        </w:tc>
      </w:tr>
      <w:tr w:rsidR="00276E7F" w:rsidRPr="00404187" w14:paraId="56AEF516" w14:textId="77777777" w:rsidTr="00E861C8">
        <w:tblPrEx>
          <w:tblBorders>
            <w:bottom w:val="single" w:sz="6" w:space="0" w:color="auto"/>
          </w:tblBorders>
        </w:tblPrEx>
        <w:trPr>
          <w:trHeight w:val="310"/>
          <w:jc w:val="center"/>
        </w:trPr>
        <w:tc>
          <w:tcPr>
            <w:tcW w:w="1594" w:type="dxa"/>
            <w:tcBorders>
              <w:top w:val="nil"/>
              <w:left w:val="nil"/>
              <w:bottom w:val="single" w:sz="6" w:space="0" w:color="auto"/>
              <w:right w:val="nil"/>
            </w:tcBorders>
          </w:tcPr>
          <w:p w14:paraId="379A6667"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GB₤</w:t>
            </w:r>
          </w:p>
        </w:tc>
        <w:tc>
          <w:tcPr>
            <w:tcW w:w="2240" w:type="dxa"/>
            <w:tcBorders>
              <w:top w:val="nil"/>
              <w:left w:val="nil"/>
              <w:bottom w:val="single" w:sz="6" w:space="0" w:color="auto"/>
              <w:right w:val="nil"/>
            </w:tcBorders>
          </w:tcPr>
          <w:p w14:paraId="395755E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0.082</w:t>
            </w:r>
          </w:p>
        </w:tc>
        <w:tc>
          <w:tcPr>
            <w:tcW w:w="2240" w:type="dxa"/>
            <w:tcBorders>
              <w:top w:val="nil"/>
              <w:left w:val="nil"/>
              <w:bottom w:val="single" w:sz="6" w:space="0" w:color="auto"/>
              <w:right w:val="nil"/>
            </w:tcBorders>
          </w:tcPr>
          <w:p w14:paraId="668792F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0.032</w:t>
            </w:r>
          </w:p>
        </w:tc>
        <w:tc>
          <w:tcPr>
            <w:tcW w:w="2122" w:type="dxa"/>
            <w:tcBorders>
              <w:top w:val="nil"/>
              <w:left w:val="nil"/>
              <w:bottom w:val="single" w:sz="6" w:space="0" w:color="auto"/>
              <w:right w:val="nil"/>
            </w:tcBorders>
          </w:tcPr>
          <w:p w14:paraId="7A1E57A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0.084</w:t>
            </w:r>
          </w:p>
        </w:tc>
        <w:tc>
          <w:tcPr>
            <w:tcW w:w="2093" w:type="dxa"/>
            <w:tcBorders>
              <w:top w:val="nil"/>
              <w:left w:val="nil"/>
              <w:bottom w:val="single" w:sz="6" w:space="0" w:color="auto"/>
              <w:right w:val="nil"/>
            </w:tcBorders>
          </w:tcPr>
          <w:p w14:paraId="7915DC3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0.080</w:t>
            </w:r>
          </w:p>
        </w:tc>
      </w:tr>
    </w:tbl>
    <w:p w14:paraId="10FD409C" w14:textId="77777777" w:rsidR="00276E7F" w:rsidRPr="00E861C8" w:rsidRDefault="00276E7F" w:rsidP="00276E7F">
      <w:pPr>
        <w:pStyle w:val="ListParagraph"/>
        <w:widowControl w:val="0"/>
        <w:autoSpaceDE w:val="0"/>
        <w:autoSpaceDN w:val="0"/>
        <w:adjustRightInd w:val="0"/>
        <w:spacing w:after="0" w:line="240" w:lineRule="auto"/>
        <w:jc w:val="center"/>
        <w:rPr>
          <w:rFonts w:cs="Times New Roman"/>
          <w:sz w:val="16"/>
          <w:szCs w:val="16"/>
        </w:rPr>
      </w:pPr>
    </w:p>
    <w:p w14:paraId="5EA45E90" w14:textId="7DFFF715" w:rsidR="00276E7F" w:rsidRPr="00E861C8" w:rsidRDefault="00276E7F" w:rsidP="00276E7F">
      <w:pPr>
        <w:widowControl w:val="0"/>
        <w:autoSpaceDE w:val="0"/>
        <w:autoSpaceDN w:val="0"/>
        <w:adjustRightInd w:val="0"/>
        <w:spacing w:after="0" w:line="240" w:lineRule="auto"/>
        <w:jc w:val="center"/>
        <w:rPr>
          <w:rFonts w:cs="Times New Roman"/>
          <w:sz w:val="16"/>
          <w:szCs w:val="16"/>
        </w:rPr>
      </w:pPr>
      <w:r w:rsidRPr="006F7AA5">
        <w:rPr>
          <w:rFonts w:cs="Times New Roman"/>
          <w:sz w:val="24"/>
          <w:szCs w:val="24"/>
        </w:rPr>
        <w:t>*** p&lt;0.01, ** p&lt;0.05, * p&lt;0.1</w:t>
      </w:r>
      <w:r>
        <w:rPr>
          <w:rFonts w:cs="Times New Roman"/>
          <w:sz w:val="24"/>
          <w:szCs w:val="24"/>
        </w:rPr>
        <w:t>.  (</w:t>
      </w:r>
      <w:r w:rsidRPr="006F7AA5">
        <w:rPr>
          <w:rFonts w:cs="Times New Roman"/>
          <w:sz w:val="24"/>
          <w:szCs w:val="24"/>
        </w:rPr>
        <w:t>Robust standard errors in parentheses</w:t>
      </w:r>
      <w:r>
        <w:rPr>
          <w:rFonts w:cs="Times New Roman"/>
          <w:sz w:val="24"/>
          <w:szCs w:val="24"/>
        </w:rPr>
        <w:t>.)</w:t>
      </w:r>
      <w:r w:rsidR="00E861C8" w:rsidRPr="00E861C8">
        <w:rPr>
          <w:rFonts w:cs="Times New Roman"/>
          <w:sz w:val="16"/>
          <w:szCs w:val="16"/>
        </w:rPr>
        <w:br/>
      </w:r>
    </w:p>
    <w:p w14:paraId="62CC9580" w14:textId="51D89CB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r>
        <w:rPr>
          <w:rFonts w:cs="Times New Roman"/>
          <w:sz w:val="24"/>
          <w:szCs w:val="24"/>
        </w:rPr>
        <w:t xml:space="preserve">EMP  ≡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5D902B83" w14:textId="77777777" w:rsidR="00276E7F" w:rsidRDefault="00276E7F" w:rsidP="00276E7F">
      <w:pPr>
        <w:rPr>
          <w:sz w:val="20"/>
          <w:szCs w:val="20"/>
        </w:rPr>
      </w:pPr>
    </w:p>
    <w:p w14:paraId="35E3C75F" w14:textId="4D1B6D8F" w:rsidR="00276E7F" w:rsidRDefault="00276E7F" w:rsidP="00276E7F">
      <w:pPr>
        <w:rPr>
          <w:rFonts w:cs="Times New Roman"/>
          <w:sz w:val="24"/>
          <w:szCs w:val="24"/>
        </w:rPr>
      </w:pPr>
    </w:p>
    <w:p w14:paraId="2C60D495" w14:textId="77777777" w:rsidR="00A608F2" w:rsidRDefault="00A608F2" w:rsidP="00276E7F">
      <w:pPr>
        <w:rPr>
          <w:rFonts w:cs="Times New Roman"/>
          <w:sz w:val="24"/>
          <w:szCs w:val="24"/>
        </w:rPr>
      </w:pPr>
    </w:p>
    <w:p w14:paraId="53D19C05" w14:textId="579A438B" w:rsidR="00E32A55" w:rsidRPr="00276E7F" w:rsidRDefault="00881181" w:rsidP="00276E7F">
      <w:pPr>
        <w:ind w:firstLine="720"/>
        <w:rPr>
          <w:sz w:val="24"/>
          <w:szCs w:val="24"/>
        </w:rPr>
      </w:pPr>
      <w:r>
        <w:rPr>
          <w:sz w:val="24"/>
          <w:szCs w:val="24"/>
        </w:rPr>
        <w:t>We hope t</w:t>
      </w:r>
      <w:r w:rsidR="00A471BB">
        <w:rPr>
          <w:sz w:val="24"/>
          <w:szCs w:val="24"/>
        </w:rPr>
        <w:t xml:space="preserve">o </w:t>
      </w:r>
      <w:r w:rsidR="00A471BB" w:rsidRPr="002F0B8D">
        <w:rPr>
          <w:sz w:val="24"/>
          <w:szCs w:val="24"/>
        </w:rPr>
        <w:t>exten</w:t>
      </w:r>
      <w:r w:rsidR="002F0B8D" w:rsidRPr="002F0B8D">
        <w:rPr>
          <w:sz w:val="24"/>
          <w:szCs w:val="24"/>
        </w:rPr>
        <w:t>d</w:t>
      </w:r>
      <w:r w:rsidR="00A471BB">
        <w:rPr>
          <w:sz w:val="24"/>
          <w:szCs w:val="24"/>
        </w:rPr>
        <w:t xml:space="preserve"> this research</w:t>
      </w:r>
      <w:r>
        <w:rPr>
          <w:sz w:val="24"/>
          <w:szCs w:val="24"/>
        </w:rPr>
        <w:t xml:space="preserve"> further</w:t>
      </w:r>
      <w:r w:rsidR="00A471BB">
        <w:rPr>
          <w:sz w:val="24"/>
          <w:szCs w:val="24"/>
        </w:rPr>
        <w:t xml:space="preserve"> -- </w:t>
      </w:r>
      <w:r w:rsidR="00490FAF">
        <w:rPr>
          <w:sz w:val="24"/>
          <w:szCs w:val="24"/>
        </w:rPr>
        <w:t xml:space="preserve">Frankel and Xie (2017) </w:t>
      </w:r>
      <w:r w:rsidR="00A471BB">
        <w:rPr>
          <w:sz w:val="24"/>
          <w:szCs w:val="24"/>
        </w:rPr>
        <w:t xml:space="preserve">-- </w:t>
      </w:r>
      <w:r w:rsidR="00490FAF">
        <w:rPr>
          <w:sz w:val="24"/>
          <w:szCs w:val="24"/>
        </w:rPr>
        <w:t xml:space="preserve">by incorporating estimation </w:t>
      </w:r>
      <w:r w:rsidR="00A471BB">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sidR="00A471BB">
        <w:rPr>
          <w:sz w:val="24"/>
          <w:szCs w:val="24"/>
        </w:rPr>
        <w:t xml:space="preserve"> The target zone is incorporated into the equation by means of the Thre</w:t>
      </w:r>
      <w:r w:rsidR="00986314">
        <w:rPr>
          <w:sz w:val="24"/>
          <w:szCs w:val="24"/>
        </w:rPr>
        <w:t xml:space="preserve">shold Autoregression Technique. </w:t>
      </w:r>
    </w:p>
    <w:p w14:paraId="025A2EEC" w14:textId="77777777" w:rsidR="00F22703" w:rsidRDefault="00F22703" w:rsidP="00AB766C">
      <w:pPr>
        <w:pStyle w:val="ListParagraph"/>
        <w:ind w:left="1440"/>
        <w:rPr>
          <w:sz w:val="24"/>
          <w:szCs w:val="24"/>
        </w:rPr>
      </w:pPr>
    </w:p>
    <w:p w14:paraId="2B5B4B94" w14:textId="19C8223C" w:rsidR="00A608F2" w:rsidRDefault="00A608F2">
      <w:pPr>
        <w:rPr>
          <w:sz w:val="24"/>
          <w:szCs w:val="24"/>
        </w:rPr>
      </w:pPr>
      <w:r>
        <w:rPr>
          <w:sz w:val="24"/>
          <w:szCs w:val="24"/>
        </w:rPr>
        <w:br w:type="page"/>
      </w:r>
    </w:p>
    <w:p w14:paraId="2DD623ED"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B1ECD91"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empirical research on foreign exchange intervention per se </w:t>
      </w:r>
      <w:r w:rsidR="007B7DAE">
        <w:rPr>
          <w:sz w:val="24"/>
          <w:szCs w:val="24"/>
        </w:rPr>
        <w:t xml:space="preserve">usually </w:t>
      </w:r>
      <w:r w:rsidR="008605CF" w:rsidRPr="00D173F6">
        <w:rPr>
          <w:sz w:val="24"/>
          <w:szCs w:val="24"/>
        </w:rPr>
        <w:t>focuses</w:t>
      </w:r>
      <w:r w:rsidR="008605CF">
        <w:rPr>
          <w:sz w:val="24"/>
          <w:szCs w:val="24"/>
        </w:rPr>
        <w:t xml:space="preserve"> </w:t>
      </w:r>
      <w:r w:rsidRPr="00D173F6">
        <w:rPr>
          <w:sz w:val="24"/>
          <w:szCs w:val="24"/>
        </w:rPr>
        <w:t>on the few countries and time samples where the</w:t>
      </w:r>
      <w:r w:rsidR="007B7DAE">
        <w:rPr>
          <w:sz w:val="24"/>
          <w:szCs w:val="24"/>
        </w:rPr>
        <w:t xml:space="preserve"> data are available, the </w:t>
      </w:r>
      <w:r w:rsidRPr="00D173F6">
        <w:rPr>
          <w:sz w:val="24"/>
          <w:szCs w:val="24"/>
        </w:rPr>
        <w:t xml:space="preserve">literature on exchange rate regimes often uses data on monthly changes in reserves, which are reported by almost all countries.  </w:t>
      </w:r>
    </w:p>
    <w:p w14:paraId="13813B02" w14:textId="77777777" w:rsidR="0042142F" w:rsidRPr="00D173F6" w:rsidRDefault="0042142F" w:rsidP="0042142F">
      <w:pPr>
        <w:ind w:firstLine="720"/>
        <w:rPr>
          <w:sz w:val="24"/>
          <w:szCs w:val="24"/>
        </w:rPr>
      </w:pPr>
      <w:r w:rsidRPr="00D173F6">
        <w:rPr>
          <w:sz w:val="24"/>
          <w:szCs w:val="24"/>
        </w:rPr>
        <w:t>In practice, data on intervention, even when explicitly reported, tend to look very different from data on changes in foreign exchange reserves.   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77777777" w:rsidR="0042142F" w:rsidRPr="00D173F6" w:rsidRDefault="0042142F" w:rsidP="0042142F">
      <w:pPr>
        <w:ind w:firstLine="720"/>
        <w:rPr>
          <w:sz w:val="24"/>
          <w:szCs w:val="24"/>
        </w:rPr>
      </w:pPr>
      <w:r w:rsidRPr="00D173F6">
        <w:rPr>
          <w:sz w:val="24"/>
          <w:szCs w:val="24"/>
        </w:rPr>
        <w:t xml:space="preserve">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second is the valuation effect:   If the value of reserves is measured in terms of domestic currency, it will change every time the exchange rate changes.   </w:t>
      </w:r>
    </w:p>
    <w:p w14:paraId="1C04A1DB" w14:textId="1C01320A"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w:t>
      </w:r>
      <w:r w:rsidR="007B7DAE">
        <w:rPr>
          <w:sz w:val="24"/>
          <w:szCs w:val="24"/>
        </w:rPr>
        <w:t xml:space="preserve">accommodate researchers by </w:t>
      </w:r>
      <w:r w:rsidRPr="00D173F6">
        <w:rPr>
          <w:sz w:val="24"/>
          <w:szCs w:val="24"/>
        </w:rPr>
        <w:t>report</w:t>
      </w:r>
      <w:r w:rsidR="007B7DAE">
        <w:rPr>
          <w:sz w:val="24"/>
          <w:szCs w:val="24"/>
        </w:rPr>
        <w:t>ing</w:t>
      </w:r>
      <w:r w:rsidRPr="00D173F6">
        <w:rPr>
          <w:sz w:val="24"/>
          <w:szCs w:val="24"/>
        </w:rPr>
        <w:t xml:space="preserve"> the currency composition.  Furthermore it has become more common in recent years for central banks to diversify out of US treasury bills, not just into other non-US currencies but also into other securities, such as longer-term bonds and even equities in some cases.  This exacerbates each of the two measurement problems:  earnings on the reserves</w:t>
      </w:r>
      <w:r w:rsidR="007B7DAE">
        <w:rPr>
          <w:sz w:val="24"/>
          <w:szCs w:val="24"/>
        </w:rPr>
        <w:t xml:space="preserve"> </w:t>
      </w:r>
      <w:r w:rsidRPr="00D173F6">
        <w:rPr>
          <w:sz w:val="24"/>
          <w:szCs w:val="24"/>
        </w:rPr>
        <w:t>are generally higher on these alternate assets than on US treasury bills</w:t>
      </w:r>
      <w:r w:rsidR="00216663">
        <w:rPr>
          <w:sz w:val="24"/>
          <w:szCs w:val="24"/>
        </w:rPr>
        <w:t>,</w:t>
      </w:r>
      <w:r w:rsidRPr="00D173F6">
        <w:rPr>
          <w:sz w:val="24"/>
          <w:szCs w:val="24"/>
        </w:rPr>
        <w:t xml:space="preserve"> and valuation effects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w:t>
      </w:r>
      <w:r w:rsidRPr="00D173F6">
        <w:rPr>
          <w:sz w:val="24"/>
          <w:szCs w:val="24"/>
        </w:rPr>
        <w:lastRenderedPageBreak/>
        <w:t>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77777777" w:rsidR="0042142F" w:rsidRPr="00D173F6" w:rsidRDefault="0042142F" w:rsidP="0042142F">
      <w:pPr>
        <w:ind w:firstLine="720"/>
        <w:rPr>
          <w:sz w:val="24"/>
          <w:szCs w:val="24"/>
        </w:rPr>
      </w:pPr>
      <w:r w:rsidRPr="00D173F6">
        <w:rPr>
          <w:sz w:val="24"/>
          <w:szCs w:val="24"/>
        </w:rPr>
        <w:t>We turn to Turkey because it is one of the only managed floaters that also regularly makes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0F041DDB" w:rsidR="0042142F" w:rsidRPr="00D173F6" w:rsidRDefault="0042142F" w:rsidP="0042142F">
      <w:pPr>
        <w:ind w:firstLine="720"/>
        <w:rPr>
          <w:sz w:val="24"/>
          <w:szCs w:val="24"/>
        </w:rPr>
      </w:pPr>
      <w:r w:rsidRPr="00D173F6">
        <w:rPr>
          <w:sz w:val="24"/>
          <w:szCs w:val="24"/>
        </w:rPr>
        <w:t xml:space="preserve">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w:t>
      </w:r>
      <w:r w:rsidR="007B7DAE">
        <w:rPr>
          <w:sz w:val="24"/>
          <w:szCs w:val="24"/>
        </w:rPr>
        <w:t>get an idea</w:t>
      </w:r>
      <w:r w:rsidRPr="00D173F6">
        <w:rPr>
          <w:sz w:val="24"/>
          <w:szCs w:val="24"/>
        </w:rPr>
        <w:t xml:space="preserve"> whether it makes a difference whether one uses the reserve data versus the intervention data.</w:t>
      </w:r>
    </w:p>
    <w:p w14:paraId="54CF8BF8" w14:textId="4226A4D6" w:rsidR="0042142F" w:rsidRPr="00D173F6" w:rsidRDefault="0042142F" w:rsidP="0042142F">
      <w:pPr>
        <w:ind w:firstLine="720"/>
        <w:rPr>
          <w:sz w:val="24"/>
          <w:szCs w:val="24"/>
        </w:rPr>
      </w:pPr>
      <w:r w:rsidRPr="00D173F6">
        <w:rPr>
          <w:sz w:val="24"/>
          <w:szCs w:val="24"/>
        </w:rPr>
        <w:t>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being the right measure as intervention data.   Recall the framework for thinking about the continuum of fixed versus flexible exchange rates that goes under the name of Exchange Market Pressure.   Exchange Market Pressure (EMP) is defined as a weighted average of the percentage change in the foreign exchange value of the currency and the change in foreign exchange reserves (where the weight on foreign exchange reserves m</w:t>
      </w:r>
      <w:r w:rsidR="007B7DAE">
        <w:rPr>
          <w:sz w:val="24"/>
          <w:szCs w:val="24"/>
        </w:rPr>
        <w:t xml:space="preserve">ight variously be </w:t>
      </w:r>
      <w:r w:rsidRPr="00D173F6">
        <w:rPr>
          <w:sz w:val="24"/>
          <w:szCs w:val="24"/>
        </w:rPr>
        <w:t xml:space="preserve">defined as the inverse of the monetary base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fixing; or somewhere in between.   If it consistently acts to absorb some share between zero and one in the exchange rate and the remainder in reserves, then we deem it to be a systematically-managed floater.  For this purpose, it is the change in reserves that matters, not intervention normally defined.   </w:t>
      </w:r>
      <w:r w:rsidR="007B7DAE">
        <w:rPr>
          <w:sz w:val="24"/>
          <w:szCs w:val="24"/>
        </w:rPr>
        <w:t xml:space="preserve">Again, </w:t>
      </w:r>
      <w:r w:rsidRPr="00D173F6">
        <w:rPr>
          <w:sz w:val="24"/>
          <w:szCs w:val="24"/>
        </w:rPr>
        <w:t>if reserves rise because of interest earned on US Treasury bills, that is not considered</w:t>
      </w:r>
      <w:r w:rsidR="007B7DAE">
        <w:rPr>
          <w:sz w:val="24"/>
          <w:szCs w:val="24"/>
        </w:rPr>
        <w:t xml:space="preserve"> foreign exchange intervention.</w:t>
      </w:r>
    </w:p>
    <w:p w14:paraId="3939887A" w14:textId="5F8E6C66"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r w:rsidR="000B0630">
        <w:rPr>
          <w:color w:val="000000" w:themeColor="text1"/>
          <w:kern w:val="24"/>
          <w:sz w:val="24"/>
          <w:szCs w:val="24"/>
        </w:rPr>
        <w:t xml:space="preserve">Basu and </w:t>
      </w:r>
      <w:r w:rsidRPr="00D173F6">
        <w:rPr>
          <w:color w:val="000000" w:themeColor="text1"/>
          <w:kern w:val="24"/>
          <w:sz w:val="24"/>
          <w:szCs w:val="24"/>
        </w:rPr>
        <w:t>Varoudakis (2013) find a clear reaction function that shows systematic management of the floating lira: Turkish intervention responds to the level of the exchange rate (nominal effec</w:t>
      </w:r>
      <w:r w:rsidR="000B0630">
        <w:rPr>
          <w:color w:val="000000" w:themeColor="text1"/>
          <w:kern w:val="24"/>
          <w:sz w:val="24"/>
          <w:szCs w:val="24"/>
        </w:rPr>
        <w:t xml:space="preserve">tive), as is visible in Figure </w:t>
      </w:r>
      <w:r w:rsidR="000B0630">
        <w:rPr>
          <w:color w:val="000000" w:themeColor="text1"/>
          <w:kern w:val="24"/>
          <w:sz w:val="24"/>
          <w:szCs w:val="24"/>
        </w:rPr>
        <w:lastRenderedPageBreak/>
        <w:t>4</w:t>
      </w:r>
      <w:r w:rsidRPr="00D173F6">
        <w:rPr>
          <w:color w:val="000000" w:themeColor="text1"/>
          <w:kern w:val="24"/>
          <w:sz w:val="24"/>
          <w:szCs w:val="24"/>
        </w:rPr>
        <w:t xml:space="preserve">, borrowed from their paper. </w:t>
      </w:r>
      <w:r w:rsidRPr="00D173F6">
        <w:rPr>
          <w:sz w:val="24"/>
          <w:szCs w:val="24"/>
        </w:rPr>
        <w:t xml:space="preserve">Frömmel and Midiliç (2016) similarly find statistically significant reaction of intervention to the level of the exchange rate relative to a trend (medium run moving average), but no reaction to the recent rate of change of the exchange rate.  Their main focus is on </w:t>
      </w:r>
      <w:r w:rsidR="007B7DAE">
        <w:rPr>
          <w:sz w:val="24"/>
          <w:szCs w:val="24"/>
        </w:rPr>
        <w:t xml:space="preserve">an </w:t>
      </w:r>
      <w:r w:rsidRPr="00D173F6">
        <w:rPr>
          <w:sz w:val="24"/>
          <w:szCs w:val="24"/>
        </w:rPr>
        <w:t xml:space="preserve">additional variable, the level of foreign exchange reserves relative to GDP.  They find that it is a significant determinant of Turkish intervention.  They also identify several significant structural breaks in the reaction function.    </w:t>
      </w:r>
    </w:p>
    <w:p w14:paraId="6F3592EC" w14:textId="48F79776" w:rsidR="0042142F" w:rsidRDefault="007B7DAE" w:rsidP="0042142F">
      <w:pPr>
        <w:ind w:firstLine="720"/>
      </w:pPr>
      <w:r>
        <w:rPr>
          <w:sz w:val="24"/>
          <w:szCs w:val="24"/>
        </w:rPr>
        <w:t>As t</w:t>
      </w:r>
      <w:r w:rsidR="0042142F" w:rsidRPr="00D173F6">
        <w:rPr>
          <w:sz w:val="24"/>
          <w:szCs w:val="24"/>
        </w:rPr>
        <w:t>hey explain</w:t>
      </w:r>
      <w:r>
        <w:rPr>
          <w:sz w:val="24"/>
          <w:szCs w:val="24"/>
        </w:rPr>
        <w:t xml:space="preserve">, </w:t>
      </w:r>
      <w:r w:rsidR="0042142F" w:rsidRPr="00D173F6">
        <w:rPr>
          <w:sz w:val="24"/>
          <w:szCs w:val="24"/>
        </w:rPr>
        <w:t>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Thus we smooth out the data a bit, by looking at monthly averages or other moving averages, as other studies have done.</w:t>
      </w:r>
      <w:r w:rsidR="0042142F" w:rsidRPr="002760C9">
        <w:br/>
      </w:r>
    </w:p>
    <w:p w14:paraId="7552696F" w14:textId="77777777" w:rsidR="0042142F" w:rsidRDefault="0042142F" w:rsidP="0042142F">
      <w:pPr>
        <w:jc w:val="center"/>
      </w:pPr>
      <w:r w:rsidRPr="00723AD7">
        <w:rPr>
          <w:noProof/>
        </w:rPr>
        <w:drawing>
          <wp:inline distT="0" distB="0" distL="0" distR="0" wp14:anchorId="32823E94" wp14:editId="6B1E9668">
            <wp:extent cx="4676774"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77427" cy="3315163"/>
                    </a:xfrm>
                    <a:prstGeom prst="rect">
                      <a:avLst/>
                    </a:prstGeom>
                  </pic:spPr>
                </pic:pic>
              </a:graphicData>
            </a:graphic>
          </wp:inline>
        </w:drawing>
      </w:r>
    </w:p>
    <w:p w14:paraId="75A3B158" w14:textId="4068FBAA" w:rsidR="0042142F" w:rsidRDefault="0042142F" w:rsidP="0042142F">
      <w:pPr>
        <w:jc w:val="center"/>
      </w:pPr>
      <w:r>
        <w:t xml:space="preserve">Figure </w:t>
      </w:r>
      <w:r w:rsidR="000B0630">
        <w:t>4</w:t>
      </w:r>
      <w:r>
        <w:t>:   Turkey’s systematic management of its float (from Basu and Varoudakis, 2013)</w:t>
      </w:r>
    </w:p>
    <w:p w14:paraId="23D77E12" w14:textId="25F9176F" w:rsidR="0042142F" w:rsidRPr="007B7DAE" w:rsidRDefault="000B0630" w:rsidP="0042142F">
      <w:pPr>
        <w:rPr>
          <w:sz w:val="24"/>
          <w:szCs w:val="24"/>
        </w:rPr>
      </w:pPr>
      <w:r>
        <w:br/>
      </w:r>
      <w:r w:rsidRPr="007B7DAE">
        <w:rPr>
          <w:sz w:val="24"/>
          <w:szCs w:val="24"/>
        </w:rPr>
        <w:t xml:space="preserve">Figure </w:t>
      </w:r>
      <w:r w:rsidR="004C7BE5" w:rsidRPr="007B7DAE">
        <w:rPr>
          <w:sz w:val="24"/>
          <w:szCs w:val="24"/>
        </w:rPr>
        <w:t>5 graphs</w:t>
      </w:r>
      <w:r w:rsidR="0042142F" w:rsidRPr="007B7DAE">
        <w:rPr>
          <w:sz w:val="24"/>
          <w:szCs w:val="24"/>
        </w:rPr>
        <w:t xml:space="preserve"> the two different measures of intervention, along with various measures of the exchange rate.   The two measures look quite different, as expected, b</w:t>
      </w:r>
      <w:r w:rsidR="001F49D3" w:rsidRPr="007B7DAE">
        <w:rPr>
          <w:sz w:val="24"/>
          <w:szCs w:val="24"/>
        </w:rPr>
        <w:t>ut are highly correlated.</w:t>
      </w:r>
    </w:p>
    <w:p w14:paraId="7C9326FA" w14:textId="143B8962" w:rsidR="0042142F" w:rsidRDefault="001F2CF3" w:rsidP="0042142F">
      <w:pPr>
        <w:jc w:val="center"/>
      </w:pPr>
      <w:r>
        <w:rPr>
          <w:noProof/>
        </w:rPr>
        <w:lastRenderedPageBreak/>
        <w:drawing>
          <wp:inline distT="0" distB="0" distL="0" distR="0" wp14:anchorId="4B12435A" wp14:editId="5FEBF4E5">
            <wp:extent cx="4410075" cy="2766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15133" cy="2769633"/>
                    </a:xfrm>
                    <a:prstGeom prst="rect">
                      <a:avLst/>
                    </a:prstGeom>
                    <a:noFill/>
                    <a:ln>
                      <a:noFill/>
                    </a:ln>
                  </pic:spPr>
                </pic:pic>
              </a:graphicData>
            </a:graphic>
          </wp:inline>
        </w:drawing>
      </w:r>
    </w:p>
    <w:p w14:paraId="44F49C53" w14:textId="51441D57"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7B7DAE">
        <w:br/>
      </w:r>
    </w:p>
    <w:p w14:paraId="771E00DA" w14:textId="44357B5B" w:rsidR="0042142F" w:rsidRDefault="0042142F" w:rsidP="00D173F6">
      <w:pPr>
        <w:ind w:firstLine="720"/>
        <w:rPr>
          <w:sz w:val="24"/>
          <w:szCs w:val="24"/>
        </w:rPr>
      </w:pPr>
      <w:r w:rsidRPr="00D173F6">
        <w:rPr>
          <w:sz w:val="24"/>
          <w:szCs w:val="24"/>
        </w:rPr>
        <w:t>Several hypotheses are tested</w:t>
      </w:r>
      <w:r w:rsidR="00895C09">
        <w:rPr>
          <w:sz w:val="24"/>
          <w:szCs w:val="24"/>
        </w:rPr>
        <w:t xml:space="preserve"> for the central bank reaction function</w:t>
      </w:r>
      <w:r w:rsidRPr="00D173F6">
        <w:rPr>
          <w:sz w:val="24"/>
          <w:szCs w:val="24"/>
        </w:rPr>
        <w:t xml:space="preserve">.   </w:t>
      </w:r>
      <w:r w:rsidR="00895C09">
        <w:rPr>
          <w:sz w:val="24"/>
          <w:szCs w:val="24"/>
        </w:rPr>
        <w:t xml:space="preserve">A </w:t>
      </w:r>
      <w:r w:rsidRPr="00D173F6">
        <w:rPr>
          <w:sz w:val="24"/>
          <w:szCs w:val="24"/>
        </w:rPr>
        <w:t>particular sort of systematic beha</w:t>
      </w:r>
      <w:r w:rsidR="001F49D3">
        <w:rPr>
          <w:sz w:val="24"/>
          <w:szCs w:val="24"/>
        </w:rPr>
        <w:t xml:space="preserve">vior </w:t>
      </w:r>
      <w:r w:rsidR="00895C09">
        <w:rPr>
          <w:sz w:val="24"/>
          <w:szCs w:val="24"/>
        </w:rPr>
        <w:t xml:space="preserve">is flow </w:t>
      </w:r>
      <w:r w:rsidRPr="00D173F6">
        <w:rPr>
          <w:sz w:val="24"/>
          <w:szCs w:val="24"/>
        </w:rPr>
        <w:t>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Pr="00D173F6">
        <w:rPr>
          <w:sz w:val="24"/>
          <w:szCs w:val="24"/>
        </w:rPr>
        <w:t xml:space="preserve">.   A third relevant variable is the level of reserves.  </w:t>
      </w:r>
      <w:r w:rsidR="00895C09">
        <w:rPr>
          <w:sz w:val="24"/>
          <w:szCs w:val="24"/>
        </w:rPr>
        <w:t xml:space="preserve">Research </w:t>
      </w:r>
      <w:r w:rsidRPr="00D173F6">
        <w:rPr>
          <w:sz w:val="24"/>
          <w:szCs w:val="24"/>
        </w:rPr>
        <w:t>on reserve holdings features the hypothesis that central banks have a target level of reserves</w:t>
      </w:r>
      <w:r w:rsidRPr="00D173F6">
        <w:rPr>
          <w:rStyle w:val="FootnoteReference"/>
          <w:sz w:val="24"/>
          <w:szCs w:val="24"/>
        </w:rPr>
        <w:footnoteReference w:id="28"/>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(Frömmel and Midiliç, 2016, as noted).  A fourth relevant variable is the inflation rate, under the hypothesis that, in an inflation targeting country, central bank operations in the foreign exchange market are among the tools that are motivated by an effort to push the inflation rate in the direction of its target.</w:t>
      </w:r>
    </w:p>
    <w:p w14:paraId="7A1EEFFF" w14:textId="77777777" w:rsidR="00A608F2" w:rsidRPr="00D173F6" w:rsidRDefault="00A608F2" w:rsidP="00D173F6">
      <w:pPr>
        <w:ind w:firstLine="720"/>
        <w:rPr>
          <w:sz w:val="24"/>
          <w:szCs w:val="24"/>
        </w:rPr>
      </w:pPr>
    </w:p>
    <w:p w14:paraId="5513B031" w14:textId="77777777" w:rsidR="0042142F" w:rsidRPr="00D173F6" w:rsidRDefault="0042142F" w:rsidP="00D173F6">
      <w:pPr>
        <w:ind w:firstLine="720"/>
        <w:rPr>
          <w:sz w:val="24"/>
          <w:szCs w:val="24"/>
        </w:rPr>
      </w:pPr>
      <w:r w:rsidRPr="00D173F6">
        <w:rPr>
          <w:sz w:val="24"/>
          <w:szCs w:val="24"/>
        </w:rPr>
        <w:lastRenderedPageBreak/>
        <w:t>The full equation is thus:</w:t>
      </w:r>
    </w:p>
    <w:p w14:paraId="6F5B3186" w14:textId="7C9F275F" w:rsidR="0042142F" w:rsidRPr="00D173F6" w:rsidRDefault="008A26FB" w:rsidP="0042142F">
      <w:pPr>
        <w:rPr>
          <w:sz w:val="24"/>
          <w:szCs w:val="24"/>
        </w:rPr>
      </w:pPr>
      <w:r>
        <w:rPr>
          <w:sz w:val="24"/>
          <w:szCs w:val="24"/>
        </w:rPr>
        <w:t xml:space="preserve"> FX acquisition =  γ +  α</w:t>
      </w:r>
      <w:r w:rsidR="0042142F" w:rsidRPr="00D173F6">
        <w:rPr>
          <w:sz w:val="24"/>
          <w:szCs w:val="24"/>
        </w:rPr>
        <w:t xml:space="preserve">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w:t>
      </w:r>
      <w:r w:rsidR="0042142F" w:rsidRPr="00D173F6">
        <w:rPr>
          <w:rFonts w:ascii="Calibri" w:eastAsia="Times New Roman" w:hAnsi="Calibri" w:cs="Times New Roman"/>
          <w:bCs/>
          <w:color w:val="000000"/>
          <w:sz w:val="24"/>
          <w:szCs w:val="24"/>
          <w:vertAlign w:val="subscript"/>
        </w:rPr>
        <w:t>trend</w:t>
      </w:r>
      <w:r w:rsidR="0042142F" w:rsidRPr="00D173F6">
        <w:rPr>
          <w:rFonts w:ascii="Calibri" w:eastAsia="Times New Roman" w:hAnsi="Calibri" w:cs="Times New Roman"/>
          <w:bCs/>
          <w:color w:val="000000"/>
          <w:sz w:val="24"/>
          <w:szCs w:val="24"/>
        </w:rPr>
        <w:t>)</w:t>
      </w:r>
      <w:r w:rsidR="0042142F" w:rsidRPr="00D173F6">
        <w:rPr>
          <w:sz w:val="24"/>
          <w:szCs w:val="24"/>
        </w:rPr>
        <w:t xml:space="preserve">  + ß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 </w:t>
      </w:r>
      <w:r w:rsidR="0042142F" w:rsidRPr="00D173F6">
        <w:rPr>
          <w:rFonts w:ascii="Calibri" w:eastAsia="Times New Roman" w:hAnsi="Calibri" w:cs="Times New Roman"/>
          <w:bCs/>
          <w:color w:val="000000"/>
          <w:sz w:val="24"/>
          <w:szCs w:val="24"/>
          <w:vertAlign w:val="subscript"/>
        </w:rPr>
        <w:t>t-1</w:t>
      </w:r>
      <w:r w:rsidR="0042142F" w:rsidRPr="00D173F6">
        <w:rPr>
          <w:sz w:val="24"/>
          <w:szCs w:val="24"/>
        </w:rPr>
        <w:t>) + δ (Res /GDP)</w:t>
      </w:r>
      <w:r w:rsidR="0042142F" w:rsidRPr="00D173F6">
        <w:rPr>
          <w:rFonts w:ascii="Calibri" w:eastAsia="Times New Roman" w:hAnsi="Calibri" w:cs="Times New Roman"/>
          <w:b/>
          <w:bCs/>
          <w:color w:val="000000"/>
          <w:sz w:val="24"/>
          <w:szCs w:val="24"/>
          <w:vertAlign w:val="subscript"/>
        </w:rPr>
        <w:t>t</w:t>
      </w:r>
      <w:r w:rsidR="0042142F"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t>The dependent variable, “Acquisition of foreign exchange,” is measured either by the data on foreign exchange intervention or by changes in foreign exchange reserves.</w:t>
      </w:r>
    </w:p>
    <w:p w14:paraId="2BE3BB9D" w14:textId="671064EE" w:rsidR="0042142F" w:rsidRPr="00D173F6" w:rsidRDefault="0042142F" w:rsidP="00D173F6">
      <w:pPr>
        <w:ind w:firstLine="720"/>
        <w:rPr>
          <w:sz w:val="24"/>
          <w:szCs w:val="24"/>
        </w:rPr>
      </w:pPr>
      <w:r w:rsidRPr="00D173F6">
        <w:rPr>
          <w:sz w:val="24"/>
          <w:szCs w:val="24"/>
        </w:rPr>
        <w:t>Regression</w:t>
      </w:r>
      <w:r w:rsidR="00F24089">
        <w:rPr>
          <w:sz w:val="24"/>
          <w:szCs w:val="24"/>
        </w:rPr>
        <w:t xml:space="preserve"> results are reported in Table 3</w:t>
      </w:r>
      <w:r w:rsidR="00895C09">
        <w:rPr>
          <w:sz w:val="24"/>
          <w:szCs w:val="24"/>
        </w:rPr>
        <w:t>.</w:t>
      </w:r>
      <w:r w:rsidRPr="00D173F6">
        <w:rPr>
          <w:sz w:val="24"/>
          <w:szCs w:val="24"/>
        </w:rPr>
        <w:t xml:space="preserve"> </w:t>
      </w:r>
      <w:r w:rsidR="00895C09">
        <w:rPr>
          <w:sz w:val="24"/>
          <w:szCs w:val="24"/>
        </w:rPr>
        <w:t xml:space="preserve">  </w:t>
      </w:r>
      <w:r w:rsidR="00895C09" w:rsidRPr="00D173F6">
        <w:rPr>
          <w:sz w:val="24"/>
          <w:szCs w:val="24"/>
        </w:rPr>
        <w:t>Several conclusions emerge.</w:t>
      </w:r>
      <w:r w:rsidRPr="00D173F6">
        <w:rPr>
          <w:sz w:val="24"/>
          <w:szCs w:val="24"/>
        </w:rPr>
        <w:t xml:space="preserve">  When the rate of change variable</w:t>
      </w:r>
      <w:r w:rsidR="00F24089">
        <w:rPr>
          <w:sz w:val="24"/>
          <w:szCs w:val="24"/>
        </w:rPr>
        <w:t xml:space="preserve"> is included on its own (Table 3</w:t>
      </w:r>
      <w:r w:rsidRPr="00D173F6">
        <w:rPr>
          <w:sz w:val="24"/>
          <w:szCs w:val="24"/>
        </w:rPr>
        <w:t>.1), to test for “leaning against the wind,” it is highly significant regardless whether the dependent variable is measured by intervention or changes in reserves.  When the level of the exchange rate</w:t>
      </w:r>
      <w:r w:rsidR="00F24089">
        <w:rPr>
          <w:sz w:val="24"/>
          <w:szCs w:val="24"/>
        </w:rPr>
        <w:t xml:space="preserve"> is included on its own (Table 3</w:t>
      </w:r>
      <w:r w:rsidR="00D722BA">
        <w:rPr>
          <w:sz w:val="24"/>
          <w:szCs w:val="24"/>
        </w:rPr>
        <w:t>.2),</w:t>
      </w:r>
      <w:r w:rsidRPr="00D173F6">
        <w:rPr>
          <w:sz w:val="24"/>
          <w:szCs w:val="24"/>
        </w:rPr>
        <w:t xml:space="preserve"> it is highly significant for explaining Intervention and borderline-significant for explaining reserve changes. When both variables are included at the same time, there is ev</w:t>
      </w:r>
      <w:r w:rsidR="000B0630">
        <w:rPr>
          <w:sz w:val="24"/>
          <w:szCs w:val="24"/>
        </w:rPr>
        <w:t xml:space="preserve">idence in favor of both </w:t>
      </w:r>
      <w:r w:rsidR="0024680A">
        <w:rPr>
          <w:sz w:val="24"/>
          <w:szCs w:val="24"/>
        </w:rPr>
        <w:t>(Table 3</w:t>
      </w:r>
      <w:r w:rsidRPr="00D173F6">
        <w:rPr>
          <w:sz w:val="24"/>
          <w:szCs w:val="24"/>
        </w:rPr>
        <w:t xml:space="preserve">.3).  When the central bank’s behavior is judged by the intervention data, both the level and rate of change variables are significant.   When it is judged by reserve changes, the rate of change variable is highly significant but the level variable is at best borderline-significant. </w:t>
      </w:r>
    </w:p>
    <w:p w14:paraId="5AA12E88" w14:textId="218297B2"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w:t>
      </w:r>
      <w:r w:rsidR="00F24089">
        <w:rPr>
          <w:sz w:val="24"/>
          <w:szCs w:val="24"/>
        </w:rPr>
        <w:t>is of a target level (Table 3</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reserves when the level is low.   The effect is not evident when central bank behavior is measured by the change in reserves, rather than the intervention data.</w:t>
      </w:r>
      <w:r w:rsidR="005E76DF">
        <w:rPr>
          <w:sz w:val="24"/>
          <w:szCs w:val="24"/>
        </w:rPr>
        <w:t xml:space="preserve">  Estimates for sub-periods are reported in the on-line appendix table (Sheets 7 and 8).</w:t>
      </w:r>
    </w:p>
    <w:p w14:paraId="7482EF98" w14:textId="20F9E5EB" w:rsidR="00D173F6" w:rsidRDefault="0042142F" w:rsidP="00D173F6">
      <w:pPr>
        <w:ind w:firstLine="720"/>
        <w:rPr>
          <w:sz w:val="24"/>
          <w:szCs w:val="24"/>
        </w:rPr>
      </w:pPr>
      <w:r w:rsidRPr="00D173F6">
        <w:rPr>
          <w:sz w:val="24"/>
          <w:szCs w:val="24"/>
        </w:rPr>
        <w:t xml:space="preserve">We find no evidence for the inflation targeting hypothesis:  Neither intervention nor changes in reserves appear to respond significantly to the level of inflation measured relative to its target.  We </w:t>
      </w:r>
      <w:r w:rsidR="00895C09">
        <w:rPr>
          <w:sz w:val="24"/>
          <w:szCs w:val="24"/>
        </w:rPr>
        <w:t>omitt</w:t>
      </w:r>
      <w:r w:rsidRPr="00D173F6">
        <w:rPr>
          <w:sz w:val="24"/>
          <w:szCs w:val="24"/>
        </w:rPr>
        <w:t xml:space="preserve">ed </w:t>
      </w:r>
      <w:r w:rsidR="00895C09">
        <w:rPr>
          <w:sz w:val="24"/>
          <w:szCs w:val="24"/>
        </w:rPr>
        <w:t>the inflation results</w:t>
      </w:r>
      <w:r w:rsidRPr="00D173F6">
        <w:rPr>
          <w:sz w:val="24"/>
          <w:szCs w:val="24"/>
        </w:rPr>
        <w:t xml:space="preserve"> from the equation estimates reported in table </w:t>
      </w:r>
      <w:r w:rsidR="00764DDE">
        <w:rPr>
          <w:sz w:val="24"/>
          <w:szCs w:val="24"/>
        </w:rPr>
        <w:t>3</w:t>
      </w:r>
      <w:r w:rsidRPr="00D173F6">
        <w:rPr>
          <w:sz w:val="24"/>
          <w:szCs w:val="24"/>
        </w:rPr>
        <w:t>, but they are included in the on-line appendix</w:t>
      </w:r>
      <w:r w:rsidR="005E76DF">
        <w:rPr>
          <w:sz w:val="24"/>
          <w:szCs w:val="24"/>
        </w:rPr>
        <w:t xml:space="preserve"> (Sheet 10)</w:t>
      </w:r>
      <w:r w:rsidRPr="00D173F6">
        <w:rPr>
          <w:sz w:val="24"/>
          <w:szCs w:val="24"/>
        </w:rPr>
        <w:t>.</w:t>
      </w:r>
    </w:p>
    <w:p w14:paraId="5E2E9267" w14:textId="77777777" w:rsidR="00D173F6" w:rsidRDefault="00D173F6">
      <w:pPr>
        <w:rPr>
          <w:sz w:val="24"/>
          <w:szCs w:val="24"/>
        </w:rPr>
      </w:pPr>
      <w:r>
        <w:rPr>
          <w:sz w:val="24"/>
          <w:szCs w:val="24"/>
        </w:rPr>
        <w:br w:type="page"/>
      </w:r>
    </w:p>
    <w:p w14:paraId="3BB360BF" w14:textId="3043677F" w:rsidR="0042142F" w:rsidRPr="009371EC" w:rsidRDefault="0042142F" w:rsidP="0001681A">
      <w:pPr>
        <w:spacing w:after="120" w:line="240" w:lineRule="auto"/>
        <w:jc w:val="center"/>
        <w:rPr>
          <w:b/>
          <w:sz w:val="24"/>
          <w:szCs w:val="24"/>
        </w:rPr>
      </w:pPr>
      <w:r w:rsidRPr="009371EC">
        <w:rPr>
          <w:b/>
          <w:sz w:val="24"/>
          <w:szCs w:val="24"/>
        </w:rPr>
        <w:lastRenderedPageBreak/>
        <w:t xml:space="preserve">Table </w:t>
      </w:r>
      <w:r w:rsidR="00F24089">
        <w:rPr>
          <w:b/>
          <w:sz w:val="24"/>
          <w:szCs w:val="24"/>
        </w:rPr>
        <w:t>3</w:t>
      </w:r>
      <w:r w:rsidRPr="009371EC">
        <w:rPr>
          <w:b/>
          <w:sz w:val="24"/>
          <w:szCs w:val="24"/>
        </w:rPr>
        <w:t>: Estimating Foreign Exchange Reaction Function of Turkey’s Central Bank</w:t>
      </w:r>
      <w:r w:rsidR="00D722BA" w:rsidRPr="009371EC">
        <w:rPr>
          <w:b/>
          <w:sz w:val="24"/>
          <w:szCs w:val="24"/>
        </w:rPr>
        <w:br/>
      </w:r>
      <w:r w:rsidR="00A84A29" w:rsidRPr="009371EC">
        <w:rPr>
          <w:b/>
          <w:sz w:val="24"/>
          <w:szCs w:val="24"/>
        </w:rPr>
        <w:t xml:space="preserve">monthly </w:t>
      </w:r>
      <w:r w:rsidR="00D722BA" w:rsidRPr="009371EC">
        <w:rPr>
          <w:b/>
          <w:sz w:val="24"/>
          <w:szCs w:val="24"/>
        </w:rPr>
        <w:t xml:space="preserve">observations: </w:t>
      </w:r>
      <w:r w:rsidR="003A1103" w:rsidRPr="009371EC">
        <w:rPr>
          <w:b/>
          <w:sz w:val="24"/>
          <w:szCs w:val="24"/>
        </w:rPr>
        <w:t xml:space="preserve"> 2003m1</w:t>
      </w:r>
      <w:r w:rsidR="003A1103" w:rsidRPr="009371EC">
        <w:rPr>
          <w:rFonts w:eastAsia="Times New Roman" w:cs="Times New Roman"/>
          <w:b/>
          <w:color w:val="000000"/>
        </w:rPr>
        <w:t>-2014m1</w:t>
      </w:r>
    </w:p>
    <w:tbl>
      <w:tblPr>
        <w:tblW w:w="9555" w:type="dxa"/>
        <w:tblInd w:w="93" w:type="dxa"/>
        <w:tblLayout w:type="fixed"/>
        <w:tblLook w:val="04A0" w:firstRow="1" w:lastRow="0" w:firstColumn="1" w:lastColumn="0" w:noHBand="0" w:noVBand="1"/>
      </w:tblPr>
      <w:tblGrid>
        <w:gridCol w:w="1202"/>
        <w:gridCol w:w="1410"/>
        <w:gridCol w:w="1877"/>
        <w:gridCol w:w="121"/>
        <w:gridCol w:w="1811"/>
        <w:gridCol w:w="121"/>
        <w:gridCol w:w="133"/>
        <w:gridCol w:w="1678"/>
        <w:gridCol w:w="302"/>
        <w:gridCol w:w="900"/>
      </w:tblGrid>
      <w:tr w:rsidR="0042142F" w:rsidRPr="009164C3" w14:paraId="0BD91A04" w14:textId="77777777" w:rsidTr="00AB60B7">
        <w:trPr>
          <w:gridAfter w:val="9"/>
          <w:wAfter w:w="83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346C53">
        <w:trPr>
          <w:gridAfter w:val="1"/>
          <w:wAfter w:w="900" w:type="dxa"/>
          <w:trHeight w:val="333"/>
        </w:trPr>
        <w:tc>
          <w:tcPr>
            <w:tcW w:w="8655" w:type="dxa"/>
            <w:gridSpan w:val="9"/>
            <w:tcBorders>
              <w:top w:val="nil"/>
              <w:left w:val="nil"/>
              <w:bottom w:val="nil"/>
            </w:tcBorders>
            <w:shd w:val="clear" w:color="auto" w:fill="auto"/>
          </w:tcPr>
          <w:p w14:paraId="22C7D077" w14:textId="79506858" w:rsidR="0042142F" w:rsidRDefault="00F24089" w:rsidP="001C3BD5">
            <w:r>
              <w:rPr>
                <w:rFonts w:ascii="Calibri" w:eastAsia="Times New Roman" w:hAnsi="Calibri" w:cs="Times New Roman"/>
                <w:b/>
                <w:bCs/>
                <w:color w:val="000000"/>
                <w:sz w:val="24"/>
                <w:szCs w:val="24"/>
              </w:rPr>
              <w:t>Table 3</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346C53">
        <w:trPr>
          <w:gridAfter w:val="3"/>
          <w:wAfter w:w="2880" w:type="dxa"/>
          <w:trHeight w:val="423"/>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gridSpan w:val="2"/>
            <w:tcBorders>
              <w:top w:val="nil"/>
              <w:left w:val="nil"/>
              <w:bottom w:val="nil"/>
              <w:right w:val="nil"/>
            </w:tcBorders>
            <w:shd w:val="clear" w:color="auto" w:fill="auto"/>
            <w:vAlign w:val="center"/>
            <w:hideMark/>
          </w:tcPr>
          <w:p w14:paraId="1B2935B3" w14:textId="6F7A2234"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1811" w:type="dxa"/>
            <w:tcBorders>
              <w:top w:val="nil"/>
              <w:left w:val="nil"/>
              <w:bottom w:val="nil"/>
              <w:right w:val="nil"/>
            </w:tcBorders>
            <w:shd w:val="clear" w:color="auto" w:fill="auto"/>
            <w:vAlign w:val="center"/>
            <w:hideMark/>
          </w:tcPr>
          <w:p w14:paraId="16FDCD5A" w14:textId="13C3012B"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54" w:type="dxa"/>
            <w:gridSpan w:val="2"/>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8A26FB" w:rsidRPr="009164C3" w14:paraId="6F7B7968"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4803555E" w14:textId="5C3E832A" w:rsidR="008A26FB" w:rsidRPr="009164C3" w:rsidRDefault="008A26FB"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998" w:type="dxa"/>
            <w:gridSpan w:val="2"/>
            <w:tcBorders>
              <w:top w:val="nil"/>
              <w:left w:val="nil"/>
              <w:bottom w:val="nil"/>
              <w:right w:val="nil"/>
            </w:tcBorders>
            <w:shd w:val="clear" w:color="auto" w:fill="auto"/>
            <w:noWrap/>
            <w:vAlign w:val="bottom"/>
            <w:hideMark/>
          </w:tcPr>
          <w:p w14:paraId="42EEE30C" w14:textId="116ACA82"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6.017**</w:t>
            </w:r>
          </w:p>
        </w:tc>
        <w:tc>
          <w:tcPr>
            <w:tcW w:w="1811" w:type="dxa"/>
            <w:tcBorders>
              <w:top w:val="nil"/>
              <w:left w:val="nil"/>
              <w:bottom w:val="nil"/>
              <w:right w:val="nil"/>
            </w:tcBorders>
            <w:shd w:val="clear" w:color="auto" w:fill="auto"/>
            <w:noWrap/>
            <w:vAlign w:val="bottom"/>
            <w:hideMark/>
          </w:tcPr>
          <w:p w14:paraId="61890C6A" w14:textId="76AFBAAC"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24.568***</w:t>
            </w:r>
          </w:p>
        </w:tc>
        <w:tc>
          <w:tcPr>
            <w:tcW w:w="254" w:type="dxa"/>
            <w:gridSpan w:val="2"/>
            <w:tcBorders>
              <w:top w:val="nil"/>
              <w:left w:val="nil"/>
              <w:bottom w:val="nil"/>
              <w:right w:val="nil"/>
            </w:tcBorders>
            <w:shd w:val="clear" w:color="auto" w:fill="auto"/>
            <w:noWrap/>
            <w:vAlign w:val="bottom"/>
            <w:hideMark/>
          </w:tcPr>
          <w:p w14:paraId="61AE1C2B"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2F416AB5" w14:textId="77777777" w:rsidTr="008A26FB">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6EED782D" w14:textId="601363BB"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72837AE" w14:textId="4E994BE0"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(2.388)</w:t>
            </w:r>
          </w:p>
        </w:tc>
        <w:tc>
          <w:tcPr>
            <w:tcW w:w="1811" w:type="dxa"/>
            <w:tcBorders>
              <w:top w:val="nil"/>
              <w:left w:val="nil"/>
              <w:bottom w:val="nil"/>
              <w:right w:val="nil"/>
            </w:tcBorders>
            <w:shd w:val="clear" w:color="auto" w:fill="auto"/>
            <w:noWrap/>
            <w:vAlign w:val="bottom"/>
          </w:tcPr>
          <w:p w14:paraId="4CECE640" w14:textId="6A009FB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(5.527)</w:t>
            </w:r>
          </w:p>
        </w:tc>
        <w:tc>
          <w:tcPr>
            <w:tcW w:w="254" w:type="dxa"/>
            <w:gridSpan w:val="2"/>
            <w:tcBorders>
              <w:top w:val="nil"/>
              <w:left w:val="nil"/>
              <w:bottom w:val="nil"/>
              <w:right w:val="nil"/>
            </w:tcBorders>
            <w:shd w:val="clear" w:color="auto" w:fill="auto"/>
            <w:noWrap/>
            <w:vAlign w:val="bottom"/>
          </w:tcPr>
          <w:p w14:paraId="374A0F80"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1355CECE"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07913280" w14:textId="0352D9E9" w:rsidR="008A26FB" w:rsidRPr="009164C3" w:rsidRDefault="008A26FB"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998" w:type="dxa"/>
            <w:gridSpan w:val="2"/>
            <w:tcBorders>
              <w:top w:val="nil"/>
              <w:left w:val="nil"/>
              <w:bottom w:val="nil"/>
              <w:right w:val="nil"/>
            </w:tcBorders>
            <w:shd w:val="clear" w:color="auto" w:fill="auto"/>
            <w:noWrap/>
            <w:vAlign w:val="bottom"/>
          </w:tcPr>
          <w:p w14:paraId="684B1497" w14:textId="518BE45D"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0.408***</w:t>
            </w:r>
          </w:p>
        </w:tc>
        <w:tc>
          <w:tcPr>
            <w:tcW w:w="1811" w:type="dxa"/>
            <w:tcBorders>
              <w:top w:val="nil"/>
              <w:left w:val="nil"/>
              <w:bottom w:val="nil"/>
              <w:right w:val="nil"/>
            </w:tcBorders>
            <w:shd w:val="clear" w:color="auto" w:fill="auto"/>
            <w:noWrap/>
            <w:vAlign w:val="bottom"/>
          </w:tcPr>
          <w:p w14:paraId="2361D89F" w14:textId="59C59EF1"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0.645***</w:t>
            </w:r>
          </w:p>
        </w:tc>
        <w:tc>
          <w:tcPr>
            <w:tcW w:w="254" w:type="dxa"/>
            <w:gridSpan w:val="2"/>
            <w:tcBorders>
              <w:top w:val="nil"/>
              <w:left w:val="nil"/>
              <w:bottom w:val="nil"/>
              <w:right w:val="nil"/>
            </w:tcBorders>
            <w:shd w:val="clear" w:color="auto" w:fill="auto"/>
            <w:noWrap/>
            <w:vAlign w:val="bottom"/>
          </w:tcPr>
          <w:p w14:paraId="7BC0179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3F9E4EC5"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5DEB6B4F" w14:textId="77777777"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B809190" w14:textId="0D6F571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(0.098)</w:t>
            </w:r>
          </w:p>
        </w:tc>
        <w:tc>
          <w:tcPr>
            <w:tcW w:w="1811" w:type="dxa"/>
            <w:tcBorders>
              <w:top w:val="nil"/>
              <w:left w:val="nil"/>
              <w:bottom w:val="nil"/>
              <w:right w:val="nil"/>
            </w:tcBorders>
            <w:shd w:val="clear" w:color="auto" w:fill="auto"/>
            <w:noWrap/>
            <w:vAlign w:val="bottom"/>
          </w:tcPr>
          <w:p w14:paraId="7E5D0F4F" w14:textId="036D21DE"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(0.200)</w:t>
            </w:r>
          </w:p>
        </w:tc>
        <w:tc>
          <w:tcPr>
            <w:tcW w:w="254" w:type="dxa"/>
            <w:gridSpan w:val="2"/>
            <w:tcBorders>
              <w:top w:val="nil"/>
              <w:left w:val="nil"/>
              <w:bottom w:val="nil"/>
              <w:right w:val="nil"/>
            </w:tcBorders>
            <w:shd w:val="clear" w:color="auto" w:fill="auto"/>
            <w:noWrap/>
            <w:vAlign w:val="bottom"/>
          </w:tcPr>
          <w:p w14:paraId="53214D4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54575F" w:rsidRPr="009164C3" w14:paraId="2712BF26"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49E96196" w14:textId="37A7B45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998" w:type="dxa"/>
            <w:gridSpan w:val="2"/>
            <w:tcBorders>
              <w:top w:val="nil"/>
              <w:left w:val="nil"/>
              <w:bottom w:val="nil"/>
              <w:right w:val="nil"/>
            </w:tcBorders>
            <w:shd w:val="clear" w:color="auto" w:fill="auto"/>
            <w:noWrap/>
            <w:vAlign w:val="bottom"/>
          </w:tcPr>
          <w:p w14:paraId="1951990D" w14:textId="37BE1C3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tcBorders>
              <w:top w:val="nil"/>
              <w:left w:val="nil"/>
              <w:bottom w:val="nil"/>
              <w:right w:val="nil"/>
            </w:tcBorders>
            <w:shd w:val="clear" w:color="auto" w:fill="auto"/>
            <w:noWrap/>
            <w:vAlign w:val="bottom"/>
          </w:tcPr>
          <w:p w14:paraId="6A694E3A" w14:textId="134D1CB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254" w:type="dxa"/>
            <w:gridSpan w:val="2"/>
            <w:tcBorders>
              <w:top w:val="nil"/>
              <w:left w:val="nil"/>
              <w:bottom w:val="nil"/>
              <w:right w:val="nil"/>
            </w:tcBorders>
            <w:shd w:val="clear" w:color="auto" w:fill="auto"/>
            <w:noWrap/>
            <w:vAlign w:val="bottom"/>
          </w:tcPr>
          <w:p w14:paraId="64EB0459"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r w:rsidR="0042142F" w:rsidRPr="009164C3" w14:paraId="0C521DAF" w14:textId="77777777" w:rsidTr="00AB60B7">
        <w:trPr>
          <w:trHeight w:val="315"/>
        </w:trPr>
        <w:tc>
          <w:tcPr>
            <w:tcW w:w="8353" w:type="dxa"/>
            <w:gridSpan w:val="8"/>
            <w:tcBorders>
              <w:top w:val="nil"/>
              <w:left w:val="nil"/>
              <w:bottom w:val="nil"/>
              <w:right w:val="nil"/>
            </w:tcBorders>
            <w:shd w:val="clear" w:color="auto" w:fill="auto"/>
            <w:noWrap/>
            <w:vAlign w:val="bottom"/>
            <w:hideMark/>
          </w:tcPr>
          <w:p w14:paraId="6026CB74" w14:textId="20243004" w:rsidR="0042142F" w:rsidRPr="009164C3" w:rsidRDefault="00AB60B7" w:rsidP="001C3BD5">
            <w:pPr>
              <w:spacing w:after="0" w:line="240" w:lineRule="auto"/>
              <w:rPr>
                <w:rFonts w:ascii="Calibri" w:eastAsia="Times New Roman" w:hAnsi="Calibri" w:cs="Times New Roman"/>
                <w:color w:val="000000"/>
                <w:sz w:val="24"/>
                <w:szCs w:val="24"/>
              </w:rPr>
            </w:pPr>
            <w:r>
              <w:br/>
            </w:r>
            <w:r>
              <w:rPr>
                <w:rFonts w:ascii="Calibri" w:eastAsia="Times New Roman" w:hAnsi="Calibri" w:cs="Times New Roman"/>
                <w:b/>
                <w:bCs/>
                <w:color w:val="000000"/>
                <w:sz w:val="24"/>
                <w:szCs w:val="24"/>
              </w:rPr>
              <w:br/>
            </w:r>
            <w:r w:rsidR="00F24089">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42142F" w:rsidRPr="00851045">
              <w:rPr>
                <w:rFonts w:ascii="Calibri" w:eastAsia="Times New Roman" w:hAnsi="Calibri" w:cs="Times New Roman"/>
                <w:b/>
                <w:bCs/>
                <w:color w:val="000000"/>
                <w:sz w:val="24"/>
                <w:szCs w:val="24"/>
              </w:rPr>
              <w:t>.</w:t>
            </w:r>
          </w:p>
        </w:tc>
        <w:tc>
          <w:tcPr>
            <w:tcW w:w="1202" w:type="dxa"/>
            <w:gridSpan w:val="2"/>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346C53">
        <w:trPr>
          <w:trHeight w:val="450"/>
        </w:trPr>
        <w:tc>
          <w:tcPr>
            <w:tcW w:w="2612" w:type="dxa"/>
            <w:gridSpan w:val="2"/>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618CBFEA"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2053" w:type="dxa"/>
            <w:gridSpan w:val="3"/>
            <w:tcBorders>
              <w:top w:val="nil"/>
              <w:left w:val="nil"/>
              <w:bottom w:val="nil"/>
              <w:right w:val="nil"/>
            </w:tcBorders>
            <w:shd w:val="clear" w:color="auto" w:fill="auto"/>
            <w:vAlign w:val="center"/>
            <w:hideMark/>
          </w:tcPr>
          <w:p w14:paraId="78E806FB" w14:textId="72403D5E"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1811" w:type="dxa"/>
            <w:gridSpan w:val="2"/>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gridSpan w:val="2"/>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7A3EA0" w:rsidRPr="009164C3" w14:paraId="68E478FE"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71AA40F0" w14:textId="77777777" w:rsidR="007A3EA0" w:rsidRPr="009164C3" w:rsidRDefault="007A3EA0"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877" w:type="dxa"/>
            <w:tcBorders>
              <w:top w:val="nil"/>
              <w:left w:val="nil"/>
              <w:bottom w:val="nil"/>
              <w:right w:val="nil"/>
            </w:tcBorders>
            <w:shd w:val="clear" w:color="auto" w:fill="auto"/>
            <w:noWrap/>
            <w:vAlign w:val="bottom"/>
            <w:hideMark/>
          </w:tcPr>
          <w:p w14:paraId="2B8A34D8" w14:textId="4E8625D5"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3.240***</w:t>
            </w:r>
          </w:p>
        </w:tc>
        <w:tc>
          <w:tcPr>
            <w:tcW w:w="2053" w:type="dxa"/>
            <w:gridSpan w:val="3"/>
            <w:tcBorders>
              <w:top w:val="nil"/>
              <w:left w:val="nil"/>
              <w:bottom w:val="nil"/>
              <w:right w:val="nil"/>
            </w:tcBorders>
            <w:shd w:val="clear" w:color="auto" w:fill="auto"/>
            <w:noWrap/>
            <w:vAlign w:val="bottom"/>
            <w:hideMark/>
          </w:tcPr>
          <w:p w14:paraId="701A0D78" w14:textId="6A6EBD32"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3.776*</w:t>
            </w:r>
          </w:p>
        </w:tc>
        <w:tc>
          <w:tcPr>
            <w:tcW w:w="1811" w:type="dxa"/>
            <w:gridSpan w:val="2"/>
            <w:tcBorders>
              <w:top w:val="nil"/>
              <w:left w:val="nil"/>
              <w:bottom w:val="nil"/>
              <w:right w:val="nil"/>
            </w:tcBorders>
            <w:shd w:val="clear" w:color="auto" w:fill="auto"/>
            <w:noWrap/>
            <w:vAlign w:val="bottom"/>
          </w:tcPr>
          <w:p w14:paraId="3283ADFB"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00B6338E"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2F72A094" w14:textId="77777777" w:rsidTr="008A26FB">
        <w:trPr>
          <w:trHeight w:val="315"/>
        </w:trPr>
        <w:tc>
          <w:tcPr>
            <w:tcW w:w="2612" w:type="dxa"/>
            <w:gridSpan w:val="2"/>
            <w:tcBorders>
              <w:top w:val="nil"/>
              <w:left w:val="nil"/>
              <w:bottom w:val="nil"/>
              <w:right w:val="nil"/>
            </w:tcBorders>
            <w:shd w:val="clear" w:color="auto" w:fill="auto"/>
            <w:noWrap/>
            <w:vAlign w:val="bottom"/>
          </w:tcPr>
          <w:p w14:paraId="2002A123" w14:textId="79C0154C"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1FEC7A22" w14:textId="355D189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(0.871)</w:t>
            </w:r>
          </w:p>
        </w:tc>
        <w:tc>
          <w:tcPr>
            <w:tcW w:w="2053" w:type="dxa"/>
            <w:gridSpan w:val="3"/>
            <w:tcBorders>
              <w:top w:val="nil"/>
              <w:left w:val="nil"/>
              <w:bottom w:val="nil"/>
              <w:right w:val="nil"/>
            </w:tcBorders>
            <w:shd w:val="clear" w:color="auto" w:fill="auto"/>
            <w:noWrap/>
            <w:vAlign w:val="bottom"/>
          </w:tcPr>
          <w:p w14:paraId="4E162997" w14:textId="4F85CC4C"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(2.034)</w:t>
            </w:r>
          </w:p>
        </w:tc>
        <w:tc>
          <w:tcPr>
            <w:tcW w:w="1811" w:type="dxa"/>
            <w:gridSpan w:val="2"/>
            <w:tcBorders>
              <w:top w:val="nil"/>
              <w:left w:val="nil"/>
              <w:bottom w:val="nil"/>
              <w:right w:val="nil"/>
            </w:tcBorders>
            <w:shd w:val="clear" w:color="auto" w:fill="auto"/>
            <w:noWrap/>
            <w:vAlign w:val="bottom"/>
          </w:tcPr>
          <w:p w14:paraId="43466B62"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7F926D28"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718DAB2D" w14:textId="77777777" w:rsidTr="00AB60B7">
        <w:trPr>
          <w:trHeight w:val="315"/>
        </w:trPr>
        <w:tc>
          <w:tcPr>
            <w:tcW w:w="2612" w:type="dxa"/>
            <w:gridSpan w:val="2"/>
            <w:tcBorders>
              <w:top w:val="nil"/>
              <w:left w:val="nil"/>
              <w:bottom w:val="nil"/>
              <w:right w:val="nil"/>
            </w:tcBorders>
            <w:shd w:val="clear" w:color="auto" w:fill="auto"/>
            <w:noWrap/>
            <w:vAlign w:val="bottom"/>
          </w:tcPr>
          <w:p w14:paraId="66C5B4CF" w14:textId="786A8870" w:rsidR="007A3EA0" w:rsidRPr="009164C3" w:rsidRDefault="007A3EA0"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877" w:type="dxa"/>
            <w:tcBorders>
              <w:top w:val="nil"/>
              <w:left w:val="nil"/>
              <w:bottom w:val="nil"/>
              <w:right w:val="nil"/>
            </w:tcBorders>
            <w:shd w:val="clear" w:color="auto" w:fill="auto"/>
            <w:noWrap/>
            <w:vAlign w:val="bottom"/>
          </w:tcPr>
          <w:p w14:paraId="49B64D14" w14:textId="7880B87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0.390***</w:t>
            </w:r>
          </w:p>
        </w:tc>
        <w:tc>
          <w:tcPr>
            <w:tcW w:w="2053" w:type="dxa"/>
            <w:gridSpan w:val="3"/>
            <w:tcBorders>
              <w:top w:val="nil"/>
              <w:left w:val="nil"/>
              <w:bottom w:val="nil"/>
              <w:right w:val="nil"/>
            </w:tcBorders>
            <w:shd w:val="clear" w:color="auto" w:fill="auto"/>
            <w:noWrap/>
            <w:vAlign w:val="bottom"/>
          </w:tcPr>
          <w:p w14:paraId="71B7D6F9" w14:textId="16B4F29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0.577***</w:t>
            </w:r>
          </w:p>
        </w:tc>
        <w:tc>
          <w:tcPr>
            <w:tcW w:w="1811" w:type="dxa"/>
            <w:gridSpan w:val="2"/>
            <w:tcBorders>
              <w:top w:val="nil"/>
              <w:left w:val="nil"/>
              <w:bottom w:val="nil"/>
              <w:right w:val="nil"/>
            </w:tcBorders>
            <w:shd w:val="clear" w:color="auto" w:fill="auto"/>
            <w:noWrap/>
            <w:vAlign w:val="bottom"/>
          </w:tcPr>
          <w:p w14:paraId="34BEFF13"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1E4C560B"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6488630D" w14:textId="77777777" w:rsidTr="00AB60B7">
        <w:trPr>
          <w:trHeight w:val="315"/>
        </w:trPr>
        <w:tc>
          <w:tcPr>
            <w:tcW w:w="2612" w:type="dxa"/>
            <w:gridSpan w:val="2"/>
            <w:tcBorders>
              <w:top w:val="nil"/>
              <w:left w:val="nil"/>
              <w:bottom w:val="nil"/>
              <w:right w:val="nil"/>
            </w:tcBorders>
            <w:shd w:val="clear" w:color="auto" w:fill="auto"/>
            <w:noWrap/>
            <w:vAlign w:val="bottom"/>
          </w:tcPr>
          <w:p w14:paraId="62ECCC9D" w14:textId="77777777"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31729933" w14:textId="36CC21D0"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(0.094)</w:t>
            </w:r>
          </w:p>
        </w:tc>
        <w:tc>
          <w:tcPr>
            <w:tcW w:w="2053" w:type="dxa"/>
            <w:gridSpan w:val="3"/>
            <w:tcBorders>
              <w:top w:val="nil"/>
              <w:left w:val="nil"/>
              <w:bottom w:val="nil"/>
              <w:right w:val="nil"/>
            </w:tcBorders>
            <w:shd w:val="clear" w:color="auto" w:fill="auto"/>
            <w:noWrap/>
            <w:vAlign w:val="bottom"/>
          </w:tcPr>
          <w:p w14:paraId="146BFE2A" w14:textId="503A0BE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(0.215)</w:t>
            </w:r>
          </w:p>
        </w:tc>
        <w:tc>
          <w:tcPr>
            <w:tcW w:w="1811" w:type="dxa"/>
            <w:gridSpan w:val="2"/>
            <w:tcBorders>
              <w:top w:val="nil"/>
              <w:left w:val="nil"/>
              <w:bottom w:val="nil"/>
              <w:right w:val="nil"/>
            </w:tcBorders>
            <w:shd w:val="clear" w:color="auto" w:fill="auto"/>
            <w:noWrap/>
            <w:vAlign w:val="bottom"/>
          </w:tcPr>
          <w:p w14:paraId="0E02536C"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0A4718A0"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54575F" w:rsidRPr="009164C3" w14:paraId="4FD59C7B" w14:textId="77777777" w:rsidTr="00AB60B7">
        <w:trPr>
          <w:trHeight w:val="315"/>
        </w:trPr>
        <w:tc>
          <w:tcPr>
            <w:tcW w:w="2612" w:type="dxa"/>
            <w:gridSpan w:val="2"/>
            <w:tcBorders>
              <w:top w:val="nil"/>
              <w:left w:val="nil"/>
              <w:bottom w:val="nil"/>
              <w:right w:val="nil"/>
            </w:tcBorders>
            <w:shd w:val="clear" w:color="auto" w:fill="auto"/>
            <w:noWrap/>
            <w:vAlign w:val="bottom"/>
          </w:tcPr>
          <w:p w14:paraId="075DBEC2" w14:textId="1CE84FF7"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877" w:type="dxa"/>
            <w:tcBorders>
              <w:top w:val="nil"/>
              <w:left w:val="nil"/>
              <w:bottom w:val="nil"/>
              <w:right w:val="nil"/>
            </w:tcBorders>
            <w:shd w:val="clear" w:color="auto" w:fill="auto"/>
            <w:noWrap/>
            <w:vAlign w:val="bottom"/>
          </w:tcPr>
          <w:p w14:paraId="326BD29F" w14:textId="17507287"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134</w:t>
            </w:r>
          </w:p>
        </w:tc>
        <w:tc>
          <w:tcPr>
            <w:tcW w:w="2053" w:type="dxa"/>
            <w:gridSpan w:val="3"/>
            <w:tcBorders>
              <w:top w:val="nil"/>
              <w:left w:val="nil"/>
              <w:bottom w:val="nil"/>
              <w:right w:val="nil"/>
            </w:tcBorders>
            <w:shd w:val="clear" w:color="auto" w:fill="auto"/>
            <w:noWrap/>
            <w:vAlign w:val="bottom"/>
          </w:tcPr>
          <w:p w14:paraId="6D7BF5CD" w14:textId="04465693"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gridSpan w:val="2"/>
            <w:tcBorders>
              <w:top w:val="nil"/>
              <w:left w:val="nil"/>
              <w:bottom w:val="nil"/>
              <w:right w:val="nil"/>
            </w:tcBorders>
            <w:shd w:val="clear" w:color="auto" w:fill="auto"/>
            <w:noWrap/>
            <w:vAlign w:val="bottom"/>
          </w:tcPr>
          <w:p w14:paraId="4791A3B9" w14:textId="77777777" w:rsidR="0054575F" w:rsidRPr="009164C3" w:rsidRDefault="0054575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3942B990"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2265"/>
        <w:gridCol w:w="1440"/>
        <w:gridCol w:w="1710"/>
        <w:gridCol w:w="1440"/>
        <w:gridCol w:w="1530"/>
        <w:gridCol w:w="270"/>
        <w:gridCol w:w="810"/>
        <w:gridCol w:w="90"/>
        <w:gridCol w:w="90"/>
      </w:tblGrid>
      <w:tr w:rsidR="0042142F" w:rsidRPr="009164C3" w14:paraId="1D5C7417" w14:textId="77777777" w:rsidTr="009371EC">
        <w:trPr>
          <w:gridAfter w:val="2"/>
          <w:wAfter w:w="180" w:type="dxa"/>
          <w:trHeight w:val="387"/>
        </w:trPr>
        <w:tc>
          <w:tcPr>
            <w:tcW w:w="9465" w:type="dxa"/>
            <w:gridSpan w:val="7"/>
            <w:tcBorders>
              <w:top w:val="nil"/>
              <w:left w:val="nil"/>
              <w:bottom w:val="nil"/>
              <w:right w:val="nil"/>
            </w:tcBorders>
            <w:shd w:val="clear" w:color="auto" w:fill="auto"/>
            <w:noWrap/>
            <w:vAlign w:val="bottom"/>
            <w:hideMark/>
          </w:tcPr>
          <w:p w14:paraId="668F2A73" w14:textId="41021508" w:rsidR="0042142F" w:rsidRPr="009164C3" w:rsidRDefault="00F24089"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9371EC">
              <w:rPr>
                <w:rFonts w:ascii="Calibri" w:eastAsia="Times New Roman" w:hAnsi="Calibri" w:cs="Times New Roman"/>
                <w:b/>
                <w:bCs/>
                <w:color w:val="000000"/>
                <w:sz w:val="24"/>
                <w:szCs w:val="24"/>
              </w:rPr>
              <w:t>).</w:t>
            </w:r>
          </w:p>
        </w:tc>
      </w:tr>
      <w:tr w:rsidR="0042142F" w:rsidRPr="009164C3" w14:paraId="594A4C9D" w14:textId="77777777" w:rsidTr="00346C53">
        <w:trPr>
          <w:gridAfter w:val="1"/>
          <w:wAfter w:w="90" w:type="dxa"/>
          <w:trHeight w:val="135"/>
        </w:trPr>
        <w:tc>
          <w:tcPr>
            <w:tcW w:w="2265" w:type="dxa"/>
            <w:tcBorders>
              <w:top w:val="nil"/>
              <w:left w:val="nil"/>
              <w:bottom w:val="nil"/>
              <w:right w:val="nil"/>
            </w:tcBorders>
            <w:shd w:val="clear" w:color="auto" w:fill="auto"/>
            <w:vAlign w:val="center"/>
            <w:hideMark/>
          </w:tcPr>
          <w:p w14:paraId="7EDE68EC" w14:textId="3A6C473C" w:rsidR="0042142F" w:rsidRPr="009164C3" w:rsidRDefault="009371EC" w:rsidP="001C3BD5">
            <w:pPr>
              <w:spacing w:after="0" w:line="240" w:lineRule="auto"/>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Dependent </w:t>
            </w:r>
            <w:r w:rsidR="0042142F" w:rsidRPr="009164C3">
              <w:rPr>
                <w:rFonts w:ascii="Calibri" w:eastAsia="Times New Roman" w:hAnsi="Calibri" w:cs="Times New Roman"/>
                <w:color w:val="000000"/>
                <w:sz w:val="24"/>
                <w:szCs w:val="24"/>
                <w:u w:val="single"/>
              </w:rPr>
              <w:t>Variable</w:t>
            </w:r>
          </w:p>
        </w:tc>
        <w:tc>
          <w:tcPr>
            <w:tcW w:w="1440" w:type="dxa"/>
            <w:tcBorders>
              <w:top w:val="nil"/>
              <w:left w:val="nil"/>
              <w:bottom w:val="nil"/>
              <w:right w:val="nil"/>
            </w:tcBorders>
            <w:shd w:val="clear" w:color="auto" w:fill="auto"/>
            <w:vAlign w:val="center"/>
            <w:hideMark/>
          </w:tcPr>
          <w:p w14:paraId="356C2C62" w14:textId="5FBE9333"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Intervention </w:t>
            </w:r>
          </w:p>
        </w:tc>
        <w:tc>
          <w:tcPr>
            <w:tcW w:w="1710" w:type="dxa"/>
            <w:tcBorders>
              <w:top w:val="nil"/>
              <w:left w:val="nil"/>
              <w:bottom w:val="nil"/>
              <w:right w:val="nil"/>
            </w:tcBorders>
            <w:shd w:val="clear" w:color="auto" w:fill="auto"/>
            <w:vAlign w:val="center"/>
            <w:hideMark/>
          </w:tcPr>
          <w:p w14:paraId="11EF6ED1" w14:textId="25E02F09" w:rsidR="0042142F" w:rsidRPr="009164C3" w:rsidRDefault="0042142F" w:rsidP="009371EC">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440" w:type="dxa"/>
            <w:tcBorders>
              <w:top w:val="nil"/>
              <w:left w:val="nil"/>
              <w:bottom w:val="nil"/>
              <w:right w:val="nil"/>
            </w:tcBorders>
            <w:shd w:val="clear" w:color="auto" w:fill="auto"/>
            <w:vAlign w:val="center"/>
            <w:hideMark/>
          </w:tcPr>
          <w:p w14:paraId="297AF8C8" w14:textId="3AD9FB56"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530" w:type="dxa"/>
            <w:tcBorders>
              <w:top w:val="nil"/>
              <w:left w:val="nil"/>
              <w:bottom w:val="nil"/>
              <w:right w:val="nil"/>
            </w:tcBorders>
            <w:shd w:val="clear" w:color="auto" w:fill="auto"/>
            <w:vAlign w:val="center"/>
            <w:hideMark/>
          </w:tcPr>
          <w:p w14:paraId="6DA6D49D" w14:textId="72FB5A2F" w:rsidR="0042142F" w:rsidRPr="006A4F44"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7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0C2901" w:rsidRPr="009164C3" w14:paraId="4EA60D04" w14:textId="77777777" w:rsidTr="00AB60B7">
        <w:trPr>
          <w:trHeight w:val="315"/>
        </w:trPr>
        <w:tc>
          <w:tcPr>
            <w:tcW w:w="2265" w:type="dxa"/>
            <w:tcBorders>
              <w:top w:val="nil"/>
              <w:left w:val="nil"/>
              <w:bottom w:val="nil"/>
              <w:right w:val="nil"/>
            </w:tcBorders>
            <w:shd w:val="clear" w:color="auto" w:fill="auto"/>
            <w:noWrap/>
            <w:vAlign w:val="bottom"/>
          </w:tcPr>
          <w:p w14:paraId="126A056B" w14:textId="2287853B"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440" w:type="dxa"/>
            <w:tcBorders>
              <w:top w:val="nil"/>
              <w:left w:val="nil"/>
              <w:bottom w:val="nil"/>
              <w:right w:val="nil"/>
            </w:tcBorders>
            <w:shd w:val="clear" w:color="auto" w:fill="auto"/>
            <w:noWrap/>
            <w:vAlign w:val="bottom"/>
          </w:tcPr>
          <w:p w14:paraId="085EA04F" w14:textId="165882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4.403**</w:t>
            </w:r>
          </w:p>
        </w:tc>
        <w:tc>
          <w:tcPr>
            <w:tcW w:w="1710" w:type="dxa"/>
            <w:tcBorders>
              <w:top w:val="nil"/>
              <w:left w:val="nil"/>
              <w:bottom w:val="nil"/>
              <w:right w:val="nil"/>
            </w:tcBorders>
            <w:shd w:val="clear" w:color="auto" w:fill="auto"/>
            <w:noWrap/>
            <w:vAlign w:val="bottom"/>
          </w:tcPr>
          <w:p w14:paraId="3138A049" w14:textId="6560B11A"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6469E317" w14:textId="62296A6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2.959</w:t>
            </w:r>
          </w:p>
        </w:tc>
        <w:tc>
          <w:tcPr>
            <w:tcW w:w="1530" w:type="dxa"/>
            <w:tcBorders>
              <w:top w:val="nil"/>
              <w:left w:val="nil"/>
              <w:bottom w:val="nil"/>
              <w:right w:val="nil"/>
            </w:tcBorders>
            <w:shd w:val="clear" w:color="auto" w:fill="auto"/>
            <w:noWrap/>
            <w:vAlign w:val="bottom"/>
          </w:tcPr>
          <w:p w14:paraId="4D39C9A3" w14:textId="7F6A8D10"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24.851***</w:t>
            </w:r>
          </w:p>
        </w:tc>
        <w:tc>
          <w:tcPr>
            <w:tcW w:w="270" w:type="dxa"/>
            <w:tcBorders>
              <w:top w:val="nil"/>
              <w:left w:val="nil"/>
              <w:bottom w:val="nil"/>
              <w:right w:val="nil"/>
            </w:tcBorders>
            <w:shd w:val="clear" w:color="auto" w:fill="auto"/>
            <w:noWrap/>
            <w:vAlign w:val="bottom"/>
          </w:tcPr>
          <w:p w14:paraId="3CF95BB7"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33F1483B" w14:textId="77777777" w:rsidTr="00AB60B7">
        <w:trPr>
          <w:trHeight w:val="315"/>
        </w:trPr>
        <w:tc>
          <w:tcPr>
            <w:tcW w:w="2265" w:type="dxa"/>
            <w:tcBorders>
              <w:top w:val="nil"/>
              <w:left w:val="nil"/>
              <w:bottom w:val="nil"/>
              <w:right w:val="nil"/>
            </w:tcBorders>
            <w:shd w:val="clear" w:color="auto" w:fill="auto"/>
            <w:noWrap/>
            <w:vAlign w:val="bottom"/>
          </w:tcPr>
          <w:p w14:paraId="534E2240" w14:textId="02374DDB"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84DC3F" w14:textId="35B29AB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(1.947)</w:t>
            </w:r>
          </w:p>
        </w:tc>
        <w:tc>
          <w:tcPr>
            <w:tcW w:w="1710" w:type="dxa"/>
            <w:tcBorders>
              <w:top w:val="nil"/>
              <w:left w:val="nil"/>
              <w:bottom w:val="nil"/>
              <w:right w:val="nil"/>
            </w:tcBorders>
            <w:shd w:val="clear" w:color="auto" w:fill="auto"/>
            <w:noWrap/>
            <w:vAlign w:val="bottom"/>
          </w:tcPr>
          <w:p w14:paraId="3F024569" w14:textId="6EEA51FB"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2DB5F8" w14:textId="1FE755A6"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(1.816)</w:t>
            </w:r>
          </w:p>
        </w:tc>
        <w:tc>
          <w:tcPr>
            <w:tcW w:w="1530" w:type="dxa"/>
            <w:tcBorders>
              <w:top w:val="nil"/>
              <w:left w:val="nil"/>
              <w:bottom w:val="nil"/>
              <w:right w:val="nil"/>
            </w:tcBorders>
            <w:shd w:val="clear" w:color="auto" w:fill="auto"/>
            <w:noWrap/>
            <w:vAlign w:val="bottom"/>
          </w:tcPr>
          <w:p w14:paraId="55AAC95A" w14:textId="08CD86FE"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(5.497)</w:t>
            </w:r>
          </w:p>
        </w:tc>
        <w:tc>
          <w:tcPr>
            <w:tcW w:w="270" w:type="dxa"/>
            <w:tcBorders>
              <w:top w:val="nil"/>
              <w:left w:val="nil"/>
              <w:bottom w:val="nil"/>
              <w:right w:val="nil"/>
            </w:tcBorders>
            <w:shd w:val="clear" w:color="auto" w:fill="auto"/>
            <w:noWrap/>
            <w:vAlign w:val="bottom"/>
          </w:tcPr>
          <w:p w14:paraId="13FB6ED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402E4D0" w14:textId="77777777" w:rsidTr="00F068D1">
        <w:trPr>
          <w:trHeight w:val="315"/>
        </w:trPr>
        <w:tc>
          <w:tcPr>
            <w:tcW w:w="2265" w:type="dxa"/>
            <w:tcBorders>
              <w:top w:val="nil"/>
              <w:left w:val="nil"/>
              <w:bottom w:val="nil"/>
              <w:right w:val="nil"/>
            </w:tcBorders>
            <w:shd w:val="clear" w:color="auto" w:fill="auto"/>
            <w:noWrap/>
            <w:vAlign w:val="bottom"/>
          </w:tcPr>
          <w:p w14:paraId="4A6CE197" w14:textId="288AB650"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
        </w:tc>
        <w:tc>
          <w:tcPr>
            <w:tcW w:w="1440" w:type="dxa"/>
            <w:tcBorders>
              <w:top w:val="nil"/>
              <w:left w:val="nil"/>
              <w:bottom w:val="nil"/>
              <w:right w:val="nil"/>
            </w:tcBorders>
            <w:shd w:val="clear" w:color="auto" w:fill="auto"/>
            <w:noWrap/>
            <w:vAlign w:val="bottom"/>
          </w:tcPr>
          <w:p w14:paraId="4E1735BF" w14:textId="498AEA75"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3.017***</w:t>
            </w:r>
          </w:p>
        </w:tc>
        <w:tc>
          <w:tcPr>
            <w:tcW w:w="1710" w:type="dxa"/>
            <w:tcBorders>
              <w:top w:val="nil"/>
              <w:left w:val="nil"/>
              <w:bottom w:val="nil"/>
              <w:right w:val="nil"/>
            </w:tcBorders>
            <w:shd w:val="clear" w:color="auto" w:fill="auto"/>
            <w:noWrap/>
            <w:vAlign w:val="bottom"/>
          </w:tcPr>
          <w:p w14:paraId="6B75BCB2" w14:textId="5CB6BC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2.338***</w:t>
            </w:r>
          </w:p>
        </w:tc>
        <w:tc>
          <w:tcPr>
            <w:tcW w:w="1440" w:type="dxa"/>
            <w:tcBorders>
              <w:top w:val="nil"/>
              <w:left w:val="nil"/>
              <w:bottom w:val="nil"/>
              <w:right w:val="nil"/>
            </w:tcBorders>
            <w:shd w:val="clear" w:color="auto" w:fill="auto"/>
            <w:noWrap/>
            <w:vAlign w:val="bottom"/>
          </w:tcPr>
          <w:p w14:paraId="1ED4F07A" w14:textId="7E2418CD"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2.264***</w:t>
            </w:r>
          </w:p>
        </w:tc>
        <w:tc>
          <w:tcPr>
            <w:tcW w:w="1530" w:type="dxa"/>
            <w:tcBorders>
              <w:top w:val="nil"/>
              <w:left w:val="nil"/>
              <w:bottom w:val="nil"/>
              <w:right w:val="nil"/>
            </w:tcBorders>
            <w:shd w:val="clear" w:color="auto" w:fill="auto"/>
            <w:noWrap/>
            <w:vAlign w:val="bottom"/>
          </w:tcPr>
          <w:p w14:paraId="6A1A3CE1" w14:textId="0C1A549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3.196*</w:t>
            </w:r>
          </w:p>
        </w:tc>
        <w:tc>
          <w:tcPr>
            <w:tcW w:w="270" w:type="dxa"/>
            <w:tcBorders>
              <w:top w:val="nil"/>
              <w:left w:val="nil"/>
              <w:bottom w:val="nil"/>
              <w:right w:val="nil"/>
            </w:tcBorders>
            <w:shd w:val="clear" w:color="auto" w:fill="auto"/>
            <w:noWrap/>
            <w:vAlign w:val="bottom"/>
          </w:tcPr>
          <w:p w14:paraId="0B9E654C"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008B854" w14:textId="77777777" w:rsidTr="00F068D1">
        <w:trPr>
          <w:trHeight w:val="315"/>
        </w:trPr>
        <w:tc>
          <w:tcPr>
            <w:tcW w:w="2265" w:type="dxa"/>
            <w:tcBorders>
              <w:top w:val="nil"/>
              <w:left w:val="nil"/>
              <w:bottom w:val="nil"/>
              <w:right w:val="nil"/>
            </w:tcBorders>
            <w:shd w:val="clear" w:color="auto" w:fill="auto"/>
            <w:noWrap/>
            <w:vAlign w:val="bottom"/>
          </w:tcPr>
          <w:p w14:paraId="2E10F461" w14:textId="7ACCE6A5"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B7BE79B" w14:textId="692D01B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(0.831)</w:t>
            </w:r>
          </w:p>
        </w:tc>
        <w:tc>
          <w:tcPr>
            <w:tcW w:w="1710" w:type="dxa"/>
            <w:tcBorders>
              <w:top w:val="nil"/>
              <w:left w:val="nil"/>
              <w:bottom w:val="nil"/>
              <w:right w:val="nil"/>
            </w:tcBorders>
            <w:shd w:val="clear" w:color="auto" w:fill="auto"/>
            <w:noWrap/>
            <w:vAlign w:val="bottom"/>
          </w:tcPr>
          <w:p w14:paraId="3B711241" w14:textId="7EA7E54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(0.867)</w:t>
            </w:r>
          </w:p>
        </w:tc>
        <w:tc>
          <w:tcPr>
            <w:tcW w:w="1440" w:type="dxa"/>
            <w:tcBorders>
              <w:top w:val="nil"/>
              <w:left w:val="nil"/>
              <w:bottom w:val="nil"/>
              <w:right w:val="nil"/>
            </w:tcBorders>
            <w:shd w:val="clear" w:color="auto" w:fill="auto"/>
            <w:noWrap/>
            <w:vAlign w:val="bottom"/>
          </w:tcPr>
          <w:p w14:paraId="7BD6257F" w14:textId="0A12E0A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(0.855)</w:t>
            </w:r>
          </w:p>
        </w:tc>
        <w:tc>
          <w:tcPr>
            <w:tcW w:w="1530" w:type="dxa"/>
            <w:tcBorders>
              <w:top w:val="nil"/>
              <w:left w:val="nil"/>
              <w:bottom w:val="nil"/>
              <w:right w:val="nil"/>
            </w:tcBorders>
            <w:shd w:val="clear" w:color="auto" w:fill="auto"/>
            <w:noWrap/>
            <w:vAlign w:val="bottom"/>
          </w:tcPr>
          <w:p w14:paraId="616969D4" w14:textId="1141523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(1.754)</w:t>
            </w:r>
          </w:p>
        </w:tc>
        <w:tc>
          <w:tcPr>
            <w:tcW w:w="270" w:type="dxa"/>
            <w:tcBorders>
              <w:top w:val="nil"/>
              <w:left w:val="nil"/>
              <w:bottom w:val="nil"/>
              <w:right w:val="nil"/>
            </w:tcBorders>
            <w:shd w:val="clear" w:color="auto" w:fill="auto"/>
            <w:noWrap/>
            <w:vAlign w:val="bottom"/>
          </w:tcPr>
          <w:p w14:paraId="240DCB0D"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55BB956" w14:textId="77777777" w:rsidTr="009371EC">
        <w:trPr>
          <w:trHeight w:val="315"/>
        </w:trPr>
        <w:tc>
          <w:tcPr>
            <w:tcW w:w="2265" w:type="dxa"/>
            <w:tcBorders>
              <w:top w:val="nil"/>
              <w:left w:val="nil"/>
              <w:bottom w:val="nil"/>
              <w:right w:val="nil"/>
            </w:tcBorders>
            <w:shd w:val="clear" w:color="auto" w:fill="auto"/>
            <w:noWrap/>
            <w:vAlign w:val="bottom"/>
          </w:tcPr>
          <w:p w14:paraId="3BB5CBAE" w14:textId="65288E24" w:rsidR="000C2901" w:rsidRPr="009164C3" w:rsidRDefault="000C2901"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0" w:type="dxa"/>
            <w:tcBorders>
              <w:top w:val="nil"/>
              <w:left w:val="nil"/>
              <w:bottom w:val="nil"/>
              <w:right w:val="nil"/>
            </w:tcBorders>
            <w:shd w:val="clear" w:color="auto" w:fill="auto"/>
            <w:noWrap/>
            <w:vAlign w:val="bottom"/>
          </w:tcPr>
          <w:p w14:paraId="4853969F" w14:textId="136C430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Res/GDP</w:t>
            </w:r>
          </w:p>
        </w:tc>
        <w:tc>
          <w:tcPr>
            <w:tcW w:w="1710" w:type="dxa"/>
            <w:tcBorders>
              <w:top w:val="nil"/>
              <w:left w:val="nil"/>
              <w:bottom w:val="nil"/>
              <w:right w:val="nil"/>
            </w:tcBorders>
            <w:shd w:val="clear" w:color="auto" w:fill="auto"/>
            <w:noWrap/>
            <w:vAlign w:val="bottom"/>
          </w:tcPr>
          <w:p w14:paraId="49C62562" w14:textId="3B547953"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194EF5A" w14:textId="6E73015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-4.445***</w:t>
            </w:r>
          </w:p>
        </w:tc>
        <w:tc>
          <w:tcPr>
            <w:tcW w:w="1530" w:type="dxa"/>
            <w:tcBorders>
              <w:top w:val="nil"/>
              <w:left w:val="nil"/>
              <w:bottom w:val="nil"/>
              <w:right w:val="nil"/>
            </w:tcBorders>
            <w:shd w:val="clear" w:color="auto" w:fill="auto"/>
            <w:noWrap/>
            <w:vAlign w:val="bottom"/>
          </w:tcPr>
          <w:p w14:paraId="59AF25DD" w14:textId="38ADE0E7"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-4.070**</w:t>
            </w:r>
          </w:p>
        </w:tc>
        <w:tc>
          <w:tcPr>
            <w:tcW w:w="270" w:type="dxa"/>
            <w:tcBorders>
              <w:top w:val="nil"/>
              <w:left w:val="nil"/>
              <w:bottom w:val="nil"/>
              <w:right w:val="nil"/>
            </w:tcBorders>
            <w:shd w:val="clear" w:color="auto" w:fill="auto"/>
            <w:noWrap/>
            <w:vAlign w:val="bottom"/>
          </w:tcPr>
          <w:p w14:paraId="2F4C64C8"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0C309CD"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BDDD903" w14:textId="77777777" w:rsidTr="009371EC">
        <w:trPr>
          <w:trHeight w:val="315"/>
        </w:trPr>
        <w:tc>
          <w:tcPr>
            <w:tcW w:w="2265" w:type="dxa"/>
            <w:tcBorders>
              <w:top w:val="nil"/>
              <w:left w:val="nil"/>
              <w:bottom w:val="nil"/>
              <w:right w:val="nil"/>
            </w:tcBorders>
            <w:shd w:val="clear" w:color="auto" w:fill="auto"/>
            <w:noWrap/>
            <w:vAlign w:val="bottom"/>
          </w:tcPr>
          <w:p w14:paraId="5AE21D77"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2F913692"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0E75ECB"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2C9731" w14:textId="0199D5E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(1.556)</w:t>
            </w:r>
          </w:p>
        </w:tc>
        <w:tc>
          <w:tcPr>
            <w:tcW w:w="1530" w:type="dxa"/>
            <w:tcBorders>
              <w:top w:val="nil"/>
              <w:left w:val="nil"/>
              <w:bottom w:val="nil"/>
              <w:right w:val="nil"/>
            </w:tcBorders>
            <w:shd w:val="clear" w:color="auto" w:fill="auto"/>
            <w:noWrap/>
            <w:vAlign w:val="bottom"/>
          </w:tcPr>
          <w:p w14:paraId="04B11FFA" w14:textId="05AF226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(1.566)</w:t>
            </w:r>
          </w:p>
        </w:tc>
        <w:tc>
          <w:tcPr>
            <w:tcW w:w="270" w:type="dxa"/>
            <w:tcBorders>
              <w:top w:val="nil"/>
              <w:left w:val="nil"/>
              <w:bottom w:val="nil"/>
              <w:right w:val="nil"/>
            </w:tcBorders>
            <w:shd w:val="clear" w:color="auto" w:fill="auto"/>
            <w:noWrap/>
            <w:vAlign w:val="bottom"/>
          </w:tcPr>
          <w:p w14:paraId="1A245FF6"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0082254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54575F" w:rsidRPr="009164C3" w14:paraId="7101034E" w14:textId="77777777" w:rsidTr="009371EC">
        <w:trPr>
          <w:trHeight w:val="315"/>
        </w:trPr>
        <w:tc>
          <w:tcPr>
            <w:tcW w:w="2265" w:type="dxa"/>
            <w:tcBorders>
              <w:top w:val="nil"/>
              <w:left w:val="nil"/>
              <w:bottom w:val="nil"/>
              <w:right w:val="nil"/>
            </w:tcBorders>
            <w:shd w:val="clear" w:color="auto" w:fill="auto"/>
            <w:noWrap/>
            <w:vAlign w:val="bottom"/>
          </w:tcPr>
          <w:p w14:paraId="28DAF9FF" w14:textId="5C52C9A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Constant</w:t>
            </w:r>
          </w:p>
        </w:tc>
        <w:tc>
          <w:tcPr>
            <w:tcW w:w="1440" w:type="dxa"/>
            <w:tcBorders>
              <w:top w:val="nil"/>
              <w:left w:val="nil"/>
              <w:bottom w:val="nil"/>
              <w:right w:val="nil"/>
            </w:tcBorders>
            <w:shd w:val="clear" w:color="auto" w:fill="auto"/>
            <w:noWrap/>
            <w:vAlign w:val="bottom"/>
          </w:tcPr>
          <w:p w14:paraId="73B56990" w14:textId="260F45DD"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0.399***</w:t>
            </w:r>
          </w:p>
        </w:tc>
        <w:tc>
          <w:tcPr>
            <w:tcW w:w="1710" w:type="dxa"/>
            <w:tcBorders>
              <w:top w:val="nil"/>
              <w:left w:val="nil"/>
              <w:bottom w:val="nil"/>
              <w:right w:val="nil"/>
            </w:tcBorders>
            <w:shd w:val="clear" w:color="auto" w:fill="auto"/>
            <w:noWrap/>
            <w:vAlign w:val="bottom"/>
          </w:tcPr>
          <w:p w14:paraId="119FAB2B" w14:textId="6BD1585A"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2.256***</w:t>
            </w:r>
          </w:p>
        </w:tc>
        <w:tc>
          <w:tcPr>
            <w:tcW w:w="1440" w:type="dxa"/>
            <w:tcBorders>
              <w:top w:val="nil"/>
              <w:left w:val="nil"/>
              <w:bottom w:val="nil"/>
              <w:right w:val="nil"/>
            </w:tcBorders>
            <w:shd w:val="clear" w:color="auto" w:fill="auto"/>
            <w:noWrap/>
            <w:vAlign w:val="bottom"/>
          </w:tcPr>
          <w:p w14:paraId="3576576E" w14:textId="3EEB748B"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2.105***</w:t>
            </w:r>
          </w:p>
        </w:tc>
        <w:tc>
          <w:tcPr>
            <w:tcW w:w="1530" w:type="dxa"/>
            <w:tcBorders>
              <w:top w:val="nil"/>
              <w:left w:val="nil"/>
              <w:bottom w:val="nil"/>
              <w:right w:val="nil"/>
            </w:tcBorders>
            <w:shd w:val="clear" w:color="auto" w:fill="auto"/>
            <w:noWrap/>
            <w:vAlign w:val="bottom"/>
          </w:tcPr>
          <w:p w14:paraId="1804E364" w14:textId="3EBD12A1"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-1.203</w:t>
            </w:r>
          </w:p>
        </w:tc>
        <w:tc>
          <w:tcPr>
            <w:tcW w:w="270" w:type="dxa"/>
            <w:tcBorders>
              <w:top w:val="nil"/>
              <w:left w:val="nil"/>
              <w:bottom w:val="nil"/>
              <w:right w:val="nil"/>
            </w:tcBorders>
            <w:shd w:val="clear" w:color="auto" w:fill="auto"/>
            <w:noWrap/>
            <w:vAlign w:val="bottom"/>
          </w:tcPr>
          <w:p w14:paraId="0E94314C" w14:textId="77777777" w:rsidR="0054575F" w:rsidRPr="009164C3" w:rsidRDefault="0054575F"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6633EC66" w14:textId="77777777" w:rsidR="0054575F" w:rsidRPr="009164C3" w:rsidRDefault="0054575F" w:rsidP="001C3BD5">
            <w:pPr>
              <w:spacing w:after="0" w:line="240" w:lineRule="auto"/>
              <w:jc w:val="right"/>
              <w:rPr>
                <w:rFonts w:ascii="Calibri" w:eastAsia="Times New Roman" w:hAnsi="Calibri" w:cs="Times New Roman"/>
                <w:color w:val="000000"/>
                <w:sz w:val="24"/>
                <w:szCs w:val="24"/>
              </w:rPr>
            </w:pPr>
          </w:p>
        </w:tc>
      </w:tr>
      <w:tr w:rsidR="0054575F" w:rsidRPr="009164C3" w14:paraId="365A42EF"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5976A331" w14:textId="07DFFBD0" w:rsidR="0054575F" w:rsidRPr="0054575F"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375F6C2A" w14:textId="76807C02"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(0.093)</w:t>
            </w:r>
          </w:p>
        </w:tc>
        <w:tc>
          <w:tcPr>
            <w:tcW w:w="1710" w:type="dxa"/>
            <w:tcBorders>
              <w:top w:val="nil"/>
              <w:left w:val="nil"/>
              <w:bottom w:val="nil"/>
              <w:right w:val="nil"/>
            </w:tcBorders>
            <w:shd w:val="clear" w:color="auto" w:fill="auto"/>
            <w:noWrap/>
            <w:vAlign w:val="bottom"/>
          </w:tcPr>
          <w:p w14:paraId="62C5472B" w14:textId="50928D0A"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(0.668)</w:t>
            </w:r>
          </w:p>
        </w:tc>
        <w:tc>
          <w:tcPr>
            <w:tcW w:w="1440" w:type="dxa"/>
            <w:tcBorders>
              <w:top w:val="nil"/>
              <w:left w:val="nil"/>
              <w:bottom w:val="nil"/>
              <w:right w:val="nil"/>
            </w:tcBorders>
            <w:shd w:val="clear" w:color="auto" w:fill="auto"/>
            <w:noWrap/>
            <w:vAlign w:val="bottom"/>
          </w:tcPr>
          <w:p w14:paraId="45483A80" w14:textId="37872B35"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(0.673)</w:t>
            </w:r>
          </w:p>
        </w:tc>
        <w:tc>
          <w:tcPr>
            <w:tcW w:w="1530" w:type="dxa"/>
            <w:tcBorders>
              <w:top w:val="nil"/>
              <w:left w:val="nil"/>
              <w:bottom w:val="nil"/>
              <w:right w:val="nil"/>
            </w:tcBorders>
            <w:shd w:val="clear" w:color="auto" w:fill="auto"/>
            <w:noWrap/>
            <w:vAlign w:val="bottom"/>
          </w:tcPr>
          <w:p w14:paraId="7EF92054" w14:textId="0229BAAD"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(1.481)</w:t>
            </w:r>
          </w:p>
        </w:tc>
      </w:tr>
      <w:tr w:rsidR="0054575F" w:rsidRPr="009164C3" w14:paraId="0E65D64B"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4A08E32C" w14:textId="7215BBFA" w:rsidR="0054575F" w:rsidRPr="0054575F" w:rsidRDefault="0054575F" w:rsidP="0003571A">
            <w:pPr>
              <w:spacing w:after="0" w:line="240" w:lineRule="auto"/>
              <w:rPr>
                <w:rFonts w:ascii="Calibri" w:eastAsia="Times New Roman" w:hAnsi="Calibri" w:cs="Times New Roman"/>
                <w:color w:val="000000"/>
                <w:sz w:val="24"/>
                <w:szCs w:val="24"/>
              </w:rPr>
            </w:pPr>
            <w:r>
              <w:rPr>
                <w:rFonts w:ascii="Calibri" w:hAnsi="Calibri"/>
                <w:color w:val="000000"/>
              </w:rPr>
              <w:t>Observations</w:t>
            </w:r>
          </w:p>
        </w:tc>
        <w:tc>
          <w:tcPr>
            <w:tcW w:w="1440" w:type="dxa"/>
            <w:tcBorders>
              <w:top w:val="nil"/>
              <w:left w:val="nil"/>
              <w:bottom w:val="nil"/>
              <w:right w:val="nil"/>
            </w:tcBorders>
            <w:shd w:val="clear" w:color="auto" w:fill="auto"/>
            <w:noWrap/>
            <w:vAlign w:val="bottom"/>
          </w:tcPr>
          <w:p w14:paraId="51FFEAEC" w14:textId="46D958AF"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710" w:type="dxa"/>
            <w:tcBorders>
              <w:top w:val="nil"/>
              <w:left w:val="nil"/>
              <w:bottom w:val="nil"/>
              <w:right w:val="nil"/>
            </w:tcBorders>
            <w:shd w:val="clear" w:color="auto" w:fill="auto"/>
            <w:noWrap/>
            <w:vAlign w:val="bottom"/>
          </w:tcPr>
          <w:p w14:paraId="61E434B4" w14:textId="1B2C1CF3"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134</w:t>
            </w:r>
          </w:p>
        </w:tc>
        <w:tc>
          <w:tcPr>
            <w:tcW w:w="1440" w:type="dxa"/>
            <w:tcBorders>
              <w:top w:val="nil"/>
              <w:left w:val="nil"/>
              <w:bottom w:val="nil"/>
              <w:right w:val="nil"/>
            </w:tcBorders>
            <w:shd w:val="clear" w:color="auto" w:fill="auto"/>
            <w:noWrap/>
            <w:vAlign w:val="bottom"/>
          </w:tcPr>
          <w:p w14:paraId="0AC6B67C" w14:textId="065F54EC"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530" w:type="dxa"/>
            <w:tcBorders>
              <w:top w:val="nil"/>
              <w:left w:val="nil"/>
              <w:bottom w:val="nil"/>
              <w:right w:val="nil"/>
            </w:tcBorders>
            <w:shd w:val="clear" w:color="auto" w:fill="auto"/>
            <w:noWrap/>
            <w:vAlign w:val="bottom"/>
          </w:tcPr>
          <w:p w14:paraId="04536567" w14:textId="12498F85"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r>
      <w:tr w:rsidR="0054575F" w:rsidRPr="009164C3" w14:paraId="0A44A62C"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68DF2E78" w14:textId="77777777" w:rsidR="0054575F" w:rsidRPr="009164C3"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06A7D4" w14:textId="77777777" w:rsidR="0054575F" w:rsidRPr="000C2901" w:rsidRDefault="0054575F" w:rsidP="0003571A">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B6161FA" w14:textId="77777777" w:rsidR="0054575F" w:rsidRPr="000C2901" w:rsidRDefault="0054575F" w:rsidP="0003571A">
            <w:pPr>
              <w:spacing w:after="0" w:line="240" w:lineRule="auto"/>
              <w:jc w:val="center"/>
              <w:rPr>
                <w:rFonts w:ascii="Calibri" w:hAnsi="Calibri"/>
                <w:color w:val="000000"/>
                <w:sz w:val="24"/>
                <w:szCs w:val="24"/>
              </w:rPr>
            </w:pPr>
          </w:p>
        </w:tc>
        <w:tc>
          <w:tcPr>
            <w:tcW w:w="1440" w:type="dxa"/>
            <w:tcBorders>
              <w:top w:val="nil"/>
              <w:left w:val="nil"/>
              <w:bottom w:val="nil"/>
              <w:right w:val="nil"/>
            </w:tcBorders>
            <w:shd w:val="clear" w:color="auto" w:fill="auto"/>
            <w:noWrap/>
            <w:vAlign w:val="bottom"/>
          </w:tcPr>
          <w:p w14:paraId="61F8BE96" w14:textId="77777777" w:rsidR="0054575F" w:rsidRPr="000C2901" w:rsidRDefault="0054575F" w:rsidP="0003571A">
            <w:pPr>
              <w:spacing w:after="0" w:line="240" w:lineRule="auto"/>
              <w:jc w:val="center"/>
              <w:rPr>
                <w:rFonts w:ascii="Calibri" w:hAnsi="Calibri"/>
                <w:color w:val="000000"/>
                <w:sz w:val="24"/>
                <w:szCs w:val="24"/>
              </w:rPr>
            </w:pPr>
          </w:p>
        </w:tc>
        <w:tc>
          <w:tcPr>
            <w:tcW w:w="1530" w:type="dxa"/>
            <w:tcBorders>
              <w:top w:val="nil"/>
              <w:left w:val="nil"/>
              <w:bottom w:val="nil"/>
              <w:right w:val="nil"/>
            </w:tcBorders>
            <w:shd w:val="clear" w:color="auto" w:fill="auto"/>
            <w:noWrap/>
            <w:vAlign w:val="bottom"/>
          </w:tcPr>
          <w:p w14:paraId="1EB4699E" w14:textId="77777777" w:rsidR="0054575F" w:rsidRPr="000C2901" w:rsidRDefault="0054575F" w:rsidP="0003571A">
            <w:pPr>
              <w:spacing w:after="0" w:line="240" w:lineRule="auto"/>
              <w:jc w:val="center"/>
              <w:rPr>
                <w:rFonts w:ascii="Calibri" w:hAnsi="Calibri"/>
                <w:color w:val="000000"/>
                <w:sz w:val="24"/>
                <w:szCs w:val="24"/>
              </w:rPr>
            </w:pPr>
          </w:p>
        </w:tc>
      </w:tr>
    </w:tbl>
    <w:p w14:paraId="39943A58" w14:textId="3FFDC903" w:rsidR="0042142F" w:rsidRPr="00346C53" w:rsidRDefault="00F068D1" w:rsidP="00346C53">
      <w:pPr>
        <w:spacing w:after="0"/>
        <w:rPr>
          <w:sz w:val="8"/>
          <w:szCs w:val="8"/>
        </w:rPr>
      </w:pPr>
      <w:r>
        <w:t xml:space="preserve"> </w:t>
      </w:r>
      <w:r w:rsidR="00A84A29">
        <w:t>t-statistic significant at:  * 10 % level  ** 5 % level  *** 1% level</w:t>
      </w:r>
      <w:r w:rsidR="003656F3">
        <w:t xml:space="preserve"> .    (Newey-West standard errors.)</w:t>
      </w:r>
      <w:r w:rsidR="00346C53" w:rsidRPr="00346C53">
        <w:rPr>
          <w:sz w:val="8"/>
          <w:szCs w:val="8"/>
        </w:rPr>
        <w:br/>
      </w:r>
    </w:p>
    <w:p w14:paraId="22218407" w14:textId="0615468B" w:rsidR="009F6ABD" w:rsidRPr="00346C53" w:rsidRDefault="009F6ABD" w:rsidP="007340F5">
      <w:pPr>
        <w:spacing w:after="0"/>
        <w:rPr>
          <w:sz w:val="8"/>
          <w:szCs w:val="8"/>
        </w:rPr>
      </w:pPr>
      <w:r>
        <w:t xml:space="preserve">Intervention is measured in </w:t>
      </w:r>
      <w:r w:rsidR="003656F3">
        <w:t xml:space="preserve">$ </w:t>
      </w:r>
      <w:r>
        <w:t xml:space="preserve">billions.  Exchange rates </w:t>
      </w: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t xml:space="preserve"> are in logs.</w:t>
      </w:r>
      <w:r w:rsidR="0003571A">
        <w:t xml:space="preserve"> </w:t>
      </w:r>
      <w:r w:rsidR="00346C53" w:rsidRPr="00346C53">
        <w:rPr>
          <w:sz w:val="8"/>
          <w:szCs w:val="8"/>
        </w:rPr>
        <w:br/>
      </w:r>
    </w:p>
    <w:p w14:paraId="3A2231C5" w14:textId="7DE3A806" w:rsidR="00AB766C" w:rsidRPr="009963CF" w:rsidRDefault="0042142F" w:rsidP="00346C53">
      <w:pPr>
        <w:spacing w:after="0" w:line="240" w:lineRule="auto"/>
        <w:rPr>
          <w:rFonts w:eastAsia="Times New Roman" w:cs="Times New Roman"/>
          <w:color w:val="000000"/>
        </w:rPr>
      </w:pPr>
      <w:r w:rsidRPr="004D196F">
        <w:t>Note:   A more complete set of r</w:t>
      </w:r>
      <w:r w:rsidR="00495D8F">
        <w:t>esults is reported in an on-</w:t>
      </w:r>
      <w:r w:rsidR="00495D8F" w:rsidRPr="00495D8F">
        <w:t>line</w:t>
      </w:r>
      <w:r w:rsidR="00495D8F" w:rsidRPr="00495D8F">
        <w:rPr>
          <w:rFonts w:cs="Helvetica"/>
          <w:color w:val="1E1E1E"/>
          <w:shd w:val="clear" w:color="auto" w:fill="FFFFFF"/>
        </w:rPr>
        <w:t> </w:t>
      </w:r>
      <w:hyperlink r:id="rId15" w:history="1">
        <w:r w:rsidR="00495D8F" w:rsidRPr="00495D8F">
          <w:rPr>
            <w:rStyle w:val="Hyperlink"/>
            <w:rFonts w:cs="Helvetica"/>
            <w:color w:val="215990"/>
            <w:shd w:val="clear" w:color="auto" w:fill="FFFFFF"/>
          </w:rPr>
          <w:t>Turkey Appendix</w:t>
        </w:r>
      </w:hyperlink>
      <w:r w:rsidR="00495D8F" w:rsidRPr="00495D8F">
        <w:rPr>
          <w:rStyle w:val="apple-converted-space"/>
          <w:rFonts w:cs="Helvetica"/>
          <w:color w:val="1E1E1E"/>
          <w:shd w:val="clear" w:color="auto" w:fill="FFFFFF"/>
        </w:rPr>
        <w:t>.</w:t>
      </w:r>
      <w:r w:rsidR="00764DDE">
        <w:t xml:space="preserve"> </w:t>
      </w:r>
      <w:r w:rsidR="00495D8F">
        <w:t xml:space="preserve">  </w:t>
      </w:r>
      <w:r w:rsidRPr="004D196F">
        <w:t xml:space="preserve">It includes, for example, tests for evidence that foreign exchange intervention is influenced by inflation relative to an inflation target.  It also allows for three structural breaks, with the dates taken from Frömmel and Midiliç (2016): </w:t>
      </w:r>
      <w:r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BD37CD">
        <w:rPr>
          <w:rFonts w:eastAsia="Times New Roman" w:cs="Times New Roman"/>
          <w:color w:val="000000"/>
        </w:rPr>
        <w:t xml:space="preserve"> Thanks to Shruti Lakhtakia.</w:t>
      </w:r>
      <w:r w:rsidR="004D196F" w:rsidRPr="004D196F">
        <w:rPr>
          <w:rFonts w:eastAsia="Times New Roman" w:cs="Times New Roman"/>
          <w:color w:val="000000"/>
        </w:rPr>
        <w:t xml:space="preserve">  </w:t>
      </w:r>
    </w:p>
    <w:p w14:paraId="34E2ABFD" w14:textId="655F177C" w:rsidR="002B195B" w:rsidRPr="0001681A" w:rsidRDefault="00D173F6" w:rsidP="0001681A">
      <w:pPr>
        <w:ind w:firstLine="720"/>
        <w:rPr>
          <w:sz w:val="24"/>
          <w:szCs w:val="24"/>
        </w:rPr>
      </w:pPr>
      <w:r w:rsidRPr="00D173F6">
        <w:rPr>
          <w:sz w:val="24"/>
          <w:szCs w:val="24"/>
        </w:rPr>
        <w:lastRenderedPageBreak/>
        <w:t>To conclude, we get somewhat different answers when we use intervention data to investigate the reaction function of the Central Bank of the Republic of Turkey from the answers when we use data on reserve changes.   But in both cases we find evidence of a systematic effort to dampen volatility of the exchange rate.</w:t>
      </w:r>
    </w:p>
    <w:p w14:paraId="76ECE5BE" w14:textId="77777777" w:rsidR="00FE6187" w:rsidRDefault="00FE6187" w:rsidP="000E7009">
      <w:pPr>
        <w:pStyle w:val="ListParagraph"/>
        <w:ind w:left="1440"/>
        <w:rPr>
          <w:sz w:val="24"/>
          <w:szCs w:val="24"/>
        </w:rPr>
      </w:pPr>
    </w:p>
    <w:p w14:paraId="4CABBC4F" w14:textId="77777777" w:rsidR="002F3E63" w:rsidRDefault="002F3E63" w:rsidP="000E7009">
      <w:pPr>
        <w:pStyle w:val="ListParagraph"/>
        <w:ind w:left="1440"/>
        <w:rPr>
          <w:sz w:val="24"/>
          <w:szCs w:val="24"/>
        </w:rPr>
      </w:pPr>
    </w:p>
    <w:p w14:paraId="736411E4" w14:textId="77777777" w:rsidR="002F3E63" w:rsidRPr="003C0865" w:rsidRDefault="002F3E63"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01681A">
      <w:pPr>
        <w:spacing w:line="240" w:lineRule="auto"/>
        <w:ind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77777777" w:rsidR="009B3044" w:rsidRPr="00FE6187" w:rsidRDefault="009B3044" w:rsidP="0001681A">
      <w:pPr>
        <w:spacing w:line="240" w:lineRule="auto"/>
        <w:ind w:firstLine="360"/>
        <w:jc w:val="both"/>
      </w:pPr>
      <w:r w:rsidRPr="009B3044">
        <w:rPr>
          <w:sz w:val="24"/>
          <w:szCs w:val="24"/>
        </w:rPr>
        <w:t>Of course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29"/>
      </w:r>
      <w:r w:rsidRPr="009B3044">
        <w:rPr>
          <w:sz w:val="24"/>
          <w:szCs w:val="24"/>
        </w:rPr>
        <w:t xml:space="preserve">   </w:t>
      </w:r>
    </w:p>
    <w:p w14:paraId="24A607DD" w14:textId="6FC80D3B" w:rsidR="0005364A" w:rsidRDefault="00025B10" w:rsidP="0001681A">
      <w:pPr>
        <w:ind w:firstLine="360"/>
        <w:rPr>
          <w:sz w:val="24"/>
          <w:szCs w:val="24"/>
        </w:rPr>
      </w:pPr>
      <w:r>
        <w:rPr>
          <w:sz w:val="24"/>
          <w:szCs w:val="24"/>
        </w:rPr>
        <w:t>A number of recent papers look</w:t>
      </w:r>
      <w:r w:rsidR="009B3044" w:rsidRPr="009B3044">
        <w:rPr>
          <w:sz w:val="24"/>
          <w:szCs w:val="24"/>
        </w:rPr>
        <w:t xml:space="preserve"> at capital inflows to emerging markets, often gross capital inflows, and study the response of the local monetary authorities, including with respect to exchange rate flexibility.</w:t>
      </w:r>
      <w:r w:rsidR="009B3044">
        <w:rPr>
          <w:rStyle w:val="FootnoteReference"/>
          <w:sz w:val="24"/>
          <w:szCs w:val="24"/>
        </w:rPr>
        <w:footnoteReference w:id="30"/>
      </w:r>
      <w:r w:rsidR="009B3044" w:rsidRPr="009B3044">
        <w:rPr>
          <w:sz w:val="24"/>
          <w:szCs w:val="24"/>
        </w:rPr>
        <w:t xml:space="preserve">  We focus on the overall balance of payments inst</w:t>
      </w:r>
      <w:r w:rsidR="0005364A">
        <w:rPr>
          <w:sz w:val="24"/>
          <w:szCs w:val="24"/>
        </w:rPr>
        <w:t xml:space="preserve">ead of gross capital inflows. </w:t>
      </w:r>
      <w:r w:rsidR="009B3044" w:rsidRPr="009B3044">
        <w:rPr>
          <w:sz w:val="24"/>
          <w:szCs w:val="24"/>
        </w:rPr>
        <w:t xml:space="preserve">For one thing, the distinction between an increase in foreign assets in the domestic country and a decrease in foreign liabilities can be arbitrary, not just in an accounting sense but even conceptually, especially when it comes to banking flows.   </w:t>
      </w:r>
    </w:p>
    <w:p w14:paraId="10885F50" w14:textId="77777777" w:rsidR="009B3044" w:rsidRPr="009B3044" w:rsidRDefault="009B3044" w:rsidP="0001681A">
      <w:pPr>
        <w:ind w:firstLine="360"/>
        <w:rPr>
          <w:sz w:val="24"/>
          <w:szCs w:val="24"/>
        </w:rPr>
      </w:pPr>
      <w:r w:rsidRPr="009B3044">
        <w:rPr>
          <w:sz w:val="24"/>
          <w:szCs w:val="24"/>
        </w:rPr>
        <w:t>The only way to solve the endogeneity problem is to use a truly 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operate to shut off the inflow.   If one has such an exogenous variable, there is a strong case for putting it directly on the right-hand side of an OLS equation.   This is especially clear when the country is a pure floater, as Australia and New Zealand in our sample, in which case the comprehensive aggregate measure of inflows, i.e., the balance of payments, should be zero by definition of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lastRenderedPageBreak/>
        <w:t xml:space="preserve"> Effects on the real exchange rate</w:t>
      </w:r>
    </w:p>
    <w:p w14:paraId="3A2B0A4E" w14:textId="77777777" w:rsidR="009B3044" w:rsidRPr="009B3044" w:rsidRDefault="009B3044" w:rsidP="009B3044">
      <w:pPr>
        <w:ind w:left="360" w:firstLine="360"/>
        <w:rPr>
          <w:sz w:val="24"/>
          <w:szCs w:val="24"/>
        </w:rPr>
      </w:pPr>
      <w:r w:rsidRPr="009B3044">
        <w:rPr>
          <w:sz w:val="24"/>
          <w:szCs w:val="24"/>
        </w:rPr>
        <w:t>The core exercise of the paper is to test the effects of exogenous external shocks on the real exchange rate, using time series for a select set of countries, and then to see if the sensitivity to shocks is different according to the country’s exchange rate regime.  The null hypothesis is that the regime makes no difference: that a shock will have the same effect on the real exchange rate regardless whether the nominal exchange rate is fixed, in which case it must show up in the price level, or floating, in which case it shows up directly in the nominal exchange rate.   The alternative hypothesis is that shocks have a bigger effect on the real exchange rate under floating than under managed floating and a bigger effect under managed floating than under fixing.</w:t>
      </w:r>
    </w:p>
    <w:p w14:paraId="20371972" w14:textId="60B80DFC" w:rsidR="00957B8F" w:rsidRDefault="009B3044" w:rsidP="009B3044">
      <w:pPr>
        <w:ind w:left="360" w:firstLine="360"/>
        <w:rPr>
          <w:sz w:val="24"/>
          <w:szCs w:val="24"/>
        </w:rPr>
      </w:pPr>
      <w:r w:rsidRPr="009B3044">
        <w:rPr>
          <w:sz w:val="24"/>
          <w:szCs w:val="24"/>
        </w:rPr>
        <w:t>It is crucial for this exercise not just that the measured shocks are truly and credibly exogenous on their face.  We focus on two measures:  dollar commodity prices and the VIX.</w:t>
      </w:r>
      <w:r>
        <w:rPr>
          <w:rStyle w:val="FootnoteReference"/>
          <w:sz w:val="24"/>
          <w:szCs w:val="24"/>
        </w:rPr>
        <w:footnoteReference w:id="31"/>
      </w:r>
      <w:r w:rsidRPr="009B3044">
        <w:rPr>
          <w:sz w:val="24"/>
          <w:szCs w:val="24"/>
        </w:rPr>
        <w:t xml:space="preserve"> </w:t>
      </w:r>
      <w:r w:rsidR="00957B8F">
        <w:rPr>
          <w:sz w:val="24"/>
          <w:szCs w:val="24"/>
        </w:rPr>
        <w:t xml:space="preserve">  The VIX is a measure of market perceptions of near-term volatility extracted from put and call options on the US S&amp;P 200 stock index and traded on the Chicago Board of Exchange.</w:t>
      </w:r>
    </w:p>
    <w:p w14:paraId="7CD7EC59" w14:textId="314441D6"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(energy, mineral or agricultural).   For some, particularly oil exporters, that is a single commodity; for others it is several commodities.  We construct a tailor-made monthly price index for each country by computing weights as the average </w:t>
      </w:r>
      <w:r w:rsidR="00025B10">
        <w:rPr>
          <w:sz w:val="24"/>
          <w:szCs w:val="24"/>
        </w:rPr>
        <w:t>commodity</w:t>
      </w:r>
      <w:r w:rsidRPr="009B3044">
        <w:rPr>
          <w:sz w:val="24"/>
          <w:szCs w:val="24"/>
        </w:rPr>
        <w:t xml:space="preserve"> shares </w:t>
      </w:r>
      <w:r w:rsidR="00025B10">
        <w:rPr>
          <w:sz w:val="24"/>
          <w:szCs w:val="24"/>
        </w:rPr>
        <w:t xml:space="preserve">in exports </w:t>
      </w:r>
      <w:r w:rsidRPr="009B3044">
        <w:rPr>
          <w:sz w:val="24"/>
          <w:szCs w:val="24"/>
        </w:rPr>
        <w:t xml:space="preserve">during the sample period and then multiplying them by monthly dollar prices of the corresponding commodities.  (The </w:t>
      </w:r>
      <w:hyperlink r:id="rId16" w:history="1">
        <w:r w:rsidRPr="009B3044">
          <w:rPr>
            <w:rStyle w:val="Hyperlink"/>
            <w:rFonts w:ascii="Arial" w:hAnsi="Arial" w:cs="Arial"/>
            <w:color w:val="215990"/>
            <w:sz w:val="21"/>
            <w:szCs w:val="21"/>
            <w:shd w:val="clear" w:color="auto" w:fill="FFFFFF"/>
          </w:rPr>
          <w:t>data appendix</w:t>
        </w:r>
      </w:hyperlink>
      <w:r w:rsidRPr="009B3044">
        <w:rPr>
          <w:rStyle w:val="apple-converted-space"/>
          <w:rFonts w:ascii="Arial" w:hAnsi="Arial" w:cs="Arial"/>
          <w:color w:val="1E1E1E"/>
          <w:sz w:val="21"/>
          <w:szCs w:val="21"/>
          <w:shd w:val="clear" w:color="auto" w:fill="FFFFFF"/>
        </w:rPr>
        <w:t> </w:t>
      </w:r>
      <w:r w:rsidRPr="009B3044">
        <w:rPr>
          <w:sz w:val="24"/>
          <w:szCs w:val="24"/>
        </w:rPr>
        <w:t>gives details.)</w:t>
      </w:r>
    </w:p>
    <w:p w14:paraId="02930C8B" w14:textId="2F9CDB03" w:rsidR="009B3044" w:rsidRDefault="009B3044" w:rsidP="009B3044">
      <w:pPr>
        <w:ind w:left="360" w:firstLine="360"/>
        <w:rPr>
          <w:sz w:val="24"/>
          <w:szCs w:val="24"/>
        </w:rPr>
      </w:pPr>
      <w:r w:rsidRPr="009B3044">
        <w:rPr>
          <w:sz w:val="24"/>
          <w:szCs w:val="24"/>
        </w:rPr>
        <w:t>We do not want to attempt a comprehensive study of all countries.</w:t>
      </w:r>
      <w:r>
        <w:rPr>
          <w:rStyle w:val="FootnoteReference"/>
          <w:sz w:val="24"/>
          <w:szCs w:val="24"/>
        </w:rPr>
        <w:footnoteReference w:id="32"/>
      </w:r>
      <w:r w:rsidRPr="009B3044">
        <w:rPr>
          <w:sz w:val="24"/>
          <w:szCs w:val="24"/>
        </w:rPr>
        <w:t xml:space="preserve">  For one thing, we seek only those with compelling measures of exogenous external shocks [to be used either as instrumental variables or directly as independent variables In the real exchange rate regressions].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w:t>
      </w:r>
      <w:r w:rsidR="00E35D03">
        <w:rPr>
          <w:sz w:val="24"/>
          <w:szCs w:val="24"/>
        </w:rPr>
        <w:t xml:space="preserve">simple </w:t>
      </w:r>
      <w:r w:rsidR="0005364A">
        <w:rPr>
          <w:sz w:val="24"/>
          <w:szCs w:val="24"/>
        </w:rPr>
        <w:t>evidence of the</w:t>
      </w:r>
      <w:r w:rsidRPr="009B3044">
        <w:rPr>
          <w:sz w:val="24"/>
          <w:szCs w:val="24"/>
        </w:rPr>
        <w:t xml:space="preserve"> share of the commodities in the countries’ output, a number of empirical </w:t>
      </w:r>
      <w:r w:rsidRPr="009B3044">
        <w:rPr>
          <w:sz w:val="24"/>
          <w:szCs w:val="24"/>
        </w:rPr>
        <w:lastRenderedPageBreak/>
        <w:t>papers have confirmed that when the currencies of commodity-producing countries are allowed to float, they tend to rise and fall with the global prices of the commodities.</w:t>
      </w:r>
      <w:r>
        <w:rPr>
          <w:rStyle w:val="FootnoteReference"/>
          <w:sz w:val="24"/>
          <w:szCs w:val="24"/>
        </w:rPr>
        <w:footnoteReference w:id="33"/>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t>A number of other studies have found that countries that export volatile-price commodities perform better with floating or managed floating exchange rates than with fixed rates,</w:t>
      </w:r>
      <w:r>
        <w:rPr>
          <w:rStyle w:val="FootnoteReference"/>
          <w:sz w:val="24"/>
          <w:szCs w:val="24"/>
        </w:rPr>
        <w:footnoteReference w:id="34"/>
      </w:r>
      <w:r w:rsidRPr="009B3044">
        <w:rPr>
          <w:sz w:val="24"/>
          <w:szCs w:val="24"/>
        </w:rPr>
        <w:t xml:space="preserve"> which leads us to anticipate that the exchange rate regime will indeed make a difference.</w:t>
      </w:r>
    </w:p>
    <w:p w14:paraId="7B36080F" w14:textId="77777777"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Asia, but have been </w:t>
      </w:r>
      <w:r w:rsidR="003B3258" w:rsidRPr="003B3258">
        <w:rPr>
          <w:sz w:val="24"/>
          <w:szCs w:val="24"/>
        </w:rPr>
        <w:t>somewhat</w:t>
      </w:r>
      <w:r w:rsidR="009B3044" w:rsidRPr="003B3258">
        <w:rPr>
          <w:sz w:val="24"/>
          <w:szCs w:val="24"/>
        </w:rPr>
        <w:t xml:space="preserve"> displaced by manufactures in most of the region.)  For them we can use the VIX.</w:t>
      </w:r>
      <w:r w:rsidR="009B3044" w:rsidRPr="003B3258">
        <w:rPr>
          <w:rStyle w:val="FootnoteReference"/>
          <w:sz w:val="24"/>
          <w:szCs w:val="24"/>
        </w:rPr>
        <w:t xml:space="preserve"> </w:t>
      </w:r>
      <w:r w:rsidR="009B3044" w:rsidRPr="003B3258">
        <w:rPr>
          <w:sz w:val="24"/>
          <w:szCs w:val="24"/>
        </w:rPr>
        <w:t xml:space="preserve">  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5"/>
      </w:r>
    </w:p>
    <w:p w14:paraId="62E010F2" w14:textId="77777777" w:rsid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ery few fall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Ilzetzki, Reinhart and Rogoff (2017).  We deliberately drop those countries that change regimes every couple of years or have no clear regime at all, such as the free-fallers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want to omit those that intervene irre</w:t>
      </w:r>
      <w:r w:rsidR="000C2D14">
        <w:rPr>
          <w:sz w:val="24"/>
          <w:szCs w:val="24"/>
        </w:rPr>
        <w:t xml:space="preserve">gularly and unsystematically.  </w:t>
      </w:r>
      <w:r w:rsidRPr="009B3044">
        <w:rPr>
          <w:b/>
          <w:sz w:val="24"/>
          <w:szCs w:val="24"/>
        </w:rPr>
        <w:br/>
      </w:r>
    </w:p>
    <w:p w14:paraId="610F46F2" w14:textId="77777777" w:rsidR="002F3E63" w:rsidRPr="009B3044" w:rsidRDefault="002F3E63" w:rsidP="000C2D14">
      <w:pPr>
        <w:ind w:left="360" w:firstLine="360"/>
        <w:rPr>
          <w:sz w:val="24"/>
          <w:szCs w:val="24"/>
        </w:rPr>
      </w:pPr>
    </w:p>
    <w:p w14:paraId="48F70A86" w14:textId="77777777" w:rsidR="009B3044" w:rsidRPr="009B3044" w:rsidRDefault="009B3044" w:rsidP="009B3044">
      <w:pPr>
        <w:pStyle w:val="ListParagraph"/>
        <w:numPr>
          <w:ilvl w:val="1"/>
          <w:numId w:val="1"/>
        </w:numPr>
        <w:rPr>
          <w:b/>
          <w:sz w:val="24"/>
          <w:szCs w:val="24"/>
        </w:rPr>
      </w:pPr>
      <w:r>
        <w:rPr>
          <w:b/>
          <w:sz w:val="24"/>
          <w:szCs w:val="24"/>
        </w:rPr>
        <w:lastRenderedPageBreak/>
        <w:t xml:space="preserve"> Estimates for some Asian countries</w:t>
      </w:r>
    </w:p>
    <w:p w14:paraId="485BA520" w14:textId="4007F5F1" w:rsidR="009B3044" w:rsidRDefault="009B3044" w:rsidP="009B3044">
      <w:pPr>
        <w:ind w:firstLine="720"/>
        <w:rPr>
          <w:sz w:val="24"/>
          <w:szCs w:val="24"/>
        </w:rPr>
      </w:pPr>
      <w:r>
        <w:rPr>
          <w:sz w:val="24"/>
          <w:szCs w:val="24"/>
        </w:rPr>
        <w:t xml:space="preserve">We start with a set of eight Asian economies that are not </w:t>
      </w:r>
      <w:r w:rsidR="00E35D03">
        <w:rPr>
          <w:sz w:val="24"/>
          <w:szCs w:val="24"/>
        </w:rPr>
        <w:t xml:space="preserve">primarily commodity- exporters for the period </w:t>
      </w:r>
      <w:r>
        <w:rPr>
          <w:sz w:val="24"/>
          <w:szCs w:val="24"/>
        </w:rPr>
        <w:t xml:space="preserve">January 1997-December 2015.  Regression results are reported in Appendix A.   A </w:t>
      </w:r>
      <w:r w:rsidR="00E35D03">
        <w:rPr>
          <w:sz w:val="24"/>
          <w:szCs w:val="24"/>
        </w:rPr>
        <w:t xml:space="preserve">few </w:t>
      </w:r>
      <w:r>
        <w:rPr>
          <w:sz w:val="24"/>
          <w:szCs w:val="24"/>
        </w:rPr>
        <w:t xml:space="preserve">Asia/Pacific countries that </w:t>
      </w:r>
      <w:r w:rsidRPr="006C43DA">
        <w:rPr>
          <w:i/>
          <w:sz w:val="24"/>
          <w:szCs w:val="24"/>
        </w:rPr>
        <w:t>are</w:t>
      </w:r>
      <w:r>
        <w:rPr>
          <w:sz w:val="24"/>
          <w:szCs w:val="24"/>
        </w:rPr>
        <w:t xml:space="preserve"> commodity producers will be considered below, 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a number of firm fixers.</w:t>
      </w:r>
    </w:p>
    <w:p w14:paraId="7EDA8C6C" w14:textId="6781AA7A"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6"/>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w:t>
      </w:r>
      <w:r w:rsidR="00E35D03">
        <w:rPr>
          <w:sz w:val="24"/>
          <w:szCs w:val="24"/>
        </w:rPr>
        <w:t xml:space="preserve">can be </w:t>
      </w:r>
      <w:r>
        <w:rPr>
          <w:sz w:val="24"/>
          <w:szCs w:val="24"/>
        </w:rPr>
        <w:t xml:space="preserve">classified as </w:t>
      </w:r>
      <w:r w:rsidR="00E35D03">
        <w:rPr>
          <w:sz w:val="24"/>
          <w:szCs w:val="24"/>
        </w:rPr>
        <w:t xml:space="preserve">systematic </w:t>
      </w:r>
      <w:r>
        <w:rPr>
          <w:sz w:val="24"/>
          <w:szCs w:val="24"/>
        </w:rPr>
        <w:t>manage</w:t>
      </w:r>
      <w:r w:rsidR="00E35D03">
        <w:rPr>
          <w:sz w:val="24"/>
          <w:szCs w:val="24"/>
        </w:rPr>
        <w:t>d floaters</w:t>
      </w:r>
      <w:r>
        <w:rPr>
          <w:sz w:val="24"/>
          <w:szCs w:val="24"/>
        </w:rPr>
        <w:t xml:space="preserve">: India, Korea, Malaysia, Philippines, Singapore, Thailand and Turkey.  (The strongest effects are shown for Korea, followed by the Philippines, Thailand and Turkey.)   </w:t>
      </w:r>
    </w:p>
    <w:p w14:paraId="2149F63C" w14:textId="77777777"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Finding zero effect on the </w:t>
      </w:r>
      <w:r w:rsidRPr="005C6AF9">
        <w:rPr>
          <w:i/>
          <w:sz w:val="24"/>
          <w:szCs w:val="24"/>
        </w:rPr>
        <w:t>real</w:t>
      </w:r>
      <w:r w:rsidR="005C6AF9">
        <w:rPr>
          <w:sz w:val="24"/>
          <w:szCs w:val="24"/>
        </w:rPr>
        <w:t xml:space="preserve"> exchange rate confirm</w:t>
      </w:r>
      <w:r>
        <w:rPr>
          <w:sz w:val="24"/>
          <w:szCs w:val="24"/>
        </w:rPr>
        <w:t>s that regimes do matter for real variables, and that a peg prevents the real depreciation that the seven flexible-rate currencies experience.</w:t>
      </w:r>
    </w:p>
    <w:p w14:paraId="2D781DF6" w14:textId="77777777" w:rsidR="009B3044" w:rsidRPr="009B3044" w:rsidRDefault="009B3044" w:rsidP="009B3044">
      <w:pPr>
        <w:rPr>
          <w:sz w:val="24"/>
          <w:szCs w:val="24"/>
        </w:rPr>
      </w:pPr>
      <w:r>
        <w:rPr>
          <w:sz w:val="24"/>
          <w:szCs w:val="24"/>
        </w:rPr>
        <w:tab/>
        <w:t xml:space="preserve">Table A2 regresses the Real Exchange Rate for the Asian countries against the balance of payments (measured as the change in foreign exchange reserves) as a ratio to GDP (expressed </w:t>
      </w:r>
      <w:r>
        <w:rPr>
          <w:sz w:val="24"/>
          <w:szCs w:val="24"/>
        </w:rPr>
        <w:lastRenderedPageBreak/>
        <w:t>in common currency units).</w:t>
      </w:r>
      <w:r>
        <w:rPr>
          <w:rStyle w:val="FootnoteReference"/>
          <w:sz w:val="24"/>
          <w:szCs w:val="24"/>
        </w:rPr>
        <w:footnoteReference w:id="37"/>
      </w:r>
      <w:r>
        <w:rPr>
          <w:sz w:val="24"/>
          <w:szCs w:val="24"/>
        </w:rPr>
        <w:t xml:space="preserve">  We still think of log (VIX) as the driving exogenous shock, but now it is the instrumental variable for the balance of payments.  The estimated coefficients are now positive in every case, as they should be: a balance of payments surplus (resulting from a fall in the VIX) shows up in part as an appreciation of the local currency.   However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judging by first-stage F-statistics.)</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r>
        <w:rPr>
          <w:sz w:val="24"/>
          <w:szCs w:val="24"/>
        </w:rPr>
        <w:t>Next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77777777" w:rsidR="005C6AF9" w:rsidRDefault="00D173F6" w:rsidP="00D173F6">
      <w:pPr>
        <w:rPr>
          <w:sz w:val="24"/>
          <w:szCs w:val="24"/>
        </w:rPr>
      </w:pPr>
      <w:r>
        <w:rPr>
          <w:sz w:val="24"/>
          <w:szCs w:val="24"/>
        </w:rPr>
        <w:tab/>
        <w:t xml:space="preserve">Table B1 reports the OLS regressions of the real exchange rate against the individual commodity price indices.  The set of 21 includes three pure floaters: Australia, Canada and New Zealand.   All three show highly significant effects on their real exchange rates, confirming their role as “commodity currencies.”   Chile also floated during much of this period, but not all, which may explain why its coefficient is only of borderline significance.   </w:t>
      </w:r>
    </w:p>
    <w:p w14:paraId="24DF245D" w14:textId="1E9BAB88" w:rsidR="005C6AF9" w:rsidRDefault="00D173F6" w:rsidP="005C6AF9">
      <w:pPr>
        <w:ind w:firstLine="720"/>
        <w:rPr>
          <w:sz w:val="24"/>
          <w:szCs w:val="24"/>
        </w:rPr>
      </w:pPr>
      <w:r>
        <w:rPr>
          <w:sz w:val="24"/>
          <w:szCs w:val="24"/>
        </w:rPr>
        <w:t>Of the countries that show no significant effect, four are firm fixers as one would expect:  Ecuador, the UAE, Bahrain and Qatar (all pegged to the dollar).   But South Africa also show</w:t>
      </w:r>
      <w:r w:rsidR="00FE1F7F">
        <w:rPr>
          <w:sz w:val="24"/>
          <w:szCs w:val="24"/>
        </w:rPr>
        <w:t>s</w:t>
      </w:r>
      <w:r>
        <w:rPr>
          <w:sz w:val="24"/>
          <w:szCs w:val="24"/>
        </w:rPr>
        <w:t xml:space="preserve"> no significant effects here even though </w:t>
      </w:r>
      <w:r w:rsidR="00FE1F7F">
        <w:rPr>
          <w:sz w:val="24"/>
          <w:szCs w:val="24"/>
        </w:rPr>
        <w:t xml:space="preserve">it is a systematic </w:t>
      </w:r>
      <w:r>
        <w:rPr>
          <w:sz w:val="24"/>
          <w:szCs w:val="24"/>
        </w:rPr>
        <w:t>managed floaters</w:t>
      </w:r>
      <w:r w:rsidR="00FE1F7F">
        <w:rPr>
          <w:sz w:val="24"/>
          <w:szCs w:val="24"/>
        </w:rPr>
        <w:t xml:space="preserve"> by our criteria</w:t>
      </w:r>
      <w:r>
        <w:rPr>
          <w:sz w:val="24"/>
          <w:szCs w:val="24"/>
        </w:rPr>
        <w:t>, while Brunei and Saudi Arabia show significant effects even though they are firm peggers (to the Singapore dollar and the US dollar, respectively).</w:t>
      </w:r>
      <w:r w:rsidR="00B813D6">
        <w:rPr>
          <w:rStyle w:val="FootnoteReference"/>
          <w:sz w:val="24"/>
          <w:szCs w:val="24"/>
        </w:rPr>
        <w:footnoteReference w:id="38"/>
      </w:r>
      <w:r>
        <w:rPr>
          <w:sz w:val="24"/>
          <w:szCs w:val="24"/>
        </w:rPr>
        <w:t xml:space="preserve"> </w:t>
      </w:r>
    </w:p>
    <w:p w14:paraId="1F82D48F" w14:textId="15B4F068" w:rsidR="00D173F6" w:rsidRDefault="00D173F6" w:rsidP="005C6AF9">
      <w:pPr>
        <w:ind w:firstLine="720"/>
        <w:rPr>
          <w:sz w:val="24"/>
          <w:szCs w:val="24"/>
        </w:rPr>
      </w:pPr>
      <w:r>
        <w:rPr>
          <w:sz w:val="24"/>
          <w:szCs w:val="24"/>
        </w:rPr>
        <w:t>For Indonesia, Papua New Guinea, Kazakhstan, Mongolia, and the rest of the 8 countries with managed floats or other intermediate regimes, the effect of the commodity price is statistically significa</w:t>
      </w:r>
      <w:r w:rsidR="00FE1F7F">
        <w:rPr>
          <w:sz w:val="24"/>
          <w:szCs w:val="24"/>
        </w:rPr>
        <w:t>nt and positive</w:t>
      </w:r>
      <w:r>
        <w:rPr>
          <w:sz w:val="24"/>
          <w:szCs w:val="24"/>
        </w:rPr>
        <w:t>.</w:t>
      </w:r>
    </w:p>
    <w:p w14:paraId="79214471" w14:textId="37E43FED" w:rsidR="00D173F6" w:rsidRDefault="00D173F6" w:rsidP="00D173F6">
      <w:pPr>
        <w:rPr>
          <w:sz w:val="24"/>
          <w:szCs w:val="24"/>
        </w:rPr>
      </w:pPr>
      <w:r>
        <w:rPr>
          <w:sz w:val="24"/>
          <w:szCs w:val="24"/>
        </w:rPr>
        <w:lastRenderedPageBreak/>
        <w:tab/>
        <w:t>Since many of these countries not only export commodities but also participate in international financial markets and thus qualify as emerging markets, Table B2 adds the VIX as an additional regre</w:t>
      </w:r>
      <w:r w:rsidR="00D814C9">
        <w:rPr>
          <w:sz w:val="24"/>
          <w:szCs w:val="24"/>
        </w:rPr>
        <w:t xml:space="preserve">ssor. </w:t>
      </w:r>
      <w:r>
        <w:rPr>
          <w:sz w:val="24"/>
          <w:szCs w:val="24"/>
        </w:rPr>
        <w:t xml:space="preserve"> The results for the commodity price coefficient are similar.  The VIX shows up with a significant RER effect for a few co</w:t>
      </w:r>
      <w:r w:rsidR="00D814C9">
        <w:rPr>
          <w:sz w:val="24"/>
          <w:szCs w:val="24"/>
        </w:rPr>
        <w:t xml:space="preserve">untries, all of them floaters. </w:t>
      </w:r>
      <w:r>
        <w:rPr>
          <w:sz w:val="24"/>
          <w:szCs w:val="24"/>
        </w:rPr>
        <w:t xml:space="preserve"> It is (just) significant for Colombia, one of the commodity-exporting </w:t>
      </w:r>
      <w:r w:rsidR="00FE1F7F">
        <w:rPr>
          <w:sz w:val="24"/>
          <w:szCs w:val="24"/>
        </w:rPr>
        <w:t>intermediate-regime countries</w:t>
      </w:r>
      <w:r>
        <w:rPr>
          <w:sz w:val="24"/>
          <w:szCs w:val="24"/>
        </w:rPr>
        <w:t xml:space="preserve"> that did not show a significant responsiveness of the real exchange rate in Table B1.</w:t>
      </w:r>
    </w:p>
    <w:p w14:paraId="0C4BA2BB" w14:textId="669178C9" w:rsidR="00D173F6" w:rsidRDefault="00D173F6" w:rsidP="00D173F6">
      <w:pPr>
        <w:rPr>
          <w:sz w:val="24"/>
          <w:szCs w:val="24"/>
        </w:rPr>
      </w:pPr>
      <w:r>
        <w:rPr>
          <w:sz w:val="24"/>
          <w:szCs w:val="24"/>
        </w:rPr>
        <w:tab/>
        <w:t xml:space="preserve">Next we consider the regressions of the real exchange rate against the balance </w:t>
      </w:r>
      <w:r w:rsidR="00FE1F7F">
        <w:rPr>
          <w:sz w:val="24"/>
          <w:szCs w:val="24"/>
        </w:rPr>
        <w:t>of payments,</w:t>
      </w:r>
      <w:r>
        <w:rPr>
          <w:sz w:val="24"/>
          <w:szCs w:val="24"/>
        </w:rPr>
        <w:t xml:space="preserve"> with both the country-specific commodity price index and the VIX as instrumental variables.   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39"/>
      </w:r>
      <w:r>
        <w:rPr>
          <w:sz w:val="24"/>
          <w:szCs w:val="24"/>
        </w:rPr>
        <w:t xml:space="preserve">   </w:t>
      </w:r>
    </w:p>
    <w:p w14:paraId="4CAEA731" w14:textId="63ADBE86"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 firm fixers.   The three free floaters (Australia, Canada and New Zealand) have been discarded,</w:t>
      </w:r>
      <w:r w:rsidR="005C6AF9">
        <w:rPr>
          <w:sz w:val="24"/>
          <w:szCs w:val="24"/>
        </w:rPr>
        <w:t xml:space="preserve"> since </w:t>
      </w:r>
      <w:r>
        <w:rPr>
          <w:sz w:val="24"/>
          <w:szCs w:val="24"/>
        </w:rPr>
        <w:t xml:space="preserve">floating implies by definition that the balance of payments is zero.   Five managed floaters </w:t>
      </w:r>
      <w:r w:rsidR="005C6AF9">
        <w:rPr>
          <w:sz w:val="24"/>
          <w:szCs w:val="24"/>
        </w:rPr>
        <w:t>show</w:t>
      </w:r>
      <w:r>
        <w:rPr>
          <w:sz w:val="24"/>
          <w:szCs w:val="24"/>
        </w:rPr>
        <w:t xml:space="preserve"> significant effects on the real exchange rate in these three tables: Brazil, Chile, Colombia, Russia and South Africa.   Two firm fixers show insignificant effects, again as hypothesized: Brunei and Ecuador.</w:t>
      </w:r>
    </w:p>
    <w:p w14:paraId="6350D2AC" w14:textId="40F0B473" w:rsidR="00D173F6" w:rsidRDefault="00D173F6" w:rsidP="00D173F6">
      <w:pPr>
        <w:rPr>
          <w:sz w:val="24"/>
          <w:szCs w:val="24"/>
        </w:rPr>
      </w:pPr>
      <w:r>
        <w:rPr>
          <w:sz w:val="24"/>
          <w:szCs w:val="24"/>
        </w:rPr>
        <w:tab/>
        <w:t>Some show the anomalous result of a significant negative coefficient.</w:t>
      </w:r>
      <w:r w:rsidR="00FE1F7F">
        <w:rPr>
          <w:sz w:val="24"/>
          <w:szCs w:val="24"/>
        </w:rPr>
        <w:t xml:space="preserve"> </w:t>
      </w:r>
      <w:r>
        <w:rPr>
          <w:sz w:val="24"/>
          <w:szCs w:val="24"/>
        </w:rPr>
        <w:t xml:space="preserve"> In the case of a </w:t>
      </w:r>
      <w:r w:rsidR="00FE1F7F">
        <w:rPr>
          <w:sz w:val="24"/>
          <w:szCs w:val="24"/>
        </w:rPr>
        <w:t xml:space="preserve">systematic </w:t>
      </w:r>
      <w:r>
        <w:rPr>
          <w:sz w:val="24"/>
          <w:szCs w:val="24"/>
        </w:rPr>
        <w:t xml:space="preserve">managed floater like Peru, the result is indeed anomalous  </w:t>
      </w:r>
    </w:p>
    <w:p w14:paraId="2EAF0274" w14:textId="1FBD9D9E"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w:t>
      </w:r>
      <w:r w:rsidR="00FE1F7F" w:rsidRPr="00FE1F7F">
        <w:rPr>
          <w:rStyle w:val="FootnoteReference"/>
          <w:sz w:val="24"/>
          <w:szCs w:val="24"/>
        </w:rPr>
        <w:t xml:space="preserve"> </w:t>
      </w:r>
      <w:r w:rsidR="00FE1F7F">
        <w:rPr>
          <w:rStyle w:val="FootnoteReference"/>
          <w:sz w:val="24"/>
          <w:szCs w:val="24"/>
        </w:rPr>
        <w:footnoteReference w:id="40"/>
      </w:r>
      <w:r>
        <w:rPr>
          <w:sz w:val="24"/>
          <w:szCs w:val="24"/>
        </w:rPr>
        <w:t xml:space="preserve">   For these countries, the export commodity basket index consists simply of the dollar price of o</w:t>
      </w:r>
      <w:r w:rsidR="00FE1F7F">
        <w:rPr>
          <w:sz w:val="24"/>
          <w:szCs w:val="24"/>
        </w:rPr>
        <w:t xml:space="preserve">il (or oil and </w:t>
      </w:r>
      <w:r>
        <w:rPr>
          <w:sz w:val="24"/>
          <w:szCs w:val="24"/>
        </w:rPr>
        <w:t xml:space="preserve">natural gas).   Even though oil and gas are priced and invoiced in dollars, the dollar price of oil falls quickly after an appreciation of the dollar against the euro, yen and other major currencies – as one would expect since Europe and Japan are major buyers of oil and gas.  Bahrain, Qatar, the UAE and Saudi Arabia are all pegged specifically to the dollar.  When the dollar appreciates against the euro, yen and other currencies, so do the dinar, dirham, and riyal.   The implication is a negative correlation between the trade-weighted exchange rate, which is the one that goes into the </w:t>
      </w:r>
      <w:r>
        <w:rPr>
          <w:sz w:val="24"/>
          <w:szCs w:val="24"/>
        </w:rPr>
        <w:lastRenderedPageBreak/>
        <w:t>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actually tends to move </w:t>
      </w:r>
      <w:r w:rsidR="00FE1F7F">
        <w:rPr>
          <w:sz w:val="24"/>
          <w:szCs w:val="24"/>
        </w:rPr>
        <w:t xml:space="preserve">in </w:t>
      </w:r>
      <w:r w:rsidR="009D7872">
        <w:rPr>
          <w:sz w:val="24"/>
          <w:szCs w:val="24"/>
        </w:rPr>
        <w:t>the wrong direction.</w:t>
      </w:r>
      <w:r w:rsidRPr="00887F4F">
        <w:rPr>
          <w:rStyle w:val="FootnoteReference"/>
          <w:sz w:val="24"/>
          <w:szCs w:val="24"/>
        </w:rPr>
        <w:t xml:space="preserve"> </w:t>
      </w:r>
      <w:r w:rsidR="009D7872">
        <w:rPr>
          <w:sz w:val="24"/>
          <w:szCs w:val="24"/>
        </w:rPr>
        <w:t>(Th</w:t>
      </w:r>
      <w:r>
        <w:rPr>
          <w:sz w:val="24"/>
          <w:szCs w:val="24"/>
        </w:rPr>
        <w:t>e Gulf countries might be better off pegging to a more sophisticated basket.)</w:t>
      </w:r>
      <w:r w:rsidR="00FE1F7F">
        <w:rPr>
          <w:rStyle w:val="FootnoteReference"/>
          <w:sz w:val="24"/>
          <w:szCs w:val="24"/>
        </w:rPr>
        <w:footnoteReference w:id="41"/>
      </w:r>
    </w:p>
    <w:p w14:paraId="0AFDDA2F" w14:textId="77777777" w:rsidR="00D173F6" w:rsidRPr="00C85C01" w:rsidRDefault="00D173F6" w:rsidP="00C85C01">
      <w:pPr>
        <w:rPr>
          <w:sz w:val="24"/>
          <w:szCs w:val="24"/>
        </w:rPr>
      </w:pPr>
      <w:r>
        <w:rPr>
          <w:sz w:val="24"/>
          <w:szCs w:val="24"/>
        </w:rPr>
        <w:tab/>
        <w:t>Perhaps something like this explanation also applies to Azerbaijan and Kazakhstan, since both are oil exporters.  But these two are neither</w:t>
      </w:r>
      <w:r w:rsidR="00001C12">
        <w:rPr>
          <w:sz w:val="24"/>
          <w:szCs w:val="24"/>
        </w:rPr>
        <w:t xml:space="preserve"> firm fixers nor </w:t>
      </w:r>
      <w:r>
        <w:rPr>
          <w:sz w:val="24"/>
          <w:szCs w:val="24"/>
        </w:rPr>
        <w:t>managed floaters.   Both of them have in recent years repeatedly tried to target their exchange rates and then been forced belat</w:t>
      </w:r>
      <w:r w:rsidR="00001C12">
        <w:rPr>
          <w:sz w:val="24"/>
          <w:szCs w:val="24"/>
        </w:rPr>
        <w:t>edly</w:t>
      </w:r>
      <w:r>
        <w:rPr>
          <w:sz w:val="24"/>
          <w:szCs w:val="24"/>
        </w:rPr>
        <w:t xml:space="preserve"> into large devaluations by </w:t>
      </w:r>
      <w:r w:rsidR="00001C12">
        <w:rPr>
          <w:sz w:val="24"/>
          <w:szCs w:val="24"/>
        </w:rPr>
        <w:t>alarming reserve loss</w:t>
      </w:r>
      <w:r>
        <w:rPr>
          <w:sz w:val="24"/>
          <w:szCs w:val="24"/>
        </w:rPr>
        <w:t>es.  In this paper we are concerned with the three special categories of firm fixers, free floaters and systematically-managed floaters.   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r w:rsidRPr="00A33315">
        <w:rPr>
          <w:sz w:val="24"/>
          <w:szCs w:val="24"/>
        </w:rPr>
        <w:t>A majority of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751C667D" w:rsidR="00A33315" w:rsidRDefault="0093736E" w:rsidP="00A33315">
      <w:pPr>
        <w:ind w:firstLine="720"/>
        <w:rPr>
          <w:sz w:val="24"/>
          <w:szCs w:val="24"/>
        </w:rPr>
      </w:pPr>
      <w:r>
        <w:rPr>
          <w:sz w:val="24"/>
          <w:szCs w:val="24"/>
        </w:rPr>
        <w:t xml:space="preserve">In some theories, shocks will have the same effect on the real exchange rate regardless of regime, showing up in the exchange rate under floating but showing up in the price level if the exchange rate is fixed.   </w:t>
      </w:r>
      <w:r w:rsidR="00BD4A26">
        <w:rPr>
          <w:sz w:val="24"/>
          <w:szCs w:val="24"/>
        </w:rPr>
        <w:t xml:space="preserve">A </w:t>
      </w:r>
      <w:r>
        <w:rPr>
          <w:sz w:val="24"/>
          <w:szCs w:val="24"/>
        </w:rPr>
        <w:t xml:space="preserve">hypothesis of the paper is that exchange rate regimes do make a difference for the behavior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77777777"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 xml:space="preserve">have not attempted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t xml:space="preserve">Most EM economies with firmly fixed exchange rates do not experience real appreciation during periods of inflow arising from positive external shocks, such as 2003-08 or 2010-11, </w:t>
      </w:r>
      <w:r>
        <w:rPr>
          <w:sz w:val="24"/>
          <w:szCs w:val="24"/>
        </w:rPr>
        <w:lastRenderedPageBreak/>
        <w:t>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t xml:space="preserve">For our free-floating commodity exporters – Australia, Canada </w:t>
      </w:r>
      <w:r w:rsidR="001A23FE">
        <w:rPr>
          <w:sz w:val="24"/>
          <w:szCs w:val="24"/>
        </w:rPr>
        <w:t xml:space="preserve">and New Zealand  </w:t>
      </w:r>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5CAEEE8D" w:rsidR="000F5495" w:rsidRPr="002F0B8D" w:rsidRDefault="001A23FE" w:rsidP="002F0B8D">
      <w:pPr>
        <w:pStyle w:val="ListParagraph"/>
        <w:numPr>
          <w:ilvl w:val="0"/>
          <w:numId w:val="8"/>
        </w:numPr>
        <w:rPr>
          <w:sz w:val="24"/>
          <w:szCs w:val="24"/>
        </w:rPr>
      </w:pPr>
      <w:r>
        <w:rPr>
          <w:sz w:val="24"/>
          <w:szCs w:val="24"/>
        </w:rPr>
        <w:t xml:space="preserve">For </w:t>
      </w:r>
      <w:r w:rsidR="00B375DD">
        <w:rPr>
          <w:sz w:val="24"/>
          <w:szCs w:val="24"/>
        </w:rPr>
        <w:t xml:space="preserve">our systematic </w:t>
      </w:r>
      <w:r w:rsidR="000F5495">
        <w:rPr>
          <w:sz w:val="24"/>
          <w:szCs w:val="24"/>
        </w:rPr>
        <w:t>managed floaters</w:t>
      </w:r>
      <w:r w:rsidR="00B375DD">
        <w:rPr>
          <w:sz w:val="24"/>
          <w:szCs w:val="24"/>
        </w:rPr>
        <w:t xml:space="preserve"> in Asia</w:t>
      </w:r>
      <w:r w:rsidR="000F5495">
        <w:rPr>
          <w:sz w:val="24"/>
          <w:szCs w:val="24"/>
        </w:rPr>
        <w:t xml:space="preserve">,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BD4A26" w:rsidRPr="002F0B8D">
        <w:rPr>
          <w:sz w:val="24"/>
          <w:szCs w:val="24"/>
        </w:rPr>
        <w:t xml:space="preserve">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77777777"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w:t>
      </w:r>
    </w:p>
    <w:p w14:paraId="3E40CB9B" w14:textId="77777777" w:rsidR="00B82868" w:rsidRDefault="00B82868">
      <w:r>
        <w:br w:type="page"/>
      </w:r>
    </w:p>
    <w:p w14:paraId="56CFE01C" w14:textId="77777777" w:rsidR="00B82868" w:rsidRPr="009736BA" w:rsidRDefault="00B82868">
      <w:pPr>
        <w:rPr>
          <w:b/>
          <w:sz w:val="24"/>
          <w:szCs w:val="24"/>
          <w:u w:val="single"/>
        </w:rPr>
      </w:pPr>
      <w:r w:rsidRPr="009736BA">
        <w:rPr>
          <w:b/>
          <w:sz w:val="24"/>
          <w:szCs w:val="24"/>
          <w:u w:val="single"/>
        </w:rPr>
        <w:lastRenderedPageBreak/>
        <w:t>References</w:t>
      </w:r>
    </w:p>
    <w:p w14:paraId="7FD57419" w14:textId="77777777" w:rsidR="00FA104F" w:rsidRPr="00FE6187" w:rsidRDefault="00FA104F" w:rsidP="00D567CF">
      <w:pPr>
        <w:rPr>
          <w:sz w:val="18"/>
          <w:szCs w:val="18"/>
        </w:rPr>
      </w:pPr>
      <w:r w:rsidRPr="00FE6187">
        <w:rPr>
          <w:sz w:val="18"/>
          <w:szCs w:val="18"/>
        </w:rPr>
        <w:t xml:space="preserve">Adler, Gustavo, Noemie Lisack and Rui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Aizenman, Joshua, Menzie Chinn, and Hiro Ito.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77777777" w:rsidR="000249BD" w:rsidRPr="00FE6187" w:rsidRDefault="000249BD" w:rsidP="000249BD">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 xml:space="preserve">Aizenman, Joshua, Menzie Chinn, and Hiro Ito. 2011. "Surfing the Waves of Globalization: Asia and Financial Globalization in the Context of the Trilemma," </w:t>
      </w:r>
      <w:r w:rsidRPr="00FE6187">
        <w:rPr>
          <w:rFonts w:cs="Arial"/>
          <w:i/>
          <w:iCs/>
          <w:color w:val="000000" w:themeColor="text1"/>
          <w:sz w:val="18"/>
          <w:szCs w:val="18"/>
          <w:shd w:val="clear" w:color="auto" w:fill="FFFFFF"/>
        </w:rPr>
        <w:t>Journal of the Japanese and International Economies</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25(3), pp.</w:t>
      </w:r>
      <w:r w:rsidRPr="00FE6187">
        <w:rPr>
          <w:rFonts w:cs="Arial" w:hint="eastAsia"/>
          <w:color w:val="000000" w:themeColor="text1"/>
          <w:sz w:val="18"/>
          <w:szCs w:val="18"/>
          <w:shd w:val="clear" w:color="auto" w:fill="FFFFFF"/>
          <w:lang w:eastAsia="ko-KR"/>
        </w:rPr>
        <w:t xml:space="preserve"> </w:t>
      </w:r>
      <w:r w:rsidRPr="00FE6187">
        <w:rPr>
          <w:rFonts w:cs="Arial"/>
          <w:color w:val="000000" w:themeColor="text1"/>
          <w:sz w:val="18"/>
          <w:szCs w:val="18"/>
          <w:shd w:val="clear" w:color="auto" w:fill="FFFFFF"/>
        </w:rPr>
        <w:t>290-320.</w:t>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Bahmani-Oskooee, M.</w:t>
      </w:r>
      <w:r w:rsidRPr="00FE6187">
        <w:rPr>
          <w:iCs/>
          <w:sz w:val="18"/>
          <w:szCs w:val="18"/>
        </w:rPr>
        <w:t>, S.Hegerty and A.Kutan, 2008,</w:t>
      </w:r>
      <w:r w:rsidRPr="00FE6187">
        <w:rPr>
          <w:i/>
          <w:iCs/>
          <w:sz w:val="18"/>
          <w:szCs w:val="18"/>
        </w:rPr>
        <w:t xml:space="preserve"> </w:t>
      </w:r>
      <w:r w:rsidRPr="00FE6187">
        <w:rPr>
          <w:iCs/>
          <w:sz w:val="18"/>
          <w:szCs w:val="18"/>
        </w:rPr>
        <w:t>"Do Nominal Devaluations Lead to Real Devaluations? 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 xml:space="preserve">17, 644–70. </w:t>
      </w:r>
    </w:p>
    <w:p w14:paraId="300FC1D3" w14:textId="77777777" w:rsidR="00077A79" w:rsidRPr="00077A79" w:rsidRDefault="00077A79" w:rsidP="00077A79">
      <w:pPr>
        <w:pStyle w:val="BodyText"/>
        <w:jc w:val="both"/>
        <w:rPr>
          <w:rFonts w:asciiTheme="minorHAnsi" w:hAnsiTheme="minorHAnsi"/>
          <w:sz w:val="18"/>
          <w:szCs w:val="18"/>
        </w:rPr>
      </w:pPr>
      <w:r w:rsidRPr="00077A79">
        <w:rPr>
          <w:rFonts w:asciiTheme="minorHAnsi" w:hAnsiTheme="minorHAnsi"/>
          <w:sz w:val="18"/>
          <w:szCs w:val="18"/>
        </w:rPr>
        <w:t xml:space="preserve">Bai, Jushan and Pierre Perron.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678B97BD" w14:textId="77777777" w:rsidR="004B7131" w:rsidRPr="00FE6187" w:rsidRDefault="004B7131" w:rsidP="004B7131">
      <w:pPr>
        <w:rPr>
          <w:sz w:val="18"/>
          <w:szCs w:val="18"/>
        </w:rPr>
      </w:pPr>
      <w:r w:rsidRPr="00FE6187">
        <w:rPr>
          <w:sz w:val="18"/>
          <w:szCs w:val="18"/>
        </w:rPr>
        <w:t>Baskaya, Yusuf Soner, Julian di Giovanni Sebnem Kalemli-Ozcan Mehmet Fatih Ulu,  2017, “International Spillovers and Local Credit Cycles,” NBER Working Paper 23149, March.</w:t>
      </w:r>
    </w:p>
    <w:p w14:paraId="71491090" w14:textId="77777777" w:rsidR="004B7131" w:rsidRPr="00FE6187" w:rsidRDefault="004B7131" w:rsidP="004B7131">
      <w:pPr>
        <w:rPr>
          <w:sz w:val="18"/>
          <w:szCs w:val="18"/>
        </w:rPr>
      </w:pPr>
      <w:r w:rsidRPr="00FE6187">
        <w:rPr>
          <w:color w:val="000000" w:themeColor="text1"/>
          <w:kern w:val="24"/>
          <w:sz w:val="18"/>
          <w:szCs w:val="18"/>
        </w:rPr>
        <w:t>Basu, Kaushik, and  Aristomene Varoudakis, Policy RWP 6469, World Bank, 2013, “How to Move the Exchange Rate If You Must: The Diverse Practice of Foreign Exchange Intervention by Central Banks and a Proposal for Doing it Better” May.</w:t>
      </w:r>
    </w:p>
    <w:p w14:paraId="1B0D5B87" w14:textId="77777777"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r w:rsidRPr="00FE6187">
        <w:rPr>
          <w:rStyle w:val="bio-name"/>
          <w:rFonts w:asciiTheme="minorHAnsi" w:hAnsiTheme="minorHAnsi" w:cstheme="minorHAnsi"/>
          <w:sz w:val="18"/>
          <w:szCs w:val="18"/>
        </w:rPr>
        <w:t>Basu, Suman</w:t>
      </w:r>
      <w:r w:rsidRPr="00FE6187">
        <w:rPr>
          <w:rFonts w:asciiTheme="minorHAnsi" w:hAnsiTheme="minorHAnsi" w:cstheme="minorHAnsi"/>
          <w:color w:val="2C2825"/>
          <w:sz w:val="18"/>
          <w:szCs w:val="18"/>
        </w:rPr>
        <w:t>, Atish R. Ghosh, Jonathan Ostry, and Pablo Winant, 2016 “</w:t>
      </w:r>
      <w:r w:rsidRPr="00FE6187">
        <w:rPr>
          <w:rStyle w:val="Strong"/>
          <w:rFonts w:asciiTheme="minorHAnsi" w:hAnsiTheme="minorHAnsi" w:cstheme="minorHAnsi"/>
          <w:b w:val="0"/>
          <w:bCs w:val="0"/>
          <w:color w:val="2C2825"/>
          <w:sz w:val="18"/>
          <w:szCs w:val="18"/>
        </w:rPr>
        <w:t xml:space="preserve">Managing Capital Outflows: The Role of Foreign Exchange Intervention,” Annual Research Conference, International Monetary Fund, Nov. </w:t>
      </w:r>
    </w:p>
    <w:p w14:paraId="6A7CFD37" w14:textId="77777777" w:rsidR="00077A79" w:rsidRDefault="000D744F" w:rsidP="008E76E8">
      <w:pPr>
        <w:spacing w:after="0" w:line="240" w:lineRule="auto"/>
        <w:jc w:val="both"/>
        <w:rPr>
          <w:sz w:val="18"/>
          <w:szCs w:val="18"/>
        </w:rPr>
      </w:pPr>
      <w:r w:rsidRPr="00FE6187">
        <w:rPr>
          <w:rFonts w:cs="Times New Roman"/>
          <w:noProof/>
          <w:color w:val="000000" w:themeColor="text1"/>
          <w:sz w:val="18"/>
          <w:szCs w:val="18"/>
        </w:rPr>
        <w:t>Beine, Michel, Agnes Bénassy-Quéré, and Christelle Lecourt. 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r w:rsidRPr="00FE6187">
        <w:rPr>
          <w:rFonts w:cs="Times New Roman"/>
          <w:noProof/>
          <w:color w:val="000000" w:themeColor="text1"/>
          <w:sz w:val="18"/>
          <w:szCs w:val="18"/>
        </w:rPr>
        <w:br/>
      </w:r>
    </w:p>
    <w:p w14:paraId="580B2981" w14:textId="77777777" w:rsidR="00077A79" w:rsidRPr="00077A79" w:rsidRDefault="00077A79" w:rsidP="00077A79">
      <w:pPr>
        <w:spacing w:after="240"/>
        <w:rPr>
          <w:snapToGrid w:val="0"/>
          <w:sz w:val="18"/>
          <w:szCs w:val="18"/>
        </w:rPr>
      </w:pPr>
      <w:r w:rsidRPr="00077A79">
        <w:rPr>
          <w:snapToGrid w:val="0"/>
          <w:sz w:val="18"/>
          <w:szCs w:val="18"/>
        </w:rPr>
        <w:t>B</w:t>
      </w:r>
      <w:r w:rsidRPr="00077A79">
        <w:rPr>
          <w:sz w:val="18"/>
          <w:szCs w:val="18"/>
        </w:rPr>
        <w:t>é</w:t>
      </w:r>
      <w:r w:rsidRPr="00077A79">
        <w:rPr>
          <w:snapToGrid w:val="0"/>
          <w:sz w:val="18"/>
          <w:szCs w:val="18"/>
        </w:rPr>
        <w:t>nassy-Qu</w:t>
      </w:r>
      <w:r w:rsidRPr="00077A79">
        <w:rPr>
          <w:sz w:val="18"/>
          <w:szCs w:val="18"/>
        </w:rPr>
        <w:t>é</w:t>
      </w:r>
      <w:r w:rsidRPr="00077A79">
        <w:rPr>
          <w:snapToGrid w:val="0"/>
          <w:sz w:val="18"/>
          <w:szCs w:val="18"/>
        </w:rPr>
        <w:t>r</w:t>
      </w:r>
      <w:r w:rsidRPr="00077A79">
        <w:rPr>
          <w:sz w:val="18"/>
          <w:szCs w:val="18"/>
        </w:rPr>
        <w:t>é</w:t>
      </w:r>
      <w:r w:rsidRPr="00077A79">
        <w:rPr>
          <w:snapToGrid w:val="0"/>
          <w:sz w:val="18"/>
          <w:szCs w:val="18"/>
        </w:rPr>
        <w:t xml:space="preserve">, </w:t>
      </w:r>
      <w:r w:rsidRPr="00077A79">
        <w:rPr>
          <w:sz w:val="18"/>
          <w:szCs w:val="18"/>
        </w:rPr>
        <w:t>A</w:t>
      </w:r>
      <w:r w:rsidRPr="00077A79">
        <w:rPr>
          <w:snapToGrid w:val="0"/>
          <w:color w:val="000000"/>
          <w:sz w:val="18"/>
          <w:szCs w:val="18"/>
        </w:rPr>
        <w:t>gn</w:t>
      </w:r>
      <w:r w:rsidRPr="00077A79">
        <w:rPr>
          <w:sz w:val="18"/>
          <w:szCs w:val="18"/>
        </w:rPr>
        <w:t>è</w:t>
      </w:r>
      <w:r w:rsidRPr="00077A79">
        <w:rPr>
          <w:snapToGrid w:val="0"/>
          <w:color w:val="000000"/>
          <w:sz w:val="18"/>
          <w:szCs w:val="18"/>
        </w:rPr>
        <w:t>s</w:t>
      </w:r>
      <w:r w:rsidRPr="00077A79">
        <w:rPr>
          <w:snapToGrid w:val="0"/>
          <w:sz w:val="18"/>
          <w:szCs w:val="18"/>
        </w:rPr>
        <w:t xml:space="preserve">. 1999. “Exchange Rate Regimes and Policies: An Empirical Analysis.” In </w:t>
      </w:r>
      <w:r w:rsidRPr="00077A79">
        <w:rPr>
          <w:i/>
          <w:iCs/>
          <w:snapToGrid w:val="0"/>
          <w:sz w:val="18"/>
          <w:szCs w:val="18"/>
        </w:rPr>
        <w:t xml:space="preserve">Exchange Rate Policies in Emerging Asian Countries.  </w:t>
      </w:r>
      <w:r w:rsidRPr="00077A79">
        <w:rPr>
          <w:snapToGrid w:val="0"/>
          <w:sz w:val="18"/>
          <w:szCs w:val="18"/>
        </w:rPr>
        <w:t xml:space="preserve">edited by Stefan Collignon, Jean Pisani-Ferry and Yung Chul Park. </w:t>
      </w:r>
      <w:r>
        <w:rPr>
          <w:snapToGrid w:val="0"/>
          <w:sz w:val="18"/>
          <w:szCs w:val="18"/>
        </w:rPr>
        <w:t>(</w:t>
      </w:r>
      <w:r w:rsidRPr="00077A79">
        <w:rPr>
          <w:snapToGrid w:val="0"/>
          <w:sz w:val="18"/>
          <w:szCs w:val="18"/>
        </w:rPr>
        <w:t>London: Routledge</w:t>
      </w:r>
      <w:r>
        <w:rPr>
          <w:snapToGrid w:val="0"/>
          <w:sz w:val="18"/>
          <w:szCs w:val="18"/>
        </w:rPr>
        <w:t>)</w:t>
      </w:r>
      <w:r w:rsidRPr="00077A79">
        <w:rPr>
          <w:snapToGrid w:val="0"/>
          <w:sz w:val="18"/>
          <w:szCs w:val="18"/>
        </w:rPr>
        <w:t>: 40–64.</w:t>
      </w:r>
    </w:p>
    <w:p w14:paraId="3F4423BD" w14:textId="77777777" w:rsidR="008E76E8" w:rsidRPr="00FE6187" w:rsidRDefault="008E76E8" w:rsidP="008E76E8">
      <w:pPr>
        <w:spacing w:after="0" w:line="240" w:lineRule="auto"/>
        <w:jc w:val="both"/>
        <w:rPr>
          <w:sz w:val="18"/>
          <w:szCs w:val="18"/>
        </w:rPr>
      </w:pPr>
      <w:r w:rsidRPr="00FE6187">
        <w:rPr>
          <w:sz w:val="18"/>
          <w:szCs w:val="18"/>
        </w:rPr>
        <w:t>Bénassy-Quéré,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Coeuré, and Valérie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77777777" w:rsidR="004B7131" w:rsidRPr="00FE6187" w:rsidRDefault="008E76E8"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br/>
      </w:r>
      <w:r w:rsidR="000D744F"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000D744F"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000D744F"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000D744F"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000D744F"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r w:rsidRPr="00FE6187">
        <w:rPr>
          <w:rFonts w:cs="Arial"/>
          <w:color w:val="222222"/>
          <w:sz w:val="18"/>
          <w:szCs w:val="18"/>
          <w:shd w:val="clear" w:color="auto" w:fill="FFFFFF"/>
        </w:rPr>
        <w:t>Blanchard, O., Jonathan Ostry, Atish R</w:t>
      </w:r>
      <w:r w:rsidR="005B31D5" w:rsidRPr="00FE6187">
        <w:rPr>
          <w:rFonts w:cs="Arial"/>
          <w:color w:val="222222"/>
          <w:sz w:val="18"/>
          <w:szCs w:val="18"/>
          <w:shd w:val="clear" w:color="auto" w:fill="FFFFFF"/>
        </w:rPr>
        <w:t>. Ghosh, and Marcos Chamon,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Are capital inflows expansionary or contractionary? Theory, policy implications, and some evidence</w:t>
      </w:r>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 Bureau of Economic Research WP 21619.</w:t>
      </w:r>
    </w:p>
    <w:p w14:paraId="310D4982" w14:textId="77777777" w:rsidR="00A67933" w:rsidRPr="00FE6187" w:rsidRDefault="00A67933" w:rsidP="00A67933">
      <w:pPr>
        <w:spacing w:line="240" w:lineRule="auto"/>
        <w:jc w:val="both"/>
        <w:rPr>
          <w:sz w:val="18"/>
          <w:szCs w:val="18"/>
        </w:rPr>
      </w:pPr>
      <w:r w:rsidRPr="00FE6187">
        <w:rPr>
          <w:sz w:val="18"/>
          <w:szCs w:val="18"/>
        </w:rPr>
        <w:t xml:space="preserve">Broda,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r w:rsidRPr="00FE6187">
        <w:rPr>
          <w:color w:val="333333"/>
          <w:spacing w:val="2"/>
          <w:sz w:val="18"/>
          <w:szCs w:val="18"/>
          <w:shd w:val="clear" w:color="auto" w:fill="FCFCFC"/>
        </w:rPr>
        <w:t>Bubula, A. and I. Ötker-Robe,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r w:rsidRPr="00FE6187">
        <w:rPr>
          <w:sz w:val="18"/>
          <w:szCs w:val="18"/>
        </w:rPr>
        <w:t xml:space="preserve">Cerutti, Eugenio, Stijn Claessens,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77777777"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Cashin, Paul, Luis F. Céspedes, and Ratna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 xml:space="preserve">75, no.1: 239-268.     </w:t>
      </w:r>
    </w:p>
    <w:p w14:paraId="2BB7215D" w14:textId="77777777" w:rsidR="00F566D3" w:rsidRDefault="00F566D3" w:rsidP="00F566D3">
      <w:pPr>
        <w:rPr>
          <w:rFonts w:cs="Arial"/>
          <w:sz w:val="18"/>
          <w:szCs w:val="18"/>
          <w:shd w:val="clear" w:color="auto" w:fill="FFFFFF"/>
        </w:rPr>
      </w:pPr>
      <w:r w:rsidRPr="00FE6187">
        <w:rPr>
          <w:rFonts w:cs="Arial"/>
          <w:sz w:val="18"/>
          <w:szCs w:val="18"/>
          <w:shd w:val="clear" w:color="auto" w:fill="FFFFFF"/>
        </w:rPr>
        <w:lastRenderedPageBreak/>
        <w:t>Céspedes,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77777777" w:rsidR="00C33D23" w:rsidRPr="00C33D23" w:rsidRDefault="00C33D23" w:rsidP="00F566D3">
      <w:pPr>
        <w:rPr>
          <w:rFonts w:cs="Times New Roman"/>
          <w:sz w:val="18"/>
          <w:szCs w:val="18"/>
        </w:rPr>
      </w:pPr>
      <w:r w:rsidRPr="00C33D23">
        <w:rPr>
          <w:rFonts w:cs="Arial"/>
          <w:color w:val="222222"/>
          <w:sz w:val="18"/>
          <w:szCs w:val="18"/>
          <w:shd w:val="clear" w:color="auto" w:fill="FFFFFF"/>
        </w:rPr>
        <w:t>Chari, Anusha, Karlye Dilts Stedman, and Christian Lundblad, 2016,. "Taper tantrums: QE, its aftermath and emerging market capital flows."   University of North Carolina, Chapel Hill.</w:t>
      </w:r>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77777777" w:rsidR="00766585" w:rsidRPr="00FE6187" w:rsidRDefault="00FA104F" w:rsidP="005E2990">
      <w:pPr>
        <w:rPr>
          <w:sz w:val="18"/>
          <w:szCs w:val="18"/>
        </w:rPr>
      </w:pPr>
      <w:r w:rsidRPr="00FE6187">
        <w:rPr>
          <w:sz w:val="18"/>
          <w:szCs w:val="18"/>
        </w:rPr>
        <w:t>Daude, Christian, Eduardo Levy</w:t>
      </w:r>
      <w:r w:rsidR="00376974" w:rsidRPr="00FE6187">
        <w:rPr>
          <w:sz w:val="18"/>
          <w:szCs w:val="18"/>
        </w:rPr>
        <w:t>-</w:t>
      </w:r>
      <w:r w:rsidRPr="00FE6187">
        <w:rPr>
          <w:sz w:val="18"/>
          <w:szCs w:val="18"/>
        </w:rPr>
        <w:t>Yeyati and Arne Nagengast. 2014. "On the Effectiveness of Exchange Rate Intervention in Emerging Markets." OECD Development Centre Working Paper No. 324.</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7777777" w:rsidR="00766585" w:rsidRPr="00FE6187" w:rsidRDefault="00766585" w:rsidP="00766585">
      <w:pPr>
        <w:spacing w:line="240" w:lineRule="auto"/>
        <w:rPr>
          <w:rFonts w:eastAsia="Times New Roman" w:cstheme="majorBidi"/>
          <w:color w:val="000000" w:themeColor="text1"/>
          <w:sz w:val="18"/>
          <w:szCs w:val="18"/>
        </w:rPr>
      </w:pPr>
      <w:r w:rsidRPr="00FE6187">
        <w:rPr>
          <w:rFonts w:eastAsia="Times New Roman" w:cstheme="majorBidi"/>
          <w:color w:val="000000" w:themeColor="text1"/>
          <w:sz w:val="18"/>
          <w:szCs w:val="18"/>
        </w:rPr>
        <w:t>Devereux, Michael, and James Yetman.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17"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Shambaugh</w:t>
      </w:r>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777777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Disyatat, Piti, and Gabriele Galati, 2007, “The Effectiveness of Foreign Exchange Intervention in Emerging Market Countries: Evidence from the Czech Koruna,”.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r w:rsidR="00E324E9" w:rsidRPr="00FE6187">
        <w:rPr>
          <w:rFonts w:cs="Times New Roman"/>
          <w:noProof/>
          <w:color w:val="000000" w:themeColor="text1"/>
          <w:sz w:val="18"/>
          <w:szCs w:val="18"/>
        </w:rPr>
        <w:br/>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Dominguez, Kathryn, Rasmus Fatum, and Pavel Vacek,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77777777"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r w:rsidR="00BE6226" w:rsidRPr="00FE6187">
        <w:rPr>
          <w:rFonts w:cs="Times New Roman"/>
          <w:noProof/>
          <w:color w:val="000000" w:themeColor="text1"/>
          <w:sz w:val="18"/>
          <w:szCs w:val="18"/>
        </w:rPr>
        <w:br/>
      </w:r>
    </w:p>
    <w:p w14:paraId="76523E72" w14:textId="77777777"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Washington: </w:t>
      </w:r>
      <w:r w:rsidRPr="00FE6187">
        <w:rPr>
          <w:rFonts w:cs="Times New Roman"/>
          <w:iCs/>
          <w:noProof/>
          <w:color w:val="000000" w:themeColor="text1"/>
          <w:sz w:val="18"/>
          <w:szCs w:val="18"/>
        </w:rPr>
        <w:t>Institute for International Economics</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77777777"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hyperlink r:id="rId18" w:history="1">
        <w:r w:rsidRPr="00FE6187">
          <w:rPr>
            <w:rStyle w:val="Hyperlink"/>
            <w:rFonts w:ascii="Arial" w:hAnsi="Arial" w:cs="Arial"/>
            <w:bCs/>
            <w:sz w:val="18"/>
            <w:szCs w:val="18"/>
            <w:bdr w:val="none" w:sz="0" w:space="0" w:color="auto" w:frame="1"/>
          </w:rPr>
          <w:t>38</w:t>
        </w:r>
        <w:r w:rsidRPr="00FE6187">
          <w:rPr>
            <w:rStyle w:val="Hyperlink"/>
            <w:rFonts w:ascii="Arial" w:hAnsi="Arial" w:cs="Arial" w:hint="eastAsia"/>
            <w:bCs/>
            <w:sz w:val="18"/>
            <w:szCs w:val="18"/>
            <w:bdr w:val="none" w:sz="0" w:space="0" w:color="auto" w:frame="1"/>
            <w:lang w:eastAsia="ko-KR"/>
          </w:rPr>
          <w:t xml:space="preserve"> (</w:t>
        </w:r>
        <w:r w:rsidRPr="00FE6187">
          <w:rPr>
            <w:rStyle w:val="Hyperlink"/>
            <w:rFonts w:ascii="Arial" w:hAnsi="Arial" w:cs="Arial"/>
            <w:bCs/>
            <w:sz w:val="18"/>
            <w:szCs w:val="18"/>
            <w:bdr w:val="none" w:sz="0" w:space="0" w:color="auto" w:frame="1"/>
          </w:rPr>
          <w:t>5</w:t>
        </w:r>
        <w:r w:rsidRPr="00FE6187">
          <w:rPr>
            <w:rStyle w:val="Hyperlink"/>
            <w:rFonts w:ascii="Arial" w:hAnsi="Arial" w:cs="Arial" w:hint="eastAsia"/>
            <w:bCs/>
            <w:sz w:val="18"/>
            <w:szCs w:val="18"/>
            <w:bdr w:val="none" w:sz="0" w:space="0" w:color="auto" w:frame="1"/>
            <w:lang w:eastAsia="ko-KR"/>
          </w:rPr>
          <w:t>)</w:t>
        </w:r>
        <w:r w:rsidRPr="00FE6187">
          <w:rPr>
            <w:rStyle w:val="Hyperlink"/>
            <w:rFonts w:ascii="Arial" w:hAnsi="Arial" w:cs="Arial"/>
            <w:sz w:val="18"/>
            <w:szCs w:val="18"/>
            <w:bdr w:val="none" w:sz="0" w:space="0" w:color="auto" w:frame="1"/>
            <w:shd w:val="clear" w:color="auto" w:fill="FFFFFF"/>
          </w:rPr>
          <w:t>,</w:t>
        </w:r>
      </w:hyperlink>
      <w:r w:rsidRPr="00FE6187">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NBER Working Paper 20893.</w:t>
      </w:r>
    </w:p>
    <w:p w14:paraId="4FA14FD9" w14:textId="77777777" w:rsidR="00483AE6" w:rsidRPr="00FE6187" w:rsidRDefault="006E029E" w:rsidP="00074534">
      <w:pPr>
        <w:spacing w:line="240" w:lineRule="auto"/>
        <w:rPr>
          <w:sz w:val="18"/>
          <w:szCs w:val="18"/>
        </w:rPr>
      </w:pPr>
      <w:r w:rsidRPr="00FE6187">
        <w:rPr>
          <w:sz w:val="18"/>
          <w:szCs w:val="18"/>
        </w:rPr>
        <w:t xml:space="preserve">Edwards, Sebastian, and Eduardo Levy Yeyati, 2005,  “Flexible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r w:rsidRPr="00FE6187">
        <w:rPr>
          <w:sz w:val="18"/>
          <w:szCs w:val="18"/>
        </w:rPr>
        <w:t>Eichengreen,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r w:rsidRPr="00FE6187">
        <w:rPr>
          <w:rFonts w:cs="Arial"/>
          <w:color w:val="222222"/>
          <w:sz w:val="18"/>
          <w:szCs w:val="18"/>
          <w:shd w:val="clear" w:color="auto" w:fill="FFFFFF"/>
        </w:rPr>
        <w:t>Eichengreen,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Garcia, 2013, "How reliable are de facto exchange rate regime classifications?."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Werning,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 xml:space="preserve">Dilemma not Trilemma? Capital Controls and Exchange Rates with Volatile Capital Flows,” </w:t>
      </w:r>
      <w:r w:rsidRPr="00FE6187">
        <w:rPr>
          <w:color w:val="000000" w:themeColor="text1"/>
          <w:sz w:val="18"/>
          <w:szCs w:val="18"/>
        </w:rPr>
        <w:t xml:space="preserve"> </w:t>
      </w:r>
      <w:r w:rsidRPr="00FE6187">
        <w:rPr>
          <w:rFonts w:cs="Arial"/>
          <w:i/>
          <w:iCs/>
          <w:color w:val="000000"/>
          <w:sz w:val="18"/>
          <w:szCs w:val="18"/>
          <w:shd w:val="clear" w:color="auto" w:fill="FFFFFF"/>
        </w:rPr>
        <w:t xml:space="preserve">IMF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r w:rsidRPr="00FE6187">
        <w:rPr>
          <w:sz w:val="18"/>
          <w:szCs w:val="18"/>
        </w:rPr>
        <w:lastRenderedPageBreak/>
        <w:t>Fatum, Rasmus. 2015. "FX Intervention When Interest Rates Are Zero: Does the Portfolio Balance Channel Matter after All?" Journal of International Money and Finance, 57(C), 185-199.</w:t>
      </w:r>
    </w:p>
    <w:p w14:paraId="46E26248" w14:textId="77777777" w:rsidR="005F5EAF" w:rsidRPr="00FE6187" w:rsidRDefault="00913712" w:rsidP="005E2990">
      <w:pPr>
        <w:rPr>
          <w:sz w:val="18"/>
          <w:szCs w:val="18"/>
        </w:rPr>
      </w:pPr>
      <w:r w:rsidRPr="00FE6187">
        <w:rPr>
          <w:sz w:val="18"/>
          <w:szCs w:val="18"/>
        </w:rPr>
        <w:t xml:space="preserve">Fatum, Rasmus and Michael M. Hutchison. 2003. "Is Sterilized FX Intervention Effective after All? An Event Study Approach." Economic Journal, 113(487), 390-411. </w:t>
      </w:r>
    </w:p>
    <w:p w14:paraId="75E13E24" w14:textId="77777777" w:rsidR="005F5EAF" w:rsidRPr="00FE6187" w:rsidRDefault="00913712" w:rsidP="005E2990">
      <w:pPr>
        <w:rPr>
          <w:sz w:val="18"/>
          <w:szCs w:val="18"/>
        </w:rPr>
      </w:pPr>
      <w:r w:rsidRPr="00FE6187">
        <w:rPr>
          <w:sz w:val="18"/>
          <w:szCs w:val="18"/>
        </w:rPr>
        <w:t>Fatum, Rasmus and Michael M. Hutchison. 2010. "Evaluating FX Market Intervention: Selfselection, Counterfactuals and Average Treatment Effects." Journal of International Money and Finance,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r w:rsidRPr="00FE6187">
        <w:rPr>
          <w:rFonts w:cs="Arial"/>
          <w:color w:val="222222"/>
          <w:sz w:val="18"/>
          <w:szCs w:val="18"/>
          <w:shd w:val="clear" w:color="auto" w:fill="FFFFFF"/>
        </w:rPr>
        <w:t>Flood, Robert, and Andrew Rose, 1999, "Understanding exchange rate volatility without the contrivance of macroeconomics."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The Economic Journal</w:t>
      </w:r>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
    <w:p w14:paraId="5B8823E4" w14:textId="77777777"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Pr="00A2071D">
        <w:rPr>
          <w:rFonts w:cs="Arial"/>
          <w:color w:val="1E1E1E"/>
          <w:sz w:val="18"/>
          <w:szCs w:val="18"/>
          <w:shd w:val="clear" w:color="auto" w:fill="FFFFFF"/>
        </w:rPr>
        <w:t>"  in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77777777" w:rsidR="0072751F" w:rsidRPr="00FE6187" w:rsidRDefault="0072751F" w:rsidP="0072751F">
      <w:pPr>
        <w:spacing w:line="240" w:lineRule="auto"/>
        <w:rPr>
          <w:color w:val="000000"/>
          <w:sz w:val="18"/>
          <w:szCs w:val="18"/>
        </w:rPr>
      </w:pPr>
      <w:r w:rsidRPr="00FE6187">
        <w:rPr>
          <w:color w:val="000000"/>
          <w:sz w:val="18"/>
          <w:szCs w:val="18"/>
        </w:rPr>
        <w:t xml:space="preserve">Frankel, Jeffrey, 2017,  </w:t>
      </w:r>
      <w:r w:rsidR="00F566D3" w:rsidRPr="00FE6187">
        <w:rPr>
          <w:color w:val="000000"/>
          <w:sz w:val="18"/>
          <w:szCs w:val="18"/>
        </w:rPr>
        <w:t>“</w:t>
      </w:r>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
    <w:p w14:paraId="3C62B564" w14:textId="77777777"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Frankel, Jeffrey. Eduardo Fajnzylber, Sergio Schmukler, and Luis Servén, 2001, "Verifying exchange rate regimes,"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Schmukler and Luis Servén,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r w:rsidRPr="00FE6187">
        <w:rPr>
          <w:sz w:val="18"/>
          <w:szCs w:val="18"/>
        </w:rPr>
        <w:t>Frankel, Jeffrey, and Shang-Jin Wei.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r w:rsidRPr="00FE6187">
        <w:rPr>
          <w:sz w:val="18"/>
          <w:szCs w:val="18"/>
        </w:rPr>
        <w:t>Takatoshi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 xml:space="preserve">he Techniques for Inferring Flexibility and Basket Weights,”  </w:t>
      </w:r>
      <w:r w:rsidRPr="002C0EF1">
        <w:rPr>
          <w:i/>
          <w:iCs/>
          <w:sz w:val="18"/>
          <w:szCs w:val="18"/>
        </w:rPr>
        <w:t>IMF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Xie,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285473BB" w14:textId="77777777" w:rsidR="004C2731" w:rsidRPr="004C2731" w:rsidRDefault="004C2731" w:rsidP="004C2731">
      <w:pPr>
        <w:rPr>
          <w:b/>
          <w:sz w:val="32"/>
        </w:rPr>
      </w:pPr>
      <w:r w:rsidRPr="00FE6187">
        <w:rPr>
          <w:sz w:val="18"/>
          <w:szCs w:val="18"/>
        </w:rPr>
        <w:t>Frankel, Jeffrey, and Dan</w:t>
      </w:r>
      <w:r>
        <w:rPr>
          <w:sz w:val="18"/>
          <w:szCs w:val="18"/>
        </w:rPr>
        <w:t>xia</w:t>
      </w:r>
      <w:r w:rsidRPr="00FE6187">
        <w:rPr>
          <w:sz w:val="18"/>
          <w:szCs w:val="18"/>
        </w:rPr>
        <w:t xml:space="preserve"> Xie, </w:t>
      </w:r>
      <w:r>
        <w:rPr>
          <w:sz w:val="18"/>
          <w:szCs w:val="18"/>
        </w:rPr>
        <w:t>2017, “</w:t>
      </w:r>
      <w:r w:rsidRPr="004C2731">
        <w:rPr>
          <w:sz w:val="18"/>
          <w:szCs w:val="18"/>
        </w:rPr>
        <w:t>Estimating Exchange Rate Regimes with Sequential Nonlinear and Non-constant Inferences</w:t>
      </w:r>
      <w:r>
        <w:rPr>
          <w:sz w:val="18"/>
          <w:szCs w:val="18"/>
        </w:rPr>
        <w:t>,” in progress.</w:t>
      </w:r>
    </w:p>
    <w:p w14:paraId="4AE898D6" w14:textId="77777777" w:rsidR="009215ED" w:rsidRPr="00FE6187" w:rsidRDefault="000E6BE4" w:rsidP="005E2990">
      <w:pPr>
        <w:rPr>
          <w:sz w:val="18"/>
          <w:szCs w:val="18"/>
        </w:rPr>
      </w:pPr>
      <w:r w:rsidRPr="00FE6187">
        <w:rPr>
          <w:sz w:val="18"/>
          <w:szCs w:val="18"/>
        </w:rPr>
        <w:t xml:space="preserve">Fratzscher, Marcel, 2012, “Capital Flows, Push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7777777" w:rsidR="009215ED" w:rsidRDefault="009215ED" w:rsidP="005E2990">
      <w:pPr>
        <w:rPr>
          <w:sz w:val="18"/>
          <w:szCs w:val="18"/>
        </w:rPr>
      </w:pPr>
      <w:r w:rsidRPr="00FE6187">
        <w:rPr>
          <w:rFonts w:cs="Arial"/>
          <w:color w:val="222222"/>
          <w:sz w:val="18"/>
          <w:szCs w:val="18"/>
          <w:shd w:val="clear" w:color="auto" w:fill="FFFFFF"/>
        </w:rPr>
        <w:t>Fratzscher, Marcel, Oliver Gloede, Lukas Menkhoff, Lucio Sarno, and Tobias Stöhr, 2016,</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 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r w:rsidRPr="00FE6187">
        <w:rPr>
          <w:rFonts w:cs="Arial"/>
          <w:color w:val="222222"/>
          <w:sz w:val="18"/>
          <w:szCs w:val="18"/>
          <w:shd w:val="clear" w:color="auto" w:fill="FFFFFF"/>
        </w:rPr>
        <w:t xml:space="preserve">  </w:t>
      </w:r>
      <w:hyperlink r:id="rId19" w:history="1">
        <w:r w:rsidR="00CA2F81" w:rsidRPr="00FE6187">
          <w:rPr>
            <w:rStyle w:val="Hyperlink"/>
            <w:color w:val="auto"/>
            <w:sz w:val="18"/>
            <w:szCs w:val="18"/>
          </w:rPr>
          <w:t>Discussion Papers of DIW Berlin</w:t>
        </w:r>
      </w:hyperlink>
      <w:r w:rsidR="00CA2F81" w:rsidRPr="00FE6187">
        <w:rPr>
          <w:rStyle w:val="apple-converted-space"/>
          <w:sz w:val="18"/>
          <w:szCs w:val="18"/>
          <w:shd w:val="clear" w:color="auto" w:fill="EFF3F8"/>
        </w:rPr>
        <w:t> </w:t>
      </w:r>
      <w:r w:rsidR="00CA2F81" w:rsidRPr="00FE6187">
        <w:rPr>
          <w:color w:val="333333"/>
          <w:sz w:val="18"/>
          <w:szCs w:val="18"/>
          <w:shd w:val="clear" w:color="auto" w:fill="EFF3F8"/>
        </w:rPr>
        <w:t xml:space="preserve">1518, DIW Berlin, German Institute for Economic Research, Novembe.  </w:t>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20"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7ABC96AF" w:rsidR="00EC684C" w:rsidRPr="00FE6187" w:rsidRDefault="004C7BE5" w:rsidP="00EC684C">
      <w:pPr>
        <w:rPr>
          <w:sz w:val="18"/>
          <w:szCs w:val="18"/>
        </w:rPr>
      </w:pPr>
      <w:r w:rsidRPr="00FE6187">
        <w:rPr>
          <w:sz w:val="18"/>
          <w:szCs w:val="18"/>
        </w:rPr>
        <w:lastRenderedPageBreak/>
        <w:t>Fr</w:t>
      </w:r>
      <w:r w:rsidRPr="008F4CFB">
        <w:rPr>
          <w:sz w:val="18"/>
          <w:szCs w:val="18"/>
        </w:rPr>
        <w:t>ö</w:t>
      </w:r>
      <w:r w:rsidRPr="00FE6187">
        <w:rPr>
          <w:sz w:val="18"/>
          <w:szCs w:val="18"/>
        </w:rPr>
        <w:t>mmel, Michael, and Murat Midiliç, 2016, “"Daily Currency Interventions in Emerging Markets: Incorporating Reserve Accumulation." </w:t>
      </w:r>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xml:space="preserve">, OECD Headquarters.    </w:t>
      </w:r>
      <w:r w:rsidR="00CA2F81" w:rsidRPr="00FE6187">
        <w:rPr>
          <w:sz w:val="18"/>
          <w:szCs w:val="18"/>
        </w:rPr>
        <w:t>No. 4106590,</w:t>
      </w:r>
      <w:r w:rsidR="003353FC" w:rsidRPr="00FE6187">
        <w:rPr>
          <w:sz w:val="18"/>
          <w:szCs w:val="18"/>
        </w:rPr>
        <w:t xml:space="preserve"> International Institute of Social and Economic Sciences.</w:t>
      </w:r>
    </w:p>
    <w:p w14:paraId="5E41A5B6" w14:textId="77777777" w:rsidR="003C2706" w:rsidRPr="00FE6187" w:rsidRDefault="00697E2D" w:rsidP="00A45E20">
      <w:pPr>
        <w:jc w:val="both"/>
        <w:rPr>
          <w:spacing w:val="-3"/>
          <w:sz w:val="18"/>
          <w:szCs w:val="18"/>
        </w:rPr>
      </w:pPr>
      <w:r w:rsidRPr="00FE6187">
        <w:rPr>
          <w:spacing w:val="-3"/>
          <w:sz w:val="18"/>
          <w:szCs w:val="18"/>
        </w:rPr>
        <w:t xml:space="preserve">Ghosh, Atish, Anne-Marie Gulde, and Holger Wolf.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Ghosh, Atish R., Jonathan  Ostry, and Mahvash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3D694DB" w14:textId="77777777" w:rsidR="00077A79" w:rsidRDefault="00077A79" w:rsidP="00A45E20">
      <w:pPr>
        <w:rPr>
          <w:sz w:val="18"/>
          <w:szCs w:val="18"/>
        </w:rPr>
      </w:pPr>
      <w:r w:rsidRPr="00077A79">
        <w:rPr>
          <w:sz w:val="18"/>
          <w:szCs w:val="18"/>
        </w:rPr>
        <w:t xml:space="preserve">Girton, Lance and Don Roper.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0904E47A" w14:textId="0183A197" w:rsidR="00CD4AED" w:rsidRPr="00077A79" w:rsidRDefault="00CD4AED" w:rsidP="00A45E20">
      <w:pPr>
        <w:rPr>
          <w:sz w:val="18"/>
          <w:szCs w:val="18"/>
        </w:rPr>
      </w:pPr>
      <w:r>
        <w:rPr>
          <w:sz w:val="18"/>
          <w:szCs w:val="18"/>
        </w:rPr>
        <w:t>Han,  Xuewei, and Shang-Jin Wei, 2017, “International Transmissions of Monetary Shocks Between a Trilemma and a Dilemma,” revised, May.   NBER Working Paper No. 22812.</w:t>
      </w:r>
    </w:p>
    <w:p w14:paraId="5A1951F3" w14:textId="77777777" w:rsidR="00620939" w:rsidRPr="00FE6187" w:rsidRDefault="00620939" w:rsidP="00A45E20">
      <w:pPr>
        <w:rPr>
          <w:sz w:val="18"/>
          <w:szCs w:val="18"/>
        </w:rPr>
      </w:pPr>
      <w:r w:rsidRPr="00FE6187">
        <w:rPr>
          <w:rFonts w:ascii="Arial" w:hAnsi="Arial" w:cs="Arial"/>
          <w:color w:val="222222"/>
          <w:sz w:val="18"/>
          <w:szCs w:val="18"/>
          <w:shd w:val="clear" w:color="auto" w:fill="FFFFFF"/>
        </w:rPr>
        <w:t>Helpman, Elhanan, and Assaf Razin, 1982,. "A comparison of exchange rate regimes in the presence of imperfect capital markets."</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International Economic Review, pp.</w:t>
      </w:r>
      <w:r w:rsidRPr="00FE6187">
        <w:rPr>
          <w:rFonts w:ascii="Arial" w:hAnsi="Arial" w:cs="Arial"/>
          <w:color w:val="222222"/>
          <w:sz w:val="18"/>
          <w:szCs w:val="18"/>
          <w:shd w:val="clear" w:color="auto" w:fill="FFFFFF"/>
        </w:rPr>
        <w:t>: 365-388.</w:t>
      </w:r>
    </w:p>
    <w:p w14:paraId="1869C08E" w14:textId="77777777" w:rsidR="005F5EAF" w:rsidRPr="00FE6187" w:rsidRDefault="005F5EAF" w:rsidP="00EC684C">
      <w:pPr>
        <w:rPr>
          <w:sz w:val="18"/>
          <w:szCs w:val="18"/>
        </w:rPr>
      </w:pPr>
      <w:r w:rsidRPr="00FE6187">
        <w:rPr>
          <w:sz w:val="18"/>
          <w:szCs w:val="18"/>
        </w:rPr>
        <w:t>Humpage, Owen F. 1999. "US Intervention: Assessing the Probability of Success." Journal of Money, Credit and Banking, 31(4), 732-747.</w:t>
      </w:r>
    </w:p>
    <w:p w14:paraId="2C0CC2EE" w14:textId="77777777" w:rsidR="00FF05E5" w:rsidRPr="00FE6187" w:rsidRDefault="00EC684C" w:rsidP="00155D83">
      <w:pPr>
        <w:rPr>
          <w:sz w:val="18"/>
          <w:szCs w:val="18"/>
        </w:rPr>
      </w:pPr>
      <w:r w:rsidRPr="00FE6187">
        <w:rPr>
          <w:sz w:val="18"/>
          <w:szCs w:val="18"/>
        </w:rPr>
        <w:t>Ilzetzki,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Takatoshi.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r w:rsidRPr="00FE6187">
        <w:rPr>
          <w:rFonts w:cs="Times New Roman"/>
          <w:color w:val="000000"/>
          <w:sz w:val="18"/>
          <w:szCs w:val="18"/>
        </w:rPr>
        <w:t xml:space="preserve">Mizen (ed.) </w:t>
      </w:r>
      <w:r w:rsidRPr="00FE6187">
        <w:rPr>
          <w:rFonts w:cs="Times New Roman"/>
          <w:i/>
          <w:color w:val="000000"/>
          <w:sz w:val="18"/>
          <w:szCs w:val="18"/>
        </w:rPr>
        <w:t>Monetary History, Exchange Rates and Financial Markets, Essays in Honour of Charles Goodhart</w:t>
      </w:r>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Romain Rancière, 2011, "The Optimal Level of International Reserves for Emerging Market Countries: A New Formula and Some Applications." </w:t>
      </w:r>
      <w:r w:rsidRPr="00FE6187">
        <w:rPr>
          <w:i/>
          <w:sz w:val="18"/>
          <w:szCs w:val="18"/>
        </w:rPr>
        <w:t>Economic Journal</w:t>
      </w:r>
      <w:r w:rsidRPr="00FE6187">
        <w:rPr>
          <w:sz w:val="18"/>
          <w:szCs w:val="18"/>
        </w:rPr>
        <w:t>, 121(555), 905-30.</w:t>
      </w:r>
    </w:p>
    <w:p w14:paraId="57F4D81E" w14:textId="77777777" w:rsidR="00F566D3" w:rsidRPr="00FE6187" w:rsidRDefault="00F566D3" w:rsidP="00EC684C">
      <w:pPr>
        <w:rPr>
          <w:rFonts w:cstheme="minorHAnsi"/>
          <w:color w:val="222222"/>
          <w:sz w:val="18"/>
          <w:szCs w:val="18"/>
          <w:shd w:val="clear" w:color="auto" w:fill="FFFFFF"/>
        </w:rPr>
      </w:pPr>
      <w:r w:rsidRPr="00FE6187">
        <w:rPr>
          <w:rFonts w:cstheme="minorHAnsi"/>
          <w:color w:val="222222"/>
          <w:sz w:val="18"/>
          <w:szCs w:val="18"/>
          <w:shd w:val="clear" w:color="auto" w:fill="FFFFFF"/>
        </w:rPr>
        <w:t>Kaminsky, Graciela L., Carmen M. Reinhart, and Carlos A. Végh,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Rigobon,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r w:rsidRPr="00FE6187">
        <w:rPr>
          <w:sz w:val="18"/>
          <w:szCs w:val="18"/>
        </w:rPr>
        <w:t xml:space="preserve">Klein, Michael, and Nancy Marion.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r w:rsidRPr="00FE6187">
        <w:rPr>
          <w:rFonts w:ascii="Arial" w:hAnsi="Arial" w:cs="Arial"/>
          <w:color w:val="222222"/>
          <w:sz w:val="18"/>
          <w:szCs w:val="18"/>
          <w:shd w:val="clear" w:color="auto" w:fill="FFFFFF"/>
        </w:rPr>
        <w:t>Klein, Michael, and Jay Shambaugh,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Shambaugh, 2015</w:t>
      </w:r>
      <w:r w:rsidRPr="00FE6187">
        <w:rPr>
          <w:rFonts w:cs="Arial"/>
          <w:color w:val="000000" w:themeColor="text1"/>
          <w:sz w:val="18"/>
          <w:szCs w:val="18"/>
          <w:shd w:val="clear" w:color="auto" w:fill="FFFFFF"/>
        </w:rPr>
        <w:t>.</w:t>
      </w:r>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r w:rsidR="005B0E15" w:rsidRPr="00FE6187">
        <w:rPr>
          <w:rFonts w:cs="Arial"/>
          <w:color w:val="222222"/>
          <w:sz w:val="18"/>
          <w:szCs w:val="18"/>
          <w:shd w:val="clear" w:color="auto" w:fill="FFFFFF"/>
        </w:rPr>
        <w:t xml:space="preserve">Rounding the Corners of the Policy Trilemma: Sources of monetary policy autonomy,” Feb.   NBER WP </w:t>
      </w:r>
      <w:r w:rsidR="005B0E15" w:rsidRPr="00FE6187">
        <w:rPr>
          <w:rFonts w:cs="Arial"/>
          <w:color w:val="000000" w:themeColor="text1"/>
          <w:sz w:val="18"/>
          <w:szCs w:val="18"/>
          <w:shd w:val="clear" w:color="auto" w:fill="FFFFFF"/>
        </w:rPr>
        <w:t>19461.</w:t>
      </w:r>
    </w:p>
    <w:p w14:paraId="36C96EC7" w14:textId="77777777" w:rsidR="005E7BC6" w:rsidRPr="00FE6187" w:rsidRDefault="005E7BC6" w:rsidP="005E7BC6">
      <w:pPr>
        <w:spacing w:line="240" w:lineRule="auto"/>
        <w:jc w:val="both"/>
        <w:rPr>
          <w:sz w:val="18"/>
          <w:szCs w:val="18"/>
        </w:rPr>
      </w:pPr>
      <w:r w:rsidRPr="00FE6187">
        <w:rPr>
          <w:sz w:val="18"/>
          <w:szCs w:val="18"/>
        </w:rPr>
        <w:t>Krugman, Paul, 1991, “Target Zones and Exchange Rate Dynamics,”</w:t>
      </w:r>
      <w:r w:rsidRPr="00FE6187">
        <w:rPr>
          <w:i/>
          <w:sz w:val="18"/>
          <w:szCs w:val="18"/>
        </w:rPr>
        <w:t>uarterly Journal of Economics,</w:t>
      </w:r>
      <w:r w:rsidRPr="00FE6187">
        <w:rPr>
          <w:sz w:val="18"/>
          <w:szCs w:val="18"/>
        </w:rPr>
        <w:t xml:space="preserve"> 106: 669-682.</w:t>
      </w:r>
    </w:p>
    <w:p w14:paraId="68AB8D13" w14:textId="77777777" w:rsidR="005E7BC6" w:rsidRPr="00FE6187" w:rsidRDefault="005E7BC6" w:rsidP="005E7BC6">
      <w:pPr>
        <w:spacing w:line="240" w:lineRule="auto"/>
        <w:jc w:val="both"/>
        <w:rPr>
          <w:snapToGrid w:val="0"/>
          <w:color w:val="000000"/>
          <w:sz w:val="18"/>
          <w:szCs w:val="18"/>
        </w:rPr>
      </w:pPr>
      <w:r w:rsidRPr="00FE6187">
        <w:rPr>
          <w:snapToGrid w:val="0"/>
          <w:color w:val="000000"/>
          <w:sz w:val="18"/>
          <w:szCs w:val="18"/>
        </w:rPr>
        <w:t xml:space="preserve">Larrain, Felipe, and Andres Velasco.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r w:rsidRPr="00FE6187">
        <w:rPr>
          <w:sz w:val="18"/>
          <w:szCs w:val="18"/>
        </w:rPr>
        <w:t xml:space="preserve">Levy Yeyati, Eduardo, and Federico Sturzenegger, 2001, “Exchange Rate Regimes and Economic Performance,” </w:t>
      </w:r>
      <w:r w:rsidRPr="00FE6187">
        <w:rPr>
          <w:i/>
          <w:sz w:val="18"/>
          <w:szCs w:val="18"/>
        </w:rPr>
        <w:t>IMF Staff Papers</w:t>
      </w:r>
      <w:r w:rsidRPr="00FE6187">
        <w:rPr>
          <w:sz w:val="18"/>
          <w:szCs w:val="18"/>
        </w:rPr>
        <w:t xml:space="preserve"> (February). </w:t>
      </w:r>
    </w:p>
    <w:p w14:paraId="515DB84B" w14:textId="77777777" w:rsidR="005E7BC6" w:rsidRPr="00FE6187" w:rsidRDefault="005E7BC6" w:rsidP="003500D5">
      <w:pPr>
        <w:spacing w:line="240" w:lineRule="auto"/>
        <w:rPr>
          <w:sz w:val="18"/>
          <w:szCs w:val="18"/>
        </w:rPr>
      </w:pPr>
      <w:r w:rsidRPr="00FE6187">
        <w:rPr>
          <w:sz w:val="18"/>
          <w:szCs w:val="18"/>
        </w:rPr>
        <w:lastRenderedPageBreak/>
        <w:t xml:space="preserve">Levy-Yeyati,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t xml:space="preserve">Levy-Yeyati,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r w:rsidRPr="00FE6187">
        <w:rPr>
          <w:rFonts w:cs="Arial"/>
          <w:color w:val="222222"/>
          <w:sz w:val="18"/>
          <w:szCs w:val="18"/>
          <w:shd w:val="clear" w:color="auto" w:fill="FFFFFF"/>
        </w:rPr>
        <w:t>Magud, Nicolas E., Carmen M. Reinhart, and Esteban R. Vesperoni. 2014, "Capital inflows, exchange rate flexibility and credit booms."</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Submitted to the US Congress and US Depar</w:t>
      </w:r>
      <w:r w:rsidR="003500D5" w:rsidRPr="00FE6187">
        <w:rPr>
          <w:sz w:val="18"/>
          <w:szCs w:val="18"/>
        </w:rPr>
        <w:t>tment of the Treasury, March 8.</w:t>
      </w:r>
    </w:p>
    <w:p w14:paraId="1234922B" w14:textId="77777777" w:rsidR="00D132A1" w:rsidRPr="00FE6187" w:rsidRDefault="00D132A1" w:rsidP="005E2990">
      <w:pPr>
        <w:rPr>
          <w:sz w:val="18"/>
          <w:szCs w:val="18"/>
        </w:rPr>
      </w:pPr>
      <w:r w:rsidRPr="00FE6187">
        <w:rPr>
          <w:sz w:val="18"/>
          <w:szCs w:val="18"/>
        </w:rPr>
        <w:t>Menkhoff,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24(1),pp.  85-112.</w:t>
      </w:r>
    </w:p>
    <w:p w14:paraId="05D828CF" w14:textId="77777777" w:rsidR="00C33D23" w:rsidRPr="0067619E" w:rsidRDefault="0026584A" w:rsidP="0026584A">
      <w:pPr>
        <w:spacing w:before="80" w:after="0" w:line="240" w:lineRule="auto"/>
        <w:rPr>
          <w:rFonts w:cs="Times New Roman"/>
          <w:color w:val="000000" w:themeColor="text1"/>
          <w:sz w:val="8"/>
          <w:szCs w:val="8"/>
          <w:shd w:val="clear" w:color="auto" w:fill="FFFFFF"/>
        </w:rPr>
      </w:pPr>
      <w:r w:rsidRPr="00FE6187">
        <w:rPr>
          <w:rFonts w:cs="Times New Roman"/>
          <w:color w:val="000000" w:themeColor="text1"/>
          <w:sz w:val="18"/>
          <w:szCs w:val="18"/>
          <w:shd w:val="clear" w:color="auto" w:fill="FFFFFF"/>
        </w:rPr>
        <w:t>Menkhoff, Lukas, 2013, “Foreign Exchange Intervention in Emerging Markets: A Survey of Empirical Studies,”</w:t>
      </w:r>
      <w:r w:rsidRPr="00FE6187">
        <w:rPr>
          <w:rFonts w:cs="Times New Roman"/>
          <w:i/>
          <w:iCs/>
          <w:color w:val="000000" w:themeColor="text1"/>
          <w:sz w:val="18"/>
          <w:szCs w:val="18"/>
          <w:shd w:val="clear" w:color="auto" w:fill="FFFFFF"/>
        </w:rPr>
        <w:t>World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Pr="0067619E" w:rsidRDefault="00C33D23" w:rsidP="0026584A">
      <w:pPr>
        <w:spacing w:before="80" w:after="0" w:line="240" w:lineRule="auto"/>
        <w:rPr>
          <w:rFonts w:cs="Times New Roman"/>
          <w:color w:val="000000" w:themeColor="text1"/>
          <w:sz w:val="8"/>
          <w:szCs w:val="8"/>
          <w:shd w:val="clear" w:color="auto" w:fill="FFFFFF"/>
        </w:rPr>
      </w:pPr>
    </w:p>
    <w:p w14:paraId="78E33DAF" w14:textId="77777777" w:rsidR="003500D5" w:rsidRPr="00C33D23" w:rsidRDefault="00C33D23" w:rsidP="0026584A">
      <w:pPr>
        <w:spacing w:before="80" w:after="0" w:line="240" w:lineRule="auto"/>
        <w:rPr>
          <w:rFonts w:cs="Times New Roman"/>
          <w:color w:val="000000" w:themeColor="text1"/>
          <w:sz w:val="18"/>
          <w:szCs w:val="18"/>
          <w:shd w:val="clear" w:color="auto" w:fill="FFFFFF"/>
        </w:rPr>
      </w:pPr>
      <w:r w:rsidRPr="00C33D23">
        <w:rPr>
          <w:rFonts w:cs="Arial"/>
          <w:color w:val="222222"/>
          <w:sz w:val="18"/>
          <w:szCs w:val="18"/>
          <w:shd w:val="clear" w:color="auto" w:fill="FFFFFF"/>
        </w:rPr>
        <w:t>Milesi-Ferretti, Gian-Maria, and Cédric Tille, 2011,.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5FAAC9F9" w:rsidR="0026584A" w:rsidRPr="00FE6187" w:rsidRDefault="003500D5" w:rsidP="003500D5">
      <w:pPr>
        <w:spacing w:line="240" w:lineRule="auto"/>
        <w:rPr>
          <w:iCs/>
          <w:color w:val="000000" w:themeColor="text1"/>
          <w:sz w:val="18"/>
          <w:szCs w:val="18"/>
        </w:rPr>
      </w:pPr>
      <w:r w:rsidRPr="00FE6187">
        <w:rPr>
          <w:sz w:val="18"/>
          <w:szCs w:val="18"/>
        </w:rPr>
        <w:t>Miranda-</w:t>
      </w:r>
      <w:r w:rsidRPr="00FE6187">
        <w:rPr>
          <w:rFonts w:cs="Arial"/>
          <w:color w:val="000000" w:themeColor="text1"/>
          <w:sz w:val="18"/>
          <w:szCs w:val="18"/>
        </w:rPr>
        <w:t xml:space="preserve">Agrippino,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0067619E">
        <w:rPr>
          <w:rFonts w:cs="Arial"/>
          <w:color w:val="000000" w:themeColor="text1"/>
          <w:sz w:val="18"/>
          <w:szCs w:val="18"/>
        </w:rPr>
        <w:t xml:space="preserve">Rey, </w:t>
      </w:r>
      <w:r w:rsidRPr="00FE6187">
        <w:rPr>
          <w:rFonts w:cs="Arial"/>
          <w:color w:val="000000" w:themeColor="text1"/>
          <w:sz w:val="18"/>
          <w:szCs w:val="18"/>
        </w:rPr>
        <w:t>2015,. “World Asset Markets and the Global Financial Cycle</w:t>
      </w:r>
      <w:r w:rsidRPr="00FE6187">
        <w:rPr>
          <w:rFonts w:cs="Arial"/>
          <w:i/>
          <w:iCs/>
          <w:color w:val="000000" w:themeColor="text1"/>
          <w:sz w:val="18"/>
          <w:szCs w:val="18"/>
        </w:rPr>
        <w:t xml:space="preserve">.” </w:t>
      </w:r>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
    <w:p w14:paraId="7B9F261C" w14:textId="77777777" w:rsidR="00864E22" w:rsidRPr="00FE6187" w:rsidRDefault="00D132A1" w:rsidP="005E2990">
      <w:pPr>
        <w:rPr>
          <w:sz w:val="18"/>
          <w:szCs w:val="18"/>
        </w:rPr>
      </w:pPr>
      <w:r w:rsidRPr="00FE6187">
        <w:rPr>
          <w:sz w:val="18"/>
          <w:szCs w:val="18"/>
        </w:rPr>
        <w:t xml:space="preserve">Mussa, Michael. 1981. </w:t>
      </w:r>
      <w:r w:rsidRPr="00FE6187">
        <w:rPr>
          <w:i/>
          <w:sz w:val="18"/>
          <w:szCs w:val="18"/>
        </w:rPr>
        <w:t>The Role of Official Intervention.</w:t>
      </w:r>
      <w:r w:rsidRPr="00FE6187">
        <w:rPr>
          <w:sz w:val="18"/>
          <w:szCs w:val="18"/>
        </w:rPr>
        <w:t xml:space="preserve"> Group of Thirty Occasional Paper No. 6.</w:t>
      </w:r>
    </w:p>
    <w:p w14:paraId="2385F703" w14:textId="77777777" w:rsidR="00864E22" w:rsidRPr="00FE6187" w:rsidRDefault="00864E22" w:rsidP="00864E22">
      <w:pPr>
        <w:spacing w:line="240" w:lineRule="auto"/>
        <w:jc w:val="both"/>
        <w:rPr>
          <w:sz w:val="18"/>
          <w:szCs w:val="18"/>
        </w:rPr>
      </w:pPr>
      <w:r w:rsidRPr="00FE6187">
        <w:rPr>
          <w:sz w:val="18"/>
          <w:szCs w:val="18"/>
        </w:rPr>
        <w:t xml:space="preserve">Mussa,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r w:rsidRPr="00FE6187">
        <w:rPr>
          <w:sz w:val="18"/>
          <w:szCs w:val="18"/>
        </w:rPr>
        <w:t xml:space="preserve">Obstfeld, Maurice, and Kenneth Rogoff. 1995. “The Mirage of Fixed Exchange Rates.”  </w:t>
      </w:r>
      <w:r w:rsidRPr="00FE6187">
        <w:rPr>
          <w:i/>
          <w:sz w:val="18"/>
          <w:szCs w:val="18"/>
        </w:rPr>
        <w:t>Journal of Economic Perspectives</w:t>
      </w:r>
      <w:r w:rsidRPr="00FE6187">
        <w:rPr>
          <w:sz w:val="18"/>
          <w:szCs w:val="18"/>
        </w:rPr>
        <w:t xml:space="preserve"> 9, no.4 (Fall):73-96.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03F42504" w:rsidR="00B82868" w:rsidRPr="00FE6187" w:rsidRDefault="00E54F95" w:rsidP="00B82868">
      <w:pPr>
        <w:rPr>
          <w:sz w:val="18"/>
          <w:szCs w:val="18"/>
        </w:rPr>
      </w:pPr>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0067619E">
        <w:rPr>
          <w:rFonts w:cs="Arial"/>
          <w:color w:val="222222"/>
          <w:sz w:val="18"/>
          <w:szCs w:val="18"/>
          <w:shd w:val="clear" w:color="auto" w:fill="FFFFFF"/>
        </w:rPr>
        <w:t>,</w:t>
      </w:r>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“Trilemmas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Saravia and Jaume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r w:rsidRPr="00FE6187">
        <w:rPr>
          <w:rFonts w:cs="Arial"/>
          <w:color w:val="222222"/>
          <w:sz w:val="18"/>
          <w:szCs w:val="18"/>
          <w:shd w:val="clear" w:color="auto" w:fill="FFFFFF"/>
        </w:rPr>
        <w:t>Obstfeld, Maurice, Jay Shambaugh, and Alan M. Taylor.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1C082E05" w14:textId="77777777" w:rsidR="002922E6" w:rsidRPr="002922E6" w:rsidRDefault="002922E6" w:rsidP="003C2706">
      <w:pPr>
        <w:spacing w:line="240" w:lineRule="auto"/>
        <w:rPr>
          <w:rFonts w:cs="Arial"/>
          <w:color w:val="000000" w:themeColor="text1"/>
          <w:sz w:val="18"/>
          <w:szCs w:val="18"/>
          <w:shd w:val="clear" w:color="auto" w:fill="FFFFFF"/>
        </w:rPr>
      </w:pPr>
      <w:r w:rsidRPr="002922E6">
        <w:rPr>
          <w:rFonts w:eastAsia="MS Mincho"/>
          <w:color w:val="000000"/>
          <w:sz w:val="18"/>
          <w:szCs w:val="18"/>
          <w:lang w:eastAsia="ja-JP"/>
        </w:rPr>
        <w:t xml:space="preserve">Ogawa, Eiji.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0DA367C" w14:textId="77777777" w:rsidR="00864E22" w:rsidRPr="00FE6187" w:rsidRDefault="00C51F23" w:rsidP="00C51F23">
      <w:pPr>
        <w:rPr>
          <w:b/>
          <w:sz w:val="18"/>
          <w:szCs w:val="18"/>
          <w:lang w:val="en"/>
        </w:rPr>
      </w:pPr>
      <w:r w:rsidRPr="00FE6187">
        <w:rPr>
          <w:rFonts w:cs="Arial"/>
          <w:sz w:val="18"/>
          <w:szCs w:val="18"/>
          <w:shd w:val="clear" w:color="auto" w:fill="FFFFFF"/>
        </w:rPr>
        <w:t xml:space="preserve">Rafiq, M. Sohrab, </w:t>
      </w:r>
      <w:r w:rsidR="00864E22" w:rsidRPr="00FE6187">
        <w:rPr>
          <w:sz w:val="18"/>
          <w:szCs w:val="18"/>
        </w:rPr>
        <w:t xml:space="preserve"> 2011,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4E68DD28" w14:textId="77777777" w:rsidR="005228E0" w:rsidRPr="00FE6187" w:rsidRDefault="003C1F4F" w:rsidP="005228E0">
      <w:pPr>
        <w:spacing w:after="0" w:line="240" w:lineRule="auto"/>
        <w:jc w:val="both"/>
        <w:rPr>
          <w:sz w:val="18"/>
          <w:szCs w:val="18"/>
        </w:rPr>
      </w:pPr>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r w:rsidR="005228E0" w:rsidRPr="00FE6187">
        <w:rPr>
          <w:sz w:val="18"/>
          <w:szCs w:val="18"/>
        </w:rPr>
        <w:br/>
      </w:r>
    </w:p>
    <w:p w14:paraId="27F92485" w14:textId="50DE47ED"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J.Frankel and C.Pissarides, eds., </w:t>
      </w:r>
      <w:r w:rsidRPr="00620720">
        <w:rPr>
          <w:i/>
          <w:iCs/>
          <w:sz w:val="18"/>
          <w:szCs w:val="18"/>
        </w:rPr>
        <w:t>NBER International Seminar in Macroeconomics 2008</w:t>
      </w:r>
      <w:r w:rsidRPr="00FE6187">
        <w:rPr>
          <w:sz w:val="18"/>
          <w:szCs w:val="18"/>
        </w:rPr>
        <w:t xml:space="preserve"> (Chicago: </w:t>
      </w:r>
      <w:r w:rsidRPr="00620720">
        <w:rPr>
          <w:sz w:val="18"/>
          <w:szCs w:val="18"/>
        </w:rPr>
        <w:t>University of Chicago Press</w:t>
      </w:r>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77777777" w:rsidR="00766585" w:rsidRDefault="00766585" w:rsidP="00155D83">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 xml:space="preserve"> in </w:t>
      </w:r>
      <w:r w:rsidR="004B7131" w:rsidRPr="00FE6187">
        <w:rPr>
          <w:rFonts w:ascii="Arial" w:hAnsi="Arial" w:cs="Arial"/>
          <w:i/>
          <w:iCs/>
          <w:color w:val="222222"/>
          <w:sz w:val="18"/>
          <w:szCs w:val="18"/>
          <w:shd w:val="clear" w:color="auto" w:fill="FFFFFF"/>
        </w:rPr>
        <w:t>Jackson Hole Economic Symposium 2013</w:t>
      </w:r>
      <w:r w:rsidR="004B7131" w:rsidRPr="00FE6187">
        <w:rPr>
          <w:rFonts w:ascii="Arial" w:hAnsi="Arial" w:cs="Arial"/>
          <w:color w:val="222222"/>
          <w:sz w:val="18"/>
          <w:szCs w:val="18"/>
          <w:shd w:val="clear" w:color="auto" w:fill="FFFFFF"/>
        </w:rPr>
        <w:t xml:space="preserve"> (Federal Reserve Bank of Kansas City).  </w:t>
      </w:r>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
    <w:p w14:paraId="0B4D96CF" w14:textId="6FD78937" w:rsidR="00D722BA" w:rsidRPr="00D722BA" w:rsidRDefault="00D722BA" w:rsidP="00155D83">
      <w:pPr>
        <w:spacing w:line="240" w:lineRule="auto"/>
        <w:rPr>
          <w:color w:val="000000" w:themeColor="text1"/>
          <w:sz w:val="18"/>
          <w:szCs w:val="18"/>
        </w:rPr>
      </w:pPr>
      <w:r w:rsidRPr="00D722BA">
        <w:rPr>
          <w:rFonts w:cs="Arial"/>
          <w:color w:val="222222"/>
          <w:sz w:val="18"/>
          <w:szCs w:val="18"/>
          <w:shd w:val="clear" w:color="auto" w:fill="FFFFFF"/>
        </w:rPr>
        <w:t>Rodrik, Dani</w:t>
      </w:r>
      <w:r>
        <w:rPr>
          <w:rFonts w:cs="Arial"/>
          <w:color w:val="222222"/>
          <w:sz w:val="18"/>
          <w:szCs w:val="18"/>
          <w:shd w:val="clear" w:color="auto" w:fill="FFFFFF"/>
        </w:rPr>
        <w:t>, 2006,</w:t>
      </w:r>
      <w:r w:rsidRPr="00D722BA">
        <w:rPr>
          <w:rFonts w:cs="Arial"/>
          <w:color w:val="222222"/>
          <w:sz w:val="18"/>
          <w:szCs w:val="18"/>
          <w:shd w:val="clear" w:color="auto" w:fill="FFFFFF"/>
        </w:rPr>
        <w:t xml:space="preserve"> "The social cost of foreign exchange reserves."</w:t>
      </w:r>
      <w:r w:rsidRPr="00D722BA">
        <w:rPr>
          <w:rStyle w:val="apple-converted-space"/>
          <w:rFonts w:cs="Arial"/>
          <w:color w:val="222222"/>
          <w:sz w:val="18"/>
          <w:szCs w:val="18"/>
          <w:shd w:val="clear" w:color="auto" w:fill="FFFFFF"/>
        </w:rPr>
        <w:t> </w:t>
      </w:r>
      <w:r w:rsidRPr="00D722BA">
        <w:rPr>
          <w:rFonts w:cs="Arial"/>
          <w:i/>
          <w:iCs/>
          <w:color w:val="222222"/>
          <w:sz w:val="18"/>
          <w:szCs w:val="18"/>
          <w:shd w:val="clear" w:color="auto" w:fill="FFFFFF"/>
        </w:rPr>
        <w:t>International Economic Journal</w:t>
      </w:r>
      <w:r w:rsidRPr="00D722BA">
        <w:rPr>
          <w:rStyle w:val="apple-converted-space"/>
          <w:rFonts w:cs="Arial"/>
          <w:color w:val="222222"/>
          <w:sz w:val="18"/>
          <w:szCs w:val="18"/>
          <w:shd w:val="clear" w:color="auto" w:fill="FFFFFF"/>
        </w:rPr>
        <w:t> </w:t>
      </w:r>
      <w:r>
        <w:rPr>
          <w:rFonts w:cs="Arial"/>
          <w:color w:val="222222"/>
          <w:sz w:val="18"/>
          <w:szCs w:val="18"/>
          <w:shd w:val="clear" w:color="auto" w:fill="FFFFFF"/>
        </w:rPr>
        <w:t xml:space="preserve">20.3 , pp. </w:t>
      </w:r>
      <w:r w:rsidRPr="00D722BA">
        <w:rPr>
          <w:rFonts w:cs="Arial"/>
          <w:color w:val="222222"/>
          <w:sz w:val="18"/>
          <w:szCs w:val="18"/>
          <w:shd w:val="clear" w:color="auto" w:fill="FFFFFF"/>
        </w:rPr>
        <w:t>253-266</w:t>
      </w:r>
      <w:r w:rsidRPr="00D722BA">
        <w:rPr>
          <w:rFonts w:cs="Arial"/>
          <w:color w:val="222222"/>
          <w:sz w:val="20"/>
          <w:szCs w:val="20"/>
          <w:shd w:val="clear" w:color="auto" w:fill="FFFFFF"/>
        </w:rPr>
        <w:t>.</w:t>
      </w:r>
    </w:p>
    <w:p w14:paraId="77FB5DDD" w14:textId="77777777"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A32F4B" w:rsidRPr="00FE6187">
        <w:rPr>
          <w:rFonts w:asciiTheme="minorHAnsi" w:hAnsi="Calibri"/>
          <w:color w:val="000000" w:themeColor="text1"/>
          <w:kern w:val="24"/>
          <w:sz w:val="18"/>
          <w:szCs w:val="18"/>
        </w:rPr>
        <w:br/>
        <w:t xml:space="preserve"> </w:t>
      </w:r>
      <w:r w:rsidR="00A32F4B" w:rsidRPr="00FE6187">
        <w:rPr>
          <w:rFonts w:asciiTheme="minorHAnsi" w:hAnsi="Calibri"/>
          <w:i/>
          <w:iCs/>
          <w:color w:val="000000" w:themeColor="text1"/>
          <w:kern w:val="24"/>
          <w:sz w:val="18"/>
          <w:szCs w:val="18"/>
        </w:rPr>
        <w:t>J. Ec.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r w:rsidRPr="00FE6187">
        <w:rPr>
          <w:sz w:val="18"/>
          <w:szCs w:val="18"/>
        </w:rPr>
        <w:t xml:space="preserve">Sarno,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77777777"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r w:rsidRPr="00FE6187">
        <w:rPr>
          <w:sz w:val="18"/>
          <w:szCs w:val="18"/>
        </w:rPr>
        <w:t>Summers, Lawrence.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r w:rsidRPr="00FE6187">
        <w:rPr>
          <w:sz w:val="18"/>
          <w:szCs w:val="18"/>
        </w:rPr>
        <w:t>Tavlas, George, Dellas, Harris, and Stockman, Alan, 2008. "</w:t>
      </w:r>
      <w:hyperlink r:id="rId21" w:history="1">
        <w:r w:rsidRPr="00FE6187">
          <w:rPr>
            <w:sz w:val="18"/>
            <w:szCs w:val="18"/>
          </w:rPr>
          <w:t>The Classification and Performance of Alternative Exchange-Rate Systems</w:t>
        </w:r>
      </w:hyperlink>
      <w:r w:rsidRPr="00FE6187">
        <w:rPr>
          <w:sz w:val="18"/>
          <w:szCs w:val="18"/>
        </w:rPr>
        <w:t xml:space="preserve">," </w:t>
      </w:r>
      <w:hyperlink r:id="rId22"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r w:rsidRPr="00FE6187">
        <w:rPr>
          <w:sz w:val="18"/>
          <w:szCs w:val="18"/>
        </w:rPr>
        <w:t xml:space="preserve">Truman </w:t>
      </w:r>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760797AC" w:rsidR="006B2ED6"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 Sydney: Reserve Bank of Australia: 97-111.</w:t>
      </w:r>
    </w:p>
    <w:p w14:paraId="1C529DDE" w14:textId="77777777" w:rsidR="006B2ED6" w:rsidRDefault="006B2ED6">
      <w:pPr>
        <w:rPr>
          <w:sz w:val="18"/>
          <w:szCs w:val="18"/>
        </w:rPr>
      </w:pPr>
      <w:r>
        <w:rPr>
          <w:sz w:val="18"/>
          <w:szCs w:val="18"/>
        </w:rPr>
        <w:br w:type="page"/>
      </w:r>
    </w:p>
    <w:p w14:paraId="3A7001F3" w14:textId="4A449903" w:rsidR="00D254ED" w:rsidRPr="006B2ED6" w:rsidRDefault="006B2ED6" w:rsidP="00B82868">
      <w:pPr>
        <w:rPr>
          <w:sz w:val="32"/>
          <w:szCs w:val="32"/>
        </w:rPr>
      </w:pPr>
      <w:r>
        <w:rPr>
          <w:sz w:val="32"/>
          <w:szCs w:val="32"/>
        </w:rPr>
        <w:lastRenderedPageBreak/>
        <w:t>Appendix Tables 1 &amp;</w:t>
      </w:r>
      <w:r w:rsidRPr="006B2ED6">
        <w:rPr>
          <w:sz w:val="32"/>
          <w:szCs w:val="32"/>
        </w:rPr>
        <w:t xml:space="preserve"> 2: Estimation of Weights and Flexibility Parameter</w:t>
      </w:r>
    </w:p>
    <w:p w14:paraId="4DF7E9B2" w14:textId="1F46ED0D" w:rsidR="006B2ED6" w:rsidRPr="0067619E" w:rsidRDefault="006B2ED6" w:rsidP="006B2ED6">
      <w:pPr>
        <w:rPr>
          <w:b/>
          <w:sz w:val="16"/>
          <w:szCs w:val="16"/>
        </w:rPr>
      </w:pPr>
      <w:r>
        <w:rPr>
          <w:b/>
        </w:rPr>
        <w:t xml:space="preserve">Appendix Table 1. </w:t>
      </w:r>
      <w:r w:rsidRPr="00CA5017">
        <w:rPr>
          <w:b/>
        </w:rPr>
        <w:t xml:space="preserve">Identifying Break Points in Thailand’s Exchange Rate Regime </w:t>
      </w:r>
      <w:r w:rsidRPr="00D51A7E">
        <w:t>(</w:t>
      </w:r>
      <w:r w:rsidRPr="00CA5017">
        <w:t>M1:1999-M5:2009</w:t>
      </w:r>
      <w:r>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6B2ED6" w:rsidRPr="0020220E" w14:paraId="30CADF26" w14:textId="77777777" w:rsidTr="006851DC">
        <w:trPr>
          <w:jc w:val="center"/>
        </w:trPr>
        <w:tc>
          <w:tcPr>
            <w:tcW w:w="1349" w:type="dxa"/>
            <w:tcBorders>
              <w:top w:val="single" w:sz="6" w:space="0" w:color="auto"/>
              <w:left w:val="nil"/>
              <w:bottom w:val="nil"/>
              <w:right w:val="nil"/>
            </w:tcBorders>
          </w:tcPr>
          <w:p w14:paraId="3ACD3791" w14:textId="77777777" w:rsidR="006B2ED6" w:rsidRPr="0020220E" w:rsidRDefault="006B2ED6" w:rsidP="006851DC">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6DD990B6"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E918A8E"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407D4DEA"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2222EC2B"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(4)</w:t>
            </w:r>
          </w:p>
        </w:tc>
      </w:tr>
      <w:tr w:rsidR="006B2ED6" w:rsidRPr="0020220E" w14:paraId="27B51FF3" w14:textId="77777777" w:rsidTr="006851DC">
        <w:trPr>
          <w:jc w:val="center"/>
        </w:trPr>
        <w:tc>
          <w:tcPr>
            <w:tcW w:w="1349" w:type="dxa"/>
            <w:tcBorders>
              <w:top w:val="nil"/>
              <w:left w:val="nil"/>
              <w:bottom w:val="single" w:sz="6" w:space="0" w:color="auto"/>
              <w:right w:val="nil"/>
            </w:tcBorders>
          </w:tcPr>
          <w:p w14:paraId="71DF911D" w14:textId="77777777" w:rsidR="006B2ED6" w:rsidRPr="0020220E" w:rsidRDefault="006B2ED6" w:rsidP="006851DC">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28CEFD59"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27DA03E5"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71D42362"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725E5378"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4/1/2007-5/6/2009</w:t>
            </w:r>
          </w:p>
        </w:tc>
      </w:tr>
      <w:tr w:rsidR="006B2ED6" w:rsidRPr="0020220E" w14:paraId="6016EB34" w14:textId="77777777" w:rsidTr="006851DC">
        <w:trPr>
          <w:jc w:val="center"/>
        </w:trPr>
        <w:tc>
          <w:tcPr>
            <w:tcW w:w="1349" w:type="dxa"/>
            <w:tcBorders>
              <w:top w:val="nil"/>
              <w:left w:val="nil"/>
              <w:bottom w:val="nil"/>
              <w:right w:val="nil"/>
            </w:tcBorders>
          </w:tcPr>
          <w:p w14:paraId="6A9782C5" w14:textId="77777777" w:rsidR="006B2ED6" w:rsidRPr="00CA168C" w:rsidRDefault="006B2ED6" w:rsidP="006851DC">
            <w:pPr>
              <w:autoSpaceDE w:val="0"/>
              <w:autoSpaceDN w:val="0"/>
              <w:adjustRightInd w:val="0"/>
              <w:contextualSpacing/>
            </w:pPr>
            <w:r w:rsidRPr="00CA168C">
              <w:t>US dollar</w:t>
            </w:r>
          </w:p>
        </w:tc>
        <w:tc>
          <w:tcPr>
            <w:tcW w:w="1576" w:type="dxa"/>
            <w:tcBorders>
              <w:top w:val="nil"/>
              <w:left w:val="nil"/>
              <w:bottom w:val="nil"/>
              <w:right w:val="nil"/>
            </w:tcBorders>
          </w:tcPr>
          <w:p w14:paraId="5180A312" w14:textId="77777777" w:rsidR="006B2ED6" w:rsidRPr="00CA168C" w:rsidRDefault="006B2ED6" w:rsidP="006851DC">
            <w:pPr>
              <w:autoSpaceDE w:val="0"/>
              <w:autoSpaceDN w:val="0"/>
              <w:adjustRightInd w:val="0"/>
              <w:contextualSpacing/>
              <w:jc w:val="center"/>
            </w:pPr>
            <w:r w:rsidRPr="00CA168C">
              <w:t>0.62***</w:t>
            </w:r>
          </w:p>
        </w:tc>
        <w:tc>
          <w:tcPr>
            <w:tcW w:w="1672" w:type="dxa"/>
            <w:tcBorders>
              <w:top w:val="nil"/>
              <w:left w:val="nil"/>
              <w:bottom w:val="nil"/>
              <w:right w:val="nil"/>
            </w:tcBorders>
          </w:tcPr>
          <w:p w14:paraId="4EFCCBC5" w14:textId="77777777" w:rsidR="006B2ED6" w:rsidRPr="00CA168C" w:rsidRDefault="006B2ED6" w:rsidP="006851DC">
            <w:pPr>
              <w:autoSpaceDE w:val="0"/>
              <w:autoSpaceDN w:val="0"/>
              <w:adjustRightInd w:val="0"/>
              <w:contextualSpacing/>
              <w:jc w:val="center"/>
            </w:pPr>
            <w:r w:rsidRPr="00CA168C">
              <w:t>0.61***</w:t>
            </w:r>
          </w:p>
        </w:tc>
        <w:tc>
          <w:tcPr>
            <w:tcW w:w="1082" w:type="dxa"/>
            <w:tcBorders>
              <w:top w:val="nil"/>
              <w:left w:val="nil"/>
              <w:bottom w:val="nil"/>
              <w:right w:val="nil"/>
            </w:tcBorders>
          </w:tcPr>
          <w:p w14:paraId="5322236D" w14:textId="77777777" w:rsidR="006B2ED6" w:rsidRPr="00CA168C" w:rsidRDefault="006B2ED6" w:rsidP="006851DC">
            <w:pPr>
              <w:autoSpaceDE w:val="0"/>
              <w:autoSpaceDN w:val="0"/>
              <w:adjustRightInd w:val="0"/>
              <w:contextualSpacing/>
              <w:jc w:val="center"/>
            </w:pPr>
            <w:r w:rsidRPr="00CA168C">
              <w:t>0.80***</w:t>
            </w:r>
          </w:p>
        </w:tc>
        <w:tc>
          <w:tcPr>
            <w:tcW w:w="1250" w:type="dxa"/>
            <w:tcBorders>
              <w:top w:val="nil"/>
              <w:left w:val="nil"/>
              <w:bottom w:val="nil"/>
              <w:right w:val="nil"/>
            </w:tcBorders>
          </w:tcPr>
          <w:p w14:paraId="5FB5E4C9" w14:textId="77777777" w:rsidR="006B2ED6" w:rsidRPr="00CA168C" w:rsidRDefault="006B2ED6" w:rsidP="006851DC">
            <w:pPr>
              <w:autoSpaceDE w:val="0"/>
              <w:autoSpaceDN w:val="0"/>
              <w:adjustRightInd w:val="0"/>
              <w:contextualSpacing/>
              <w:jc w:val="center"/>
            </w:pPr>
            <w:r w:rsidRPr="00CA168C">
              <w:t>0.70***</w:t>
            </w:r>
          </w:p>
        </w:tc>
      </w:tr>
      <w:tr w:rsidR="006B2ED6" w:rsidRPr="0020220E" w14:paraId="0A9FC84A" w14:textId="77777777" w:rsidTr="006851DC">
        <w:trPr>
          <w:jc w:val="center"/>
        </w:trPr>
        <w:tc>
          <w:tcPr>
            <w:tcW w:w="1349" w:type="dxa"/>
            <w:tcBorders>
              <w:top w:val="nil"/>
              <w:left w:val="nil"/>
              <w:bottom w:val="nil"/>
              <w:right w:val="nil"/>
            </w:tcBorders>
          </w:tcPr>
          <w:p w14:paraId="6A4A1137"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6835754" w14:textId="77777777" w:rsidR="006B2ED6" w:rsidRPr="00CA168C" w:rsidRDefault="006B2ED6" w:rsidP="006851DC">
            <w:pPr>
              <w:autoSpaceDE w:val="0"/>
              <w:autoSpaceDN w:val="0"/>
              <w:adjustRightInd w:val="0"/>
              <w:contextualSpacing/>
              <w:jc w:val="center"/>
            </w:pPr>
            <w:r w:rsidRPr="00CA168C">
              <w:t>(0.09)</w:t>
            </w:r>
          </w:p>
        </w:tc>
        <w:tc>
          <w:tcPr>
            <w:tcW w:w="1672" w:type="dxa"/>
            <w:tcBorders>
              <w:top w:val="nil"/>
              <w:left w:val="nil"/>
              <w:bottom w:val="nil"/>
              <w:right w:val="nil"/>
            </w:tcBorders>
          </w:tcPr>
          <w:p w14:paraId="67B9FE04" w14:textId="77777777" w:rsidR="006B2ED6" w:rsidRPr="00CA168C" w:rsidRDefault="006B2ED6" w:rsidP="006851DC">
            <w:pPr>
              <w:autoSpaceDE w:val="0"/>
              <w:autoSpaceDN w:val="0"/>
              <w:adjustRightInd w:val="0"/>
              <w:contextualSpacing/>
              <w:jc w:val="center"/>
            </w:pPr>
            <w:r w:rsidRPr="00CA168C">
              <w:t>(0.04)</w:t>
            </w:r>
          </w:p>
        </w:tc>
        <w:tc>
          <w:tcPr>
            <w:tcW w:w="1082" w:type="dxa"/>
            <w:tcBorders>
              <w:top w:val="nil"/>
              <w:left w:val="nil"/>
              <w:bottom w:val="nil"/>
              <w:right w:val="nil"/>
            </w:tcBorders>
          </w:tcPr>
          <w:p w14:paraId="6552CAC0" w14:textId="77777777" w:rsidR="006B2ED6" w:rsidRPr="00CA168C" w:rsidRDefault="006B2ED6" w:rsidP="006851DC">
            <w:pPr>
              <w:autoSpaceDE w:val="0"/>
              <w:autoSpaceDN w:val="0"/>
              <w:adjustRightInd w:val="0"/>
              <w:contextualSpacing/>
              <w:jc w:val="center"/>
            </w:pPr>
            <w:r w:rsidRPr="00CA168C">
              <w:t>(0.28)</w:t>
            </w:r>
          </w:p>
        </w:tc>
        <w:tc>
          <w:tcPr>
            <w:tcW w:w="1250" w:type="dxa"/>
            <w:tcBorders>
              <w:top w:val="nil"/>
              <w:left w:val="nil"/>
              <w:bottom w:val="nil"/>
              <w:right w:val="nil"/>
            </w:tcBorders>
          </w:tcPr>
          <w:p w14:paraId="343905C9" w14:textId="77777777" w:rsidR="006B2ED6" w:rsidRPr="00CA168C" w:rsidRDefault="006B2ED6" w:rsidP="006851DC">
            <w:pPr>
              <w:autoSpaceDE w:val="0"/>
              <w:autoSpaceDN w:val="0"/>
              <w:adjustRightInd w:val="0"/>
              <w:contextualSpacing/>
              <w:jc w:val="center"/>
            </w:pPr>
            <w:r w:rsidRPr="00CA168C">
              <w:t>(0.05)</w:t>
            </w:r>
          </w:p>
        </w:tc>
      </w:tr>
      <w:tr w:rsidR="006B2ED6" w:rsidRPr="0020220E" w14:paraId="21C087B4" w14:textId="77777777" w:rsidTr="006851DC">
        <w:trPr>
          <w:jc w:val="center"/>
        </w:trPr>
        <w:tc>
          <w:tcPr>
            <w:tcW w:w="1349" w:type="dxa"/>
            <w:tcBorders>
              <w:top w:val="nil"/>
              <w:left w:val="nil"/>
              <w:bottom w:val="nil"/>
              <w:right w:val="nil"/>
            </w:tcBorders>
          </w:tcPr>
          <w:p w14:paraId="2ED37150" w14:textId="77777777" w:rsidR="006B2ED6" w:rsidRPr="00CA168C" w:rsidRDefault="006B2ED6" w:rsidP="006851DC">
            <w:pPr>
              <w:autoSpaceDE w:val="0"/>
              <w:autoSpaceDN w:val="0"/>
              <w:adjustRightInd w:val="0"/>
              <w:contextualSpacing/>
            </w:pPr>
            <w:r w:rsidRPr="00CA168C">
              <w:t>Euro</w:t>
            </w:r>
          </w:p>
        </w:tc>
        <w:tc>
          <w:tcPr>
            <w:tcW w:w="1576" w:type="dxa"/>
            <w:tcBorders>
              <w:top w:val="nil"/>
              <w:left w:val="nil"/>
              <w:bottom w:val="nil"/>
              <w:right w:val="nil"/>
            </w:tcBorders>
          </w:tcPr>
          <w:p w14:paraId="00AEC6E9" w14:textId="77777777" w:rsidR="006B2ED6" w:rsidRPr="00CA168C" w:rsidRDefault="006B2ED6" w:rsidP="006851DC">
            <w:pPr>
              <w:autoSpaceDE w:val="0"/>
              <w:autoSpaceDN w:val="0"/>
              <w:adjustRightInd w:val="0"/>
              <w:contextualSpacing/>
              <w:jc w:val="center"/>
            </w:pPr>
            <w:r w:rsidRPr="00CA168C">
              <w:t>0.26***</w:t>
            </w:r>
          </w:p>
        </w:tc>
        <w:tc>
          <w:tcPr>
            <w:tcW w:w="1672" w:type="dxa"/>
            <w:tcBorders>
              <w:top w:val="nil"/>
              <w:left w:val="nil"/>
              <w:bottom w:val="nil"/>
              <w:right w:val="nil"/>
            </w:tcBorders>
          </w:tcPr>
          <w:p w14:paraId="4C1178A3" w14:textId="77777777" w:rsidR="006B2ED6" w:rsidRPr="00CA168C" w:rsidRDefault="006B2ED6" w:rsidP="006851DC">
            <w:pPr>
              <w:autoSpaceDE w:val="0"/>
              <w:autoSpaceDN w:val="0"/>
              <w:adjustRightInd w:val="0"/>
              <w:contextualSpacing/>
              <w:jc w:val="center"/>
            </w:pPr>
            <w:r w:rsidRPr="00CA168C">
              <w:t>0.17***</w:t>
            </w:r>
          </w:p>
        </w:tc>
        <w:tc>
          <w:tcPr>
            <w:tcW w:w="1082" w:type="dxa"/>
            <w:tcBorders>
              <w:top w:val="nil"/>
              <w:left w:val="nil"/>
              <w:bottom w:val="nil"/>
              <w:right w:val="nil"/>
            </w:tcBorders>
          </w:tcPr>
          <w:p w14:paraId="554DF48F" w14:textId="77777777" w:rsidR="006B2ED6" w:rsidRPr="00CA168C" w:rsidRDefault="006B2ED6" w:rsidP="006851DC">
            <w:pPr>
              <w:autoSpaceDE w:val="0"/>
              <w:autoSpaceDN w:val="0"/>
              <w:adjustRightInd w:val="0"/>
              <w:contextualSpacing/>
              <w:jc w:val="center"/>
            </w:pPr>
            <w:r w:rsidRPr="00CA168C">
              <w:t>-0.08</w:t>
            </w:r>
          </w:p>
        </w:tc>
        <w:tc>
          <w:tcPr>
            <w:tcW w:w="1250" w:type="dxa"/>
            <w:tcBorders>
              <w:top w:val="nil"/>
              <w:left w:val="nil"/>
              <w:bottom w:val="nil"/>
              <w:right w:val="nil"/>
            </w:tcBorders>
          </w:tcPr>
          <w:p w14:paraId="2AABF41B" w14:textId="77777777" w:rsidR="006B2ED6" w:rsidRPr="00CA168C" w:rsidRDefault="006B2ED6" w:rsidP="006851DC">
            <w:pPr>
              <w:autoSpaceDE w:val="0"/>
              <w:autoSpaceDN w:val="0"/>
              <w:adjustRightInd w:val="0"/>
              <w:contextualSpacing/>
              <w:jc w:val="center"/>
            </w:pPr>
            <w:r w:rsidRPr="00CA168C">
              <w:t>0.19***</w:t>
            </w:r>
          </w:p>
        </w:tc>
      </w:tr>
      <w:tr w:rsidR="006B2ED6" w:rsidRPr="0020220E" w14:paraId="35E625A5" w14:textId="77777777" w:rsidTr="006851DC">
        <w:trPr>
          <w:jc w:val="center"/>
        </w:trPr>
        <w:tc>
          <w:tcPr>
            <w:tcW w:w="1349" w:type="dxa"/>
            <w:tcBorders>
              <w:top w:val="nil"/>
              <w:left w:val="nil"/>
              <w:bottom w:val="nil"/>
              <w:right w:val="nil"/>
            </w:tcBorders>
          </w:tcPr>
          <w:p w14:paraId="7222BA56"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9536D0E" w14:textId="77777777" w:rsidR="006B2ED6" w:rsidRPr="00CA168C" w:rsidRDefault="006B2ED6" w:rsidP="006851DC">
            <w:pPr>
              <w:autoSpaceDE w:val="0"/>
              <w:autoSpaceDN w:val="0"/>
              <w:adjustRightInd w:val="0"/>
              <w:contextualSpacing/>
              <w:jc w:val="center"/>
            </w:pPr>
            <w:r w:rsidRPr="00CA168C">
              <w:t>(0.08)</w:t>
            </w:r>
          </w:p>
        </w:tc>
        <w:tc>
          <w:tcPr>
            <w:tcW w:w="1672" w:type="dxa"/>
            <w:tcBorders>
              <w:top w:val="nil"/>
              <w:left w:val="nil"/>
              <w:bottom w:val="nil"/>
              <w:right w:val="nil"/>
            </w:tcBorders>
          </w:tcPr>
          <w:p w14:paraId="508B76A5"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11537980" w14:textId="77777777" w:rsidR="006B2ED6" w:rsidRPr="00CA168C" w:rsidRDefault="006B2ED6" w:rsidP="006851DC">
            <w:pPr>
              <w:autoSpaceDE w:val="0"/>
              <w:autoSpaceDN w:val="0"/>
              <w:adjustRightInd w:val="0"/>
              <w:contextualSpacing/>
              <w:jc w:val="center"/>
            </w:pPr>
            <w:r w:rsidRPr="00CA168C">
              <w:t>(0.59)</w:t>
            </w:r>
          </w:p>
        </w:tc>
        <w:tc>
          <w:tcPr>
            <w:tcW w:w="1250" w:type="dxa"/>
            <w:tcBorders>
              <w:top w:val="nil"/>
              <w:left w:val="nil"/>
              <w:bottom w:val="nil"/>
              <w:right w:val="nil"/>
            </w:tcBorders>
          </w:tcPr>
          <w:p w14:paraId="4A68EA02" w14:textId="77777777" w:rsidR="006B2ED6" w:rsidRPr="00CA168C" w:rsidRDefault="006B2ED6" w:rsidP="006851DC">
            <w:pPr>
              <w:autoSpaceDE w:val="0"/>
              <w:autoSpaceDN w:val="0"/>
              <w:adjustRightInd w:val="0"/>
              <w:contextualSpacing/>
              <w:jc w:val="center"/>
            </w:pPr>
            <w:r w:rsidRPr="00CA168C">
              <w:t>(0.04)</w:t>
            </w:r>
          </w:p>
        </w:tc>
      </w:tr>
      <w:tr w:rsidR="006B2ED6" w:rsidRPr="0020220E" w14:paraId="4F6E8862" w14:textId="77777777" w:rsidTr="006851DC">
        <w:trPr>
          <w:jc w:val="center"/>
        </w:trPr>
        <w:tc>
          <w:tcPr>
            <w:tcW w:w="1349" w:type="dxa"/>
            <w:tcBorders>
              <w:top w:val="nil"/>
              <w:left w:val="nil"/>
              <w:bottom w:val="nil"/>
              <w:right w:val="nil"/>
            </w:tcBorders>
          </w:tcPr>
          <w:p w14:paraId="593EF964" w14:textId="77777777" w:rsidR="006B2ED6" w:rsidRPr="00CA168C" w:rsidRDefault="006B2ED6" w:rsidP="006851DC">
            <w:pPr>
              <w:autoSpaceDE w:val="0"/>
              <w:autoSpaceDN w:val="0"/>
              <w:adjustRightInd w:val="0"/>
              <w:contextualSpacing/>
            </w:pPr>
            <w:r w:rsidRPr="00CA168C">
              <w:t>Jpn yen</w:t>
            </w:r>
          </w:p>
        </w:tc>
        <w:tc>
          <w:tcPr>
            <w:tcW w:w="1576" w:type="dxa"/>
            <w:tcBorders>
              <w:top w:val="nil"/>
              <w:left w:val="nil"/>
              <w:bottom w:val="nil"/>
              <w:right w:val="nil"/>
            </w:tcBorders>
          </w:tcPr>
          <w:p w14:paraId="5FF251FC" w14:textId="77777777" w:rsidR="006B2ED6" w:rsidRPr="00CA168C" w:rsidRDefault="006B2ED6" w:rsidP="006851DC">
            <w:pPr>
              <w:autoSpaceDE w:val="0"/>
              <w:autoSpaceDN w:val="0"/>
              <w:adjustRightInd w:val="0"/>
              <w:contextualSpacing/>
              <w:jc w:val="center"/>
            </w:pPr>
            <w:r w:rsidRPr="00CA168C">
              <w:t>0.15***</w:t>
            </w:r>
          </w:p>
        </w:tc>
        <w:tc>
          <w:tcPr>
            <w:tcW w:w="1672" w:type="dxa"/>
            <w:tcBorders>
              <w:top w:val="nil"/>
              <w:left w:val="nil"/>
              <w:bottom w:val="nil"/>
              <w:right w:val="nil"/>
            </w:tcBorders>
          </w:tcPr>
          <w:p w14:paraId="6E401686" w14:textId="77777777" w:rsidR="006B2ED6" w:rsidRPr="00CA168C" w:rsidRDefault="006B2ED6" w:rsidP="006851DC">
            <w:pPr>
              <w:autoSpaceDE w:val="0"/>
              <w:autoSpaceDN w:val="0"/>
              <w:adjustRightInd w:val="0"/>
              <w:contextualSpacing/>
              <w:jc w:val="center"/>
            </w:pPr>
            <w:r w:rsidRPr="00CA168C">
              <w:t>0.25***</w:t>
            </w:r>
          </w:p>
        </w:tc>
        <w:tc>
          <w:tcPr>
            <w:tcW w:w="1082" w:type="dxa"/>
            <w:tcBorders>
              <w:top w:val="nil"/>
              <w:left w:val="nil"/>
              <w:bottom w:val="nil"/>
              <w:right w:val="nil"/>
            </w:tcBorders>
          </w:tcPr>
          <w:p w14:paraId="2BACF4B0" w14:textId="77777777" w:rsidR="006B2ED6" w:rsidRPr="00CA168C" w:rsidRDefault="006B2ED6" w:rsidP="006851DC">
            <w:pPr>
              <w:autoSpaceDE w:val="0"/>
              <w:autoSpaceDN w:val="0"/>
              <w:adjustRightInd w:val="0"/>
              <w:contextualSpacing/>
              <w:jc w:val="center"/>
            </w:pPr>
            <w:r w:rsidRPr="00CA168C">
              <w:t>0.16</w:t>
            </w:r>
          </w:p>
        </w:tc>
        <w:tc>
          <w:tcPr>
            <w:tcW w:w="1250" w:type="dxa"/>
            <w:tcBorders>
              <w:top w:val="nil"/>
              <w:left w:val="nil"/>
              <w:bottom w:val="nil"/>
              <w:right w:val="nil"/>
            </w:tcBorders>
          </w:tcPr>
          <w:p w14:paraId="2533CDE5" w14:textId="77777777" w:rsidR="006B2ED6" w:rsidRPr="00CA168C" w:rsidRDefault="006B2ED6" w:rsidP="006851DC">
            <w:pPr>
              <w:autoSpaceDE w:val="0"/>
              <w:autoSpaceDN w:val="0"/>
              <w:adjustRightInd w:val="0"/>
              <w:contextualSpacing/>
              <w:jc w:val="center"/>
            </w:pPr>
            <w:r w:rsidRPr="00CA168C">
              <w:t>0.04</w:t>
            </w:r>
          </w:p>
        </w:tc>
      </w:tr>
      <w:tr w:rsidR="006B2ED6" w:rsidRPr="0020220E" w14:paraId="706CFDEC" w14:textId="77777777" w:rsidTr="006851DC">
        <w:trPr>
          <w:jc w:val="center"/>
        </w:trPr>
        <w:tc>
          <w:tcPr>
            <w:tcW w:w="1349" w:type="dxa"/>
            <w:tcBorders>
              <w:top w:val="nil"/>
              <w:left w:val="nil"/>
              <w:bottom w:val="nil"/>
              <w:right w:val="nil"/>
            </w:tcBorders>
          </w:tcPr>
          <w:p w14:paraId="5E72E84C"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79469D7F" w14:textId="77777777" w:rsidR="006B2ED6" w:rsidRPr="00CA168C" w:rsidRDefault="006B2ED6" w:rsidP="006851DC">
            <w:pPr>
              <w:autoSpaceDE w:val="0"/>
              <w:autoSpaceDN w:val="0"/>
              <w:adjustRightInd w:val="0"/>
              <w:contextualSpacing/>
              <w:jc w:val="center"/>
            </w:pPr>
            <w:r w:rsidRPr="00CA168C">
              <w:t>(0.04)</w:t>
            </w:r>
          </w:p>
        </w:tc>
        <w:tc>
          <w:tcPr>
            <w:tcW w:w="1672" w:type="dxa"/>
            <w:tcBorders>
              <w:top w:val="nil"/>
              <w:left w:val="nil"/>
              <w:bottom w:val="nil"/>
              <w:right w:val="nil"/>
            </w:tcBorders>
          </w:tcPr>
          <w:p w14:paraId="251514F0" w14:textId="77777777" w:rsidR="006B2ED6" w:rsidRPr="00CA168C" w:rsidRDefault="006B2ED6" w:rsidP="006851DC">
            <w:pPr>
              <w:autoSpaceDE w:val="0"/>
              <w:autoSpaceDN w:val="0"/>
              <w:adjustRightInd w:val="0"/>
              <w:contextualSpacing/>
              <w:jc w:val="center"/>
            </w:pPr>
            <w:r w:rsidRPr="00CA168C">
              <w:t>(0.03)</w:t>
            </w:r>
          </w:p>
        </w:tc>
        <w:tc>
          <w:tcPr>
            <w:tcW w:w="1082" w:type="dxa"/>
            <w:tcBorders>
              <w:top w:val="nil"/>
              <w:left w:val="nil"/>
              <w:bottom w:val="nil"/>
              <w:right w:val="nil"/>
            </w:tcBorders>
          </w:tcPr>
          <w:p w14:paraId="34D10225" w14:textId="77777777" w:rsidR="006B2ED6" w:rsidRPr="00CA168C" w:rsidRDefault="006B2ED6" w:rsidP="006851DC">
            <w:pPr>
              <w:autoSpaceDE w:val="0"/>
              <w:autoSpaceDN w:val="0"/>
              <w:adjustRightInd w:val="0"/>
              <w:contextualSpacing/>
              <w:jc w:val="center"/>
            </w:pPr>
            <w:r w:rsidRPr="00CA168C">
              <w:t>(0.30)</w:t>
            </w:r>
          </w:p>
        </w:tc>
        <w:tc>
          <w:tcPr>
            <w:tcW w:w="1250" w:type="dxa"/>
            <w:tcBorders>
              <w:top w:val="nil"/>
              <w:left w:val="nil"/>
              <w:bottom w:val="nil"/>
              <w:right w:val="nil"/>
            </w:tcBorders>
          </w:tcPr>
          <w:p w14:paraId="514C1FCE" w14:textId="77777777" w:rsidR="006B2ED6" w:rsidRPr="00CA168C" w:rsidRDefault="006B2ED6" w:rsidP="006851DC">
            <w:pPr>
              <w:autoSpaceDE w:val="0"/>
              <w:autoSpaceDN w:val="0"/>
              <w:adjustRightInd w:val="0"/>
              <w:contextualSpacing/>
              <w:jc w:val="center"/>
            </w:pPr>
            <w:r w:rsidRPr="00CA168C">
              <w:t>(0.03)</w:t>
            </w:r>
          </w:p>
        </w:tc>
      </w:tr>
      <w:tr w:rsidR="006B2ED6" w:rsidRPr="0020220E" w14:paraId="3C43B0C6" w14:textId="77777777" w:rsidTr="006851DC">
        <w:trPr>
          <w:jc w:val="center"/>
        </w:trPr>
        <w:tc>
          <w:tcPr>
            <w:tcW w:w="1349" w:type="dxa"/>
            <w:tcBorders>
              <w:top w:val="nil"/>
              <w:left w:val="nil"/>
              <w:bottom w:val="nil"/>
              <w:right w:val="nil"/>
            </w:tcBorders>
          </w:tcPr>
          <w:p w14:paraId="205629A4"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576" w:type="dxa"/>
            <w:tcBorders>
              <w:top w:val="nil"/>
              <w:left w:val="nil"/>
              <w:bottom w:val="nil"/>
              <w:right w:val="nil"/>
            </w:tcBorders>
          </w:tcPr>
          <w:p w14:paraId="2488496E" w14:textId="77777777" w:rsidR="006B2ED6" w:rsidRPr="00CA168C" w:rsidRDefault="006B2ED6" w:rsidP="006851DC">
            <w:pPr>
              <w:autoSpaceDE w:val="0"/>
              <w:autoSpaceDN w:val="0"/>
              <w:adjustRightInd w:val="0"/>
              <w:contextualSpacing/>
              <w:jc w:val="center"/>
            </w:pPr>
            <w:r w:rsidRPr="00CA168C">
              <w:t>0.20***</w:t>
            </w:r>
          </w:p>
        </w:tc>
        <w:tc>
          <w:tcPr>
            <w:tcW w:w="1672" w:type="dxa"/>
            <w:tcBorders>
              <w:top w:val="nil"/>
              <w:left w:val="nil"/>
              <w:bottom w:val="nil"/>
              <w:right w:val="nil"/>
            </w:tcBorders>
          </w:tcPr>
          <w:p w14:paraId="1B75B411"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0D899F02" w14:textId="77777777" w:rsidR="006B2ED6" w:rsidRPr="00CA168C" w:rsidRDefault="006B2ED6" w:rsidP="006851DC">
            <w:pPr>
              <w:autoSpaceDE w:val="0"/>
              <w:autoSpaceDN w:val="0"/>
              <w:adjustRightInd w:val="0"/>
              <w:contextualSpacing/>
              <w:jc w:val="center"/>
            </w:pPr>
            <w:r w:rsidRPr="00CA168C">
              <w:t>0.50***</w:t>
            </w:r>
          </w:p>
        </w:tc>
        <w:tc>
          <w:tcPr>
            <w:tcW w:w="1250" w:type="dxa"/>
            <w:tcBorders>
              <w:top w:val="nil"/>
              <w:left w:val="nil"/>
              <w:bottom w:val="nil"/>
              <w:right w:val="nil"/>
            </w:tcBorders>
          </w:tcPr>
          <w:p w14:paraId="73A5D75B" w14:textId="77777777" w:rsidR="006B2ED6" w:rsidRPr="00CA168C" w:rsidRDefault="006B2ED6" w:rsidP="006851DC">
            <w:pPr>
              <w:autoSpaceDE w:val="0"/>
              <w:autoSpaceDN w:val="0"/>
              <w:adjustRightInd w:val="0"/>
              <w:contextualSpacing/>
              <w:jc w:val="center"/>
            </w:pPr>
            <w:r w:rsidRPr="00CA168C">
              <w:t>0.03**</w:t>
            </w:r>
          </w:p>
        </w:tc>
      </w:tr>
      <w:tr w:rsidR="006B2ED6" w:rsidRPr="0020220E" w14:paraId="13A54AE6" w14:textId="77777777" w:rsidTr="006851DC">
        <w:trPr>
          <w:jc w:val="center"/>
        </w:trPr>
        <w:tc>
          <w:tcPr>
            <w:tcW w:w="1349" w:type="dxa"/>
            <w:tcBorders>
              <w:top w:val="nil"/>
              <w:left w:val="nil"/>
              <w:bottom w:val="nil"/>
              <w:right w:val="nil"/>
            </w:tcBorders>
          </w:tcPr>
          <w:p w14:paraId="0BE1795E"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63F9D207" w14:textId="77777777" w:rsidR="006B2ED6" w:rsidRPr="00CA168C" w:rsidRDefault="006B2ED6" w:rsidP="006851DC">
            <w:pPr>
              <w:autoSpaceDE w:val="0"/>
              <w:autoSpaceDN w:val="0"/>
              <w:adjustRightInd w:val="0"/>
              <w:contextualSpacing/>
              <w:jc w:val="center"/>
            </w:pPr>
            <w:r w:rsidRPr="00CA168C">
              <w:t>(0.05)</w:t>
            </w:r>
          </w:p>
        </w:tc>
        <w:tc>
          <w:tcPr>
            <w:tcW w:w="1672" w:type="dxa"/>
            <w:tcBorders>
              <w:top w:val="nil"/>
              <w:left w:val="nil"/>
              <w:bottom w:val="nil"/>
              <w:right w:val="nil"/>
            </w:tcBorders>
          </w:tcPr>
          <w:p w14:paraId="01FB504E" w14:textId="77777777" w:rsidR="006B2ED6" w:rsidRPr="00CA168C" w:rsidRDefault="006B2ED6" w:rsidP="006851DC">
            <w:pPr>
              <w:autoSpaceDE w:val="0"/>
              <w:autoSpaceDN w:val="0"/>
              <w:adjustRightInd w:val="0"/>
              <w:contextualSpacing/>
              <w:jc w:val="center"/>
            </w:pPr>
            <w:r w:rsidRPr="00CA168C">
              <w:t>(0.02)</w:t>
            </w:r>
          </w:p>
        </w:tc>
        <w:tc>
          <w:tcPr>
            <w:tcW w:w="1082" w:type="dxa"/>
            <w:tcBorders>
              <w:top w:val="nil"/>
              <w:left w:val="nil"/>
              <w:bottom w:val="nil"/>
              <w:right w:val="nil"/>
            </w:tcBorders>
          </w:tcPr>
          <w:p w14:paraId="21447A2F" w14:textId="77777777" w:rsidR="006B2ED6" w:rsidRPr="00CA168C" w:rsidRDefault="006B2ED6" w:rsidP="006851DC">
            <w:pPr>
              <w:autoSpaceDE w:val="0"/>
              <w:autoSpaceDN w:val="0"/>
              <w:adjustRightInd w:val="0"/>
              <w:contextualSpacing/>
              <w:jc w:val="center"/>
            </w:pPr>
            <w:r w:rsidRPr="00CA168C">
              <w:t>(0.17)</w:t>
            </w:r>
          </w:p>
        </w:tc>
        <w:tc>
          <w:tcPr>
            <w:tcW w:w="1250" w:type="dxa"/>
            <w:tcBorders>
              <w:top w:val="nil"/>
              <w:left w:val="nil"/>
              <w:bottom w:val="nil"/>
              <w:right w:val="nil"/>
            </w:tcBorders>
          </w:tcPr>
          <w:p w14:paraId="5B10193E" w14:textId="77777777" w:rsidR="006B2ED6" w:rsidRPr="00CA168C" w:rsidRDefault="006B2ED6" w:rsidP="006851DC">
            <w:pPr>
              <w:autoSpaceDE w:val="0"/>
              <w:autoSpaceDN w:val="0"/>
              <w:adjustRightInd w:val="0"/>
              <w:contextualSpacing/>
              <w:jc w:val="center"/>
            </w:pPr>
            <w:r w:rsidRPr="00CA168C">
              <w:t>(0.01)</w:t>
            </w:r>
          </w:p>
        </w:tc>
      </w:tr>
      <w:tr w:rsidR="006B2ED6" w:rsidRPr="0020220E" w14:paraId="3FDCB657" w14:textId="77777777" w:rsidTr="006851DC">
        <w:trPr>
          <w:jc w:val="center"/>
        </w:trPr>
        <w:tc>
          <w:tcPr>
            <w:tcW w:w="1349" w:type="dxa"/>
            <w:tcBorders>
              <w:top w:val="nil"/>
              <w:left w:val="nil"/>
              <w:bottom w:val="nil"/>
              <w:right w:val="nil"/>
            </w:tcBorders>
          </w:tcPr>
          <w:p w14:paraId="47371832" w14:textId="77777777" w:rsidR="006B2ED6" w:rsidRPr="00CA168C" w:rsidRDefault="006B2ED6" w:rsidP="006851DC">
            <w:pPr>
              <w:autoSpaceDE w:val="0"/>
              <w:autoSpaceDN w:val="0"/>
              <w:adjustRightInd w:val="0"/>
              <w:contextualSpacing/>
            </w:pPr>
            <w:r w:rsidRPr="00CA168C">
              <w:t>Constant</w:t>
            </w:r>
          </w:p>
        </w:tc>
        <w:tc>
          <w:tcPr>
            <w:tcW w:w="1576" w:type="dxa"/>
            <w:tcBorders>
              <w:top w:val="nil"/>
              <w:left w:val="nil"/>
              <w:bottom w:val="nil"/>
              <w:right w:val="nil"/>
            </w:tcBorders>
          </w:tcPr>
          <w:p w14:paraId="27A80A4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74A051DC"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45716AF8" w14:textId="77777777" w:rsidR="006B2ED6" w:rsidRPr="00CA168C" w:rsidRDefault="006B2ED6" w:rsidP="006851DC">
            <w:pPr>
              <w:autoSpaceDE w:val="0"/>
              <w:autoSpaceDN w:val="0"/>
              <w:adjustRightInd w:val="0"/>
              <w:contextualSpacing/>
              <w:jc w:val="center"/>
            </w:pPr>
            <w:r w:rsidRPr="00CA168C">
              <w:t>-0.01</w:t>
            </w:r>
          </w:p>
        </w:tc>
        <w:tc>
          <w:tcPr>
            <w:tcW w:w="1250" w:type="dxa"/>
            <w:tcBorders>
              <w:top w:val="nil"/>
              <w:left w:val="nil"/>
              <w:bottom w:val="nil"/>
              <w:right w:val="nil"/>
            </w:tcBorders>
          </w:tcPr>
          <w:p w14:paraId="2B218449"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72C0EB5" w14:textId="77777777" w:rsidTr="006851DC">
        <w:trPr>
          <w:trHeight w:val="342"/>
          <w:jc w:val="center"/>
        </w:trPr>
        <w:tc>
          <w:tcPr>
            <w:tcW w:w="1349" w:type="dxa"/>
            <w:tcBorders>
              <w:top w:val="nil"/>
              <w:left w:val="nil"/>
              <w:bottom w:val="nil"/>
              <w:right w:val="nil"/>
            </w:tcBorders>
          </w:tcPr>
          <w:p w14:paraId="114C0EEF"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2DE5ACC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5F234DB3"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6868B753" w14:textId="77777777" w:rsidR="006B2ED6" w:rsidRPr="00CA168C" w:rsidRDefault="006B2ED6" w:rsidP="006851DC">
            <w:pPr>
              <w:autoSpaceDE w:val="0"/>
              <w:autoSpaceDN w:val="0"/>
              <w:adjustRightInd w:val="0"/>
              <w:contextualSpacing/>
              <w:jc w:val="center"/>
            </w:pPr>
            <w:r w:rsidRPr="00CA168C">
              <w:t>(0.00)</w:t>
            </w:r>
          </w:p>
        </w:tc>
        <w:tc>
          <w:tcPr>
            <w:tcW w:w="1250" w:type="dxa"/>
            <w:tcBorders>
              <w:top w:val="nil"/>
              <w:left w:val="nil"/>
              <w:bottom w:val="nil"/>
              <w:right w:val="nil"/>
            </w:tcBorders>
          </w:tcPr>
          <w:p w14:paraId="144DC931"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ACFF5FB" w14:textId="77777777" w:rsidTr="006851DC">
        <w:trPr>
          <w:jc w:val="center"/>
        </w:trPr>
        <w:tc>
          <w:tcPr>
            <w:tcW w:w="1349" w:type="dxa"/>
            <w:tcBorders>
              <w:top w:val="nil"/>
              <w:left w:val="nil"/>
              <w:bottom w:val="nil"/>
              <w:right w:val="nil"/>
            </w:tcBorders>
          </w:tcPr>
          <w:p w14:paraId="403CE82E" w14:textId="77777777" w:rsidR="006B2ED6" w:rsidRPr="00CA168C" w:rsidRDefault="006B2ED6" w:rsidP="006851DC">
            <w:pPr>
              <w:autoSpaceDE w:val="0"/>
              <w:autoSpaceDN w:val="0"/>
              <w:adjustRightInd w:val="0"/>
              <w:contextualSpacing/>
            </w:pPr>
            <w:r w:rsidRPr="00CA168C">
              <w:t>Observations</w:t>
            </w:r>
          </w:p>
        </w:tc>
        <w:tc>
          <w:tcPr>
            <w:tcW w:w="1576" w:type="dxa"/>
            <w:tcBorders>
              <w:top w:val="nil"/>
              <w:left w:val="nil"/>
              <w:bottom w:val="nil"/>
              <w:right w:val="nil"/>
            </w:tcBorders>
          </w:tcPr>
          <w:p w14:paraId="7BA40FEA" w14:textId="77777777" w:rsidR="006B2ED6" w:rsidRPr="00CA168C" w:rsidRDefault="006B2ED6" w:rsidP="006851DC">
            <w:pPr>
              <w:autoSpaceDE w:val="0"/>
              <w:autoSpaceDN w:val="0"/>
              <w:adjustRightInd w:val="0"/>
              <w:contextualSpacing/>
              <w:jc w:val="center"/>
            </w:pPr>
            <w:r w:rsidRPr="00CA168C">
              <w:t>129</w:t>
            </w:r>
          </w:p>
        </w:tc>
        <w:tc>
          <w:tcPr>
            <w:tcW w:w="1672" w:type="dxa"/>
            <w:tcBorders>
              <w:top w:val="nil"/>
              <w:left w:val="nil"/>
              <w:bottom w:val="nil"/>
              <w:right w:val="nil"/>
            </w:tcBorders>
          </w:tcPr>
          <w:p w14:paraId="600370BA" w14:textId="77777777" w:rsidR="006B2ED6" w:rsidRPr="00CA168C" w:rsidRDefault="006B2ED6" w:rsidP="006851DC">
            <w:pPr>
              <w:autoSpaceDE w:val="0"/>
              <w:autoSpaceDN w:val="0"/>
              <w:adjustRightInd w:val="0"/>
              <w:contextualSpacing/>
              <w:jc w:val="center"/>
            </w:pPr>
            <w:r w:rsidRPr="00CA168C">
              <w:t>257</w:t>
            </w:r>
          </w:p>
        </w:tc>
        <w:tc>
          <w:tcPr>
            <w:tcW w:w="1082" w:type="dxa"/>
            <w:tcBorders>
              <w:top w:val="nil"/>
              <w:left w:val="nil"/>
              <w:bottom w:val="nil"/>
              <w:right w:val="nil"/>
            </w:tcBorders>
          </w:tcPr>
          <w:p w14:paraId="7F087EFC" w14:textId="77777777" w:rsidR="006B2ED6" w:rsidRPr="00CA168C" w:rsidRDefault="006B2ED6" w:rsidP="006851DC">
            <w:pPr>
              <w:autoSpaceDE w:val="0"/>
              <w:autoSpaceDN w:val="0"/>
              <w:adjustRightInd w:val="0"/>
              <w:contextualSpacing/>
              <w:jc w:val="center"/>
            </w:pPr>
            <w:r w:rsidRPr="00CA168C">
              <w:t>27</w:t>
            </w:r>
          </w:p>
        </w:tc>
        <w:tc>
          <w:tcPr>
            <w:tcW w:w="1250" w:type="dxa"/>
            <w:tcBorders>
              <w:top w:val="nil"/>
              <w:left w:val="nil"/>
              <w:bottom w:val="nil"/>
              <w:right w:val="nil"/>
            </w:tcBorders>
          </w:tcPr>
          <w:p w14:paraId="03FC8D93" w14:textId="77777777" w:rsidR="006B2ED6" w:rsidRPr="00CA168C" w:rsidRDefault="006B2ED6" w:rsidP="006851DC">
            <w:pPr>
              <w:autoSpaceDE w:val="0"/>
              <w:autoSpaceDN w:val="0"/>
              <w:adjustRightInd w:val="0"/>
              <w:contextualSpacing/>
              <w:jc w:val="center"/>
            </w:pPr>
            <w:r w:rsidRPr="00CA168C">
              <w:t>108</w:t>
            </w:r>
          </w:p>
        </w:tc>
      </w:tr>
      <w:tr w:rsidR="00681AB1" w:rsidRPr="0020220E" w14:paraId="26758D6A" w14:textId="77777777" w:rsidTr="006851DC">
        <w:trPr>
          <w:jc w:val="center"/>
        </w:trPr>
        <w:tc>
          <w:tcPr>
            <w:tcW w:w="1349" w:type="dxa"/>
            <w:tcBorders>
              <w:top w:val="nil"/>
              <w:left w:val="nil"/>
              <w:bottom w:val="nil"/>
              <w:right w:val="nil"/>
            </w:tcBorders>
          </w:tcPr>
          <w:p w14:paraId="671C4CC9" w14:textId="343E7005"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576" w:type="dxa"/>
            <w:tcBorders>
              <w:top w:val="nil"/>
              <w:left w:val="nil"/>
              <w:bottom w:val="nil"/>
              <w:right w:val="nil"/>
            </w:tcBorders>
          </w:tcPr>
          <w:p w14:paraId="43BABA79" w14:textId="77777777" w:rsidR="00681AB1" w:rsidRPr="00CA168C" w:rsidRDefault="00681AB1" w:rsidP="006851DC">
            <w:pPr>
              <w:autoSpaceDE w:val="0"/>
              <w:autoSpaceDN w:val="0"/>
              <w:adjustRightInd w:val="0"/>
              <w:contextualSpacing/>
              <w:jc w:val="center"/>
            </w:pPr>
            <w:r w:rsidRPr="00CA168C">
              <w:t>0.66</w:t>
            </w:r>
          </w:p>
        </w:tc>
        <w:tc>
          <w:tcPr>
            <w:tcW w:w="1672" w:type="dxa"/>
            <w:tcBorders>
              <w:top w:val="nil"/>
              <w:left w:val="nil"/>
              <w:bottom w:val="nil"/>
              <w:right w:val="nil"/>
            </w:tcBorders>
          </w:tcPr>
          <w:p w14:paraId="6D908CAB" w14:textId="77777777" w:rsidR="00681AB1" w:rsidRPr="00CA168C" w:rsidRDefault="00681AB1" w:rsidP="006851DC">
            <w:pPr>
              <w:autoSpaceDE w:val="0"/>
              <w:autoSpaceDN w:val="0"/>
              <w:adjustRightInd w:val="0"/>
              <w:contextualSpacing/>
              <w:jc w:val="center"/>
            </w:pPr>
            <w:r w:rsidRPr="00CA168C">
              <w:t>0.76</w:t>
            </w:r>
          </w:p>
        </w:tc>
        <w:tc>
          <w:tcPr>
            <w:tcW w:w="1082" w:type="dxa"/>
            <w:tcBorders>
              <w:top w:val="nil"/>
              <w:left w:val="nil"/>
              <w:bottom w:val="nil"/>
              <w:right w:val="nil"/>
            </w:tcBorders>
          </w:tcPr>
          <w:p w14:paraId="5D717EB8" w14:textId="77777777" w:rsidR="00681AB1" w:rsidRPr="00CA168C" w:rsidRDefault="00681AB1" w:rsidP="006851DC">
            <w:pPr>
              <w:autoSpaceDE w:val="0"/>
              <w:autoSpaceDN w:val="0"/>
              <w:adjustRightInd w:val="0"/>
              <w:contextualSpacing/>
              <w:jc w:val="center"/>
            </w:pPr>
            <w:r w:rsidRPr="00CA168C">
              <w:t>0.64</w:t>
            </w:r>
          </w:p>
        </w:tc>
        <w:tc>
          <w:tcPr>
            <w:tcW w:w="1250" w:type="dxa"/>
            <w:tcBorders>
              <w:top w:val="nil"/>
              <w:left w:val="nil"/>
              <w:bottom w:val="nil"/>
              <w:right w:val="nil"/>
            </w:tcBorders>
          </w:tcPr>
          <w:p w14:paraId="661749C2" w14:textId="77777777" w:rsidR="00681AB1" w:rsidRPr="00CA168C" w:rsidRDefault="00681AB1" w:rsidP="006851DC">
            <w:pPr>
              <w:autoSpaceDE w:val="0"/>
              <w:autoSpaceDN w:val="0"/>
              <w:adjustRightInd w:val="0"/>
              <w:contextualSpacing/>
              <w:jc w:val="center"/>
            </w:pPr>
            <w:r w:rsidRPr="00CA168C">
              <w:t>0.90</w:t>
            </w:r>
          </w:p>
        </w:tc>
      </w:tr>
      <w:tr w:rsidR="00681AB1" w:rsidRPr="0020220E" w14:paraId="0FD76315" w14:textId="77777777" w:rsidTr="006851DC">
        <w:tblPrEx>
          <w:tblBorders>
            <w:bottom w:val="single" w:sz="6" w:space="0" w:color="auto"/>
          </w:tblBorders>
        </w:tblPrEx>
        <w:trPr>
          <w:jc w:val="center"/>
        </w:trPr>
        <w:tc>
          <w:tcPr>
            <w:tcW w:w="1349" w:type="dxa"/>
            <w:tcBorders>
              <w:top w:val="nil"/>
              <w:left w:val="nil"/>
              <w:bottom w:val="single" w:sz="6" w:space="0" w:color="auto"/>
              <w:right w:val="nil"/>
            </w:tcBorders>
          </w:tcPr>
          <w:p w14:paraId="06BEF19B" w14:textId="1F7D1AFC" w:rsidR="00681AB1" w:rsidRPr="00CA168C" w:rsidRDefault="00681AB1" w:rsidP="006851DC">
            <w:pPr>
              <w:autoSpaceDE w:val="0"/>
              <w:autoSpaceDN w:val="0"/>
              <w:adjustRightInd w:val="0"/>
              <w:contextualSpacing/>
            </w:pPr>
            <w:r w:rsidRPr="006F7AA5">
              <w:rPr>
                <w:rFonts w:cs="Times New Roman"/>
                <w:sz w:val="24"/>
                <w:szCs w:val="24"/>
              </w:rPr>
              <w:t>GB₤</w:t>
            </w:r>
          </w:p>
        </w:tc>
        <w:tc>
          <w:tcPr>
            <w:tcW w:w="1576" w:type="dxa"/>
            <w:tcBorders>
              <w:top w:val="nil"/>
              <w:left w:val="nil"/>
              <w:bottom w:val="single" w:sz="6" w:space="0" w:color="auto"/>
              <w:right w:val="nil"/>
            </w:tcBorders>
          </w:tcPr>
          <w:p w14:paraId="66476F78" w14:textId="77777777" w:rsidR="00681AB1" w:rsidRPr="00CA168C" w:rsidRDefault="00681AB1" w:rsidP="006851DC">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5D8C3638" w14:textId="77777777" w:rsidR="00681AB1" w:rsidRPr="00CA168C" w:rsidRDefault="00681AB1" w:rsidP="006851DC">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6708E433" w14:textId="77777777" w:rsidR="00681AB1" w:rsidRPr="00CA168C" w:rsidRDefault="00681AB1" w:rsidP="006851DC">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5B275AE8" w14:textId="77777777" w:rsidR="00681AB1" w:rsidRPr="00CA168C" w:rsidRDefault="00681AB1" w:rsidP="006851DC">
            <w:pPr>
              <w:autoSpaceDE w:val="0"/>
              <w:autoSpaceDN w:val="0"/>
              <w:adjustRightInd w:val="0"/>
              <w:contextualSpacing/>
              <w:jc w:val="center"/>
            </w:pPr>
            <w:r w:rsidRPr="00CA168C">
              <w:t>0.07</w:t>
            </w:r>
          </w:p>
        </w:tc>
      </w:tr>
    </w:tbl>
    <w:p w14:paraId="5500C637" w14:textId="59049CCC" w:rsidR="006B2ED6" w:rsidRPr="00D51A7E" w:rsidRDefault="006B2ED6" w:rsidP="006B2ED6">
      <w:pPr>
        <w:autoSpaceDE w:val="0"/>
        <w:autoSpaceDN w:val="0"/>
        <w:adjustRightInd w:val="0"/>
        <w:spacing w:after="120" w:line="240" w:lineRule="auto"/>
        <w:jc w:val="center"/>
        <w:rPr>
          <w:b/>
        </w:rPr>
      </w:pPr>
      <w:r>
        <w:rPr>
          <w:b/>
        </w:rPr>
        <w:br/>
        <w:t>Appendix Table 2</w:t>
      </w:r>
      <w:r w:rsidRPr="00CA168C">
        <w:rPr>
          <w:b/>
        </w:rPr>
        <w:t>. Identifying Break Points in India</w:t>
      </w:r>
      <w:r>
        <w:rPr>
          <w:b/>
        </w:rPr>
        <w:t>'s Exchange Rate Regime (</w:t>
      </w:r>
      <w:r w:rsidRPr="00CA5017">
        <w:t>M1:2000-M5:2009</w:t>
      </w:r>
      <w:r>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6B2ED6" w:rsidRPr="00B95CB4" w14:paraId="21A0F018" w14:textId="77777777" w:rsidTr="006851DC">
        <w:trPr>
          <w:jc w:val="center"/>
        </w:trPr>
        <w:tc>
          <w:tcPr>
            <w:tcW w:w="1463" w:type="dxa"/>
            <w:tcBorders>
              <w:top w:val="single" w:sz="6" w:space="0" w:color="auto"/>
              <w:left w:val="nil"/>
              <w:bottom w:val="nil"/>
              <w:right w:val="nil"/>
            </w:tcBorders>
          </w:tcPr>
          <w:p w14:paraId="19C0FE8E" w14:textId="77777777" w:rsidR="006B2ED6" w:rsidRPr="00B95CB4" w:rsidRDefault="006B2ED6" w:rsidP="006851DC">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BF24782"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38AE095D"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07AA050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208FF25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4D51367E"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3FA46AC5"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(6)</w:t>
            </w:r>
          </w:p>
        </w:tc>
      </w:tr>
      <w:tr w:rsidR="006B2ED6" w:rsidRPr="00B95CB4" w14:paraId="6EB03734" w14:textId="77777777" w:rsidTr="006851DC">
        <w:trPr>
          <w:jc w:val="center"/>
        </w:trPr>
        <w:tc>
          <w:tcPr>
            <w:tcW w:w="1463" w:type="dxa"/>
            <w:tcBorders>
              <w:top w:val="nil"/>
              <w:left w:val="nil"/>
              <w:bottom w:val="single" w:sz="6" w:space="0" w:color="auto"/>
              <w:right w:val="nil"/>
            </w:tcBorders>
          </w:tcPr>
          <w:p w14:paraId="36278B1B" w14:textId="77777777" w:rsidR="006B2ED6" w:rsidRPr="00B95CB4" w:rsidRDefault="006B2ED6" w:rsidP="006851DC">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2610621A"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5D904A5F"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38210E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2FD03BF3"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6298A9AC"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15B227D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3/4/2007-5/6/2009</w:t>
            </w:r>
          </w:p>
        </w:tc>
      </w:tr>
      <w:tr w:rsidR="006B2ED6" w:rsidRPr="00B95CB4" w14:paraId="3CD80CE3" w14:textId="77777777" w:rsidTr="006851DC">
        <w:trPr>
          <w:jc w:val="center"/>
        </w:trPr>
        <w:tc>
          <w:tcPr>
            <w:tcW w:w="1463" w:type="dxa"/>
            <w:tcBorders>
              <w:top w:val="nil"/>
              <w:left w:val="nil"/>
              <w:bottom w:val="nil"/>
              <w:right w:val="nil"/>
            </w:tcBorders>
          </w:tcPr>
          <w:p w14:paraId="7942B1A2" w14:textId="77777777" w:rsidR="006B2ED6" w:rsidRPr="00CA168C" w:rsidRDefault="006B2ED6" w:rsidP="006851DC">
            <w:pPr>
              <w:autoSpaceDE w:val="0"/>
              <w:autoSpaceDN w:val="0"/>
              <w:adjustRightInd w:val="0"/>
              <w:contextualSpacing/>
            </w:pPr>
            <w:r w:rsidRPr="00CA168C">
              <w:t>US dollar</w:t>
            </w:r>
          </w:p>
        </w:tc>
        <w:tc>
          <w:tcPr>
            <w:tcW w:w="1440" w:type="dxa"/>
            <w:tcBorders>
              <w:top w:val="nil"/>
              <w:left w:val="nil"/>
              <w:bottom w:val="nil"/>
              <w:right w:val="nil"/>
            </w:tcBorders>
          </w:tcPr>
          <w:p w14:paraId="0EA59BDA" w14:textId="77777777" w:rsidR="006B2ED6" w:rsidRPr="00CA168C" w:rsidRDefault="006B2ED6" w:rsidP="006851DC">
            <w:pPr>
              <w:autoSpaceDE w:val="0"/>
              <w:autoSpaceDN w:val="0"/>
              <w:adjustRightInd w:val="0"/>
              <w:contextualSpacing/>
              <w:jc w:val="center"/>
            </w:pPr>
            <w:r w:rsidRPr="00CA168C">
              <w:t>0.77***</w:t>
            </w:r>
          </w:p>
        </w:tc>
        <w:tc>
          <w:tcPr>
            <w:tcW w:w="1235" w:type="dxa"/>
            <w:tcBorders>
              <w:top w:val="nil"/>
              <w:left w:val="nil"/>
              <w:bottom w:val="nil"/>
              <w:right w:val="nil"/>
            </w:tcBorders>
          </w:tcPr>
          <w:p w14:paraId="0258A163" w14:textId="77777777" w:rsidR="006B2ED6" w:rsidRPr="00CA168C" w:rsidRDefault="006B2ED6" w:rsidP="006851DC">
            <w:pPr>
              <w:autoSpaceDE w:val="0"/>
              <w:autoSpaceDN w:val="0"/>
              <w:adjustRightInd w:val="0"/>
              <w:contextualSpacing/>
              <w:jc w:val="center"/>
            </w:pPr>
            <w:r w:rsidRPr="00CA168C">
              <w:t>0.92***</w:t>
            </w:r>
          </w:p>
        </w:tc>
        <w:tc>
          <w:tcPr>
            <w:tcW w:w="1223" w:type="dxa"/>
            <w:tcBorders>
              <w:top w:val="nil"/>
              <w:left w:val="nil"/>
              <w:bottom w:val="nil"/>
              <w:right w:val="nil"/>
            </w:tcBorders>
          </w:tcPr>
          <w:p w14:paraId="1D34065E" w14:textId="77777777" w:rsidR="006B2ED6" w:rsidRPr="00CA168C" w:rsidRDefault="006B2ED6" w:rsidP="006851DC">
            <w:pPr>
              <w:autoSpaceDE w:val="0"/>
              <w:autoSpaceDN w:val="0"/>
              <w:adjustRightInd w:val="0"/>
              <w:contextualSpacing/>
              <w:jc w:val="center"/>
            </w:pPr>
            <w:r w:rsidRPr="00CA168C">
              <w:t>0.66***</w:t>
            </w:r>
          </w:p>
        </w:tc>
        <w:tc>
          <w:tcPr>
            <w:tcW w:w="1260" w:type="dxa"/>
            <w:tcBorders>
              <w:top w:val="nil"/>
              <w:left w:val="nil"/>
              <w:bottom w:val="nil"/>
              <w:right w:val="nil"/>
            </w:tcBorders>
          </w:tcPr>
          <w:p w14:paraId="6FE50EDA" w14:textId="77777777" w:rsidR="006B2ED6" w:rsidRPr="00CA168C" w:rsidRDefault="006B2ED6" w:rsidP="006851DC">
            <w:pPr>
              <w:autoSpaceDE w:val="0"/>
              <w:autoSpaceDN w:val="0"/>
              <w:adjustRightInd w:val="0"/>
              <w:contextualSpacing/>
              <w:jc w:val="center"/>
            </w:pPr>
            <w:r w:rsidRPr="00CA168C">
              <w:t>0.91***</w:t>
            </w:r>
          </w:p>
        </w:tc>
        <w:tc>
          <w:tcPr>
            <w:tcW w:w="1170" w:type="dxa"/>
            <w:tcBorders>
              <w:top w:val="nil"/>
              <w:left w:val="nil"/>
              <w:bottom w:val="nil"/>
              <w:right w:val="nil"/>
            </w:tcBorders>
          </w:tcPr>
          <w:p w14:paraId="4177B5B6" w14:textId="77777777" w:rsidR="006B2ED6" w:rsidRPr="00CA168C" w:rsidRDefault="006B2ED6" w:rsidP="006851DC">
            <w:pPr>
              <w:autoSpaceDE w:val="0"/>
              <w:autoSpaceDN w:val="0"/>
              <w:adjustRightInd w:val="0"/>
              <w:contextualSpacing/>
              <w:jc w:val="center"/>
            </w:pPr>
            <w:r w:rsidRPr="00CA168C">
              <w:t>0.72***</w:t>
            </w:r>
          </w:p>
        </w:tc>
        <w:tc>
          <w:tcPr>
            <w:tcW w:w="1311" w:type="dxa"/>
            <w:tcBorders>
              <w:top w:val="nil"/>
              <w:left w:val="nil"/>
              <w:bottom w:val="nil"/>
              <w:right w:val="nil"/>
            </w:tcBorders>
          </w:tcPr>
          <w:p w14:paraId="2882CBFA" w14:textId="77777777" w:rsidR="006B2ED6" w:rsidRPr="00CA168C" w:rsidRDefault="006B2ED6" w:rsidP="006851DC">
            <w:pPr>
              <w:autoSpaceDE w:val="0"/>
              <w:autoSpaceDN w:val="0"/>
              <w:adjustRightInd w:val="0"/>
              <w:contextualSpacing/>
              <w:jc w:val="center"/>
            </w:pPr>
            <w:r w:rsidRPr="00CA168C">
              <w:t>0.59***</w:t>
            </w:r>
          </w:p>
        </w:tc>
      </w:tr>
      <w:tr w:rsidR="006B2ED6" w:rsidRPr="00B95CB4" w14:paraId="6276FF30" w14:textId="77777777" w:rsidTr="006851DC">
        <w:trPr>
          <w:jc w:val="center"/>
        </w:trPr>
        <w:tc>
          <w:tcPr>
            <w:tcW w:w="1463" w:type="dxa"/>
            <w:tcBorders>
              <w:top w:val="nil"/>
              <w:left w:val="nil"/>
              <w:bottom w:val="nil"/>
              <w:right w:val="nil"/>
            </w:tcBorders>
          </w:tcPr>
          <w:p w14:paraId="47733CDA"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2AF24F9D"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2CE4FA66"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6766F604" w14:textId="77777777" w:rsidR="006B2ED6" w:rsidRPr="00CA168C" w:rsidRDefault="006B2ED6" w:rsidP="006851DC">
            <w:pPr>
              <w:autoSpaceDE w:val="0"/>
              <w:autoSpaceDN w:val="0"/>
              <w:adjustRightInd w:val="0"/>
              <w:contextualSpacing/>
              <w:jc w:val="center"/>
            </w:pPr>
            <w:r w:rsidRPr="00CA168C">
              <w:t>(0.08)</w:t>
            </w:r>
          </w:p>
        </w:tc>
        <w:tc>
          <w:tcPr>
            <w:tcW w:w="1260" w:type="dxa"/>
            <w:tcBorders>
              <w:top w:val="nil"/>
              <w:left w:val="nil"/>
              <w:bottom w:val="nil"/>
              <w:right w:val="nil"/>
            </w:tcBorders>
          </w:tcPr>
          <w:p w14:paraId="73F8E4EC"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2E731A09"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0BA9F1E" w14:textId="77777777" w:rsidR="006B2ED6" w:rsidRPr="00CA168C" w:rsidRDefault="006B2ED6" w:rsidP="006851DC">
            <w:pPr>
              <w:autoSpaceDE w:val="0"/>
              <w:autoSpaceDN w:val="0"/>
              <w:adjustRightInd w:val="0"/>
              <w:contextualSpacing/>
              <w:jc w:val="center"/>
            </w:pPr>
            <w:r w:rsidRPr="00CA168C">
              <w:t>(0.10)</w:t>
            </w:r>
          </w:p>
        </w:tc>
      </w:tr>
      <w:tr w:rsidR="006B2ED6" w:rsidRPr="00B95CB4" w14:paraId="1FCDAD51" w14:textId="77777777" w:rsidTr="006851DC">
        <w:trPr>
          <w:jc w:val="center"/>
        </w:trPr>
        <w:tc>
          <w:tcPr>
            <w:tcW w:w="1463" w:type="dxa"/>
            <w:tcBorders>
              <w:top w:val="nil"/>
              <w:left w:val="nil"/>
              <w:bottom w:val="nil"/>
              <w:right w:val="nil"/>
            </w:tcBorders>
          </w:tcPr>
          <w:p w14:paraId="0A28C49C" w14:textId="77777777" w:rsidR="006B2ED6" w:rsidRPr="00CA168C" w:rsidRDefault="006B2ED6" w:rsidP="006851DC">
            <w:pPr>
              <w:autoSpaceDE w:val="0"/>
              <w:autoSpaceDN w:val="0"/>
              <w:adjustRightInd w:val="0"/>
              <w:contextualSpacing/>
            </w:pPr>
            <w:r w:rsidRPr="00CA168C">
              <w:t>Euro</w:t>
            </w:r>
          </w:p>
        </w:tc>
        <w:tc>
          <w:tcPr>
            <w:tcW w:w="1440" w:type="dxa"/>
            <w:tcBorders>
              <w:top w:val="nil"/>
              <w:left w:val="nil"/>
              <w:bottom w:val="nil"/>
              <w:right w:val="nil"/>
            </w:tcBorders>
          </w:tcPr>
          <w:p w14:paraId="590B44ED" w14:textId="77777777" w:rsidR="006B2ED6" w:rsidRPr="00CA168C" w:rsidRDefault="006B2ED6" w:rsidP="006851DC">
            <w:pPr>
              <w:autoSpaceDE w:val="0"/>
              <w:autoSpaceDN w:val="0"/>
              <w:adjustRightInd w:val="0"/>
              <w:contextualSpacing/>
              <w:jc w:val="center"/>
            </w:pPr>
            <w:r w:rsidRPr="00CA168C">
              <w:t>0.12***</w:t>
            </w:r>
          </w:p>
        </w:tc>
        <w:tc>
          <w:tcPr>
            <w:tcW w:w="1235" w:type="dxa"/>
            <w:tcBorders>
              <w:top w:val="nil"/>
              <w:left w:val="nil"/>
              <w:bottom w:val="nil"/>
              <w:right w:val="nil"/>
            </w:tcBorders>
          </w:tcPr>
          <w:p w14:paraId="2060110A" w14:textId="77777777" w:rsidR="006B2ED6" w:rsidRPr="00CA168C" w:rsidRDefault="006B2ED6" w:rsidP="006851DC">
            <w:pPr>
              <w:autoSpaceDE w:val="0"/>
              <w:autoSpaceDN w:val="0"/>
              <w:adjustRightInd w:val="0"/>
              <w:contextualSpacing/>
              <w:jc w:val="center"/>
            </w:pPr>
            <w:r w:rsidRPr="00CA168C">
              <w:t>0.10***</w:t>
            </w:r>
          </w:p>
        </w:tc>
        <w:tc>
          <w:tcPr>
            <w:tcW w:w="1223" w:type="dxa"/>
            <w:tcBorders>
              <w:top w:val="nil"/>
              <w:left w:val="nil"/>
              <w:bottom w:val="nil"/>
              <w:right w:val="nil"/>
            </w:tcBorders>
          </w:tcPr>
          <w:p w14:paraId="207A776A" w14:textId="77777777" w:rsidR="006B2ED6" w:rsidRPr="00CA168C" w:rsidRDefault="006B2ED6" w:rsidP="006851DC">
            <w:pPr>
              <w:autoSpaceDE w:val="0"/>
              <w:autoSpaceDN w:val="0"/>
              <w:adjustRightInd w:val="0"/>
              <w:contextualSpacing/>
              <w:jc w:val="center"/>
            </w:pPr>
            <w:r w:rsidRPr="00CA168C">
              <w:t>0.23***</w:t>
            </w:r>
          </w:p>
        </w:tc>
        <w:tc>
          <w:tcPr>
            <w:tcW w:w="1260" w:type="dxa"/>
            <w:tcBorders>
              <w:top w:val="nil"/>
              <w:left w:val="nil"/>
              <w:bottom w:val="nil"/>
              <w:right w:val="nil"/>
            </w:tcBorders>
          </w:tcPr>
          <w:p w14:paraId="1543DBA0"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674D52D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C706B36" w14:textId="77777777" w:rsidR="006B2ED6" w:rsidRPr="00CA168C" w:rsidRDefault="006B2ED6" w:rsidP="006851DC">
            <w:pPr>
              <w:autoSpaceDE w:val="0"/>
              <w:autoSpaceDN w:val="0"/>
              <w:adjustRightInd w:val="0"/>
              <w:contextualSpacing/>
              <w:jc w:val="center"/>
            </w:pPr>
            <w:r w:rsidRPr="00CA168C">
              <w:t>0.32***</w:t>
            </w:r>
          </w:p>
        </w:tc>
      </w:tr>
      <w:tr w:rsidR="006B2ED6" w:rsidRPr="00B95CB4" w14:paraId="4F65A2AA" w14:textId="77777777" w:rsidTr="006851DC">
        <w:trPr>
          <w:jc w:val="center"/>
        </w:trPr>
        <w:tc>
          <w:tcPr>
            <w:tcW w:w="1463" w:type="dxa"/>
            <w:tcBorders>
              <w:top w:val="nil"/>
              <w:left w:val="nil"/>
              <w:bottom w:val="nil"/>
              <w:right w:val="nil"/>
            </w:tcBorders>
          </w:tcPr>
          <w:p w14:paraId="307EC6D5"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0A9E9B05" w14:textId="77777777" w:rsidR="006B2ED6" w:rsidRPr="00CA168C" w:rsidRDefault="006B2ED6" w:rsidP="006851DC">
            <w:pPr>
              <w:autoSpaceDE w:val="0"/>
              <w:autoSpaceDN w:val="0"/>
              <w:adjustRightInd w:val="0"/>
              <w:contextualSpacing/>
              <w:jc w:val="center"/>
            </w:pPr>
            <w:r w:rsidRPr="00CA168C">
              <w:t>(0.03)</w:t>
            </w:r>
          </w:p>
        </w:tc>
        <w:tc>
          <w:tcPr>
            <w:tcW w:w="1235" w:type="dxa"/>
            <w:tcBorders>
              <w:top w:val="nil"/>
              <w:left w:val="nil"/>
              <w:bottom w:val="nil"/>
              <w:right w:val="nil"/>
            </w:tcBorders>
          </w:tcPr>
          <w:p w14:paraId="01ADC6CB" w14:textId="77777777" w:rsidR="006B2ED6" w:rsidRPr="00CA168C" w:rsidRDefault="006B2ED6" w:rsidP="006851DC">
            <w:pPr>
              <w:autoSpaceDE w:val="0"/>
              <w:autoSpaceDN w:val="0"/>
              <w:adjustRightInd w:val="0"/>
              <w:contextualSpacing/>
              <w:jc w:val="center"/>
            </w:pPr>
            <w:r w:rsidRPr="00CA168C">
              <w:t>(0.03)</w:t>
            </w:r>
          </w:p>
        </w:tc>
        <w:tc>
          <w:tcPr>
            <w:tcW w:w="1223" w:type="dxa"/>
            <w:tcBorders>
              <w:top w:val="nil"/>
              <w:left w:val="nil"/>
              <w:bottom w:val="nil"/>
              <w:right w:val="nil"/>
            </w:tcBorders>
          </w:tcPr>
          <w:p w14:paraId="02B0012A" w14:textId="77777777" w:rsidR="006B2ED6" w:rsidRPr="00CA168C" w:rsidRDefault="006B2ED6" w:rsidP="006851DC">
            <w:pPr>
              <w:autoSpaceDE w:val="0"/>
              <w:autoSpaceDN w:val="0"/>
              <w:adjustRightInd w:val="0"/>
              <w:contextualSpacing/>
              <w:jc w:val="center"/>
            </w:pPr>
            <w:r w:rsidRPr="00CA168C">
              <w:t>(0.07)</w:t>
            </w:r>
          </w:p>
        </w:tc>
        <w:tc>
          <w:tcPr>
            <w:tcW w:w="1260" w:type="dxa"/>
            <w:tcBorders>
              <w:top w:val="nil"/>
              <w:left w:val="nil"/>
              <w:bottom w:val="nil"/>
              <w:right w:val="nil"/>
            </w:tcBorders>
          </w:tcPr>
          <w:p w14:paraId="35294A34"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0C10823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7060DF5B" w14:textId="77777777" w:rsidR="006B2ED6" w:rsidRPr="00CA168C" w:rsidRDefault="006B2ED6" w:rsidP="006851DC">
            <w:pPr>
              <w:autoSpaceDE w:val="0"/>
              <w:autoSpaceDN w:val="0"/>
              <w:adjustRightInd w:val="0"/>
              <w:contextualSpacing/>
              <w:jc w:val="center"/>
            </w:pPr>
            <w:r w:rsidRPr="00CA168C">
              <w:t>(0.07)</w:t>
            </w:r>
          </w:p>
        </w:tc>
      </w:tr>
      <w:tr w:rsidR="006B2ED6" w:rsidRPr="00B95CB4" w14:paraId="45363301" w14:textId="77777777" w:rsidTr="006851DC">
        <w:trPr>
          <w:jc w:val="center"/>
        </w:trPr>
        <w:tc>
          <w:tcPr>
            <w:tcW w:w="1463" w:type="dxa"/>
            <w:tcBorders>
              <w:top w:val="nil"/>
              <w:left w:val="nil"/>
              <w:bottom w:val="nil"/>
              <w:right w:val="nil"/>
            </w:tcBorders>
          </w:tcPr>
          <w:p w14:paraId="091E304C" w14:textId="77777777" w:rsidR="006B2ED6" w:rsidRPr="00CA168C" w:rsidRDefault="006B2ED6" w:rsidP="006851DC">
            <w:pPr>
              <w:autoSpaceDE w:val="0"/>
              <w:autoSpaceDN w:val="0"/>
              <w:adjustRightInd w:val="0"/>
              <w:contextualSpacing/>
            </w:pPr>
            <w:r w:rsidRPr="00CA168C">
              <w:t>Jpn yen</w:t>
            </w:r>
          </w:p>
        </w:tc>
        <w:tc>
          <w:tcPr>
            <w:tcW w:w="1440" w:type="dxa"/>
            <w:tcBorders>
              <w:top w:val="nil"/>
              <w:left w:val="nil"/>
              <w:bottom w:val="nil"/>
              <w:right w:val="nil"/>
            </w:tcBorders>
          </w:tcPr>
          <w:p w14:paraId="662F9399" w14:textId="77777777" w:rsidR="006B2ED6" w:rsidRPr="00CA168C" w:rsidRDefault="006B2ED6" w:rsidP="006851DC">
            <w:pPr>
              <w:autoSpaceDE w:val="0"/>
              <w:autoSpaceDN w:val="0"/>
              <w:adjustRightInd w:val="0"/>
              <w:contextualSpacing/>
              <w:jc w:val="center"/>
            </w:pPr>
            <w:r w:rsidRPr="00CA168C">
              <w:t>0.09***</w:t>
            </w:r>
          </w:p>
        </w:tc>
        <w:tc>
          <w:tcPr>
            <w:tcW w:w="1235" w:type="dxa"/>
            <w:tcBorders>
              <w:top w:val="nil"/>
              <w:left w:val="nil"/>
              <w:bottom w:val="nil"/>
              <w:right w:val="nil"/>
            </w:tcBorders>
          </w:tcPr>
          <w:p w14:paraId="4A3E3311"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4F39EEE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7C8E60E3"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7D27F047" w14:textId="77777777" w:rsidR="006B2ED6" w:rsidRPr="00CA168C" w:rsidRDefault="006B2ED6" w:rsidP="006851DC">
            <w:pPr>
              <w:autoSpaceDE w:val="0"/>
              <w:autoSpaceDN w:val="0"/>
              <w:adjustRightInd w:val="0"/>
              <w:contextualSpacing/>
              <w:jc w:val="center"/>
            </w:pPr>
            <w:r w:rsidRPr="00CA168C">
              <w:t>0.24***</w:t>
            </w:r>
          </w:p>
        </w:tc>
        <w:tc>
          <w:tcPr>
            <w:tcW w:w="1311" w:type="dxa"/>
            <w:tcBorders>
              <w:top w:val="nil"/>
              <w:left w:val="nil"/>
              <w:bottom w:val="nil"/>
              <w:right w:val="nil"/>
            </w:tcBorders>
          </w:tcPr>
          <w:p w14:paraId="0039D1E7" w14:textId="77777777" w:rsidR="006B2ED6" w:rsidRPr="00CA168C" w:rsidRDefault="006B2ED6" w:rsidP="006851DC">
            <w:pPr>
              <w:autoSpaceDE w:val="0"/>
              <w:autoSpaceDN w:val="0"/>
              <w:adjustRightInd w:val="0"/>
              <w:contextualSpacing/>
              <w:jc w:val="center"/>
            </w:pPr>
            <w:r w:rsidRPr="00CA168C">
              <w:t>0.02</w:t>
            </w:r>
          </w:p>
        </w:tc>
      </w:tr>
      <w:tr w:rsidR="006B2ED6" w:rsidRPr="00B95CB4" w14:paraId="7E51E653" w14:textId="77777777" w:rsidTr="006851DC">
        <w:trPr>
          <w:jc w:val="center"/>
        </w:trPr>
        <w:tc>
          <w:tcPr>
            <w:tcW w:w="1463" w:type="dxa"/>
            <w:tcBorders>
              <w:top w:val="nil"/>
              <w:left w:val="nil"/>
              <w:bottom w:val="nil"/>
              <w:right w:val="nil"/>
            </w:tcBorders>
          </w:tcPr>
          <w:p w14:paraId="4B4F8E06"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46084A2E" w14:textId="77777777" w:rsidR="006B2ED6" w:rsidRPr="00CA168C" w:rsidRDefault="006B2ED6" w:rsidP="006851DC">
            <w:pPr>
              <w:autoSpaceDE w:val="0"/>
              <w:autoSpaceDN w:val="0"/>
              <w:adjustRightInd w:val="0"/>
              <w:contextualSpacing/>
              <w:jc w:val="center"/>
            </w:pPr>
            <w:r w:rsidRPr="00CA168C">
              <w:t>(0.02)</w:t>
            </w:r>
          </w:p>
        </w:tc>
        <w:tc>
          <w:tcPr>
            <w:tcW w:w="1235" w:type="dxa"/>
            <w:tcBorders>
              <w:top w:val="nil"/>
              <w:left w:val="nil"/>
              <w:bottom w:val="nil"/>
              <w:right w:val="nil"/>
            </w:tcBorders>
          </w:tcPr>
          <w:p w14:paraId="4712A3EC" w14:textId="77777777" w:rsidR="006B2ED6" w:rsidRPr="00CA168C" w:rsidRDefault="006B2ED6" w:rsidP="006851DC">
            <w:pPr>
              <w:autoSpaceDE w:val="0"/>
              <w:autoSpaceDN w:val="0"/>
              <w:adjustRightInd w:val="0"/>
              <w:contextualSpacing/>
              <w:jc w:val="center"/>
            </w:pPr>
            <w:r w:rsidRPr="00CA168C">
              <w:t>(0.02)</w:t>
            </w:r>
          </w:p>
        </w:tc>
        <w:tc>
          <w:tcPr>
            <w:tcW w:w="1223" w:type="dxa"/>
            <w:tcBorders>
              <w:top w:val="nil"/>
              <w:left w:val="nil"/>
              <w:bottom w:val="nil"/>
              <w:right w:val="nil"/>
            </w:tcBorders>
          </w:tcPr>
          <w:p w14:paraId="31276D1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509051A9" w14:textId="77777777" w:rsidR="006B2ED6" w:rsidRPr="00CA168C" w:rsidRDefault="006B2ED6" w:rsidP="006851DC">
            <w:pPr>
              <w:autoSpaceDE w:val="0"/>
              <w:autoSpaceDN w:val="0"/>
              <w:adjustRightInd w:val="0"/>
              <w:contextualSpacing/>
              <w:jc w:val="center"/>
            </w:pPr>
            <w:r w:rsidRPr="00CA168C">
              <w:t>(0.02)</w:t>
            </w:r>
          </w:p>
        </w:tc>
        <w:tc>
          <w:tcPr>
            <w:tcW w:w="1170" w:type="dxa"/>
            <w:tcBorders>
              <w:top w:val="nil"/>
              <w:left w:val="nil"/>
              <w:bottom w:val="nil"/>
              <w:right w:val="nil"/>
            </w:tcBorders>
          </w:tcPr>
          <w:p w14:paraId="4B999F7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5F87F86A" w14:textId="77777777" w:rsidR="006B2ED6" w:rsidRPr="00CA168C" w:rsidRDefault="006B2ED6" w:rsidP="006851DC">
            <w:pPr>
              <w:autoSpaceDE w:val="0"/>
              <w:autoSpaceDN w:val="0"/>
              <w:adjustRightInd w:val="0"/>
              <w:contextualSpacing/>
              <w:jc w:val="center"/>
            </w:pPr>
            <w:r w:rsidRPr="00CA168C">
              <w:t>(0.07)</w:t>
            </w:r>
          </w:p>
        </w:tc>
      </w:tr>
      <w:tr w:rsidR="006B2ED6" w:rsidRPr="00B95CB4" w14:paraId="5F2006EC" w14:textId="77777777" w:rsidTr="006851DC">
        <w:trPr>
          <w:jc w:val="center"/>
        </w:trPr>
        <w:tc>
          <w:tcPr>
            <w:tcW w:w="1463" w:type="dxa"/>
            <w:tcBorders>
              <w:top w:val="nil"/>
              <w:left w:val="nil"/>
              <w:bottom w:val="nil"/>
              <w:right w:val="nil"/>
            </w:tcBorders>
          </w:tcPr>
          <w:p w14:paraId="26FE0CF8"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440" w:type="dxa"/>
            <w:tcBorders>
              <w:top w:val="nil"/>
              <w:left w:val="nil"/>
              <w:bottom w:val="nil"/>
              <w:right w:val="nil"/>
            </w:tcBorders>
          </w:tcPr>
          <w:p w14:paraId="7B4441A9" w14:textId="77777777" w:rsidR="006B2ED6" w:rsidRPr="00CA168C" w:rsidRDefault="006B2ED6" w:rsidP="006851DC">
            <w:pPr>
              <w:autoSpaceDE w:val="0"/>
              <w:autoSpaceDN w:val="0"/>
              <w:adjustRightInd w:val="0"/>
              <w:contextualSpacing/>
              <w:jc w:val="center"/>
            </w:pPr>
            <w:r w:rsidRPr="00CA168C">
              <w:t>0.44***</w:t>
            </w:r>
          </w:p>
        </w:tc>
        <w:tc>
          <w:tcPr>
            <w:tcW w:w="1235" w:type="dxa"/>
            <w:tcBorders>
              <w:top w:val="nil"/>
              <w:left w:val="nil"/>
              <w:bottom w:val="nil"/>
              <w:right w:val="nil"/>
            </w:tcBorders>
          </w:tcPr>
          <w:p w14:paraId="0497D9BF"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508936D9" w14:textId="77777777" w:rsidR="006B2ED6" w:rsidRPr="00CA168C" w:rsidRDefault="006B2ED6" w:rsidP="006851DC">
            <w:pPr>
              <w:autoSpaceDE w:val="0"/>
              <w:autoSpaceDN w:val="0"/>
              <w:adjustRightInd w:val="0"/>
              <w:contextualSpacing/>
              <w:jc w:val="center"/>
            </w:pPr>
            <w:r w:rsidRPr="00CA168C">
              <w:t>0.46***</w:t>
            </w:r>
          </w:p>
        </w:tc>
        <w:tc>
          <w:tcPr>
            <w:tcW w:w="1260" w:type="dxa"/>
            <w:tcBorders>
              <w:top w:val="nil"/>
              <w:left w:val="nil"/>
              <w:bottom w:val="nil"/>
              <w:right w:val="nil"/>
            </w:tcBorders>
          </w:tcPr>
          <w:p w14:paraId="3B0A0118" w14:textId="77777777" w:rsidR="006B2ED6" w:rsidRPr="00CA168C" w:rsidRDefault="006B2ED6" w:rsidP="006851DC">
            <w:pPr>
              <w:autoSpaceDE w:val="0"/>
              <w:autoSpaceDN w:val="0"/>
              <w:adjustRightInd w:val="0"/>
              <w:contextualSpacing/>
              <w:jc w:val="center"/>
            </w:pPr>
            <w:r w:rsidRPr="00CA168C">
              <w:t>0.06</w:t>
            </w:r>
          </w:p>
        </w:tc>
        <w:tc>
          <w:tcPr>
            <w:tcW w:w="1170" w:type="dxa"/>
            <w:tcBorders>
              <w:top w:val="nil"/>
              <w:left w:val="nil"/>
              <w:bottom w:val="nil"/>
              <w:right w:val="nil"/>
            </w:tcBorders>
          </w:tcPr>
          <w:p w14:paraId="09D8BC88" w14:textId="77777777" w:rsidR="006B2ED6" w:rsidRPr="00CA168C" w:rsidRDefault="006B2ED6" w:rsidP="006851DC">
            <w:pPr>
              <w:autoSpaceDE w:val="0"/>
              <w:autoSpaceDN w:val="0"/>
              <w:adjustRightInd w:val="0"/>
              <w:contextualSpacing/>
              <w:jc w:val="center"/>
            </w:pPr>
            <w:r w:rsidRPr="00CA168C">
              <w:t>0.15***</w:t>
            </w:r>
          </w:p>
        </w:tc>
        <w:tc>
          <w:tcPr>
            <w:tcW w:w="1311" w:type="dxa"/>
            <w:tcBorders>
              <w:top w:val="nil"/>
              <w:left w:val="nil"/>
              <w:bottom w:val="nil"/>
              <w:right w:val="nil"/>
            </w:tcBorders>
          </w:tcPr>
          <w:p w14:paraId="5AC55378" w14:textId="77777777" w:rsidR="006B2ED6" w:rsidRPr="00CA168C" w:rsidRDefault="006B2ED6" w:rsidP="006851DC">
            <w:pPr>
              <w:autoSpaceDE w:val="0"/>
              <w:autoSpaceDN w:val="0"/>
              <w:adjustRightInd w:val="0"/>
              <w:contextualSpacing/>
              <w:jc w:val="center"/>
            </w:pPr>
            <w:r w:rsidRPr="00CA168C">
              <w:t>0.37***</w:t>
            </w:r>
          </w:p>
        </w:tc>
      </w:tr>
      <w:tr w:rsidR="006B2ED6" w:rsidRPr="00B95CB4" w14:paraId="2117ADB6" w14:textId="77777777" w:rsidTr="006851DC">
        <w:trPr>
          <w:jc w:val="center"/>
        </w:trPr>
        <w:tc>
          <w:tcPr>
            <w:tcW w:w="1463" w:type="dxa"/>
            <w:tcBorders>
              <w:top w:val="nil"/>
              <w:left w:val="nil"/>
              <w:bottom w:val="nil"/>
              <w:right w:val="nil"/>
            </w:tcBorders>
          </w:tcPr>
          <w:p w14:paraId="6AB66DE3"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73A29BB7"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403CBE28"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7557D5FA" w14:textId="77777777" w:rsidR="006B2ED6" w:rsidRPr="00CA168C" w:rsidRDefault="006B2ED6" w:rsidP="006851DC">
            <w:pPr>
              <w:autoSpaceDE w:val="0"/>
              <w:autoSpaceDN w:val="0"/>
              <w:adjustRightInd w:val="0"/>
              <w:contextualSpacing/>
              <w:jc w:val="center"/>
            </w:pPr>
            <w:r w:rsidRPr="00CA168C">
              <w:t>(0.10)</w:t>
            </w:r>
          </w:p>
        </w:tc>
        <w:tc>
          <w:tcPr>
            <w:tcW w:w="1260" w:type="dxa"/>
            <w:tcBorders>
              <w:top w:val="nil"/>
              <w:left w:val="nil"/>
              <w:bottom w:val="nil"/>
              <w:right w:val="nil"/>
            </w:tcBorders>
          </w:tcPr>
          <w:p w14:paraId="45B8C2AB"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5C10F4D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118E747E" w14:textId="77777777" w:rsidR="006B2ED6" w:rsidRPr="00CA168C" w:rsidRDefault="006B2ED6" w:rsidP="006851DC">
            <w:pPr>
              <w:autoSpaceDE w:val="0"/>
              <w:autoSpaceDN w:val="0"/>
              <w:adjustRightInd w:val="0"/>
              <w:contextualSpacing/>
              <w:jc w:val="center"/>
            </w:pPr>
            <w:r w:rsidRPr="00CA168C">
              <w:t>(0.07)</w:t>
            </w:r>
          </w:p>
        </w:tc>
      </w:tr>
      <w:tr w:rsidR="006B2ED6" w:rsidRPr="00B95CB4" w14:paraId="2B708B54" w14:textId="77777777" w:rsidTr="006851DC">
        <w:trPr>
          <w:jc w:val="center"/>
        </w:trPr>
        <w:tc>
          <w:tcPr>
            <w:tcW w:w="1463" w:type="dxa"/>
            <w:tcBorders>
              <w:top w:val="nil"/>
              <w:left w:val="nil"/>
              <w:bottom w:val="nil"/>
              <w:right w:val="nil"/>
            </w:tcBorders>
          </w:tcPr>
          <w:p w14:paraId="246FF1D7" w14:textId="77777777" w:rsidR="006B2ED6" w:rsidRPr="00CA168C" w:rsidRDefault="006B2ED6" w:rsidP="006851DC">
            <w:pPr>
              <w:autoSpaceDE w:val="0"/>
              <w:autoSpaceDN w:val="0"/>
              <w:adjustRightInd w:val="0"/>
              <w:contextualSpacing/>
            </w:pPr>
            <w:r w:rsidRPr="00CA168C">
              <w:t>Observations</w:t>
            </w:r>
          </w:p>
        </w:tc>
        <w:tc>
          <w:tcPr>
            <w:tcW w:w="1440" w:type="dxa"/>
            <w:tcBorders>
              <w:top w:val="nil"/>
              <w:left w:val="nil"/>
              <w:bottom w:val="nil"/>
              <w:right w:val="nil"/>
            </w:tcBorders>
          </w:tcPr>
          <w:p w14:paraId="759D8CF5" w14:textId="77777777" w:rsidR="006B2ED6" w:rsidRPr="00CA168C" w:rsidRDefault="006B2ED6" w:rsidP="006851DC">
            <w:pPr>
              <w:autoSpaceDE w:val="0"/>
              <w:autoSpaceDN w:val="0"/>
              <w:adjustRightInd w:val="0"/>
              <w:contextualSpacing/>
              <w:jc w:val="center"/>
            </w:pPr>
            <w:r w:rsidRPr="00CA168C">
              <w:t>42</w:t>
            </w:r>
          </w:p>
        </w:tc>
        <w:tc>
          <w:tcPr>
            <w:tcW w:w="1235" w:type="dxa"/>
            <w:tcBorders>
              <w:top w:val="nil"/>
              <w:left w:val="nil"/>
              <w:bottom w:val="nil"/>
              <w:right w:val="nil"/>
            </w:tcBorders>
          </w:tcPr>
          <w:p w14:paraId="38359AA0" w14:textId="77777777" w:rsidR="006B2ED6" w:rsidRPr="00CA168C" w:rsidRDefault="006B2ED6" w:rsidP="006851DC">
            <w:pPr>
              <w:autoSpaceDE w:val="0"/>
              <w:autoSpaceDN w:val="0"/>
              <w:adjustRightInd w:val="0"/>
              <w:contextualSpacing/>
              <w:jc w:val="center"/>
            </w:pPr>
            <w:r w:rsidRPr="00CA168C">
              <w:t>32</w:t>
            </w:r>
          </w:p>
        </w:tc>
        <w:tc>
          <w:tcPr>
            <w:tcW w:w="1223" w:type="dxa"/>
            <w:tcBorders>
              <w:top w:val="nil"/>
              <w:left w:val="nil"/>
              <w:bottom w:val="nil"/>
              <w:right w:val="nil"/>
            </w:tcBorders>
          </w:tcPr>
          <w:p w14:paraId="7B79BD45" w14:textId="77777777" w:rsidR="006B2ED6" w:rsidRPr="00CA168C" w:rsidRDefault="006B2ED6" w:rsidP="006851DC">
            <w:pPr>
              <w:autoSpaceDE w:val="0"/>
              <w:autoSpaceDN w:val="0"/>
              <w:adjustRightInd w:val="0"/>
              <w:contextualSpacing/>
              <w:jc w:val="center"/>
            </w:pPr>
            <w:r w:rsidRPr="00CA168C">
              <w:t>28</w:t>
            </w:r>
          </w:p>
        </w:tc>
        <w:tc>
          <w:tcPr>
            <w:tcW w:w="1260" w:type="dxa"/>
            <w:tcBorders>
              <w:top w:val="nil"/>
              <w:left w:val="nil"/>
              <w:bottom w:val="nil"/>
              <w:right w:val="nil"/>
            </w:tcBorders>
          </w:tcPr>
          <w:p w14:paraId="085EF568" w14:textId="77777777" w:rsidR="006B2ED6" w:rsidRPr="00CA168C" w:rsidRDefault="006B2ED6" w:rsidP="006851DC">
            <w:pPr>
              <w:autoSpaceDE w:val="0"/>
              <w:autoSpaceDN w:val="0"/>
              <w:adjustRightInd w:val="0"/>
              <w:contextualSpacing/>
              <w:jc w:val="center"/>
            </w:pPr>
            <w:r w:rsidRPr="00CA168C">
              <w:t>88</w:t>
            </w:r>
          </w:p>
        </w:tc>
        <w:tc>
          <w:tcPr>
            <w:tcW w:w="1170" w:type="dxa"/>
            <w:tcBorders>
              <w:top w:val="nil"/>
              <w:left w:val="nil"/>
              <w:bottom w:val="nil"/>
              <w:right w:val="nil"/>
            </w:tcBorders>
          </w:tcPr>
          <w:p w14:paraId="3DF95BA4" w14:textId="77777777" w:rsidR="006B2ED6" w:rsidRPr="00CA168C" w:rsidRDefault="006B2ED6" w:rsidP="006851DC">
            <w:pPr>
              <w:autoSpaceDE w:val="0"/>
              <w:autoSpaceDN w:val="0"/>
              <w:adjustRightInd w:val="0"/>
              <w:contextualSpacing/>
              <w:jc w:val="center"/>
            </w:pPr>
            <w:r w:rsidRPr="00CA168C">
              <w:t>172</w:t>
            </w:r>
          </w:p>
        </w:tc>
        <w:tc>
          <w:tcPr>
            <w:tcW w:w="1311" w:type="dxa"/>
            <w:tcBorders>
              <w:top w:val="nil"/>
              <w:left w:val="nil"/>
              <w:bottom w:val="nil"/>
              <w:right w:val="nil"/>
            </w:tcBorders>
          </w:tcPr>
          <w:p w14:paraId="223D79A6" w14:textId="77777777" w:rsidR="006B2ED6" w:rsidRPr="00CA168C" w:rsidRDefault="006B2ED6" w:rsidP="006851DC">
            <w:pPr>
              <w:autoSpaceDE w:val="0"/>
              <w:autoSpaceDN w:val="0"/>
              <w:adjustRightInd w:val="0"/>
              <w:contextualSpacing/>
              <w:jc w:val="center"/>
            </w:pPr>
            <w:r w:rsidRPr="00CA168C">
              <w:t>109</w:t>
            </w:r>
          </w:p>
        </w:tc>
      </w:tr>
      <w:tr w:rsidR="00681AB1" w:rsidRPr="00B95CB4" w14:paraId="35180F55" w14:textId="77777777" w:rsidTr="006851DC">
        <w:trPr>
          <w:jc w:val="center"/>
        </w:trPr>
        <w:tc>
          <w:tcPr>
            <w:tcW w:w="1463" w:type="dxa"/>
            <w:tcBorders>
              <w:top w:val="nil"/>
              <w:left w:val="nil"/>
              <w:bottom w:val="nil"/>
              <w:right w:val="nil"/>
            </w:tcBorders>
          </w:tcPr>
          <w:p w14:paraId="179DEDEF" w14:textId="1ACBAE51"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440" w:type="dxa"/>
            <w:tcBorders>
              <w:top w:val="nil"/>
              <w:left w:val="nil"/>
              <w:bottom w:val="nil"/>
              <w:right w:val="nil"/>
            </w:tcBorders>
          </w:tcPr>
          <w:p w14:paraId="20BDAA31" w14:textId="77777777" w:rsidR="00681AB1" w:rsidRPr="00CA168C" w:rsidRDefault="00681AB1" w:rsidP="006851DC">
            <w:pPr>
              <w:autoSpaceDE w:val="0"/>
              <w:autoSpaceDN w:val="0"/>
              <w:adjustRightInd w:val="0"/>
              <w:contextualSpacing/>
              <w:jc w:val="center"/>
            </w:pPr>
            <w:r w:rsidRPr="00CA168C">
              <w:t>0.98</w:t>
            </w:r>
          </w:p>
        </w:tc>
        <w:tc>
          <w:tcPr>
            <w:tcW w:w="1235" w:type="dxa"/>
            <w:tcBorders>
              <w:top w:val="nil"/>
              <w:left w:val="nil"/>
              <w:bottom w:val="nil"/>
              <w:right w:val="nil"/>
            </w:tcBorders>
          </w:tcPr>
          <w:p w14:paraId="2736CE67" w14:textId="77777777" w:rsidR="00681AB1" w:rsidRPr="00CA168C" w:rsidRDefault="00681AB1" w:rsidP="006851DC">
            <w:pPr>
              <w:autoSpaceDE w:val="0"/>
              <w:autoSpaceDN w:val="0"/>
              <w:adjustRightInd w:val="0"/>
              <w:contextualSpacing/>
              <w:jc w:val="center"/>
            </w:pPr>
            <w:r w:rsidRPr="00CA168C">
              <w:t>0.98</w:t>
            </w:r>
          </w:p>
        </w:tc>
        <w:tc>
          <w:tcPr>
            <w:tcW w:w="1223" w:type="dxa"/>
            <w:tcBorders>
              <w:top w:val="nil"/>
              <w:left w:val="nil"/>
              <w:bottom w:val="nil"/>
              <w:right w:val="nil"/>
            </w:tcBorders>
          </w:tcPr>
          <w:p w14:paraId="7C990C86" w14:textId="77777777" w:rsidR="00681AB1" w:rsidRPr="00CA168C" w:rsidRDefault="00681AB1" w:rsidP="006851DC">
            <w:pPr>
              <w:autoSpaceDE w:val="0"/>
              <w:autoSpaceDN w:val="0"/>
              <w:adjustRightInd w:val="0"/>
              <w:contextualSpacing/>
              <w:jc w:val="center"/>
            </w:pPr>
            <w:r w:rsidRPr="00CA168C">
              <w:t>0.98</w:t>
            </w:r>
          </w:p>
        </w:tc>
        <w:tc>
          <w:tcPr>
            <w:tcW w:w="1260" w:type="dxa"/>
            <w:tcBorders>
              <w:top w:val="nil"/>
              <w:left w:val="nil"/>
              <w:bottom w:val="nil"/>
              <w:right w:val="nil"/>
            </w:tcBorders>
          </w:tcPr>
          <w:p w14:paraId="168258FC" w14:textId="77777777" w:rsidR="00681AB1" w:rsidRPr="00CA168C" w:rsidRDefault="00681AB1" w:rsidP="006851DC">
            <w:pPr>
              <w:autoSpaceDE w:val="0"/>
              <w:autoSpaceDN w:val="0"/>
              <w:adjustRightInd w:val="0"/>
              <w:contextualSpacing/>
              <w:jc w:val="center"/>
            </w:pPr>
            <w:r w:rsidRPr="00CA168C">
              <w:t>0.98</w:t>
            </w:r>
          </w:p>
        </w:tc>
        <w:tc>
          <w:tcPr>
            <w:tcW w:w="1170" w:type="dxa"/>
            <w:tcBorders>
              <w:top w:val="nil"/>
              <w:left w:val="nil"/>
              <w:bottom w:val="nil"/>
              <w:right w:val="nil"/>
            </w:tcBorders>
          </w:tcPr>
          <w:p w14:paraId="219C6908" w14:textId="77777777" w:rsidR="00681AB1" w:rsidRPr="00CA168C" w:rsidRDefault="00681AB1" w:rsidP="006851DC">
            <w:pPr>
              <w:autoSpaceDE w:val="0"/>
              <w:autoSpaceDN w:val="0"/>
              <w:adjustRightInd w:val="0"/>
              <w:contextualSpacing/>
              <w:jc w:val="center"/>
            </w:pPr>
            <w:r w:rsidRPr="00CA168C">
              <w:t>0.86</w:t>
            </w:r>
          </w:p>
        </w:tc>
        <w:tc>
          <w:tcPr>
            <w:tcW w:w="1311" w:type="dxa"/>
            <w:tcBorders>
              <w:top w:val="nil"/>
              <w:left w:val="nil"/>
              <w:bottom w:val="nil"/>
              <w:right w:val="nil"/>
            </w:tcBorders>
          </w:tcPr>
          <w:p w14:paraId="08761534" w14:textId="77777777" w:rsidR="00681AB1" w:rsidRPr="00CA168C" w:rsidRDefault="00681AB1" w:rsidP="006851DC">
            <w:pPr>
              <w:autoSpaceDE w:val="0"/>
              <w:autoSpaceDN w:val="0"/>
              <w:adjustRightInd w:val="0"/>
              <w:contextualSpacing/>
              <w:jc w:val="center"/>
            </w:pPr>
            <w:r w:rsidRPr="00CA168C">
              <w:t>0.78</w:t>
            </w:r>
          </w:p>
        </w:tc>
      </w:tr>
      <w:tr w:rsidR="00681AB1" w:rsidRPr="00B95CB4" w14:paraId="6119F8B6" w14:textId="77777777" w:rsidTr="006851DC">
        <w:tblPrEx>
          <w:tblBorders>
            <w:bottom w:val="single" w:sz="6" w:space="0" w:color="auto"/>
          </w:tblBorders>
        </w:tblPrEx>
        <w:trPr>
          <w:jc w:val="center"/>
        </w:trPr>
        <w:tc>
          <w:tcPr>
            <w:tcW w:w="1463" w:type="dxa"/>
            <w:tcBorders>
              <w:top w:val="nil"/>
              <w:left w:val="nil"/>
              <w:bottom w:val="single" w:sz="6" w:space="0" w:color="auto"/>
              <w:right w:val="nil"/>
            </w:tcBorders>
          </w:tcPr>
          <w:p w14:paraId="7711067E" w14:textId="5DD97168" w:rsidR="00681AB1" w:rsidRPr="00CA168C" w:rsidRDefault="00681AB1" w:rsidP="006851DC">
            <w:pPr>
              <w:autoSpaceDE w:val="0"/>
              <w:autoSpaceDN w:val="0"/>
              <w:adjustRightInd w:val="0"/>
              <w:contextualSpacing/>
            </w:pPr>
            <w:r w:rsidRPr="006F7AA5">
              <w:rPr>
                <w:rFonts w:cs="Times New Roman"/>
                <w:sz w:val="24"/>
                <w:szCs w:val="24"/>
              </w:rPr>
              <w:t>GB₤</w:t>
            </w:r>
          </w:p>
        </w:tc>
        <w:tc>
          <w:tcPr>
            <w:tcW w:w="1440" w:type="dxa"/>
            <w:tcBorders>
              <w:top w:val="nil"/>
              <w:left w:val="nil"/>
              <w:bottom w:val="single" w:sz="6" w:space="0" w:color="auto"/>
              <w:right w:val="nil"/>
            </w:tcBorders>
          </w:tcPr>
          <w:p w14:paraId="63330F13" w14:textId="77777777" w:rsidR="00681AB1" w:rsidRPr="00CA168C" w:rsidRDefault="00681AB1" w:rsidP="006851DC">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38D63D1F" w14:textId="77777777" w:rsidR="00681AB1" w:rsidRPr="00CA168C" w:rsidRDefault="00681AB1" w:rsidP="006851DC">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0DF39359" w14:textId="77777777" w:rsidR="00681AB1" w:rsidRPr="00CA168C" w:rsidRDefault="00681AB1" w:rsidP="006851DC">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546882F1" w14:textId="77777777" w:rsidR="00681AB1" w:rsidRPr="00CA168C" w:rsidRDefault="00681AB1" w:rsidP="006851DC">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48742793" w14:textId="77777777" w:rsidR="00681AB1" w:rsidRPr="00CA168C" w:rsidRDefault="00681AB1" w:rsidP="006851DC">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2B1F0BF1" w14:textId="77777777" w:rsidR="00681AB1" w:rsidRPr="00CA168C" w:rsidRDefault="00681AB1" w:rsidP="006851DC">
            <w:pPr>
              <w:autoSpaceDE w:val="0"/>
              <w:autoSpaceDN w:val="0"/>
              <w:adjustRightInd w:val="0"/>
              <w:contextualSpacing/>
              <w:jc w:val="center"/>
            </w:pPr>
            <w:r w:rsidRPr="00CA168C">
              <w:t>0.08</w:t>
            </w:r>
          </w:p>
        </w:tc>
      </w:tr>
    </w:tbl>
    <w:p w14:paraId="3C6747FE" w14:textId="77777777" w:rsidR="006B2ED6" w:rsidRDefault="006B2ED6" w:rsidP="0067619E">
      <w:pPr>
        <w:autoSpaceDE w:val="0"/>
        <w:autoSpaceDN w:val="0"/>
        <w:adjustRightInd w:val="0"/>
        <w:spacing w:after="0" w:line="240" w:lineRule="auto"/>
      </w:pPr>
      <w:r>
        <w:rPr>
          <w:rFonts w:hint="eastAsia"/>
        </w:rPr>
        <w:t>Not</w:t>
      </w:r>
      <w:r>
        <w:t xml:space="preserve">es:  </w:t>
      </w:r>
      <w:r w:rsidRPr="00CA168C">
        <w:rPr>
          <w:rFonts w:ascii="Cambria Math" w:hAnsi="Cambria Math" w:cs="Cambria Math"/>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6141A800" w14:textId="77777777" w:rsidR="006B2ED6" w:rsidRDefault="006B2ED6" w:rsidP="006B2ED6">
      <w:pPr>
        <w:widowControl w:val="0"/>
        <w:autoSpaceDE w:val="0"/>
        <w:autoSpaceDN w:val="0"/>
        <w:adjustRightInd w:val="0"/>
        <w:spacing w:after="0"/>
        <w:ind w:left="960"/>
        <w:jc w:val="both"/>
      </w:pPr>
      <w:r>
        <w:t xml:space="preserve">      </w:t>
      </w:r>
      <w:r w:rsidRPr="00CA168C">
        <w:rPr>
          <w:position w:val="-30"/>
        </w:rPr>
        <w:object w:dxaOrig="4400" w:dyaOrig="700" w14:anchorId="2E5D5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25pt" o:ole="">
            <v:imagedata r:id="rId23" o:title=""/>
          </v:shape>
          <o:OLEObject Type="Embed" ProgID="Equation.3" ShapeID="_x0000_i1025" DrawAspect="Content" ObjectID="_1559586857" r:id="rId24"/>
        </w:object>
      </w:r>
      <w:r>
        <w:t xml:space="preserve">   </w:t>
      </w:r>
      <w:r w:rsidRPr="00CA168C">
        <w:t>All data are weekly</w:t>
      </w:r>
      <w:r>
        <w:t xml:space="preserve">.  </w:t>
      </w:r>
    </w:p>
    <w:p w14:paraId="2ED6E1D7" w14:textId="77777777" w:rsidR="006B2ED6" w:rsidRPr="00D51A7E" w:rsidRDefault="006B2ED6" w:rsidP="006B2ED6">
      <w:pPr>
        <w:widowControl w:val="0"/>
        <w:autoSpaceDE w:val="0"/>
        <w:autoSpaceDN w:val="0"/>
        <w:adjustRightInd w:val="0"/>
        <w:spacing w:after="0"/>
        <w:ind w:left="960" w:firstLine="305"/>
        <w:jc w:val="both"/>
      </w:pPr>
      <w:r w:rsidRPr="00CA168C">
        <w:t>*** p&lt;0.01, ** p&lt;0.05, * p&lt;0.1</w:t>
      </w:r>
      <w:r>
        <w:t xml:space="preserve">  (</w:t>
      </w:r>
      <w:r w:rsidRPr="00CA168C">
        <w:t>Robust</w:t>
      </w:r>
      <w:r>
        <w:t xml:space="preserve"> standard errors in parentheses.)</w:t>
      </w:r>
    </w:p>
    <w:p w14:paraId="287F1535" w14:textId="04A2C6C8" w:rsidR="006B2ED6" w:rsidRDefault="006B2ED6" w:rsidP="006B2ED6">
      <w:pPr>
        <w:rPr>
          <w:sz w:val="18"/>
          <w:szCs w:val="18"/>
        </w:rPr>
      </w:pPr>
      <w:r>
        <w:rPr>
          <w:sz w:val="2"/>
          <w:szCs w:val="2"/>
        </w:rPr>
        <w:br/>
      </w:r>
      <w:r w:rsidRPr="00EF4739">
        <w:rPr>
          <w:sz w:val="20"/>
          <w:szCs w:val="20"/>
        </w:rPr>
        <w:t>Source: Frankel and Xie (2011).</w:t>
      </w:r>
    </w:p>
    <w:p w14:paraId="72D0F8D3" w14:textId="77777777" w:rsidR="00D43014" w:rsidRDefault="00D43014" w:rsidP="009B671E">
      <w:pPr>
        <w:jc w:val="center"/>
        <w:rPr>
          <w:rFonts w:cs="Times New Roman"/>
          <w:b/>
          <w:i/>
          <w:sz w:val="40"/>
          <w:szCs w:val="40"/>
        </w:rPr>
        <w:sectPr w:rsidR="00D43014">
          <w:footerReference w:type="default" r:id="rId25"/>
          <w:pgSz w:w="12240" w:h="15840"/>
          <w:pgMar w:top="1440" w:right="1440" w:bottom="1440" w:left="1440" w:header="720" w:footer="720" w:gutter="0"/>
          <w:cols w:space="720"/>
          <w:docGrid w:linePitch="360"/>
        </w:sectPr>
      </w:pPr>
    </w:p>
    <w:p w14:paraId="55E6B594" w14:textId="77777777" w:rsidR="009B671E" w:rsidRPr="006B2ED6" w:rsidRDefault="00D43014" w:rsidP="00D43014">
      <w:pPr>
        <w:jc w:val="center"/>
        <w:rPr>
          <w:sz w:val="36"/>
          <w:szCs w:val="36"/>
        </w:rPr>
      </w:pPr>
      <w:r w:rsidRPr="006B2ED6">
        <w:rPr>
          <w:rFonts w:cs="Times New Roman"/>
          <w:sz w:val="36"/>
          <w:szCs w:val="36"/>
        </w:rPr>
        <w:lastRenderedPageBreak/>
        <w:t xml:space="preserve">Appendix Tables A and B: </w:t>
      </w:r>
      <w:r w:rsidR="009B671E" w:rsidRPr="006B2ED6">
        <w:rPr>
          <w:rFonts w:cs="Times New Roman"/>
          <w:sz w:val="36"/>
          <w:szCs w:val="36"/>
        </w:rPr>
        <w:t>Effect of Shocks on Real Exchange Rates</w:t>
      </w:r>
    </w:p>
    <w:p w14:paraId="0ED0E395" w14:textId="4EDB1197" w:rsidR="00D43014" w:rsidRPr="006B2ED6" w:rsidRDefault="00D43014" w:rsidP="00D43014">
      <w:pPr>
        <w:ind w:left="720"/>
        <w:rPr>
          <w:rFonts w:cs="Times New Roman"/>
          <w:sz w:val="28"/>
        </w:rPr>
      </w:pPr>
      <w:r w:rsidRPr="006B2ED6">
        <w:rPr>
          <w:rFonts w:cs="Times New Roman"/>
          <w:sz w:val="8"/>
          <w:szCs w:val="8"/>
        </w:rPr>
        <w:br/>
      </w:r>
      <w:r w:rsidRPr="006B2ED6">
        <w:rPr>
          <w:rFonts w:cs="Times New Roman"/>
          <w:sz w:val="28"/>
        </w:rPr>
        <w:t xml:space="preserve">Appendix Tables A:   Effect of Shocks on Real Exchange Rates </w:t>
      </w:r>
      <w:r w:rsidR="004C7BE5" w:rsidRPr="006B2ED6">
        <w:rPr>
          <w:rFonts w:cs="Times New Roman"/>
          <w:sz w:val="28"/>
        </w:rPr>
        <w:t>among</w:t>
      </w:r>
      <w:r w:rsidRPr="006B2ED6">
        <w:rPr>
          <w:rFonts w:cs="Times New Roman"/>
          <w:sz w:val="28"/>
        </w:rPr>
        <w:t xml:space="preserve"> Asia Non-Commodity-Exporters</w:t>
      </w:r>
      <w:r w:rsidRPr="006B2ED6">
        <w:rPr>
          <w:rFonts w:cs="Times New Roman"/>
          <w:sz w:val="28"/>
        </w:rPr>
        <w:br/>
      </w:r>
      <w:r w:rsidRPr="006B2ED6">
        <w:rPr>
          <w:rFonts w:cs="Times New Roman"/>
          <w:b/>
          <w:sz w:val="28"/>
        </w:rPr>
        <w:t>A1) 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6B2ED6" w:rsidRDefault="00E85C88" w:rsidP="002F782A">
            <w:pPr>
              <w:pStyle w:val="ListParagraph"/>
              <w:ind w:left="0"/>
              <w:rPr>
                <w:rFonts w:cs="Times New Roman"/>
                <w:b w:val="0"/>
                <w:sz w:val="24"/>
                <w:szCs w:val="24"/>
              </w:rPr>
            </w:pPr>
            <w:r>
              <w:rPr>
                <w:rFonts w:cs="Times New Roman"/>
                <w:sz w:val="8"/>
                <w:szCs w:val="8"/>
              </w:rPr>
              <w:br/>
            </w:r>
            <w:r w:rsidRPr="006B2ED6">
              <w:rPr>
                <w:rFonts w:cs="Times New Roman"/>
                <w:b w:val="0"/>
                <w:sz w:val="24"/>
                <w:szCs w:val="24"/>
              </w:rPr>
              <w:t xml:space="preserve"> </w:t>
            </w:r>
            <w:r w:rsidR="00D43014" w:rsidRPr="006B2ED6">
              <w:rPr>
                <w:rFonts w:cs="Times New Roman"/>
                <w:b w:val="0"/>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lastRenderedPageBreak/>
        <w:t xml:space="preserve">Appendix Tables B:   </w:t>
      </w:r>
      <w:r>
        <w:rPr>
          <w:rFonts w:cs="Times New Roman"/>
          <w:b/>
          <w:sz w:val="28"/>
        </w:rPr>
        <w:t xml:space="preserve">Effect of Shocks on Real Exchange Rates Among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lastRenderedPageBreak/>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New Zea.</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w:t>
            </w:r>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lastRenderedPageBreak/>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lastRenderedPageBreak/>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121796B3" w14:textId="313952EA"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46944A" w15:done="0"/>
  <w15:commentEx w15:paraId="6CB3CD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3CCAC" w14:textId="77777777" w:rsidR="00082AC2" w:rsidRDefault="00082AC2" w:rsidP="004876A6">
      <w:pPr>
        <w:spacing w:after="0" w:line="240" w:lineRule="auto"/>
      </w:pPr>
      <w:r>
        <w:separator/>
      </w:r>
    </w:p>
  </w:endnote>
  <w:endnote w:type="continuationSeparator" w:id="0">
    <w:p w14:paraId="178C36B2" w14:textId="77777777" w:rsidR="00082AC2" w:rsidRDefault="00082AC2"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73039"/>
      <w:docPartObj>
        <w:docPartGallery w:val="Page Numbers (Bottom of Page)"/>
        <w:docPartUnique/>
      </w:docPartObj>
    </w:sdtPr>
    <w:sdtEndPr>
      <w:rPr>
        <w:noProof/>
      </w:rPr>
    </w:sdtEndPr>
    <w:sdtContent>
      <w:p w14:paraId="1B0D3F5A" w14:textId="77777777" w:rsidR="001449A6" w:rsidRDefault="001449A6">
        <w:pPr>
          <w:pStyle w:val="Footer"/>
          <w:jc w:val="right"/>
        </w:pPr>
        <w:r>
          <w:fldChar w:fldCharType="begin"/>
        </w:r>
        <w:r>
          <w:instrText xml:space="preserve"> PAGE   \* MERGEFORMAT </w:instrText>
        </w:r>
        <w:r>
          <w:fldChar w:fldCharType="separate"/>
        </w:r>
        <w:r w:rsidR="005C7E40">
          <w:rPr>
            <w:noProof/>
          </w:rPr>
          <w:t>33</w:t>
        </w:r>
        <w:r>
          <w:rPr>
            <w:noProof/>
          </w:rPr>
          <w:fldChar w:fldCharType="end"/>
        </w:r>
      </w:p>
    </w:sdtContent>
  </w:sdt>
  <w:p w14:paraId="66442B5F" w14:textId="77777777" w:rsidR="001449A6" w:rsidRDefault="00144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B8C64" w14:textId="77777777" w:rsidR="00082AC2" w:rsidRDefault="00082AC2" w:rsidP="004876A6">
      <w:pPr>
        <w:spacing w:after="0" w:line="240" w:lineRule="auto"/>
      </w:pPr>
      <w:r>
        <w:separator/>
      </w:r>
    </w:p>
  </w:footnote>
  <w:footnote w:type="continuationSeparator" w:id="0">
    <w:p w14:paraId="37E14010" w14:textId="77777777" w:rsidR="00082AC2" w:rsidRDefault="00082AC2" w:rsidP="004876A6">
      <w:pPr>
        <w:spacing w:after="0" w:line="240" w:lineRule="auto"/>
      </w:pPr>
      <w:r>
        <w:continuationSeparator/>
      </w:r>
    </w:p>
  </w:footnote>
  <w:footnote w:id="1">
    <w:p w14:paraId="0B092CF5" w14:textId="57021D38" w:rsidR="001449A6" w:rsidRDefault="001449A6" w:rsidP="001C3BD5">
      <w:pPr>
        <w:pStyle w:val="FootnoteText"/>
      </w:pPr>
      <w:r>
        <w:rPr>
          <w:rStyle w:val="FootnoteReference"/>
        </w:rPr>
        <w:footnoteRef/>
      </w:r>
      <w:r>
        <w:t xml:space="preserve"> E.g., for Asia: Williamson (2001), Ito (2001), and Frankel (2003).</w:t>
      </w:r>
    </w:p>
  </w:footnote>
  <w:footnote w:id="2">
    <w:p w14:paraId="7A0E65CD" w14:textId="6DEB055F" w:rsidR="001449A6" w:rsidRDefault="001449A6">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 xml:space="preserve">a </w:t>
      </w:r>
      <w:r>
        <w:rPr>
          <w:sz w:val="24"/>
          <w:szCs w:val="24"/>
        </w:rPr>
        <w:t xml:space="preserve">more </w:t>
      </w:r>
      <w:r w:rsidRPr="00A45E20">
        <w:rPr>
          <w:sz w:val="24"/>
          <w:szCs w:val="24"/>
        </w:rPr>
        <w:t>recent empirical evaluation</w:t>
      </w:r>
      <w:r>
        <w:rPr>
          <w:sz w:val="24"/>
          <w:szCs w:val="24"/>
        </w:rPr>
        <w:t>.</w:t>
      </w:r>
    </w:p>
  </w:footnote>
  <w:footnote w:id="3">
    <w:p w14:paraId="15646F86" w14:textId="57595B3C" w:rsidR="001449A6" w:rsidRDefault="001449A6" w:rsidP="00370A0F">
      <w:pPr>
        <w:pStyle w:val="FootnoteText"/>
      </w:pPr>
      <w:r w:rsidRPr="00041FDE">
        <w:rPr>
          <w:rStyle w:val="FootnoteReference"/>
          <w:sz w:val="24"/>
          <w:szCs w:val="24"/>
        </w:rPr>
        <w:footnoteRef/>
      </w:r>
      <w:r w:rsidRPr="00041FDE">
        <w:rPr>
          <w:sz w:val="24"/>
          <w:szCs w:val="24"/>
        </w:rPr>
        <w:t xml:space="preserve"> 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suggests the utility of defining a regime that we can call systematically managed floating.)  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4">
    <w:p w14:paraId="49171982" w14:textId="77777777" w:rsidR="001449A6" w:rsidRPr="00B14318" w:rsidRDefault="001449A6">
      <w:pPr>
        <w:pStyle w:val="FootnoteText"/>
        <w:rPr>
          <w:sz w:val="24"/>
          <w:szCs w:val="24"/>
        </w:rPr>
      </w:pPr>
      <w:r w:rsidRPr="00B14318">
        <w:rPr>
          <w:rStyle w:val="FootnoteReference"/>
          <w:sz w:val="24"/>
          <w:szCs w:val="24"/>
        </w:rPr>
        <w:footnoteRef/>
      </w:r>
      <w:r w:rsidRPr="00B14318">
        <w:rPr>
          <w:sz w:val="24"/>
          <w:szCs w:val="24"/>
        </w:rPr>
        <w:t xml:space="preserve"> The author conducted a moderately unscientific poll of annual samples of IMF staff from 2000 to 2010</w:t>
      </w:r>
      <w:r>
        <w:rPr>
          <w:sz w:val="24"/>
          <w:szCs w:val="24"/>
        </w:rPr>
        <w:t>.  At the start, a substantial</w:t>
      </w:r>
      <w:r w:rsidRPr="00B14318">
        <w:rPr>
          <w:sz w:val="24"/>
          <w:szCs w:val="24"/>
        </w:rPr>
        <w:t xml:space="preserve"> majority </w:t>
      </w:r>
      <w:r>
        <w:rPr>
          <w:sz w:val="24"/>
          <w:szCs w:val="24"/>
        </w:rPr>
        <w:t xml:space="preserve">of participants </w:t>
      </w:r>
      <w:r w:rsidRPr="00B14318">
        <w:rPr>
          <w:sz w:val="24"/>
          <w:szCs w:val="24"/>
        </w:rPr>
        <w:t xml:space="preserve">reported the perception that a belief in the corners hypothesis was </w:t>
      </w:r>
      <w:r>
        <w:rPr>
          <w:sz w:val="24"/>
          <w:szCs w:val="24"/>
        </w:rPr>
        <w:t xml:space="preserve">in effect </w:t>
      </w:r>
      <w:r w:rsidRPr="00B14318">
        <w:rPr>
          <w:sz w:val="24"/>
          <w:szCs w:val="24"/>
        </w:rPr>
        <w:t xml:space="preserve">IMF policy.  </w:t>
      </w:r>
      <w:r>
        <w:rPr>
          <w:sz w:val="24"/>
          <w:szCs w:val="24"/>
        </w:rPr>
        <w:t>Subsequently t</w:t>
      </w:r>
      <w:r w:rsidRPr="00B14318">
        <w:rPr>
          <w:sz w:val="24"/>
          <w:szCs w:val="24"/>
        </w:rPr>
        <w:t>he percentage declined and eventually hit zero.</w:t>
      </w:r>
    </w:p>
  </w:footnote>
  <w:footnote w:id="5">
    <w:p w14:paraId="163A620D" w14:textId="77777777" w:rsidR="001449A6" w:rsidRPr="00EC2DA8" w:rsidRDefault="001449A6">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(Klein and Shambaugh, 2015.)</w:t>
      </w:r>
    </w:p>
  </w:footnote>
  <w:footnote w:id="6">
    <w:p w14:paraId="58D04DAF" w14:textId="77777777" w:rsidR="001449A6" w:rsidRPr="009E235D" w:rsidRDefault="001449A6" w:rsidP="00011F62">
      <w:pPr>
        <w:pStyle w:val="FootnoteText"/>
        <w:rPr>
          <w:sz w:val="24"/>
          <w:szCs w:val="24"/>
        </w:rPr>
      </w:pPr>
      <w:r w:rsidRPr="009E235D">
        <w:rPr>
          <w:rStyle w:val="FootnoteReference"/>
          <w:sz w:val="24"/>
          <w:szCs w:val="24"/>
        </w:rPr>
        <w:footnoteRef/>
      </w:r>
      <w:r w:rsidRPr="009E235D">
        <w:rPr>
          <w:sz w:val="24"/>
          <w:szCs w:val="24"/>
        </w:rPr>
        <w:t xml:space="preserve"> 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Pr="009E235D">
        <w:rPr>
          <w:sz w:val="24"/>
          <w:szCs w:val="24"/>
        </w:rPr>
        <w:t>Edwards (2015).</w:t>
      </w:r>
    </w:p>
  </w:footnote>
  <w:footnote w:id="7">
    <w:p w14:paraId="4A411EEC" w14:textId="6C3A05FE" w:rsidR="001449A6" w:rsidRPr="00370A0F" w:rsidRDefault="001449A6" w:rsidP="00370A0F">
      <w:pPr>
        <w:spacing w:after="0"/>
        <w:rPr>
          <w:sz w:val="24"/>
          <w:szCs w:val="24"/>
          <w:shd w:val="clear" w:color="auto" w:fill="FFFFFF"/>
        </w:rPr>
      </w:pPr>
      <w:r w:rsidRPr="00370A0F">
        <w:rPr>
          <w:rStyle w:val="FootnoteReference"/>
          <w:sz w:val="24"/>
          <w:szCs w:val="24"/>
        </w:rPr>
        <w:footnoteRef/>
      </w:r>
      <w:r w:rsidRPr="00370A0F">
        <w:rPr>
          <w:sz w:val="24"/>
          <w:szCs w:val="24"/>
        </w:rPr>
        <w:t xml:space="preserve">  Including </w:t>
      </w:r>
      <w:r w:rsidRPr="00370A0F">
        <w:rPr>
          <w:sz w:val="24"/>
          <w:szCs w:val="24"/>
          <w:shd w:val="clear" w:color="auto" w:fill="FFFFFF"/>
        </w:rPr>
        <w:t xml:space="preserve">Aizenman, Chinn, and Ito (2010, 2011), </w:t>
      </w:r>
      <w:r w:rsidRPr="00370A0F">
        <w:rPr>
          <w:sz w:val="24"/>
          <w:szCs w:val="24"/>
        </w:rPr>
        <w:t>Di Giovanni and Shambaugh (2008),</w:t>
      </w:r>
      <w:r w:rsidRPr="00370A0F">
        <w:rPr>
          <w:sz w:val="24"/>
          <w:szCs w:val="24"/>
          <w:shd w:val="clear" w:color="auto" w:fill="FFFFFF"/>
        </w:rPr>
        <w:t xml:space="preserve"> Klein and Shambaugh (2012, 2015), Obstfeld (2015), </w:t>
      </w:r>
      <w:r w:rsidRPr="00370A0F">
        <w:rPr>
          <w:color w:val="222222"/>
          <w:sz w:val="24"/>
          <w:szCs w:val="24"/>
          <w:shd w:val="clear" w:color="auto" w:fill="FFFFFF"/>
        </w:rPr>
        <w:t>Obstfeld, Shambaugh and Taylor (2005), Shambaugh (2004), and</w:t>
      </w:r>
      <w:r w:rsidRPr="00370A0F">
        <w:rPr>
          <w:sz w:val="24"/>
          <w:szCs w:val="24"/>
          <w:shd w:val="clear" w:color="auto" w:fill="FFFFFF"/>
        </w:rPr>
        <w:t xml:space="preserve"> </w:t>
      </w:r>
      <w:r w:rsidRPr="00370A0F">
        <w:rPr>
          <w:color w:val="222222"/>
          <w:sz w:val="24"/>
          <w:szCs w:val="24"/>
          <w:shd w:val="clear" w:color="auto" w:fill="FFFFFF"/>
        </w:rPr>
        <w:t>Frankel, Schmukler and Servén (2004)</w:t>
      </w:r>
      <w:r w:rsidRPr="00370A0F">
        <w:rPr>
          <w:sz w:val="24"/>
          <w:szCs w:val="24"/>
          <w:shd w:val="clear" w:color="auto" w:fill="FFFFFF"/>
        </w:rPr>
        <w:t>.</w:t>
      </w:r>
      <w:r>
        <w:rPr>
          <w:sz w:val="24"/>
          <w:szCs w:val="24"/>
          <w:shd w:val="clear" w:color="auto" w:fill="FFFFFF"/>
        </w:rPr>
        <w:t xml:space="preserve">  Han and Wei (2017) find that flexible exchange rates offer more autonomy when the center country raises interest rates than when it lowers rates.</w:t>
      </w:r>
    </w:p>
  </w:footnote>
  <w:footnote w:id="8">
    <w:p w14:paraId="3F4C103D" w14:textId="77777777" w:rsidR="001449A6" w:rsidRPr="007555F8" w:rsidRDefault="001449A6">
      <w:pPr>
        <w:pStyle w:val="FootnoteText"/>
        <w:rPr>
          <w:sz w:val="24"/>
          <w:szCs w:val="24"/>
        </w:rPr>
      </w:pPr>
      <w:r w:rsidRPr="007555F8">
        <w:rPr>
          <w:rStyle w:val="FootnoteReference"/>
          <w:sz w:val="24"/>
          <w:szCs w:val="24"/>
        </w:rPr>
        <w:footnoteRef/>
      </w:r>
      <w:r w:rsidRPr="007555F8">
        <w:rPr>
          <w:sz w:val="24"/>
          <w:szCs w:val="24"/>
        </w:rPr>
        <w:t xml:space="preserve"> E.g., Truman (2003).</w:t>
      </w:r>
    </w:p>
  </w:footnote>
  <w:footnote w:id="9">
    <w:p w14:paraId="6417B918" w14:textId="0C5CF5DE" w:rsidR="001449A6" w:rsidRPr="00E324E9" w:rsidRDefault="001449A6"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77777777" w:rsidR="001449A6" w:rsidRDefault="001449A6" w:rsidP="00370A0F">
      <w:pPr>
        <w:pStyle w:val="FootnoteText"/>
      </w:pPr>
      <w:r>
        <w:rPr>
          <w:rStyle w:val="FootnoteReference"/>
        </w:rPr>
        <w:footnoteRef/>
      </w:r>
      <w:r>
        <w:t xml:space="preserve">  </w:t>
      </w:r>
      <w:r>
        <w:rPr>
          <w:sz w:val="24"/>
          <w:szCs w:val="24"/>
        </w:rPr>
        <w:t xml:space="preserve">I see the venerable “signaling hypothesis” (Mussa, 1981) as largely a red herring.  Why would a central bank choose such an opaque way of signaling its intentions? What practical difference does it make whether or not sterilized intervention implies that money supplies will change some day, if it is in the distant future? </w:t>
      </w:r>
    </w:p>
  </w:footnote>
  <w:footnote w:id="11">
    <w:p w14:paraId="02DDE362" w14:textId="67B7DD95" w:rsidR="001449A6" w:rsidRPr="00D14019" w:rsidRDefault="001449A6" w:rsidP="00370A0F">
      <w:pPr>
        <w:pStyle w:val="FootnoteText"/>
        <w:rPr>
          <w:sz w:val="24"/>
          <w:szCs w:val="24"/>
        </w:rPr>
      </w:pPr>
      <w:r w:rsidRPr="00D14019">
        <w:rPr>
          <w:rStyle w:val="FootnoteReference"/>
          <w:sz w:val="24"/>
          <w:szCs w:val="24"/>
        </w:rPr>
        <w:footnoteRef/>
      </w:r>
      <w:r w:rsidRPr="00D14019">
        <w:rPr>
          <w:sz w:val="24"/>
          <w:szCs w:val="24"/>
        </w:rPr>
        <w:t xml:space="preserve"> Frankel (2016) relates the G7’s </w:t>
      </w:r>
      <w:r>
        <w:rPr>
          <w:sz w:val="24"/>
          <w:szCs w:val="24"/>
        </w:rPr>
        <w:t xml:space="preserve">post-millennium </w:t>
      </w:r>
      <w:r w:rsidRPr="00D14019">
        <w:rPr>
          <w:sz w:val="24"/>
          <w:szCs w:val="24"/>
        </w:rPr>
        <w:t>renunciation of foreign exchange intervention.</w:t>
      </w:r>
    </w:p>
  </w:footnote>
  <w:footnote w:id="12">
    <w:p w14:paraId="1568D92E" w14:textId="5692FDA6" w:rsidR="001449A6" w:rsidRPr="00765A68" w:rsidRDefault="001449A6" w:rsidP="00370A0F">
      <w:pPr>
        <w:pStyle w:val="FootnoteText"/>
        <w:rPr>
          <w:sz w:val="24"/>
          <w:szCs w:val="24"/>
        </w:rPr>
      </w:pPr>
      <w:r w:rsidRPr="00765A68">
        <w:rPr>
          <w:rStyle w:val="FootnoteReference"/>
          <w:sz w:val="24"/>
          <w:szCs w:val="24"/>
        </w:rPr>
        <w:footnoteRef/>
      </w:r>
      <w:r w:rsidRPr="00765A68">
        <w:rPr>
          <w:sz w:val="24"/>
          <w:szCs w:val="24"/>
        </w:rPr>
        <w:t xml:space="preserve"> Besides Fratzscher et al (2016), other recent studies of EM intervention include Adler, Lisack and Mano (2015), Adler and Tovar (2011), </w:t>
      </w:r>
      <w:r w:rsidRPr="00765A68">
        <w:rPr>
          <w:rFonts w:cs="Times New Roman"/>
          <w:noProof/>
          <w:color w:val="000000" w:themeColor="text1"/>
          <w:sz w:val="24"/>
          <w:szCs w:val="24"/>
        </w:rPr>
        <w:t>Blanchard, Adler, and de Carvalho Filho (2015), Daude</w:t>
      </w:r>
      <w:r w:rsidRPr="00765A68">
        <w:rPr>
          <w:sz w:val="24"/>
          <w:szCs w:val="24"/>
        </w:rPr>
        <w:t xml:space="preserve">, Levy-Yeyati and Nagengast (2014), and </w:t>
      </w:r>
      <w:r w:rsidRPr="00765A68">
        <w:rPr>
          <w:rFonts w:cs="Times New Roman"/>
          <w:noProof/>
          <w:color w:val="000000" w:themeColor="text1"/>
          <w:sz w:val="24"/>
          <w:szCs w:val="24"/>
        </w:rPr>
        <w:t>Disyatat and Galati (2007)</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3">
    <w:p w14:paraId="7260847D" w14:textId="77777777" w:rsidR="001449A6" w:rsidRPr="00CE0CA3" w:rsidRDefault="001449A6">
      <w:pPr>
        <w:pStyle w:val="FootnoteText"/>
        <w:rPr>
          <w:sz w:val="24"/>
          <w:szCs w:val="24"/>
        </w:rPr>
      </w:pPr>
      <w:r w:rsidRPr="00CE0CA3">
        <w:rPr>
          <w:rStyle w:val="FootnoteReference"/>
          <w:sz w:val="24"/>
          <w:szCs w:val="24"/>
        </w:rPr>
        <w:footnoteRef/>
      </w:r>
      <w:r w:rsidRPr="00CE0CA3">
        <w:rPr>
          <w:sz w:val="24"/>
          <w:szCs w:val="24"/>
        </w:rPr>
        <w:t xml:space="preserve"> 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
  </w:footnote>
  <w:footnote w:id="14">
    <w:p w14:paraId="7BC7AAE3" w14:textId="77777777" w:rsidR="001449A6" w:rsidRPr="00CE0CA3" w:rsidRDefault="001449A6">
      <w:pPr>
        <w:pStyle w:val="FootnoteText"/>
        <w:rPr>
          <w:sz w:val="24"/>
          <w:szCs w:val="24"/>
        </w:rPr>
      </w:pPr>
      <w:r w:rsidRPr="00CE0CA3">
        <w:rPr>
          <w:rStyle w:val="FootnoteReference"/>
          <w:sz w:val="24"/>
          <w:szCs w:val="24"/>
        </w:rPr>
        <w:footnoteRef/>
      </w:r>
      <w:r w:rsidRPr="00CE0CA3">
        <w:rPr>
          <w:sz w:val="24"/>
          <w:szCs w:val="24"/>
        </w:rPr>
        <w:t xml:space="preserve"> Obstfeld and Rogoff (1995) and Klein and Marion (1997).</w:t>
      </w:r>
    </w:p>
  </w:footnote>
  <w:footnote w:id="15">
    <w:p w14:paraId="35F3D3DB" w14:textId="53974879" w:rsidR="001449A6" w:rsidRDefault="001449A6">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 Reinhart (2000).</w:t>
      </w:r>
    </w:p>
  </w:footnote>
  <w:footnote w:id="16">
    <w:p w14:paraId="6613491B" w14:textId="77777777" w:rsidR="001449A6" w:rsidRPr="00CE0CA3" w:rsidRDefault="001449A6">
      <w:pPr>
        <w:pStyle w:val="FootnoteText"/>
        <w:rPr>
          <w:sz w:val="24"/>
          <w:szCs w:val="24"/>
        </w:rPr>
      </w:pPr>
      <w:r w:rsidRPr="00CE0CA3">
        <w:rPr>
          <w:rStyle w:val="FootnoteReference"/>
          <w:sz w:val="24"/>
          <w:szCs w:val="24"/>
        </w:rPr>
        <w:footnoteRef/>
      </w:r>
      <w:r w:rsidRPr="00CE0CA3">
        <w:rPr>
          <w:sz w:val="24"/>
          <w:szCs w:val="24"/>
        </w:rPr>
        <w:t xml:space="preserve"> E.g., </w:t>
      </w:r>
      <w:r w:rsidRPr="00CE0CA3">
        <w:rPr>
          <w:rFonts w:cs="Arial"/>
          <w:color w:val="222222"/>
          <w:sz w:val="24"/>
          <w:szCs w:val="24"/>
          <w:shd w:val="clear" w:color="auto" w:fill="FFFFFF"/>
        </w:rPr>
        <w:t>Frankel, Fajnzylber, Schmukler and Servén (2001).</w:t>
      </w:r>
    </w:p>
  </w:footnote>
  <w:footnote w:id="17">
    <w:p w14:paraId="0CE874C4" w14:textId="77777777" w:rsidR="001449A6" w:rsidRPr="00CE0CA3" w:rsidRDefault="001449A6"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or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8">
    <w:p w14:paraId="4CD44284" w14:textId="77777777" w:rsidR="001449A6" w:rsidRDefault="001449A6" w:rsidP="00381AA5">
      <w:pPr>
        <w:pStyle w:val="FootnoteText"/>
      </w:pPr>
      <w:r>
        <w:rPr>
          <w:rStyle w:val="FootnoteReference"/>
        </w:rPr>
        <w:footnoteRef/>
      </w:r>
      <w:r>
        <w:t xml:space="preserve">  </w:t>
      </w:r>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
  </w:footnote>
  <w:footnote w:id="19">
    <w:p w14:paraId="0608AE74" w14:textId="4215A284" w:rsidR="001449A6" w:rsidRPr="00DF4324" w:rsidRDefault="001449A6">
      <w:pPr>
        <w:pStyle w:val="FootnoteText"/>
        <w:rPr>
          <w:sz w:val="24"/>
          <w:szCs w:val="24"/>
        </w:rPr>
      </w:pPr>
      <w:r w:rsidRPr="00DF4324">
        <w:rPr>
          <w:rStyle w:val="FootnoteReference"/>
          <w:sz w:val="24"/>
          <w:szCs w:val="24"/>
        </w:rPr>
        <w:footnoteRef/>
      </w:r>
      <w:r>
        <w:rPr>
          <w:sz w:val="24"/>
          <w:szCs w:val="24"/>
        </w:rPr>
        <w:t xml:space="preserve"> </w:t>
      </w:r>
      <w:r w:rsidRPr="00DF4324">
        <w:rPr>
          <w:sz w:val="24"/>
          <w:szCs w:val="24"/>
        </w:rPr>
        <w:t>E.g.,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
  </w:footnote>
  <w:footnote w:id="20">
    <w:p w14:paraId="16194C38" w14:textId="77777777" w:rsidR="001449A6" w:rsidRPr="00BB4707" w:rsidRDefault="001449A6" w:rsidP="00370A0F">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1">
    <w:p w14:paraId="638DBD09" w14:textId="4190E3CC" w:rsidR="001449A6" w:rsidRPr="00CE6272" w:rsidRDefault="001449A6" w:rsidP="00370A0F">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Bénassy-Quéré et al (2004) </w:t>
      </w:r>
      <w:r>
        <w:rPr>
          <w:sz w:val="24"/>
          <w:szCs w:val="24"/>
        </w:rPr>
        <w:t xml:space="preserve">the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2">
    <w:p w14:paraId="4F99E10E" w14:textId="77777777" w:rsidR="001449A6" w:rsidRPr="00BE1835" w:rsidRDefault="001449A6">
      <w:pPr>
        <w:pStyle w:val="FootnoteText"/>
        <w:rPr>
          <w:sz w:val="24"/>
          <w:szCs w:val="24"/>
        </w:rPr>
      </w:pPr>
      <w:r>
        <w:rPr>
          <w:rStyle w:val="FootnoteReference"/>
        </w:rPr>
        <w:footnoteRef/>
      </w:r>
      <w:r>
        <w:t xml:space="preserve"> </w:t>
      </w:r>
      <w:r w:rsidRPr="00CE0CA3">
        <w:rPr>
          <w:sz w:val="24"/>
          <w:szCs w:val="24"/>
        </w:rPr>
        <w:t>Tavl</w:t>
      </w:r>
      <w:r>
        <w:rPr>
          <w:sz w:val="24"/>
          <w:szCs w:val="24"/>
        </w:rPr>
        <w:t>as, Dellas and Stockman (2008).</w:t>
      </w:r>
    </w:p>
  </w:footnote>
  <w:footnote w:id="23">
    <w:p w14:paraId="5D5BA74F" w14:textId="77777777" w:rsidR="001449A6" w:rsidRDefault="001449A6">
      <w:pPr>
        <w:pStyle w:val="FootnoteText"/>
      </w:pPr>
      <w:r>
        <w:rPr>
          <w:rStyle w:val="FootnoteReference"/>
        </w:rPr>
        <w:footnoteRef/>
      </w:r>
      <w:r>
        <w:t xml:space="preserve"> </w:t>
      </w:r>
      <w:r>
        <w:rPr>
          <w:sz w:val="24"/>
          <w:szCs w:val="24"/>
        </w:rPr>
        <w:t>Shambaugh (2004) and Ilzetzki, Reinhart and Rogoff (2017).</w:t>
      </w:r>
    </w:p>
  </w:footnote>
  <w:footnote w:id="24">
    <w:p w14:paraId="2CE51588" w14:textId="77777777" w:rsidR="001449A6" w:rsidRPr="003E0F20" w:rsidRDefault="001449A6" w:rsidP="00370A0F">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is that the criterion will not be impaired by a long-term trend in reserves, if the central bank seeks to build them up, nor by a long-term trend in the exchange rate (as under a crawling peg – the “C” in BBC or Band-Basket-Crawl).   </w:t>
      </w:r>
    </w:p>
  </w:footnote>
  <w:footnote w:id="25">
    <w:p w14:paraId="6B77CBE9" w14:textId="0879848F" w:rsidR="001449A6" w:rsidRPr="00E874BF" w:rsidRDefault="001449A6" w:rsidP="00370A0F">
      <w:pPr>
        <w:spacing w:after="0" w:line="240" w:lineRule="auto"/>
        <w:rPr>
          <w:sz w:val="18"/>
          <w:szCs w:val="18"/>
        </w:rPr>
      </w:pPr>
      <w:r w:rsidRPr="00E874BF">
        <w:rPr>
          <w:rStyle w:val="FootnoteReference"/>
          <w:sz w:val="24"/>
          <w:szCs w:val="24"/>
        </w:rPr>
        <w:footnoteRef/>
      </w:r>
      <w:r>
        <w:rPr>
          <w:sz w:val="24"/>
          <w:szCs w:val="24"/>
        </w:rPr>
        <w:t xml:space="preserve">  Among other similar papers estimating weights were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w:t>
      </w:r>
      <w:r>
        <w:rPr>
          <w:sz w:val="24"/>
          <w:szCs w:val="24"/>
        </w:rPr>
        <w:t xml:space="preserve">Wei </w:t>
      </w:r>
      <w:r w:rsidRPr="009E64EF">
        <w:rPr>
          <w:sz w:val="24"/>
          <w:szCs w:val="24"/>
        </w:rPr>
        <w:t>(200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a rising share for the yuan</w:t>
      </w:r>
      <w:r w:rsidRPr="00E874BF">
        <w:rPr>
          <w:sz w:val="24"/>
          <w:szCs w:val="24"/>
        </w:rPr>
        <w:t>.</w:t>
      </w:r>
    </w:p>
  </w:footnote>
  <w:footnote w:id="26">
    <w:p w14:paraId="5A95D12C" w14:textId="0DE80B25" w:rsidR="001449A6" w:rsidRPr="00077A79" w:rsidRDefault="001449A6" w:rsidP="00370A0F">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normalized </w:t>
      </w:r>
      <w:r w:rsidRPr="009E64EF">
        <w:rPr>
          <w:sz w:val="24"/>
          <w:szCs w:val="24"/>
        </w:rPr>
        <w:t xml:space="preserve">by standard deviations.  </w:t>
      </w:r>
    </w:p>
  </w:footnote>
  <w:footnote w:id="27">
    <w:p w14:paraId="333C35D7" w14:textId="44DB9770" w:rsidR="001449A6" w:rsidRPr="00F85A88" w:rsidRDefault="001449A6" w:rsidP="00F85A88">
      <w:pPr>
        <w:widowControl w:val="0"/>
        <w:autoSpaceDE w:val="0"/>
        <w:autoSpaceDN w:val="0"/>
        <w:adjustRightInd w:val="0"/>
        <w:spacing w:after="0" w:line="240" w:lineRule="auto"/>
        <w:rPr>
          <w:rFonts w:cs="Times New Roman"/>
          <w:sz w:val="24"/>
          <w:szCs w:val="24"/>
        </w:rPr>
      </w:pPr>
      <w:r w:rsidRPr="00F85A88">
        <w:rPr>
          <w:rStyle w:val="FootnoteReference"/>
          <w:sz w:val="24"/>
          <w:szCs w:val="24"/>
        </w:rPr>
        <w:footnoteRef/>
      </w:r>
      <w:r w:rsidRPr="00F85A88">
        <w:rPr>
          <w:sz w:val="24"/>
          <w:szCs w:val="24"/>
        </w:rPr>
        <w:t xml:space="preserve"> </w:t>
      </w:r>
      <w:r w:rsidRPr="00F85A88">
        <w:rPr>
          <w:rFonts w:cs="Times New Roman"/>
          <w:sz w:val="24"/>
          <w:szCs w:val="24"/>
        </w:rPr>
        <w:t>Thanks to Danxia Xie.</w:t>
      </w:r>
      <w:r>
        <w:rPr>
          <w:rFonts w:cs="Times New Roman"/>
          <w:sz w:val="24"/>
          <w:szCs w:val="24"/>
        </w:rPr>
        <w:t xml:space="preserve">  The methodology is from Frankel and</w:t>
      </w:r>
      <w:r w:rsidRPr="00F85A88">
        <w:rPr>
          <w:rFonts w:cs="Times New Roman"/>
          <w:sz w:val="24"/>
          <w:szCs w:val="24"/>
        </w:rPr>
        <w:t xml:space="preserve"> Wei (2008), but allowing for endogenously estimated structural breaks as in Frankel and Xie (2010). </w:t>
      </w:r>
    </w:p>
    <w:p w14:paraId="0DE49A64" w14:textId="24746CBC" w:rsidR="001449A6" w:rsidRDefault="001449A6">
      <w:pPr>
        <w:pStyle w:val="FootnoteText"/>
      </w:pPr>
    </w:p>
  </w:footnote>
  <w:footnote w:id="28">
    <w:p w14:paraId="408674B4" w14:textId="3AB7E3F0" w:rsidR="001449A6" w:rsidRPr="00EF58E8" w:rsidRDefault="001449A6"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r>
        <w:rPr>
          <w:sz w:val="24"/>
          <w:szCs w:val="24"/>
        </w:rPr>
        <w:t xml:space="preserve"> and Rodrik (2006)</w:t>
      </w:r>
      <w:r w:rsidRPr="00EF58E8">
        <w:rPr>
          <w:sz w:val="24"/>
          <w:szCs w:val="24"/>
        </w:rPr>
        <w:t>,</w:t>
      </w:r>
    </w:p>
  </w:footnote>
  <w:footnote w:id="29">
    <w:p w14:paraId="5A148F9D" w14:textId="77777777" w:rsidR="001449A6" w:rsidRPr="00620939" w:rsidRDefault="001449A6"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theor</w:t>
      </w:r>
      <w:r>
        <w:rPr>
          <w:sz w:val="24"/>
          <w:szCs w:val="24"/>
        </w:rPr>
        <w:t>ies</w:t>
      </w:r>
      <w:r w:rsidRPr="00620939">
        <w:rPr>
          <w:sz w:val="24"/>
          <w:szCs w:val="24"/>
        </w:rPr>
        <w:t xml:space="preserve"> of imperfect goods markets,</w:t>
      </w:r>
      <w:r>
        <w:rPr>
          <w:sz w:val="24"/>
          <w:szCs w:val="24"/>
        </w:rPr>
        <w:t xml:space="preserve"> theories of</w:t>
      </w:r>
      <w:r w:rsidRPr="00620939">
        <w:rPr>
          <w:sz w:val="24"/>
          <w:szCs w:val="24"/>
        </w:rPr>
        <w:t xml:space="preserve"> imperfect financial markets, or both.</w:t>
      </w:r>
      <w:r w:rsidRPr="00025B10">
        <w:rPr>
          <w:sz w:val="24"/>
          <w:szCs w:val="24"/>
        </w:rPr>
        <w:t xml:space="preserve">  E.g., </w:t>
      </w:r>
      <w:r w:rsidRPr="00025B10">
        <w:rPr>
          <w:rFonts w:cs="Arial"/>
          <w:color w:val="222222"/>
          <w:sz w:val="24"/>
          <w:szCs w:val="24"/>
          <w:shd w:val="clear" w:color="auto" w:fill="FFFFFF"/>
        </w:rPr>
        <w:t xml:space="preserve">Helpman and Razin (1982). </w:t>
      </w:r>
    </w:p>
  </w:footnote>
  <w:footnote w:id="30">
    <w:p w14:paraId="61D668EE" w14:textId="7B65A6FA" w:rsidR="001449A6" w:rsidRPr="00025B10" w:rsidRDefault="001449A6" w:rsidP="009B3044">
      <w:pPr>
        <w:pStyle w:val="Bibliography"/>
        <w:spacing w:before="80" w:after="0" w:line="240" w:lineRule="auto"/>
        <w:rPr>
          <w:rFonts w:cs="Times New Roman"/>
          <w:noProof/>
          <w:color w:val="000000" w:themeColor="text1"/>
          <w:sz w:val="24"/>
          <w:szCs w:val="24"/>
        </w:rPr>
      </w:pPr>
      <w:r w:rsidRPr="00025B10">
        <w:rPr>
          <w:rStyle w:val="FootnoteReference"/>
          <w:sz w:val="24"/>
          <w:szCs w:val="24"/>
        </w:rPr>
        <w:footnoteRef/>
      </w:r>
      <w:r w:rsidRPr="00025B10">
        <w:rPr>
          <w:sz w:val="24"/>
          <w:szCs w:val="24"/>
        </w:rPr>
        <w:t xml:space="preserve"> Including Milesi-Ferretti and Tille (2011), </w:t>
      </w:r>
      <w:r w:rsidRPr="00025B10">
        <w:rPr>
          <w:rFonts w:cs="Arial"/>
          <w:color w:val="222222"/>
          <w:sz w:val="24"/>
          <w:szCs w:val="24"/>
          <w:shd w:val="clear" w:color="auto" w:fill="FFFFFF"/>
        </w:rPr>
        <w:t>Magud, Reinhart, and Vesperoni (2014), Blanchard</w:t>
      </w:r>
      <w:r w:rsidRPr="00025B10">
        <w:rPr>
          <w:rFonts w:cs="Times New Roman"/>
          <w:noProof/>
          <w:color w:val="000000" w:themeColor="text1"/>
          <w:sz w:val="24"/>
          <w:szCs w:val="24"/>
        </w:rPr>
        <w:t xml:space="preserve">, Adler, and de Carvalho Filho (2015), and </w:t>
      </w:r>
      <w:r w:rsidRPr="00025B10">
        <w:rPr>
          <w:rFonts w:cs="Arial"/>
          <w:color w:val="222222"/>
          <w:sz w:val="24"/>
          <w:szCs w:val="24"/>
          <w:shd w:val="clear" w:color="auto" w:fill="FFFFFF"/>
        </w:rPr>
        <w:t>Blanchard, Ostry, Ghosh, and Chamon (2016).</w:t>
      </w:r>
    </w:p>
  </w:footnote>
  <w:footnote w:id="31">
    <w:p w14:paraId="7984512B" w14:textId="77777777" w:rsidR="001449A6" w:rsidRDefault="001449A6"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 former is plausibly exogenous [except perhaps for Saudi Arabia] as in the small open economy model, whereas measures of the terms of trade are in practice likely to be endogenous with respect to the nominal exchange rate.</w:t>
      </w:r>
    </w:p>
  </w:footnote>
  <w:footnote w:id="32">
    <w:p w14:paraId="642ACF3D" w14:textId="4B055CF1" w:rsidR="001449A6" w:rsidRPr="00827436" w:rsidRDefault="001449A6" w:rsidP="009B3044">
      <w:pPr>
        <w:spacing w:after="0" w:line="240" w:lineRule="auto"/>
        <w:rPr>
          <w:sz w:val="24"/>
          <w:szCs w:val="24"/>
        </w:rPr>
      </w:pPr>
      <w:bookmarkStart w:id="0" w:name="_GoBack"/>
      <w:bookmarkEnd w:id="0"/>
      <w:r>
        <w:rPr>
          <w:rStyle w:val="FootnoteReference"/>
        </w:rPr>
        <w:footnoteRef/>
      </w:r>
      <w:r>
        <w:t xml:space="preserve"> </w:t>
      </w:r>
      <w:r w:rsidRPr="00827436">
        <w:rPr>
          <w:sz w:val="24"/>
          <w:szCs w:val="24"/>
        </w:rPr>
        <w:t>We may eventually try a panel study</w:t>
      </w:r>
      <w:r>
        <w:rPr>
          <w:sz w:val="24"/>
          <w:szCs w:val="24"/>
        </w:rPr>
        <w:t xml:space="preserve"> within our set of countries</w:t>
      </w:r>
      <w:r w:rsidRPr="00827436">
        <w:rPr>
          <w:sz w:val="24"/>
          <w:szCs w:val="24"/>
        </w:rPr>
        <w:t>.</w:t>
      </w:r>
    </w:p>
  </w:footnote>
  <w:footnote w:id="33">
    <w:p w14:paraId="595D314C" w14:textId="77777777" w:rsidR="001449A6" w:rsidRDefault="001449A6" w:rsidP="009B3044">
      <w:pPr>
        <w:spacing w:after="0" w:line="240" w:lineRule="auto"/>
        <w:contextualSpacing/>
      </w:pPr>
      <w:r w:rsidRPr="00C14869">
        <w:rPr>
          <w:rStyle w:val="FootnoteReference"/>
          <w:sz w:val="24"/>
          <w:szCs w:val="24"/>
        </w:rPr>
        <w:footnoteRef/>
      </w:r>
      <w:r w:rsidRPr="00C14869">
        <w:rPr>
          <w:sz w:val="24"/>
          <w:szCs w:val="24"/>
        </w:rPr>
        <w:t xml:space="preserve"> 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
  </w:footnote>
  <w:footnote w:id="34">
    <w:p w14:paraId="67391E27" w14:textId="77777777" w:rsidR="001449A6" w:rsidRPr="00C21FD4" w:rsidRDefault="001449A6"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5">
    <w:p w14:paraId="1546AD70" w14:textId="77777777" w:rsidR="001449A6" w:rsidRPr="00E35D03" w:rsidRDefault="001449A6" w:rsidP="00E35D03">
      <w:pPr>
        <w:rPr>
          <w:b/>
          <w:sz w:val="24"/>
          <w:szCs w:val="24"/>
        </w:rPr>
      </w:pPr>
      <w:r w:rsidRPr="00E35D03">
        <w:rPr>
          <w:rStyle w:val="FootnoteReference"/>
          <w:sz w:val="24"/>
          <w:szCs w:val="24"/>
        </w:rPr>
        <w:footnoteRef/>
      </w:r>
      <w:r w:rsidRPr="00E35D03">
        <w:rPr>
          <w:sz w:val="24"/>
          <w:szCs w:val="24"/>
        </w:rPr>
        <w:t xml:space="preserve"> They include Baskaya, di Giovanni, Kalemli-Ozcan, and Ulu (2017), Cerutti,  Claessens, and Puy (2015)</w:t>
      </w:r>
      <w:r w:rsidRPr="00E35D03">
        <w:rPr>
          <w:b/>
          <w:sz w:val="24"/>
          <w:szCs w:val="24"/>
        </w:rPr>
        <w:t xml:space="preserve">, </w:t>
      </w:r>
      <w:r w:rsidRPr="00E35D03">
        <w:rPr>
          <w:sz w:val="24"/>
          <w:szCs w:val="24"/>
        </w:rPr>
        <w:t>Forbes and Warnock, 2012) and Fratzscher (2012).  Miranda-</w:t>
      </w:r>
      <w:r w:rsidRPr="00E35D03">
        <w:rPr>
          <w:rFonts w:cs="Arial"/>
          <w:color w:val="000000" w:themeColor="text1"/>
          <w:sz w:val="24"/>
          <w:szCs w:val="24"/>
        </w:rPr>
        <w:t xml:space="preserve">Agrippino </w:t>
      </w:r>
      <w:r w:rsidRPr="00E35D03">
        <w:rPr>
          <w:rFonts w:cs="Arial" w:hint="eastAsia"/>
          <w:color w:val="000000" w:themeColor="text1"/>
          <w:sz w:val="24"/>
          <w:szCs w:val="24"/>
          <w:lang w:eastAsia="ko-KR"/>
        </w:rPr>
        <w:t xml:space="preserve">and </w:t>
      </w:r>
      <w:r w:rsidRPr="00E35D03">
        <w:rPr>
          <w:rFonts w:cs="Arial"/>
          <w:color w:val="000000" w:themeColor="text1"/>
          <w:sz w:val="24"/>
          <w:szCs w:val="24"/>
        </w:rPr>
        <w:t xml:space="preserve">Rey (2015) and </w:t>
      </w:r>
      <w:r w:rsidRPr="00E35D03">
        <w:rPr>
          <w:sz w:val="24"/>
          <w:szCs w:val="24"/>
        </w:rPr>
        <w:t xml:space="preserve">Rey (2015) </w:t>
      </w:r>
      <w:r w:rsidRPr="00E35D03">
        <w:rPr>
          <w:rFonts w:cs="Arial"/>
          <w:color w:val="000000" w:themeColor="text1"/>
          <w:sz w:val="24"/>
          <w:szCs w:val="24"/>
        </w:rPr>
        <w:t xml:space="preserve">trace these fluctuations in </w:t>
      </w:r>
      <w:r w:rsidRPr="00E35D03">
        <w:rPr>
          <w:sz w:val="24"/>
          <w:szCs w:val="24"/>
        </w:rPr>
        <w:t>the global financial environment</w:t>
      </w:r>
      <w:r w:rsidRPr="00E35D03">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E35D03">
        <w:rPr>
          <w:rFonts w:cs="Arial"/>
          <w:i/>
          <w:color w:val="000000" w:themeColor="text1"/>
          <w:sz w:val="24"/>
          <w:szCs w:val="24"/>
        </w:rPr>
        <w:t>prices</w:t>
      </w:r>
      <w:r w:rsidRPr="00E35D03">
        <w:rPr>
          <w:rFonts w:cs="Arial"/>
          <w:color w:val="000000" w:themeColor="text1"/>
          <w:sz w:val="24"/>
          <w:szCs w:val="24"/>
        </w:rPr>
        <w:t>.</w:t>
      </w:r>
    </w:p>
  </w:footnote>
  <w:footnote w:id="36">
    <w:p w14:paraId="53787169" w14:textId="31A5F352" w:rsidR="001449A6" w:rsidRPr="008A2912" w:rsidRDefault="001449A6"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 xml:space="preserve">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w:t>
      </w:r>
      <w:r>
        <w:rPr>
          <w:sz w:val="24"/>
          <w:szCs w:val="24"/>
        </w:rPr>
        <w:t>general presumption</w:t>
      </w:r>
      <w:r w:rsidRPr="008A2912">
        <w:rPr>
          <w:sz w:val="24"/>
          <w:szCs w:val="24"/>
        </w:rPr>
        <w:t xml:space="preserve">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37">
    <w:p w14:paraId="4EA3AD2C" w14:textId="77777777" w:rsidR="001449A6" w:rsidRPr="00084F8B" w:rsidRDefault="001449A6"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regressing the change in the real exchange rate against the change in reserves.</w:t>
      </w:r>
    </w:p>
  </w:footnote>
  <w:footnote w:id="38">
    <w:p w14:paraId="78375DA1" w14:textId="77777777" w:rsidR="001449A6" w:rsidRDefault="001449A6">
      <w:pPr>
        <w:pStyle w:val="FootnoteText"/>
      </w:pPr>
      <w:r>
        <w:rPr>
          <w:rStyle w:val="FootnoteReference"/>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39">
    <w:p w14:paraId="7F0FD1DC" w14:textId="77777777" w:rsidR="001449A6" w:rsidRPr="00920DE4" w:rsidRDefault="001449A6"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0">
    <w:p w14:paraId="66377A26" w14:textId="2731B7EA" w:rsidR="001449A6" w:rsidRPr="0024680A" w:rsidRDefault="001449A6" w:rsidP="0024680A">
      <w:pPr>
        <w:spacing w:line="240" w:lineRule="auto"/>
        <w:rPr>
          <w:sz w:val="24"/>
          <w:szCs w:val="24"/>
        </w:rPr>
      </w:pPr>
      <w:r>
        <w:rPr>
          <w:rStyle w:val="FootnoteReference"/>
        </w:rPr>
        <w:footnoteRef/>
      </w:r>
      <w:r>
        <w:t xml:space="preserve"> </w:t>
      </w:r>
      <w:r>
        <w:rPr>
          <w:sz w:val="24"/>
          <w:szCs w:val="24"/>
        </w:rPr>
        <w:t>There is a second possible explanation for anomalous results in the case of Saudi Arabia.  It alone among all the commodity producers is large enough in the world market for its export commodity, oil, that we might want to question the assumption that the world price is exogenous.  But the first reason seems a good enough explanation.</w:t>
      </w:r>
    </w:p>
  </w:footnote>
  <w:footnote w:id="41">
    <w:p w14:paraId="5A2F1381" w14:textId="77777777" w:rsidR="001449A6" w:rsidRDefault="001449A6" w:rsidP="00FE1F7F">
      <w:pPr>
        <w:pStyle w:val="FootnoteText"/>
      </w:pPr>
      <w:r w:rsidRPr="00920DE4">
        <w:rPr>
          <w:rStyle w:val="FootnoteReference"/>
          <w:sz w:val="24"/>
          <w:szCs w:val="24"/>
        </w:rPr>
        <w:footnoteRef/>
      </w:r>
      <w:r w:rsidRPr="00920DE4">
        <w:rPr>
          <w:sz w:val="24"/>
          <w:szCs w:val="24"/>
        </w:rPr>
        <w:t xml:space="preserve"> Frankel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55C11"/>
    <w:multiLevelType w:val="hybridMultilevel"/>
    <w:tmpl w:val="416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B4AF9"/>
    <w:multiLevelType w:val="hybridMultilevel"/>
    <w:tmpl w:val="F030EFEA"/>
    <w:lvl w:ilvl="0" w:tplc="6C7C6158">
      <w:start w:val="1"/>
      <w:numFmt w:val="bullet"/>
      <w:lvlText w:val="•"/>
      <w:lvlJc w:val="left"/>
      <w:pPr>
        <w:tabs>
          <w:tab w:val="num" w:pos="720"/>
        </w:tabs>
        <w:ind w:left="720" w:hanging="360"/>
      </w:pPr>
      <w:rPr>
        <w:rFonts w:ascii="Arial" w:hAnsi="Arial" w:hint="default"/>
      </w:rPr>
    </w:lvl>
    <w:lvl w:ilvl="1" w:tplc="D7F692BC">
      <w:start w:val="1648"/>
      <w:numFmt w:val="bullet"/>
      <w:lvlText w:val="–"/>
      <w:lvlJc w:val="left"/>
      <w:pPr>
        <w:tabs>
          <w:tab w:val="num" w:pos="1440"/>
        </w:tabs>
        <w:ind w:left="1440" w:hanging="360"/>
      </w:pPr>
      <w:rPr>
        <w:rFonts w:ascii="Arial" w:hAnsi="Arial" w:hint="default"/>
      </w:rPr>
    </w:lvl>
    <w:lvl w:ilvl="2" w:tplc="DF00C7E0" w:tentative="1">
      <w:start w:val="1"/>
      <w:numFmt w:val="bullet"/>
      <w:lvlText w:val="•"/>
      <w:lvlJc w:val="left"/>
      <w:pPr>
        <w:tabs>
          <w:tab w:val="num" w:pos="2160"/>
        </w:tabs>
        <w:ind w:left="2160" w:hanging="360"/>
      </w:pPr>
      <w:rPr>
        <w:rFonts w:ascii="Arial" w:hAnsi="Arial" w:hint="default"/>
      </w:rPr>
    </w:lvl>
    <w:lvl w:ilvl="3" w:tplc="8786926A" w:tentative="1">
      <w:start w:val="1"/>
      <w:numFmt w:val="bullet"/>
      <w:lvlText w:val="•"/>
      <w:lvlJc w:val="left"/>
      <w:pPr>
        <w:tabs>
          <w:tab w:val="num" w:pos="2880"/>
        </w:tabs>
        <w:ind w:left="2880" w:hanging="360"/>
      </w:pPr>
      <w:rPr>
        <w:rFonts w:ascii="Arial" w:hAnsi="Arial" w:hint="default"/>
      </w:rPr>
    </w:lvl>
    <w:lvl w:ilvl="4" w:tplc="66A8AB3C" w:tentative="1">
      <w:start w:val="1"/>
      <w:numFmt w:val="bullet"/>
      <w:lvlText w:val="•"/>
      <w:lvlJc w:val="left"/>
      <w:pPr>
        <w:tabs>
          <w:tab w:val="num" w:pos="3600"/>
        </w:tabs>
        <w:ind w:left="3600" w:hanging="360"/>
      </w:pPr>
      <w:rPr>
        <w:rFonts w:ascii="Arial" w:hAnsi="Arial" w:hint="default"/>
      </w:rPr>
    </w:lvl>
    <w:lvl w:ilvl="5" w:tplc="AA16A7C4" w:tentative="1">
      <w:start w:val="1"/>
      <w:numFmt w:val="bullet"/>
      <w:lvlText w:val="•"/>
      <w:lvlJc w:val="left"/>
      <w:pPr>
        <w:tabs>
          <w:tab w:val="num" w:pos="4320"/>
        </w:tabs>
        <w:ind w:left="4320" w:hanging="360"/>
      </w:pPr>
      <w:rPr>
        <w:rFonts w:ascii="Arial" w:hAnsi="Arial" w:hint="default"/>
      </w:rPr>
    </w:lvl>
    <w:lvl w:ilvl="6" w:tplc="A13022B0" w:tentative="1">
      <w:start w:val="1"/>
      <w:numFmt w:val="bullet"/>
      <w:lvlText w:val="•"/>
      <w:lvlJc w:val="left"/>
      <w:pPr>
        <w:tabs>
          <w:tab w:val="num" w:pos="5040"/>
        </w:tabs>
        <w:ind w:left="5040" w:hanging="360"/>
      </w:pPr>
      <w:rPr>
        <w:rFonts w:ascii="Arial" w:hAnsi="Arial" w:hint="default"/>
      </w:rPr>
    </w:lvl>
    <w:lvl w:ilvl="7" w:tplc="34D683DE" w:tentative="1">
      <w:start w:val="1"/>
      <w:numFmt w:val="bullet"/>
      <w:lvlText w:val="•"/>
      <w:lvlJc w:val="left"/>
      <w:pPr>
        <w:tabs>
          <w:tab w:val="num" w:pos="5760"/>
        </w:tabs>
        <w:ind w:left="5760" w:hanging="360"/>
      </w:pPr>
      <w:rPr>
        <w:rFonts w:ascii="Arial" w:hAnsi="Arial" w:hint="default"/>
      </w:rPr>
    </w:lvl>
    <w:lvl w:ilvl="8" w:tplc="5FD6264A" w:tentative="1">
      <w:start w:val="1"/>
      <w:numFmt w:val="bullet"/>
      <w:lvlText w:val="•"/>
      <w:lvlJc w:val="left"/>
      <w:pPr>
        <w:tabs>
          <w:tab w:val="num" w:pos="6480"/>
        </w:tabs>
        <w:ind w:left="6480" w:hanging="360"/>
      </w:pPr>
      <w:rPr>
        <w:rFonts w:ascii="Arial" w:hAnsi="Arial" w:hint="default"/>
      </w:rPr>
    </w:lvl>
  </w:abstractNum>
  <w:abstractNum w:abstractNumId="4">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7">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04584"/>
    <w:multiLevelType w:val="multilevel"/>
    <w:tmpl w:val="4E00F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C2841"/>
    <w:multiLevelType w:val="multilevel"/>
    <w:tmpl w:val="23CE0D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6"/>
  </w:num>
  <w:num w:numId="5">
    <w:abstractNumId w:val="0"/>
  </w:num>
  <w:num w:numId="6">
    <w:abstractNumId w:val="5"/>
  </w:num>
  <w:num w:numId="7">
    <w:abstractNumId w:val="9"/>
  </w:num>
  <w:num w:numId="8">
    <w:abstractNumId w:val="4"/>
  </w:num>
  <w:num w:numId="9">
    <w:abstractNumId w:val="10"/>
  </w:num>
  <w:num w:numId="10">
    <w:abstractNumId w:val="1"/>
  </w:num>
  <w:num w:numId="11">
    <w:abstractNumId w:val="14"/>
  </w:num>
  <w:num w:numId="12">
    <w:abstractNumId w:val="2"/>
  </w:num>
  <w:num w:numId="13">
    <w:abstractNumId w:val="8"/>
  </w:num>
  <w:num w:numId="14">
    <w:abstractNumId w:val="1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lahun Emiru">
    <w15:presenceInfo w15:providerId="Windows Live" w15:userId="6b771b53e38d7d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5B"/>
    <w:rsid w:val="0000044A"/>
    <w:rsid w:val="00001C12"/>
    <w:rsid w:val="000073CF"/>
    <w:rsid w:val="00011F62"/>
    <w:rsid w:val="00013708"/>
    <w:rsid w:val="00016656"/>
    <w:rsid w:val="0001681A"/>
    <w:rsid w:val="00016D73"/>
    <w:rsid w:val="000249BD"/>
    <w:rsid w:val="00025B10"/>
    <w:rsid w:val="00033D04"/>
    <w:rsid w:val="0003571A"/>
    <w:rsid w:val="000415B4"/>
    <w:rsid w:val="00041FDE"/>
    <w:rsid w:val="00044D88"/>
    <w:rsid w:val="000452A7"/>
    <w:rsid w:val="00047BD7"/>
    <w:rsid w:val="00047EA9"/>
    <w:rsid w:val="00050EC4"/>
    <w:rsid w:val="0005364A"/>
    <w:rsid w:val="00055B38"/>
    <w:rsid w:val="00063594"/>
    <w:rsid w:val="00074534"/>
    <w:rsid w:val="00077A79"/>
    <w:rsid w:val="00082AC2"/>
    <w:rsid w:val="00084F8B"/>
    <w:rsid w:val="00094573"/>
    <w:rsid w:val="0009493B"/>
    <w:rsid w:val="000B0630"/>
    <w:rsid w:val="000B1894"/>
    <w:rsid w:val="000B49A0"/>
    <w:rsid w:val="000B6266"/>
    <w:rsid w:val="000C0B63"/>
    <w:rsid w:val="000C2901"/>
    <w:rsid w:val="000C2D14"/>
    <w:rsid w:val="000C54FF"/>
    <w:rsid w:val="000D119D"/>
    <w:rsid w:val="000D53F1"/>
    <w:rsid w:val="000D56A9"/>
    <w:rsid w:val="000D69A3"/>
    <w:rsid w:val="000D6F21"/>
    <w:rsid w:val="000D744F"/>
    <w:rsid w:val="000E6BE4"/>
    <w:rsid w:val="000E7009"/>
    <w:rsid w:val="000F0666"/>
    <w:rsid w:val="000F317C"/>
    <w:rsid w:val="000F3F8D"/>
    <w:rsid w:val="000F5495"/>
    <w:rsid w:val="00103B0B"/>
    <w:rsid w:val="00111F36"/>
    <w:rsid w:val="00112548"/>
    <w:rsid w:val="0011314E"/>
    <w:rsid w:val="00122D56"/>
    <w:rsid w:val="00135981"/>
    <w:rsid w:val="00137CE2"/>
    <w:rsid w:val="00140584"/>
    <w:rsid w:val="00143DAF"/>
    <w:rsid w:val="001449A6"/>
    <w:rsid w:val="00150710"/>
    <w:rsid w:val="00155D83"/>
    <w:rsid w:val="0015649F"/>
    <w:rsid w:val="0015797A"/>
    <w:rsid w:val="001612AA"/>
    <w:rsid w:val="0016376E"/>
    <w:rsid w:val="00164689"/>
    <w:rsid w:val="001938BD"/>
    <w:rsid w:val="00195ACA"/>
    <w:rsid w:val="00197982"/>
    <w:rsid w:val="001A19B4"/>
    <w:rsid w:val="001A1B8E"/>
    <w:rsid w:val="001A23FE"/>
    <w:rsid w:val="001C15A4"/>
    <w:rsid w:val="001C3BD5"/>
    <w:rsid w:val="001D069A"/>
    <w:rsid w:val="001D467D"/>
    <w:rsid w:val="001E555A"/>
    <w:rsid w:val="001F2859"/>
    <w:rsid w:val="001F2CF3"/>
    <w:rsid w:val="001F49D3"/>
    <w:rsid w:val="001F5481"/>
    <w:rsid w:val="002075DA"/>
    <w:rsid w:val="00210E73"/>
    <w:rsid w:val="00213357"/>
    <w:rsid w:val="00213C48"/>
    <w:rsid w:val="00216663"/>
    <w:rsid w:val="00222C5F"/>
    <w:rsid w:val="00224410"/>
    <w:rsid w:val="002269CE"/>
    <w:rsid w:val="00233249"/>
    <w:rsid w:val="00233654"/>
    <w:rsid w:val="00242C3A"/>
    <w:rsid w:val="0024680A"/>
    <w:rsid w:val="002507FA"/>
    <w:rsid w:val="00251B72"/>
    <w:rsid w:val="002554FC"/>
    <w:rsid w:val="0026584A"/>
    <w:rsid w:val="002659E4"/>
    <w:rsid w:val="00276E7F"/>
    <w:rsid w:val="00292263"/>
    <w:rsid w:val="002922E6"/>
    <w:rsid w:val="002B016F"/>
    <w:rsid w:val="002B195B"/>
    <w:rsid w:val="002C0AFB"/>
    <w:rsid w:val="002C0EF1"/>
    <w:rsid w:val="002D33F4"/>
    <w:rsid w:val="002D3994"/>
    <w:rsid w:val="002F0B8D"/>
    <w:rsid w:val="002F1382"/>
    <w:rsid w:val="002F3E63"/>
    <w:rsid w:val="002F5845"/>
    <w:rsid w:val="002F782A"/>
    <w:rsid w:val="003017CF"/>
    <w:rsid w:val="00303943"/>
    <w:rsid w:val="00303B30"/>
    <w:rsid w:val="00305452"/>
    <w:rsid w:val="0032379A"/>
    <w:rsid w:val="00330932"/>
    <w:rsid w:val="00332635"/>
    <w:rsid w:val="003353FC"/>
    <w:rsid w:val="003357E6"/>
    <w:rsid w:val="003363A0"/>
    <w:rsid w:val="00346C53"/>
    <w:rsid w:val="003500D5"/>
    <w:rsid w:val="003552B4"/>
    <w:rsid w:val="003656F3"/>
    <w:rsid w:val="00365FD1"/>
    <w:rsid w:val="00367B72"/>
    <w:rsid w:val="00370A0F"/>
    <w:rsid w:val="00376974"/>
    <w:rsid w:val="00377515"/>
    <w:rsid w:val="00381AA5"/>
    <w:rsid w:val="00381CA0"/>
    <w:rsid w:val="0038217E"/>
    <w:rsid w:val="00393333"/>
    <w:rsid w:val="003A1103"/>
    <w:rsid w:val="003A1C70"/>
    <w:rsid w:val="003A40C2"/>
    <w:rsid w:val="003A4D45"/>
    <w:rsid w:val="003B1CC9"/>
    <w:rsid w:val="003B3258"/>
    <w:rsid w:val="003B4C89"/>
    <w:rsid w:val="003C1F4F"/>
    <w:rsid w:val="003C2706"/>
    <w:rsid w:val="003D2564"/>
    <w:rsid w:val="003D561A"/>
    <w:rsid w:val="003D5A10"/>
    <w:rsid w:val="003E0F20"/>
    <w:rsid w:val="003F6D5A"/>
    <w:rsid w:val="003F7077"/>
    <w:rsid w:val="0040551A"/>
    <w:rsid w:val="004102DD"/>
    <w:rsid w:val="0041198F"/>
    <w:rsid w:val="004211D3"/>
    <w:rsid w:val="0042142F"/>
    <w:rsid w:val="00421B14"/>
    <w:rsid w:val="00431061"/>
    <w:rsid w:val="00433764"/>
    <w:rsid w:val="0044574C"/>
    <w:rsid w:val="004470F6"/>
    <w:rsid w:val="004474C5"/>
    <w:rsid w:val="0046189C"/>
    <w:rsid w:val="00462E44"/>
    <w:rsid w:val="0046420B"/>
    <w:rsid w:val="00466AD3"/>
    <w:rsid w:val="00470645"/>
    <w:rsid w:val="00474EB7"/>
    <w:rsid w:val="00475A03"/>
    <w:rsid w:val="00483AE6"/>
    <w:rsid w:val="00484CF3"/>
    <w:rsid w:val="004876A6"/>
    <w:rsid w:val="00490FAF"/>
    <w:rsid w:val="00495D8F"/>
    <w:rsid w:val="004A53DD"/>
    <w:rsid w:val="004B4D54"/>
    <w:rsid w:val="004B7131"/>
    <w:rsid w:val="004B7426"/>
    <w:rsid w:val="004C2731"/>
    <w:rsid w:val="004C7BE5"/>
    <w:rsid w:val="004D0D21"/>
    <w:rsid w:val="004D131F"/>
    <w:rsid w:val="004D196F"/>
    <w:rsid w:val="004D6A93"/>
    <w:rsid w:val="004E02CB"/>
    <w:rsid w:val="004E742A"/>
    <w:rsid w:val="004F6462"/>
    <w:rsid w:val="00510B3C"/>
    <w:rsid w:val="00514C2C"/>
    <w:rsid w:val="00517DC5"/>
    <w:rsid w:val="005228E0"/>
    <w:rsid w:val="005248AB"/>
    <w:rsid w:val="00534B2B"/>
    <w:rsid w:val="0053792F"/>
    <w:rsid w:val="0054575F"/>
    <w:rsid w:val="00564A84"/>
    <w:rsid w:val="005673A5"/>
    <w:rsid w:val="005708E3"/>
    <w:rsid w:val="00570BBF"/>
    <w:rsid w:val="00573318"/>
    <w:rsid w:val="005831B6"/>
    <w:rsid w:val="00585218"/>
    <w:rsid w:val="005852D5"/>
    <w:rsid w:val="005A22C0"/>
    <w:rsid w:val="005A6B2A"/>
    <w:rsid w:val="005B0E15"/>
    <w:rsid w:val="005B2A31"/>
    <w:rsid w:val="005B2B8F"/>
    <w:rsid w:val="005B31D5"/>
    <w:rsid w:val="005B4F6E"/>
    <w:rsid w:val="005C6885"/>
    <w:rsid w:val="005C6AF9"/>
    <w:rsid w:val="005C7E40"/>
    <w:rsid w:val="005D07FE"/>
    <w:rsid w:val="005D248C"/>
    <w:rsid w:val="005E2990"/>
    <w:rsid w:val="005E5114"/>
    <w:rsid w:val="005E76DF"/>
    <w:rsid w:val="005E7BC6"/>
    <w:rsid w:val="005F5EAF"/>
    <w:rsid w:val="00603F0E"/>
    <w:rsid w:val="00605589"/>
    <w:rsid w:val="00606F3A"/>
    <w:rsid w:val="00613BAA"/>
    <w:rsid w:val="00613BAF"/>
    <w:rsid w:val="0061410E"/>
    <w:rsid w:val="006171A9"/>
    <w:rsid w:val="00620720"/>
    <w:rsid w:val="00620939"/>
    <w:rsid w:val="00625964"/>
    <w:rsid w:val="006320F3"/>
    <w:rsid w:val="00650865"/>
    <w:rsid w:val="00660A4B"/>
    <w:rsid w:val="0066577C"/>
    <w:rsid w:val="00672CBE"/>
    <w:rsid w:val="00674EEE"/>
    <w:rsid w:val="0067619E"/>
    <w:rsid w:val="00681AB1"/>
    <w:rsid w:val="006830DC"/>
    <w:rsid w:val="006851DC"/>
    <w:rsid w:val="00697E2D"/>
    <w:rsid w:val="006A104A"/>
    <w:rsid w:val="006A2469"/>
    <w:rsid w:val="006A3332"/>
    <w:rsid w:val="006A3367"/>
    <w:rsid w:val="006B2ED6"/>
    <w:rsid w:val="006B4EC3"/>
    <w:rsid w:val="006C2A51"/>
    <w:rsid w:val="006C3DF9"/>
    <w:rsid w:val="006C43DA"/>
    <w:rsid w:val="006D5861"/>
    <w:rsid w:val="006E029E"/>
    <w:rsid w:val="006E446A"/>
    <w:rsid w:val="006F0321"/>
    <w:rsid w:val="006F7AA5"/>
    <w:rsid w:val="00702A92"/>
    <w:rsid w:val="0070462D"/>
    <w:rsid w:val="007174CC"/>
    <w:rsid w:val="00717D17"/>
    <w:rsid w:val="0072751F"/>
    <w:rsid w:val="007340F5"/>
    <w:rsid w:val="007369EE"/>
    <w:rsid w:val="0074107C"/>
    <w:rsid w:val="007427F1"/>
    <w:rsid w:val="007447D4"/>
    <w:rsid w:val="007555F8"/>
    <w:rsid w:val="00764DDE"/>
    <w:rsid w:val="00764DF6"/>
    <w:rsid w:val="00765A68"/>
    <w:rsid w:val="00766585"/>
    <w:rsid w:val="00772D75"/>
    <w:rsid w:val="00784C61"/>
    <w:rsid w:val="007877E5"/>
    <w:rsid w:val="007A17D3"/>
    <w:rsid w:val="007A3EA0"/>
    <w:rsid w:val="007A5533"/>
    <w:rsid w:val="007B7DAE"/>
    <w:rsid w:val="007C6412"/>
    <w:rsid w:val="00800572"/>
    <w:rsid w:val="00810C2C"/>
    <w:rsid w:val="0081275F"/>
    <w:rsid w:val="008226DA"/>
    <w:rsid w:val="00822E7F"/>
    <w:rsid w:val="00827436"/>
    <w:rsid w:val="008341F9"/>
    <w:rsid w:val="00837CA7"/>
    <w:rsid w:val="0084493F"/>
    <w:rsid w:val="0084759F"/>
    <w:rsid w:val="00851866"/>
    <w:rsid w:val="008551E5"/>
    <w:rsid w:val="008560DB"/>
    <w:rsid w:val="00856706"/>
    <w:rsid w:val="008605CF"/>
    <w:rsid w:val="00864E22"/>
    <w:rsid w:val="00866AC7"/>
    <w:rsid w:val="008710A7"/>
    <w:rsid w:val="0087110B"/>
    <w:rsid w:val="0087348F"/>
    <w:rsid w:val="00881181"/>
    <w:rsid w:val="00882489"/>
    <w:rsid w:val="0088562C"/>
    <w:rsid w:val="00887733"/>
    <w:rsid w:val="00887F4F"/>
    <w:rsid w:val="00890701"/>
    <w:rsid w:val="00895C09"/>
    <w:rsid w:val="008979D2"/>
    <w:rsid w:val="008A26FB"/>
    <w:rsid w:val="008A2849"/>
    <w:rsid w:val="008A28A4"/>
    <w:rsid w:val="008A2912"/>
    <w:rsid w:val="008A3819"/>
    <w:rsid w:val="008B1E72"/>
    <w:rsid w:val="008B7BCD"/>
    <w:rsid w:val="008C3435"/>
    <w:rsid w:val="008D3999"/>
    <w:rsid w:val="008D3BA3"/>
    <w:rsid w:val="008E22F7"/>
    <w:rsid w:val="008E28CD"/>
    <w:rsid w:val="008E32AD"/>
    <w:rsid w:val="008E496D"/>
    <w:rsid w:val="008E76E8"/>
    <w:rsid w:val="008F2495"/>
    <w:rsid w:val="008F381D"/>
    <w:rsid w:val="00901019"/>
    <w:rsid w:val="009075E6"/>
    <w:rsid w:val="00913712"/>
    <w:rsid w:val="00920DE4"/>
    <w:rsid w:val="009215ED"/>
    <w:rsid w:val="009324A4"/>
    <w:rsid w:val="009371EC"/>
    <w:rsid w:val="0093736E"/>
    <w:rsid w:val="0093776E"/>
    <w:rsid w:val="00942137"/>
    <w:rsid w:val="0094465A"/>
    <w:rsid w:val="00950E4F"/>
    <w:rsid w:val="00957B3A"/>
    <w:rsid w:val="00957B8F"/>
    <w:rsid w:val="0096792A"/>
    <w:rsid w:val="009720AD"/>
    <w:rsid w:val="009736BA"/>
    <w:rsid w:val="00977DEA"/>
    <w:rsid w:val="00980C53"/>
    <w:rsid w:val="00986314"/>
    <w:rsid w:val="009963CF"/>
    <w:rsid w:val="009967AC"/>
    <w:rsid w:val="009A33D3"/>
    <w:rsid w:val="009A3629"/>
    <w:rsid w:val="009A51A0"/>
    <w:rsid w:val="009A5F36"/>
    <w:rsid w:val="009B3044"/>
    <w:rsid w:val="009B671E"/>
    <w:rsid w:val="009C715E"/>
    <w:rsid w:val="009D1D0D"/>
    <w:rsid w:val="009D7872"/>
    <w:rsid w:val="009E235D"/>
    <w:rsid w:val="009E32F4"/>
    <w:rsid w:val="009E3E1E"/>
    <w:rsid w:val="009E5B71"/>
    <w:rsid w:val="009E60FC"/>
    <w:rsid w:val="009F0BFE"/>
    <w:rsid w:val="009F2B6E"/>
    <w:rsid w:val="009F483A"/>
    <w:rsid w:val="009F6ABD"/>
    <w:rsid w:val="009F7328"/>
    <w:rsid w:val="00A01A86"/>
    <w:rsid w:val="00A13C58"/>
    <w:rsid w:val="00A2071D"/>
    <w:rsid w:val="00A32F4B"/>
    <w:rsid w:val="00A33315"/>
    <w:rsid w:val="00A45E20"/>
    <w:rsid w:val="00A471BB"/>
    <w:rsid w:val="00A608F2"/>
    <w:rsid w:val="00A61260"/>
    <w:rsid w:val="00A630D5"/>
    <w:rsid w:val="00A67933"/>
    <w:rsid w:val="00A7379F"/>
    <w:rsid w:val="00A74828"/>
    <w:rsid w:val="00A763B1"/>
    <w:rsid w:val="00A82B1D"/>
    <w:rsid w:val="00A84A29"/>
    <w:rsid w:val="00A917CC"/>
    <w:rsid w:val="00A92FFC"/>
    <w:rsid w:val="00A96F72"/>
    <w:rsid w:val="00A973ED"/>
    <w:rsid w:val="00AA0544"/>
    <w:rsid w:val="00AB0D24"/>
    <w:rsid w:val="00AB60B7"/>
    <w:rsid w:val="00AB766C"/>
    <w:rsid w:val="00AC2465"/>
    <w:rsid w:val="00AE1D30"/>
    <w:rsid w:val="00B0645B"/>
    <w:rsid w:val="00B06815"/>
    <w:rsid w:val="00B10F2A"/>
    <w:rsid w:val="00B11513"/>
    <w:rsid w:val="00B14318"/>
    <w:rsid w:val="00B174D7"/>
    <w:rsid w:val="00B27165"/>
    <w:rsid w:val="00B31C20"/>
    <w:rsid w:val="00B36E56"/>
    <w:rsid w:val="00B375DD"/>
    <w:rsid w:val="00B42E74"/>
    <w:rsid w:val="00B501D5"/>
    <w:rsid w:val="00B626FC"/>
    <w:rsid w:val="00B66DC8"/>
    <w:rsid w:val="00B73E46"/>
    <w:rsid w:val="00B74618"/>
    <w:rsid w:val="00B77B2A"/>
    <w:rsid w:val="00B813D6"/>
    <w:rsid w:val="00B82868"/>
    <w:rsid w:val="00B859F1"/>
    <w:rsid w:val="00B85A4F"/>
    <w:rsid w:val="00B87CBE"/>
    <w:rsid w:val="00B91C0E"/>
    <w:rsid w:val="00B94230"/>
    <w:rsid w:val="00BA3AC9"/>
    <w:rsid w:val="00BA46A1"/>
    <w:rsid w:val="00BB2308"/>
    <w:rsid w:val="00BB4707"/>
    <w:rsid w:val="00BC6F0E"/>
    <w:rsid w:val="00BD37CD"/>
    <w:rsid w:val="00BD3BD5"/>
    <w:rsid w:val="00BD46EF"/>
    <w:rsid w:val="00BD4A26"/>
    <w:rsid w:val="00BE1835"/>
    <w:rsid w:val="00BE1A83"/>
    <w:rsid w:val="00BE6226"/>
    <w:rsid w:val="00BE7656"/>
    <w:rsid w:val="00BF1460"/>
    <w:rsid w:val="00C01CA2"/>
    <w:rsid w:val="00C141A5"/>
    <w:rsid w:val="00C14869"/>
    <w:rsid w:val="00C1747D"/>
    <w:rsid w:val="00C20D95"/>
    <w:rsid w:val="00C21FD4"/>
    <w:rsid w:val="00C32A39"/>
    <w:rsid w:val="00C33D23"/>
    <w:rsid w:val="00C42657"/>
    <w:rsid w:val="00C51F23"/>
    <w:rsid w:val="00C54149"/>
    <w:rsid w:val="00C561F6"/>
    <w:rsid w:val="00C622A2"/>
    <w:rsid w:val="00C70389"/>
    <w:rsid w:val="00C75794"/>
    <w:rsid w:val="00C76545"/>
    <w:rsid w:val="00C82CEA"/>
    <w:rsid w:val="00C85C01"/>
    <w:rsid w:val="00C85C42"/>
    <w:rsid w:val="00C94EDB"/>
    <w:rsid w:val="00C97DEF"/>
    <w:rsid w:val="00CA2F81"/>
    <w:rsid w:val="00CA3AD3"/>
    <w:rsid w:val="00CB0454"/>
    <w:rsid w:val="00CD10E5"/>
    <w:rsid w:val="00CD3B56"/>
    <w:rsid w:val="00CD4AED"/>
    <w:rsid w:val="00CD596D"/>
    <w:rsid w:val="00CE0CA3"/>
    <w:rsid w:val="00CE6272"/>
    <w:rsid w:val="00CF02D5"/>
    <w:rsid w:val="00CF36F4"/>
    <w:rsid w:val="00D07C52"/>
    <w:rsid w:val="00D132A1"/>
    <w:rsid w:val="00D14019"/>
    <w:rsid w:val="00D173F6"/>
    <w:rsid w:val="00D219CC"/>
    <w:rsid w:val="00D254ED"/>
    <w:rsid w:val="00D31EEF"/>
    <w:rsid w:val="00D43014"/>
    <w:rsid w:val="00D508B6"/>
    <w:rsid w:val="00D51A7E"/>
    <w:rsid w:val="00D55552"/>
    <w:rsid w:val="00D567CF"/>
    <w:rsid w:val="00D57DDC"/>
    <w:rsid w:val="00D708BF"/>
    <w:rsid w:val="00D722BA"/>
    <w:rsid w:val="00D74DF7"/>
    <w:rsid w:val="00D814C9"/>
    <w:rsid w:val="00D81637"/>
    <w:rsid w:val="00D848A4"/>
    <w:rsid w:val="00D87786"/>
    <w:rsid w:val="00D97D05"/>
    <w:rsid w:val="00DA0453"/>
    <w:rsid w:val="00DA2959"/>
    <w:rsid w:val="00DA501E"/>
    <w:rsid w:val="00DB0FCF"/>
    <w:rsid w:val="00DB44D8"/>
    <w:rsid w:val="00DC0A5B"/>
    <w:rsid w:val="00DC306B"/>
    <w:rsid w:val="00DF1A54"/>
    <w:rsid w:val="00DF4324"/>
    <w:rsid w:val="00DF63C8"/>
    <w:rsid w:val="00E007F4"/>
    <w:rsid w:val="00E02D6D"/>
    <w:rsid w:val="00E1279B"/>
    <w:rsid w:val="00E20A7A"/>
    <w:rsid w:val="00E21FC0"/>
    <w:rsid w:val="00E262C2"/>
    <w:rsid w:val="00E26D15"/>
    <w:rsid w:val="00E324E9"/>
    <w:rsid w:val="00E32A55"/>
    <w:rsid w:val="00E32BAF"/>
    <w:rsid w:val="00E35D03"/>
    <w:rsid w:val="00E54F95"/>
    <w:rsid w:val="00E703FB"/>
    <w:rsid w:val="00E721AA"/>
    <w:rsid w:val="00E72DA1"/>
    <w:rsid w:val="00E7380C"/>
    <w:rsid w:val="00E85C88"/>
    <w:rsid w:val="00E861C8"/>
    <w:rsid w:val="00E874BF"/>
    <w:rsid w:val="00EB2F23"/>
    <w:rsid w:val="00EB59AF"/>
    <w:rsid w:val="00EC2DA8"/>
    <w:rsid w:val="00EC3F95"/>
    <w:rsid w:val="00EC684C"/>
    <w:rsid w:val="00EF0614"/>
    <w:rsid w:val="00EF4739"/>
    <w:rsid w:val="00EF58E8"/>
    <w:rsid w:val="00F031A3"/>
    <w:rsid w:val="00F068D1"/>
    <w:rsid w:val="00F13E62"/>
    <w:rsid w:val="00F16FB7"/>
    <w:rsid w:val="00F22703"/>
    <w:rsid w:val="00F238D6"/>
    <w:rsid w:val="00F24089"/>
    <w:rsid w:val="00F24DFA"/>
    <w:rsid w:val="00F309BD"/>
    <w:rsid w:val="00F36D94"/>
    <w:rsid w:val="00F555A9"/>
    <w:rsid w:val="00F566D3"/>
    <w:rsid w:val="00F85A88"/>
    <w:rsid w:val="00F868FC"/>
    <w:rsid w:val="00F94751"/>
    <w:rsid w:val="00FA0B7A"/>
    <w:rsid w:val="00FA104F"/>
    <w:rsid w:val="00FA6BE7"/>
    <w:rsid w:val="00FB0D2C"/>
    <w:rsid w:val="00FB2ED2"/>
    <w:rsid w:val="00FC2EFE"/>
    <w:rsid w:val="00FC7C4A"/>
    <w:rsid w:val="00FD5943"/>
    <w:rsid w:val="00FD7489"/>
    <w:rsid w:val="00FE1F7F"/>
    <w:rsid w:val="00FE3B45"/>
    <w:rsid w:val="00FE6187"/>
    <w:rsid w:val="00FE64BB"/>
    <w:rsid w:val="00FF05E5"/>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351608562">
      <w:bodyDiv w:val="1"/>
      <w:marLeft w:val="0"/>
      <w:marRight w:val="0"/>
      <w:marTop w:val="0"/>
      <w:marBottom w:val="0"/>
      <w:divBdr>
        <w:top w:val="none" w:sz="0" w:space="0" w:color="auto"/>
        <w:left w:val="none" w:sz="0" w:space="0" w:color="auto"/>
        <w:bottom w:val="none" w:sz="0" w:space="0" w:color="auto"/>
        <w:right w:val="none" w:sz="0" w:space="0" w:color="auto"/>
      </w:divBdr>
    </w:div>
    <w:div w:id="469324352">
      <w:bodyDiv w:val="1"/>
      <w:marLeft w:val="0"/>
      <w:marRight w:val="0"/>
      <w:marTop w:val="0"/>
      <w:marBottom w:val="0"/>
      <w:divBdr>
        <w:top w:val="none" w:sz="0" w:space="0" w:color="auto"/>
        <w:left w:val="none" w:sz="0" w:space="0" w:color="auto"/>
        <w:bottom w:val="none" w:sz="0" w:space="0" w:color="auto"/>
        <w:right w:val="none" w:sz="0" w:space="0" w:color="auto"/>
      </w:divBdr>
      <w:divsChild>
        <w:div w:id="660230990">
          <w:marLeft w:val="547"/>
          <w:marRight w:val="0"/>
          <w:marTop w:val="130"/>
          <w:marBottom w:val="0"/>
          <w:divBdr>
            <w:top w:val="none" w:sz="0" w:space="0" w:color="auto"/>
            <w:left w:val="none" w:sz="0" w:space="0" w:color="auto"/>
            <w:bottom w:val="none" w:sz="0" w:space="0" w:color="auto"/>
            <w:right w:val="none" w:sz="0" w:space="0" w:color="auto"/>
          </w:divBdr>
        </w:div>
        <w:div w:id="2040545242">
          <w:marLeft w:val="1166"/>
          <w:marRight w:val="0"/>
          <w:marTop w:val="115"/>
          <w:marBottom w:val="0"/>
          <w:divBdr>
            <w:top w:val="none" w:sz="0" w:space="0" w:color="auto"/>
            <w:left w:val="none" w:sz="0" w:space="0" w:color="auto"/>
            <w:bottom w:val="none" w:sz="0" w:space="0" w:color="auto"/>
            <w:right w:val="none" w:sz="0" w:space="0" w:color="auto"/>
          </w:divBdr>
        </w:div>
        <w:div w:id="591436">
          <w:marLeft w:val="547"/>
          <w:marRight w:val="0"/>
          <w:marTop w:val="130"/>
          <w:marBottom w:val="0"/>
          <w:divBdr>
            <w:top w:val="none" w:sz="0" w:space="0" w:color="auto"/>
            <w:left w:val="none" w:sz="0" w:space="0" w:color="auto"/>
            <w:bottom w:val="none" w:sz="0" w:space="0" w:color="auto"/>
            <w:right w:val="none" w:sz="0" w:space="0" w:color="auto"/>
          </w:divBdr>
        </w:div>
        <w:div w:id="1222133953">
          <w:marLeft w:val="1166"/>
          <w:marRight w:val="0"/>
          <w:marTop w:val="115"/>
          <w:marBottom w:val="0"/>
          <w:divBdr>
            <w:top w:val="none" w:sz="0" w:space="0" w:color="auto"/>
            <w:left w:val="none" w:sz="0" w:space="0" w:color="auto"/>
            <w:bottom w:val="none" w:sz="0" w:space="0" w:color="auto"/>
            <w:right w:val="none" w:sz="0" w:space="0" w:color="auto"/>
          </w:divBdr>
        </w:div>
        <w:div w:id="255528888">
          <w:marLeft w:val="547"/>
          <w:marRight w:val="0"/>
          <w:marTop w:val="130"/>
          <w:marBottom w:val="0"/>
          <w:divBdr>
            <w:top w:val="none" w:sz="0" w:space="0" w:color="auto"/>
            <w:left w:val="none" w:sz="0" w:space="0" w:color="auto"/>
            <w:bottom w:val="none" w:sz="0" w:space="0" w:color="auto"/>
            <w:right w:val="none" w:sz="0" w:space="0" w:color="auto"/>
          </w:divBdr>
        </w:div>
        <w:div w:id="1058284242">
          <w:marLeft w:val="1166"/>
          <w:marRight w:val="0"/>
          <w:marTop w:val="115"/>
          <w:marBottom w:val="0"/>
          <w:divBdr>
            <w:top w:val="none" w:sz="0" w:space="0" w:color="auto"/>
            <w:left w:val="none" w:sz="0" w:space="0" w:color="auto"/>
            <w:bottom w:val="none" w:sz="0" w:space="0" w:color="auto"/>
            <w:right w:val="none" w:sz="0" w:space="0" w:color="auto"/>
          </w:divBdr>
        </w:div>
        <w:div w:id="663431584">
          <w:marLeft w:val="547"/>
          <w:marRight w:val="0"/>
          <w:marTop w:val="130"/>
          <w:marBottom w:val="0"/>
          <w:divBdr>
            <w:top w:val="none" w:sz="0" w:space="0" w:color="auto"/>
            <w:left w:val="none" w:sz="0" w:space="0" w:color="auto"/>
            <w:bottom w:val="none" w:sz="0" w:space="0" w:color="auto"/>
            <w:right w:val="none" w:sz="0" w:space="0" w:color="auto"/>
          </w:divBdr>
        </w:div>
        <w:div w:id="1466007459">
          <w:marLeft w:val="1166"/>
          <w:marRight w:val="0"/>
          <w:marTop w:val="115"/>
          <w:marBottom w:val="0"/>
          <w:divBdr>
            <w:top w:val="none" w:sz="0" w:space="0" w:color="auto"/>
            <w:left w:val="none" w:sz="0" w:space="0" w:color="auto"/>
            <w:bottom w:val="none" w:sz="0" w:space="0" w:color="auto"/>
            <w:right w:val="none" w:sz="0" w:space="0" w:color="auto"/>
          </w:divBdr>
        </w:div>
        <w:div w:id="1793396675">
          <w:marLeft w:val="547"/>
          <w:marRight w:val="0"/>
          <w:marTop w:val="130"/>
          <w:marBottom w:val="0"/>
          <w:divBdr>
            <w:top w:val="none" w:sz="0" w:space="0" w:color="auto"/>
            <w:left w:val="none" w:sz="0" w:space="0" w:color="auto"/>
            <w:bottom w:val="none" w:sz="0" w:space="0" w:color="auto"/>
            <w:right w:val="none" w:sz="0" w:space="0" w:color="auto"/>
          </w:divBdr>
        </w:div>
        <w:div w:id="353773989">
          <w:marLeft w:val="1166"/>
          <w:marRight w:val="0"/>
          <w:marTop w:val="115"/>
          <w:marBottom w:val="0"/>
          <w:divBdr>
            <w:top w:val="none" w:sz="0" w:space="0" w:color="auto"/>
            <w:left w:val="none" w:sz="0" w:space="0" w:color="auto"/>
            <w:bottom w:val="none" w:sz="0" w:space="0" w:color="auto"/>
            <w:right w:val="none" w:sz="0" w:space="0" w:color="auto"/>
          </w:divBdr>
        </w:div>
        <w:div w:id="662270966">
          <w:marLeft w:val="1166"/>
          <w:marRight w:val="0"/>
          <w:marTop w:val="115"/>
          <w:marBottom w:val="0"/>
          <w:divBdr>
            <w:top w:val="none" w:sz="0" w:space="0" w:color="auto"/>
            <w:left w:val="none" w:sz="0" w:space="0" w:color="auto"/>
            <w:bottom w:val="none" w:sz="0" w:space="0" w:color="auto"/>
            <w:right w:val="none" w:sz="0" w:space="0" w:color="auto"/>
          </w:divBdr>
        </w:div>
        <w:div w:id="1952011851">
          <w:marLeft w:val="1166"/>
          <w:marRight w:val="0"/>
          <w:marTop w:val="115"/>
          <w:marBottom w:val="0"/>
          <w:divBdr>
            <w:top w:val="none" w:sz="0" w:space="0" w:color="auto"/>
            <w:left w:val="none" w:sz="0" w:space="0" w:color="auto"/>
            <w:bottom w:val="none" w:sz="0" w:space="0" w:color="auto"/>
            <w:right w:val="none" w:sz="0" w:space="0" w:color="auto"/>
          </w:divBdr>
        </w:div>
      </w:divsChild>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 w:id="1362323608">
      <w:bodyDiv w:val="1"/>
      <w:marLeft w:val="0"/>
      <w:marRight w:val="0"/>
      <w:marTop w:val="0"/>
      <w:marBottom w:val="0"/>
      <w:divBdr>
        <w:top w:val="none" w:sz="0" w:space="0" w:color="auto"/>
        <w:left w:val="none" w:sz="0" w:space="0" w:color="auto"/>
        <w:bottom w:val="none" w:sz="0" w:space="0" w:color="auto"/>
        <w:right w:val="none" w:sz="0" w:space="0" w:color="auto"/>
      </w:divBdr>
    </w:div>
    <w:div w:id="1760326535">
      <w:bodyDiv w:val="1"/>
      <w:marLeft w:val="0"/>
      <w:marRight w:val="0"/>
      <w:marTop w:val="0"/>
      <w:marBottom w:val="0"/>
      <w:divBdr>
        <w:top w:val="none" w:sz="0" w:space="0" w:color="auto"/>
        <w:left w:val="none" w:sz="0" w:space="0" w:color="auto"/>
        <w:bottom w:val="none" w:sz="0" w:space="0" w:color="auto"/>
        <w:right w:val="none" w:sz="0" w:space="0" w:color="auto"/>
      </w:divBdr>
    </w:div>
    <w:div w:id="18475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onlinelibrary.wiley.com/doi/10.1111/twec.2015.38.issue-5/issuet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deas.repec.org/a/eee/eecrev/v52y2008i6p941-963.html" TargetMode="External"/><Relationship Id="rId7" Type="http://schemas.openxmlformats.org/officeDocument/2006/relationships/footnotes" Target="footnotes.xml"/><Relationship Id="rId12" Type="http://schemas.openxmlformats.org/officeDocument/2006/relationships/hyperlink" Target="https://scholar.harvard.edu/files/frankel/files/fx_asianregimeesttablesxie2011.pdf" TargetMode="External"/><Relationship Id="rId17" Type="http://schemas.openxmlformats.org/officeDocument/2006/relationships/hyperlink" Target="http://www.nber.org/papers/w1909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cholar.harvard.edu/files/frankel/files/fx_datappendx_shrutilakhtakia.docx" TargetMode="External"/><Relationship Id="rId20" Type="http://schemas.openxmlformats.org/officeDocument/2006/relationships/hyperlink" Target="https://ssrn.com/abstract=26864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1.bin"/><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scholar.harvard.edu/files/frankel/files/systmngdfloat20170617turkeyfullregressnsappendix.xlsx" TargetMode="External"/><Relationship Id="rId23" Type="http://schemas.openxmlformats.org/officeDocument/2006/relationships/image" Target="media/image6.wmf"/><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ideas.repec.org/s/diw/diwwpp.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yperlink" Target="http://ideas.repec.org/s/eee/eecrev.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FE06-02D3-4D21-9BDC-D637B1C1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16201</Words>
  <Characters>92350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2017-06-21T17:31:00Z</cp:lastPrinted>
  <dcterms:created xsi:type="dcterms:W3CDTF">2017-06-22T01:47:00Z</dcterms:created>
  <dcterms:modified xsi:type="dcterms:W3CDTF">2017-06-22T01:47:00Z</dcterms:modified>
</cp:coreProperties>
</file>